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9A3" w:rsidRPr="007B2462" w:rsidRDefault="002C39A3" w:rsidP="00FB6856">
      <w:pPr>
        <w:pBdr>
          <w:bottom w:val="single" w:sz="12" w:space="0" w:color="auto"/>
        </w:pBdr>
        <w:spacing w:before="1560"/>
        <w:jc w:val="center"/>
        <w:rPr>
          <w:rFonts w:ascii="Calibri" w:hAnsi="Calibri"/>
          <w:b/>
          <w:sz w:val="52"/>
          <w:szCs w:val="52"/>
        </w:rPr>
      </w:pPr>
      <w:bookmarkStart w:id="0" w:name="_GoBack"/>
      <w:bookmarkEnd w:id="0"/>
      <w:r>
        <w:rPr>
          <w:rFonts w:ascii="Calibri" w:hAnsi="Calibri"/>
          <w:b/>
          <w:sz w:val="52"/>
          <w:szCs w:val="52"/>
        </w:rPr>
        <w:t>Statement of Finances</w:t>
      </w:r>
    </w:p>
    <w:p w:rsidR="002C39A3" w:rsidRPr="007B2462" w:rsidRDefault="002C39A3" w:rsidP="00FB6856">
      <w:pPr>
        <w:jc w:val="center"/>
        <w:rPr>
          <w:rFonts w:ascii="Calibri" w:hAnsi="Calibri"/>
          <w:b/>
          <w:sz w:val="52"/>
          <w:szCs w:val="52"/>
        </w:rPr>
      </w:pPr>
      <w:r w:rsidRPr="007B2462">
        <w:rPr>
          <w:rFonts w:ascii="Calibri" w:hAnsi="Calibri"/>
          <w:b/>
          <w:sz w:val="52"/>
          <w:szCs w:val="52"/>
        </w:rPr>
        <w:t>201</w:t>
      </w:r>
      <w:r>
        <w:rPr>
          <w:rFonts w:ascii="Calibri" w:hAnsi="Calibri"/>
          <w:b/>
          <w:sz w:val="52"/>
          <w:szCs w:val="52"/>
        </w:rPr>
        <w:t>6</w:t>
      </w:r>
      <w:r>
        <w:rPr>
          <w:rFonts w:ascii="Calibri" w:hAnsi="Calibri"/>
          <w:b/>
          <w:sz w:val="52"/>
          <w:szCs w:val="52"/>
        </w:rPr>
        <w:noBreakHyphen/>
        <w:t>17</w:t>
      </w:r>
    </w:p>
    <w:p w:rsidR="002C39A3" w:rsidRDefault="002C39A3" w:rsidP="00FB6856">
      <w:pPr>
        <w:jc w:val="center"/>
        <w:rPr>
          <w:rFonts w:ascii="Calibri" w:hAnsi="Calibri"/>
          <w:sz w:val="30"/>
          <w:szCs w:val="30"/>
        </w:rPr>
      </w:pPr>
    </w:p>
    <w:p w:rsidR="002C39A3" w:rsidRPr="007B2462" w:rsidRDefault="002C39A3" w:rsidP="00FB6856">
      <w:pPr>
        <w:jc w:val="center"/>
        <w:rPr>
          <w:rFonts w:ascii="Calibri" w:hAnsi="Calibri"/>
          <w:sz w:val="30"/>
          <w:szCs w:val="30"/>
        </w:rPr>
      </w:pPr>
    </w:p>
    <w:p w:rsidR="002C39A3" w:rsidRPr="007B2462" w:rsidRDefault="002C39A3" w:rsidP="00FB6856">
      <w:pPr>
        <w:jc w:val="center"/>
      </w:pPr>
      <w:r w:rsidRPr="00D26163">
        <w:rPr>
          <w:rFonts w:ascii="Calibri" w:hAnsi="Calibri" w:cs="Calibri"/>
          <w:noProof/>
          <w:lang w:eastAsia="en-AU"/>
        </w:rPr>
        <w:drawing>
          <wp:inline distT="0" distB="0" distL="0" distR="0" wp14:anchorId="6968B2E5" wp14:editId="70A3FB51">
            <wp:extent cx="940435" cy="1147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0435" cy="1147445"/>
                    </a:xfrm>
                    <a:prstGeom prst="rect">
                      <a:avLst/>
                    </a:prstGeom>
                    <a:noFill/>
                    <a:ln>
                      <a:noFill/>
                    </a:ln>
                  </pic:spPr>
                </pic:pic>
              </a:graphicData>
            </a:graphic>
          </wp:inline>
        </w:drawing>
      </w:r>
    </w:p>
    <w:p w:rsidR="002C39A3" w:rsidRPr="007B2462" w:rsidRDefault="002C39A3" w:rsidP="00FB6856">
      <w:pPr>
        <w:jc w:val="center"/>
        <w:rPr>
          <w:sz w:val="36"/>
          <w:szCs w:val="36"/>
        </w:rPr>
      </w:pPr>
    </w:p>
    <w:p w:rsidR="002C39A3" w:rsidRPr="007B2462" w:rsidRDefault="002C39A3" w:rsidP="00FB6856">
      <w:pPr>
        <w:jc w:val="center"/>
        <w:rPr>
          <w:sz w:val="36"/>
          <w:szCs w:val="36"/>
        </w:rPr>
      </w:pPr>
    </w:p>
    <w:p w:rsidR="002C39A3" w:rsidRPr="007B2462" w:rsidRDefault="002C39A3" w:rsidP="00FB6856">
      <w:pPr>
        <w:jc w:val="center"/>
        <w:rPr>
          <w:sz w:val="36"/>
          <w:szCs w:val="36"/>
        </w:rPr>
      </w:pPr>
    </w:p>
    <w:p w:rsidR="002C39A3" w:rsidRPr="007B2462" w:rsidRDefault="002C39A3" w:rsidP="00FB6856">
      <w:pPr>
        <w:jc w:val="center"/>
        <w:rPr>
          <w:rFonts w:ascii="Calibri" w:hAnsi="Calibri"/>
          <w:sz w:val="28"/>
          <w:szCs w:val="28"/>
        </w:rPr>
      </w:pPr>
      <w:r w:rsidRPr="007B2462">
        <w:rPr>
          <w:rFonts w:ascii="Calibri" w:hAnsi="Calibri"/>
          <w:sz w:val="28"/>
          <w:szCs w:val="28"/>
        </w:rPr>
        <w:t>Presented by</w:t>
      </w:r>
    </w:p>
    <w:p w:rsidR="002C39A3" w:rsidRPr="00D26163" w:rsidRDefault="002C39A3" w:rsidP="00FB6856">
      <w:pPr>
        <w:jc w:val="center"/>
        <w:rPr>
          <w:rFonts w:ascii="Calibri" w:hAnsi="Calibri" w:cs="Calibri"/>
          <w:b/>
          <w:sz w:val="36"/>
          <w:szCs w:val="36"/>
        </w:rPr>
      </w:pPr>
      <w:r w:rsidRPr="00D26163">
        <w:rPr>
          <w:rFonts w:ascii="Calibri" w:hAnsi="Calibri" w:cs="Calibri"/>
          <w:b/>
          <w:sz w:val="36"/>
          <w:szCs w:val="36"/>
        </w:rPr>
        <w:t>Tim Pallas MP</w:t>
      </w:r>
    </w:p>
    <w:p w:rsidR="002C39A3" w:rsidRPr="00D26163" w:rsidRDefault="002C39A3" w:rsidP="00FB6856">
      <w:pPr>
        <w:jc w:val="center"/>
        <w:rPr>
          <w:rFonts w:ascii="Calibri" w:hAnsi="Calibri" w:cs="Calibri"/>
          <w:sz w:val="28"/>
          <w:szCs w:val="28"/>
        </w:rPr>
      </w:pPr>
      <w:r w:rsidRPr="00D26163">
        <w:rPr>
          <w:rFonts w:ascii="Calibri" w:hAnsi="Calibri" w:cs="Calibri"/>
          <w:sz w:val="28"/>
          <w:szCs w:val="28"/>
        </w:rPr>
        <w:t>Treasurer of the State of Victoria</w:t>
      </w:r>
    </w:p>
    <w:p w:rsidR="002C39A3" w:rsidRPr="007B2462" w:rsidRDefault="002C39A3" w:rsidP="00FB6856">
      <w:pPr>
        <w:jc w:val="center"/>
        <w:rPr>
          <w:rFonts w:ascii="Calibri" w:hAnsi="Calibri"/>
          <w:sz w:val="30"/>
          <w:szCs w:val="30"/>
        </w:rPr>
      </w:pPr>
      <w:r w:rsidRPr="007B2462">
        <w:rPr>
          <w:rFonts w:ascii="Calibri" w:hAnsi="Calibri"/>
          <w:sz w:val="30"/>
          <w:szCs w:val="30"/>
        </w:rPr>
        <w:t>for the information of Honourable Members</w:t>
      </w:r>
    </w:p>
    <w:p w:rsidR="002C39A3" w:rsidRPr="007B2462" w:rsidRDefault="002C39A3" w:rsidP="00FB6856">
      <w:pPr>
        <w:jc w:val="center"/>
        <w:rPr>
          <w:rFonts w:ascii="Calibri" w:hAnsi="Calibri"/>
          <w:sz w:val="36"/>
          <w:szCs w:val="36"/>
        </w:rPr>
      </w:pPr>
    </w:p>
    <w:p w:rsidR="002C39A3" w:rsidRPr="007B2462" w:rsidRDefault="002C39A3" w:rsidP="00FB6856">
      <w:pPr>
        <w:jc w:val="center"/>
        <w:rPr>
          <w:rFonts w:ascii="Calibri" w:hAnsi="Calibri"/>
          <w:b/>
          <w:sz w:val="36"/>
          <w:szCs w:val="36"/>
        </w:rPr>
      </w:pPr>
      <w:r>
        <w:rPr>
          <w:rFonts w:ascii="Calibri" w:hAnsi="Calibri"/>
          <w:b/>
          <w:sz w:val="36"/>
          <w:szCs w:val="36"/>
        </w:rPr>
        <w:t>Budget Paper No. 5</w:t>
      </w:r>
    </w:p>
    <w:p w:rsidR="000E20C0" w:rsidRDefault="000E20C0" w:rsidP="000E20C0"/>
    <w:p w:rsidR="000E20C0" w:rsidRDefault="000E20C0" w:rsidP="000E20C0">
      <w:pPr>
        <w:autoSpaceDE w:val="0"/>
        <w:autoSpaceDN w:val="0"/>
        <w:adjustRightInd w:val="0"/>
        <w:spacing w:after="0"/>
        <w:rPr>
          <w:rFonts w:asciiTheme="minorHAnsi" w:hAnsiTheme="minorHAnsi" w:cs="VIC-Light"/>
          <w:sz w:val="14"/>
          <w:szCs w:val="14"/>
          <w:lang w:eastAsia="en-AU"/>
        </w:rPr>
        <w:sectPr w:rsidR="000E20C0" w:rsidSect="00F302FC">
          <w:footerReference w:type="even" r:id="rId9"/>
          <w:footerReference w:type="default" r:id="rId10"/>
          <w:type w:val="oddPage"/>
          <w:pgSz w:w="9979" w:h="14181" w:code="138"/>
          <w:pgMar w:top="1138" w:right="1138" w:bottom="1138" w:left="1138" w:header="720" w:footer="432" w:gutter="0"/>
          <w:cols w:space="708"/>
          <w:docGrid w:linePitch="360"/>
        </w:sectPr>
      </w:pPr>
    </w:p>
    <w:p w:rsidR="000E20C0" w:rsidRPr="002378DF" w:rsidRDefault="000E20C0" w:rsidP="000E20C0">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lastRenderedPageBreak/>
        <w:t>The Secretary</w:t>
      </w:r>
    </w:p>
    <w:p w:rsidR="000E20C0" w:rsidRPr="002378DF" w:rsidRDefault="000E20C0" w:rsidP="000E20C0">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Department of Treasury and Finance</w:t>
      </w:r>
    </w:p>
    <w:p w:rsidR="000E20C0" w:rsidRPr="002378DF" w:rsidRDefault="000E20C0" w:rsidP="000E20C0">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1 Treasury Place</w:t>
      </w:r>
    </w:p>
    <w:p w:rsidR="000E20C0" w:rsidRPr="002378DF" w:rsidRDefault="000E20C0" w:rsidP="000E20C0">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Melbourne, Victoria, 3002</w:t>
      </w:r>
    </w:p>
    <w:p w:rsidR="000E20C0" w:rsidRPr="002378DF" w:rsidRDefault="000E20C0" w:rsidP="000E20C0">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Australia</w:t>
      </w:r>
    </w:p>
    <w:p w:rsidR="000E20C0" w:rsidRPr="002378DF" w:rsidRDefault="000E20C0" w:rsidP="000E20C0">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Tel: +61 3 9651 5111</w:t>
      </w:r>
    </w:p>
    <w:p w:rsidR="000E20C0" w:rsidRPr="002378DF" w:rsidRDefault="000E20C0" w:rsidP="000E20C0">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Fax: +61 3 9651 2062</w:t>
      </w:r>
    </w:p>
    <w:p w:rsidR="000E20C0" w:rsidRDefault="000E20C0" w:rsidP="000E20C0">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Website: budget.vic.gov.au</w:t>
      </w:r>
    </w:p>
    <w:p w:rsidR="000E20C0" w:rsidRPr="002378DF" w:rsidRDefault="000E20C0" w:rsidP="000E20C0">
      <w:pPr>
        <w:autoSpaceDE w:val="0"/>
        <w:autoSpaceDN w:val="0"/>
        <w:adjustRightInd w:val="0"/>
        <w:spacing w:after="0"/>
        <w:rPr>
          <w:rFonts w:asciiTheme="minorHAnsi" w:hAnsiTheme="minorHAnsi" w:cs="VIC-Light"/>
          <w:sz w:val="14"/>
          <w:szCs w:val="14"/>
          <w:lang w:eastAsia="en-AU"/>
        </w:rPr>
      </w:pPr>
    </w:p>
    <w:p w:rsidR="000E20C0" w:rsidRPr="002378DF" w:rsidRDefault="000E20C0" w:rsidP="000E20C0">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Authorised by the Victorian Government</w:t>
      </w:r>
    </w:p>
    <w:p w:rsidR="000E20C0" w:rsidRPr="002378DF" w:rsidRDefault="000E20C0" w:rsidP="000E20C0">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1 Treasury Place, Melbourne, 3002</w:t>
      </w:r>
    </w:p>
    <w:p w:rsidR="000E20C0" w:rsidRDefault="000E20C0" w:rsidP="000E20C0">
      <w:pPr>
        <w:autoSpaceDE w:val="0"/>
        <w:autoSpaceDN w:val="0"/>
        <w:adjustRightInd w:val="0"/>
        <w:spacing w:after="0"/>
        <w:rPr>
          <w:rFonts w:asciiTheme="minorHAnsi" w:hAnsiTheme="minorHAnsi" w:cs="VIC-Light"/>
          <w:sz w:val="14"/>
          <w:szCs w:val="14"/>
          <w:lang w:eastAsia="en-AU"/>
        </w:rPr>
      </w:pPr>
    </w:p>
    <w:p w:rsidR="000E20C0" w:rsidRPr="002378DF" w:rsidRDefault="000E20C0" w:rsidP="000E20C0">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Printed by Doculink, Port Melbourne</w:t>
      </w:r>
    </w:p>
    <w:p w:rsidR="000E20C0" w:rsidRPr="002378DF" w:rsidRDefault="000E20C0" w:rsidP="000E20C0">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Printed on recycled paper</w:t>
      </w:r>
    </w:p>
    <w:p w:rsidR="000E20C0" w:rsidRDefault="000E20C0" w:rsidP="000E20C0">
      <w:pPr>
        <w:autoSpaceDE w:val="0"/>
        <w:autoSpaceDN w:val="0"/>
        <w:adjustRightInd w:val="0"/>
        <w:spacing w:after="0"/>
        <w:rPr>
          <w:rFonts w:asciiTheme="minorHAnsi" w:hAnsiTheme="minorHAnsi" w:cs="VIC-Light"/>
          <w:sz w:val="14"/>
          <w:szCs w:val="14"/>
          <w:lang w:eastAsia="en-AU"/>
        </w:rPr>
      </w:pPr>
    </w:p>
    <w:p w:rsidR="000E20C0" w:rsidRPr="002378DF" w:rsidRDefault="000E20C0" w:rsidP="000E20C0">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This publication makes reference to the</w:t>
      </w:r>
    </w:p>
    <w:p w:rsidR="000E20C0" w:rsidRPr="002378DF" w:rsidRDefault="000E20C0" w:rsidP="000E20C0">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2016-17 Budget paper set which includes:</w:t>
      </w:r>
    </w:p>
    <w:p w:rsidR="000E20C0" w:rsidRPr="002378DF" w:rsidRDefault="000E20C0" w:rsidP="000E20C0">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Budget Paper No. 1 – Treasurer’s Speech</w:t>
      </w:r>
    </w:p>
    <w:p w:rsidR="000E20C0" w:rsidRPr="002378DF" w:rsidRDefault="000E20C0" w:rsidP="000E20C0">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Budget Paper No. 2 – Strategy and Outlook</w:t>
      </w:r>
    </w:p>
    <w:p w:rsidR="000E20C0" w:rsidRPr="002378DF" w:rsidRDefault="000E20C0" w:rsidP="000E20C0">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Budget Paper No. 3 – Service Delivery</w:t>
      </w:r>
    </w:p>
    <w:p w:rsidR="000E20C0" w:rsidRPr="002378DF" w:rsidRDefault="000E20C0" w:rsidP="000E20C0">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Budget Paper No. 4 – State Capital Program</w:t>
      </w:r>
    </w:p>
    <w:p w:rsidR="000E20C0" w:rsidRPr="002378DF" w:rsidRDefault="000E20C0" w:rsidP="000E20C0">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Budget Paper No. 5 – Statement of Finances</w:t>
      </w:r>
    </w:p>
    <w:p w:rsidR="000E20C0" w:rsidRPr="002378DF" w:rsidRDefault="000E20C0" w:rsidP="000E20C0">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(incorporating Quarterly Financial Report No. 3)</w:t>
      </w:r>
    </w:p>
    <w:p w:rsidR="000E20C0" w:rsidRPr="002378DF" w:rsidRDefault="000E20C0" w:rsidP="000E20C0">
      <w:pPr>
        <w:autoSpaceDE w:val="0"/>
        <w:autoSpaceDN w:val="0"/>
        <w:adjustRightInd w:val="0"/>
        <w:spacing w:after="0"/>
        <w:rPr>
          <w:rFonts w:asciiTheme="minorHAnsi" w:hAnsiTheme="minorHAnsi" w:cs="VIC-Light"/>
          <w:sz w:val="14"/>
          <w:szCs w:val="14"/>
          <w:lang w:eastAsia="en-AU"/>
        </w:rPr>
      </w:pPr>
      <w:r>
        <w:rPr>
          <w:rFonts w:asciiTheme="minorHAnsi" w:hAnsiTheme="minorHAnsi" w:cs="VIC-Light"/>
          <w:sz w:val="14"/>
          <w:szCs w:val="14"/>
          <w:lang w:eastAsia="en-AU"/>
        </w:rPr>
        <w:br w:type="column"/>
      </w:r>
      <w:r w:rsidRPr="002378DF">
        <w:rPr>
          <w:rFonts w:asciiTheme="minorHAnsi" w:hAnsiTheme="minorHAnsi" w:cs="VIC-Light"/>
          <w:sz w:val="14"/>
          <w:szCs w:val="14"/>
          <w:lang w:eastAsia="en-AU"/>
        </w:rPr>
        <w:lastRenderedPageBreak/>
        <w:t>© State of Victoria 2016</w:t>
      </w:r>
    </w:p>
    <w:p w:rsidR="000E20C0" w:rsidRDefault="000E20C0" w:rsidP="000E20C0">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(Department of Treasury and Finance)</w:t>
      </w:r>
    </w:p>
    <w:p w:rsidR="000E20C0" w:rsidRPr="002378DF" w:rsidRDefault="000E20C0" w:rsidP="000E20C0">
      <w:pPr>
        <w:autoSpaceDE w:val="0"/>
        <w:autoSpaceDN w:val="0"/>
        <w:adjustRightInd w:val="0"/>
        <w:spacing w:after="0"/>
        <w:rPr>
          <w:rFonts w:asciiTheme="minorHAnsi" w:hAnsiTheme="minorHAnsi" w:cs="VIC-Light"/>
          <w:sz w:val="14"/>
          <w:szCs w:val="14"/>
          <w:lang w:eastAsia="en-AU"/>
        </w:rPr>
      </w:pPr>
    </w:p>
    <w:p w:rsidR="000E20C0" w:rsidRPr="002378DF" w:rsidRDefault="000E20C0" w:rsidP="000E20C0">
      <w:pPr>
        <w:autoSpaceDE w:val="0"/>
        <w:autoSpaceDN w:val="0"/>
        <w:adjustRightInd w:val="0"/>
        <w:spacing w:after="0"/>
        <w:ind w:right="977"/>
        <w:rPr>
          <w:rFonts w:asciiTheme="minorHAnsi" w:hAnsiTheme="minorHAnsi" w:cs="VIC-Light"/>
          <w:sz w:val="14"/>
          <w:szCs w:val="14"/>
          <w:lang w:eastAsia="en-AU"/>
        </w:rPr>
      </w:pPr>
      <w:r w:rsidRPr="002378DF">
        <w:rPr>
          <w:rFonts w:asciiTheme="minorHAnsi" w:hAnsiTheme="minorHAnsi" w:cs="VIC-Light"/>
          <w:sz w:val="14"/>
          <w:szCs w:val="14"/>
          <w:lang w:eastAsia="en-AU"/>
        </w:rPr>
        <w:t>You are free to re-use this work under a</w:t>
      </w:r>
      <w:r>
        <w:rPr>
          <w:rFonts w:asciiTheme="minorHAnsi" w:hAnsiTheme="minorHAnsi" w:cs="VIC-Light"/>
          <w:sz w:val="14"/>
          <w:szCs w:val="14"/>
          <w:lang w:eastAsia="en-AU"/>
        </w:rPr>
        <w:t xml:space="preserve"> </w:t>
      </w:r>
      <w:r w:rsidRPr="002378DF">
        <w:rPr>
          <w:rFonts w:asciiTheme="minorHAnsi" w:hAnsiTheme="minorHAnsi" w:cs="VIC-Light"/>
          <w:sz w:val="14"/>
          <w:szCs w:val="14"/>
          <w:lang w:eastAsia="en-AU"/>
        </w:rPr>
        <w:t>Creative Commons Attribution 4.0 licence,</w:t>
      </w:r>
      <w:r>
        <w:rPr>
          <w:rFonts w:asciiTheme="minorHAnsi" w:hAnsiTheme="minorHAnsi" w:cs="VIC-Light"/>
          <w:sz w:val="14"/>
          <w:szCs w:val="14"/>
          <w:lang w:eastAsia="en-AU"/>
        </w:rPr>
        <w:t xml:space="preserve"> </w:t>
      </w:r>
      <w:r w:rsidRPr="002378DF">
        <w:rPr>
          <w:rFonts w:asciiTheme="minorHAnsi" w:hAnsiTheme="minorHAnsi" w:cs="VIC-Light"/>
          <w:sz w:val="14"/>
          <w:szCs w:val="14"/>
          <w:lang w:eastAsia="en-AU"/>
        </w:rPr>
        <w:t>provided y</w:t>
      </w:r>
      <w:r>
        <w:rPr>
          <w:rFonts w:asciiTheme="minorHAnsi" w:hAnsiTheme="minorHAnsi" w:cs="VIC-Light"/>
          <w:sz w:val="14"/>
          <w:szCs w:val="14"/>
          <w:lang w:eastAsia="en-AU"/>
        </w:rPr>
        <w:t xml:space="preserve">ou credit the State of Victoria </w:t>
      </w:r>
      <w:r w:rsidRPr="002378DF">
        <w:rPr>
          <w:rFonts w:asciiTheme="minorHAnsi" w:hAnsiTheme="minorHAnsi" w:cs="VIC-Light"/>
          <w:sz w:val="14"/>
          <w:szCs w:val="14"/>
          <w:lang w:eastAsia="en-AU"/>
        </w:rPr>
        <w:t>(Depa</w:t>
      </w:r>
      <w:r>
        <w:rPr>
          <w:rFonts w:asciiTheme="minorHAnsi" w:hAnsiTheme="minorHAnsi" w:cs="VIC-Light"/>
          <w:sz w:val="14"/>
          <w:szCs w:val="14"/>
          <w:lang w:eastAsia="en-AU"/>
        </w:rPr>
        <w:t xml:space="preserve">rtment of Treasury and Finance) </w:t>
      </w:r>
      <w:r w:rsidRPr="002378DF">
        <w:rPr>
          <w:rFonts w:asciiTheme="minorHAnsi" w:hAnsiTheme="minorHAnsi" w:cs="VIC-Light"/>
          <w:sz w:val="14"/>
          <w:szCs w:val="14"/>
          <w:lang w:eastAsia="en-AU"/>
        </w:rPr>
        <w:t>as author, indicate if changes were made</w:t>
      </w:r>
      <w:r>
        <w:rPr>
          <w:rFonts w:asciiTheme="minorHAnsi" w:hAnsiTheme="minorHAnsi" w:cs="VIC-Light"/>
          <w:sz w:val="14"/>
          <w:szCs w:val="14"/>
          <w:lang w:eastAsia="en-AU"/>
        </w:rPr>
        <w:t xml:space="preserve"> </w:t>
      </w:r>
      <w:r w:rsidRPr="002378DF">
        <w:rPr>
          <w:rFonts w:asciiTheme="minorHAnsi" w:hAnsiTheme="minorHAnsi" w:cs="VIC-Light"/>
          <w:sz w:val="14"/>
          <w:szCs w:val="14"/>
          <w:lang w:eastAsia="en-AU"/>
        </w:rPr>
        <w:t>and comply with the other licence terms.</w:t>
      </w:r>
    </w:p>
    <w:p w:rsidR="000E20C0" w:rsidRPr="002378DF" w:rsidRDefault="000E20C0" w:rsidP="000E20C0">
      <w:pPr>
        <w:autoSpaceDE w:val="0"/>
        <w:autoSpaceDN w:val="0"/>
        <w:adjustRightInd w:val="0"/>
        <w:spacing w:after="0"/>
        <w:ind w:right="977"/>
        <w:rPr>
          <w:rFonts w:asciiTheme="minorHAnsi" w:hAnsiTheme="minorHAnsi" w:cs="VIC-Light"/>
          <w:sz w:val="14"/>
          <w:szCs w:val="14"/>
          <w:lang w:eastAsia="en-AU"/>
        </w:rPr>
      </w:pPr>
      <w:r w:rsidRPr="002378DF">
        <w:rPr>
          <w:rFonts w:asciiTheme="minorHAnsi" w:hAnsiTheme="minorHAnsi" w:cs="VIC-Light"/>
          <w:sz w:val="14"/>
          <w:szCs w:val="14"/>
          <w:lang w:eastAsia="en-AU"/>
        </w:rPr>
        <w:t>The licence does not apply to any branding,</w:t>
      </w:r>
      <w:r>
        <w:rPr>
          <w:rFonts w:asciiTheme="minorHAnsi" w:hAnsiTheme="minorHAnsi" w:cs="VIC-Light"/>
          <w:sz w:val="14"/>
          <w:szCs w:val="14"/>
          <w:lang w:eastAsia="en-AU"/>
        </w:rPr>
        <w:t xml:space="preserve"> </w:t>
      </w:r>
      <w:r w:rsidRPr="002378DF">
        <w:rPr>
          <w:rFonts w:asciiTheme="minorHAnsi" w:hAnsiTheme="minorHAnsi" w:cs="VIC-Light"/>
          <w:sz w:val="14"/>
          <w:szCs w:val="14"/>
          <w:lang w:eastAsia="en-AU"/>
        </w:rPr>
        <w:t>including Government logos.</w:t>
      </w:r>
    </w:p>
    <w:p w:rsidR="000E20C0" w:rsidRDefault="000E20C0" w:rsidP="000E20C0">
      <w:pPr>
        <w:autoSpaceDE w:val="0"/>
        <w:autoSpaceDN w:val="0"/>
        <w:adjustRightInd w:val="0"/>
        <w:spacing w:after="0"/>
        <w:ind w:right="977"/>
        <w:rPr>
          <w:rFonts w:asciiTheme="minorHAnsi" w:hAnsiTheme="minorHAnsi" w:cs="VIC-Light"/>
          <w:sz w:val="14"/>
          <w:szCs w:val="14"/>
          <w:lang w:eastAsia="en-AU"/>
        </w:rPr>
      </w:pPr>
      <w:r w:rsidRPr="002378DF">
        <w:rPr>
          <w:rFonts w:asciiTheme="minorHAnsi" w:hAnsiTheme="minorHAnsi" w:cs="VIC-Light"/>
          <w:sz w:val="14"/>
          <w:szCs w:val="14"/>
          <w:lang w:eastAsia="en-AU"/>
        </w:rPr>
        <w:t>Copyright queries may be directed to</w:t>
      </w:r>
      <w:r>
        <w:rPr>
          <w:rFonts w:asciiTheme="minorHAnsi" w:hAnsiTheme="minorHAnsi" w:cs="VIC-Light"/>
          <w:sz w:val="14"/>
          <w:szCs w:val="14"/>
          <w:lang w:eastAsia="en-AU"/>
        </w:rPr>
        <w:t xml:space="preserve"> </w:t>
      </w:r>
      <w:r w:rsidRPr="002378DF">
        <w:rPr>
          <w:rFonts w:asciiTheme="minorHAnsi" w:hAnsiTheme="minorHAnsi" w:cs="VIC-Light"/>
          <w:sz w:val="14"/>
          <w:szCs w:val="14"/>
          <w:lang w:eastAsia="en-AU"/>
        </w:rPr>
        <w:t>IPpolicy@dtf.vic.gov.au.</w:t>
      </w:r>
    </w:p>
    <w:p w:rsidR="000E20C0" w:rsidRPr="002378DF" w:rsidRDefault="000E20C0" w:rsidP="000E20C0">
      <w:pPr>
        <w:autoSpaceDE w:val="0"/>
        <w:autoSpaceDN w:val="0"/>
        <w:adjustRightInd w:val="0"/>
        <w:spacing w:after="0"/>
        <w:ind w:right="977"/>
        <w:rPr>
          <w:rFonts w:asciiTheme="minorHAnsi" w:hAnsiTheme="minorHAnsi" w:cs="VIC-Light"/>
          <w:sz w:val="14"/>
          <w:szCs w:val="14"/>
          <w:lang w:eastAsia="en-AU"/>
        </w:rPr>
      </w:pPr>
    </w:p>
    <w:p w:rsidR="000E20C0" w:rsidRDefault="000E20C0" w:rsidP="000E20C0">
      <w:pPr>
        <w:autoSpaceDE w:val="0"/>
        <w:autoSpaceDN w:val="0"/>
        <w:adjustRightInd w:val="0"/>
        <w:spacing w:after="0"/>
        <w:rPr>
          <w:rFonts w:asciiTheme="minorHAnsi" w:hAnsiTheme="minorHAnsi" w:cs="VIC-Light"/>
          <w:sz w:val="14"/>
          <w:szCs w:val="14"/>
          <w:lang w:eastAsia="en-AU"/>
        </w:rPr>
      </w:pPr>
      <w:r>
        <w:rPr>
          <w:noProof/>
          <w:lang w:eastAsia="en-AU"/>
        </w:rPr>
        <w:drawing>
          <wp:inline distT="0" distB="0" distL="0" distR="0" wp14:anchorId="1F470F59" wp14:editId="04249730">
            <wp:extent cx="812800" cy="285287"/>
            <wp:effectExtent l="0" t="0" r="6350" b="635"/>
            <wp:docPr id="4" name="Picture 4"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rors.creativecommons.org/presskit/buttons/88x31/png/b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3668" cy="285592"/>
                    </a:xfrm>
                    <a:prstGeom prst="rect">
                      <a:avLst/>
                    </a:prstGeom>
                    <a:noFill/>
                    <a:ln>
                      <a:noFill/>
                    </a:ln>
                  </pic:spPr>
                </pic:pic>
              </a:graphicData>
            </a:graphic>
          </wp:inline>
        </w:drawing>
      </w:r>
    </w:p>
    <w:p w:rsidR="000E20C0" w:rsidRDefault="000E20C0" w:rsidP="000E20C0">
      <w:pPr>
        <w:autoSpaceDE w:val="0"/>
        <w:autoSpaceDN w:val="0"/>
        <w:adjustRightInd w:val="0"/>
        <w:spacing w:after="0"/>
        <w:rPr>
          <w:rFonts w:asciiTheme="minorHAnsi" w:hAnsiTheme="minorHAnsi" w:cs="VIC-Light"/>
          <w:sz w:val="14"/>
          <w:szCs w:val="14"/>
          <w:lang w:eastAsia="en-AU"/>
        </w:rPr>
      </w:pPr>
    </w:p>
    <w:p w:rsidR="000E20C0" w:rsidRPr="002378DF" w:rsidRDefault="000E20C0" w:rsidP="000E20C0">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ISSN 2204-9185 (print)</w:t>
      </w:r>
    </w:p>
    <w:p w:rsidR="000E20C0" w:rsidRDefault="000E20C0" w:rsidP="000E20C0">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ISSN 2204-9177 (online)</w:t>
      </w:r>
    </w:p>
    <w:p w:rsidR="000E20C0" w:rsidRDefault="000E20C0" w:rsidP="000E20C0">
      <w:pPr>
        <w:rPr>
          <w:rFonts w:ascii="Calibri" w:hAnsi="Calibri" w:cs="VIC-Light"/>
          <w:sz w:val="14"/>
          <w:szCs w:val="14"/>
          <w:lang w:eastAsia="en-AU"/>
        </w:rPr>
      </w:pPr>
      <w:r w:rsidRPr="002378DF">
        <w:rPr>
          <w:rFonts w:ascii="Calibri" w:hAnsi="Calibri" w:cs="VIC-Light"/>
          <w:sz w:val="14"/>
          <w:szCs w:val="14"/>
          <w:lang w:eastAsia="en-AU"/>
        </w:rPr>
        <w:t>Published April 2016</w:t>
      </w:r>
    </w:p>
    <w:p w:rsidR="002C39A3" w:rsidRPr="007B2462" w:rsidRDefault="002C39A3" w:rsidP="00FB6856">
      <w:pPr>
        <w:spacing w:after="0"/>
      </w:pPr>
    </w:p>
    <w:p w:rsidR="002C39A3" w:rsidRDefault="002C39A3" w:rsidP="00273B20">
      <w:pPr>
        <w:rPr>
          <w:rFonts w:eastAsiaTheme="minorHAnsi"/>
        </w:rPr>
        <w:sectPr w:rsidR="002C39A3" w:rsidSect="000E20C0">
          <w:pgSz w:w="9979" w:h="14181" w:code="138"/>
          <w:pgMar w:top="1138" w:right="1138" w:bottom="1138" w:left="1138" w:header="720" w:footer="432" w:gutter="0"/>
          <w:cols w:num="2" w:space="708"/>
          <w:vAlign w:val="bottom"/>
          <w:docGrid w:linePitch="360"/>
        </w:sectPr>
      </w:pPr>
    </w:p>
    <w:p w:rsidR="002C39A3" w:rsidRPr="007B2462" w:rsidRDefault="002C39A3" w:rsidP="00FB6856">
      <w:pPr>
        <w:pStyle w:val="TableofContentsheading"/>
      </w:pPr>
      <w:r w:rsidRPr="007B2462">
        <w:lastRenderedPageBreak/>
        <w:t>Table of contents</w:t>
      </w:r>
    </w:p>
    <w:p w:rsidR="0084474F" w:rsidRDefault="002C39A3">
      <w:pPr>
        <w:pStyle w:val="TOC1"/>
        <w:rPr>
          <w:rFonts w:asciiTheme="minorHAnsi" w:eastAsiaTheme="minorEastAsia" w:hAnsiTheme="minorHAnsi" w:cstheme="minorBidi"/>
          <w:b w:val="0"/>
          <w:noProof/>
          <w:sz w:val="22"/>
          <w:szCs w:val="22"/>
          <w:lang w:eastAsia="en-AU"/>
        </w:rPr>
      </w:pPr>
      <w:r w:rsidRPr="007B2462">
        <w:fldChar w:fldCharType="begin"/>
      </w:r>
      <w:r w:rsidRPr="007B2462">
        <w:instrText xml:space="preserve"> TOC \h \z \t "Heading 1,2,Chapter Heading,1" </w:instrText>
      </w:r>
      <w:r w:rsidRPr="007B2462">
        <w:fldChar w:fldCharType="separate"/>
      </w:r>
      <w:hyperlink w:anchor="_Toc449116187" w:history="1">
        <w:r w:rsidR="0084474F" w:rsidRPr="00485065">
          <w:rPr>
            <w:rStyle w:val="Hyperlink"/>
            <w:noProof/>
          </w:rPr>
          <w:t>Chapter 1 – Estimated Financial Statements for the general government sector</w:t>
        </w:r>
        <w:r w:rsidR="0084474F">
          <w:rPr>
            <w:noProof/>
            <w:webHidden/>
          </w:rPr>
          <w:tab/>
        </w:r>
        <w:r w:rsidR="0084474F">
          <w:rPr>
            <w:noProof/>
            <w:webHidden/>
          </w:rPr>
          <w:fldChar w:fldCharType="begin"/>
        </w:r>
        <w:r w:rsidR="0084474F">
          <w:rPr>
            <w:noProof/>
            <w:webHidden/>
          </w:rPr>
          <w:instrText xml:space="preserve"> PAGEREF _Toc449116187 \h </w:instrText>
        </w:r>
        <w:r w:rsidR="0084474F">
          <w:rPr>
            <w:noProof/>
            <w:webHidden/>
          </w:rPr>
        </w:r>
        <w:r w:rsidR="0084474F">
          <w:rPr>
            <w:noProof/>
            <w:webHidden/>
          </w:rPr>
          <w:fldChar w:fldCharType="separate"/>
        </w:r>
        <w:r w:rsidR="0084474F">
          <w:rPr>
            <w:noProof/>
            <w:webHidden/>
          </w:rPr>
          <w:t>1</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188" w:history="1">
        <w:r w:rsidR="0084474F" w:rsidRPr="00485065">
          <w:rPr>
            <w:rStyle w:val="Hyperlink"/>
            <w:noProof/>
          </w:rPr>
          <w:t>Auditor</w:t>
        </w:r>
        <w:r w:rsidR="0084474F" w:rsidRPr="00485065">
          <w:rPr>
            <w:rStyle w:val="Hyperlink"/>
            <w:noProof/>
          </w:rPr>
          <w:noBreakHyphen/>
          <w:t>General’s report</w:t>
        </w:r>
        <w:r w:rsidR="0084474F">
          <w:rPr>
            <w:noProof/>
            <w:webHidden/>
          </w:rPr>
          <w:tab/>
        </w:r>
        <w:r w:rsidR="0084474F">
          <w:rPr>
            <w:noProof/>
            <w:webHidden/>
          </w:rPr>
          <w:fldChar w:fldCharType="begin"/>
        </w:r>
        <w:r w:rsidR="0084474F">
          <w:rPr>
            <w:noProof/>
            <w:webHidden/>
          </w:rPr>
          <w:instrText xml:space="preserve"> PAGEREF _Toc449116188 \h </w:instrText>
        </w:r>
        <w:r w:rsidR="0084474F">
          <w:rPr>
            <w:noProof/>
            <w:webHidden/>
          </w:rPr>
        </w:r>
        <w:r w:rsidR="0084474F">
          <w:rPr>
            <w:noProof/>
            <w:webHidden/>
          </w:rPr>
          <w:fldChar w:fldCharType="separate"/>
        </w:r>
        <w:r w:rsidR="0084474F">
          <w:rPr>
            <w:noProof/>
            <w:webHidden/>
          </w:rPr>
          <w:t>2</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189" w:history="1">
        <w:r w:rsidR="0084474F" w:rsidRPr="00485065">
          <w:rPr>
            <w:rStyle w:val="Hyperlink"/>
            <w:noProof/>
          </w:rPr>
          <w:t>Certification by the Treasurer and the Department of Treasury and Finance</w:t>
        </w:r>
        <w:r w:rsidR="0084474F">
          <w:rPr>
            <w:noProof/>
            <w:webHidden/>
          </w:rPr>
          <w:tab/>
        </w:r>
        <w:r w:rsidR="0084474F">
          <w:rPr>
            <w:noProof/>
            <w:webHidden/>
          </w:rPr>
          <w:fldChar w:fldCharType="begin"/>
        </w:r>
        <w:r w:rsidR="0084474F">
          <w:rPr>
            <w:noProof/>
            <w:webHidden/>
          </w:rPr>
          <w:instrText xml:space="preserve"> PAGEREF _Toc449116189 \h </w:instrText>
        </w:r>
        <w:r w:rsidR="0084474F">
          <w:rPr>
            <w:noProof/>
            <w:webHidden/>
          </w:rPr>
        </w:r>
        <w:r w:rsidR="0084474F">
          <w:rPr>
            <w:noProof/>
            <w:webHidden/>
          </w:rPr>
          <w:fldChar w:fldCharType="separate"/>
        </w:r>
        <w:r w:rsidR="0084474F">
          <w:rPr>
            <w:noProof/>
            <w:webHidden/>
          </w:rPr>
          <w:t>5</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190" w:history="1">
        <w:r w:rsidR="0084474F" w:rsidRPr="00485065">
          <w:rPr>
            <w:rStyle w:val="Hyperlink"/>
            <w:noProof/>
          </w:rPr>
          <w:t>Estimated Financial Statements</w:t>
        </w:r>
        <w:r w:rsidR="0084474F">
          <w:rPr>
            <w:noProof/>
            <w:webHidden/>
          </w:rPr>
          <w:tab/>
        </w:r>
        <w:r w:rsidR="0084474F">
          <w:rPr>
            <w:noProof/>
            <w:webHidden/>
          </w:rPr>
          <w:fldChar w:fldCharType="begin"/>
        </w:r>
        <w:r w:rsidR="0084474F">
          <w:rPr>
            <w:noProof/>
            <w:webHidden/>
          </w:rPr>
          <w:instrText xml:space="preserve"> PAGEREF _Toc449116190 \h </w:instrText>
        </w:r>
        <w:r w:rsidR="0084474F">
          <w:rPr>
            <w:noProof/>
            <w:webHidden/>
          </w:rPr>
        </w:r>
        <w:r w:rsidR="0084474F">
          <w:rPr>
            <w:noProof/>
            <w:webHidden/>
          </w:rPr>
          <w:fldChar w:fldCharType="separate"/>
        </w:r>
        <w:r w:rsidR="0084474F">
          <w:rPr>
            <w:noProof/>
            <w:webHidden/>
          </w:rPr>
          <w:t>6</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191" w:history="1">
        <w:r w:rsidR="0084474F" w:rsidRPr="00485065">
          <w:rPr>
            <w:rStyle w:val="Hyperlink"/>
            <w:noProof/>
          </w:rPr>
          <w:t>Notes to the Estimated Financial Statements</w:t>
        </w:r>
        <w:r w:rsidR="0084474F">
          <w:rPr>
            <w:noProof/>
            <w:webHidden/>
          </w:rPr>
          <w:tab/>
        </w:r>
        <w:r w:rsidR="0084474F">
          <w:rPr>
            <w:noProof/>
            <w:webHidden/>
          </w:rPr>
          <w:fldChar w:fldCharType="begin"/>
        </w:r>
        <w:r w:rsidR="0084474F">
          <w:rPr>
            <w:noProof/>
            <w:webHidden/>
          </w:rPr>
          <w:instrText xml:space="preserve"> PAGEREF _Toc449116191 \h </w:instrText>
        </w:r>
        <w:r w:rsidR="0084474F">
          <w:rPr>
            <w:noProof/>
            <w:webHidden/>
          </w:rPr>
        </w:r>
        <w:r w:rsidR="0084474F">
          <w:rPr>
            <w:noProof/>
            <w:webHidden/>
          </w:rPr>
          <w:fldChar w:fldCharType="separate"/>
        </w:r>
        <w:r w:rsidR="0084474F">
          <w:rPr>
            <w:noProof/>
            <w:webHidden/>
          </w:rPr>
          <w:t>12</w:t>
        </w:r>
        <w:r w:rsidR="0084474F">
          <w:rPr>
            <w:noProof/>
            <w:webHidden/>
          </w:rPr>
          <w:fldChar w:fldCharType="end"/>
        </w:r>
      </w:hyperlink>
    </w:p>
    <w:p w:rsidR="0084474F" w:rsidRDefault="00A854D5">
      <w:pPr>
        <w:pStyle w:val="TOC1"/>
        <w:rPr>
          <w:rFonts w:asciiTheme="minorHAnsi" w:eastAsiaTheme="minorEastAsia" w:hAnsiTheme="minorHAnsi" w:cstheme="minorBidi"/>
          <w:b w:val="0"/>
          <w:noProof/>
          <w:sz w:val="22"/>
          <w:szCs w:val="22"/>
          <w:lang w:eastAsia="en-AU"/>
        </w:rPr>
      </w:pPr>
      <w:hyperlink w:anchor="_Toc449116192" w:history="1">
        <w:r w:rsidR="0084474F" w:rsidRPr="00485065">
          <w:rPr>
            <w:rStyle w:val="Hyperlink"/>
            <w:noProof/>
          </w:rPr>
          <w:t>Chapter 2 – Supplementary uniform presentation framework tables</w:t>
        </w:r>
        <w:r w:rsidR="0084474F">
          <w:rPr>
            <w:noProof/>
            <w:webHidden/>
          </w:rPr>
          <w:tab/>
        </w:r>
        <w:r w:rsidR="0084474F">
          <w:rPr>
            <w:noProof/>
            <w:webHidden/>
          </w:rPr>
          <w:fldChar w:fldCharType="begin"/>
        </w:r>
        <w:r w:rsidR="0084474F">
          <w:rPr>
            <w:noProof/>
            <w:webHidden/>
          </w:rPr>
          <w:instrText xml:space="preserve"> PAGEREF _Toc449116192 \h </w:instrText>
        </w:r>
        <w:r w:rsidR="0084474F">
          <w:rPr>
            <w:noProof/>
            <w:webHidden/>
          </w:rPr>
        </w:r>
        <w:r w:rsidR="0084474F">
          <w:rPr>
            <w:noProof/>
            <w:webHidden/>
          </w:rPr>
          <w:fldChar w:fldCharType="separate"/>
        </w:r>
        <w:r w:rsidR="0084474F">
          <w:rPr>
            <w:noProof/>
            <w:webHidden/>
          </w:rPr>
          <w:t>43</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193" w:history="1">
        <w:r w:rsidR="0084474F" w:rsidRPr="00485065">
          <w:rPr>
            <w:rStyle w:val="Hyperlink"/>
            <w:noProof/>
          </w:rPr>
          <w:t>Victoria’s Loan Council Allocation</w:t>
        </w:r>
        <w:r w:rsidR="0084474F">
          <w:rPr>
            <w:noProof/>
            <w:webHidden/>
          </w:rPr>
          <w:tab/>
        </w:r>
        <w:r w:rsidR="0084474F">
          <w:rPr>
            <w:noProof/>
            <w:webHidden/>
          </w:rPr>
          <w:fldChar w:fldCharType="begin"/>
        </w:r>
        <w:r w:rsidR="0084474F">
          <w:rPr>
            <w:noProof/>
            <w:webHidden/>
          </w:rPr>
          <w:instrText xml:space="preserve"> PAGEREF _Toc449116193 \h </w:instrText>
        </w:r>
        <w:r w:rsidR="0084474F">
          <w:rPr>
            <w:noProof/>
            <w:webHidden/>
          </w:rPr>
        </w:r>
        <w:r w:rsidR="0084474F">
          <w:rPr>
            <w:noProof/>
            <w:webHidden/>
          </w:rPr>
          <w:fldChar w:fldCharType="separate"/>
        </w:r>
        <w:r w:rsidR="0084474F">
          <w:rPr>
            <w:noProof/>
            <w:webHidden/>
          </w:rPr>
          <w:t>71</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194" w:history="1">
        <w:r w:rsidR="0084474F" w:rsidRPr="00485065">
          <w:rPr>
            <w:rStyle w:val="Hyperlink"/>
            <w:noProof/>
          </w:rPr>
          <w:t>New infrastructure projects with private sector involvement</w:t>
        </w:r>
        <w:r w:rsidR="0084474F">
          <w:rPr>
            <w:noProof/>
            <w:webHidden/>
          </w:rPr>
          <w:tab/>
        </w:r>
        <w:r w:rsidR="0084474F">
          <w:rPr>
            <w:noProof/>
            <w:webHidden/>
          </w:rPr>
          <w:fldChar w:fldCharType="begin"/>
        </w:r>
        <w:r w:rsidR="0084474F">
          <w:rPr>
            <w:noProof/>
            <w:webHidden/>
          </w:rPr>
          <w:instrText xml:space="preserve"> PAGEREF _Toc449116194 \h </w:instrText>
        </w:r>
        <w:r w:rsidR="0084474F">
          <w:rPr>
            <w:noProof/>
            <w:webHidden/>
          </w:rPr>
        </w:r>
        <w:r w:rsidR="0084474F">
          <w:rPr>
            <w:noProof/>
            <w:webHidden/>
          </w:rPr>
          <w:fldChar w:fldCharType="separate"/>
        </w:r>
        <w:r w:rsidR="0084474F">
          <w:rPr>
            <w:noProof/>
            <w:webHidden/>
          </w:rPr>
          <w:t>72</w:t>
        </w:r>
        <w:r w:rsidR="0084474F">
          <w:rPr>
            <w:noProof/>
            <w:webHidden/>
          </w:rPr>
          <w:fldChar w:fldCharType="end"/>
        </w:r>
      </w:hyperlink>
    </w:p>
    <w:p w:rsidR="0084474F" w:rsidRDefault="00A854D5">
      <w:pPr>
        <w:pStyle w:val="TOC1"/>
        <w:rPr>
          <w:rFonts w:asciiTheme="minorHAnsi" w:eastAsiaTheme="minorEastAsia" w:hAnsiTheme="minorHAnsi" w:cstheme="minorBidi"/>
          <w:b w:val="0"/>
          <w:noProof/>
          <w:sz w:val="22"/>
          <w:szCs w:val="22"/>
          <w:lang w:eastAsia="en-AU"/>
        </w:rPr>
      </w:pPr>
      <w:hyperlink w:anchor="_Toc449116195" w:history="1">
        <w:r w:rsidR="0084474F" w:rsidRPr="00485065">
          <w:rPr>
            <w:rStyle w:val="Hyperlink"/>
            <w:rFonts w:eastAsiaTheme="minorHAnsi"/>
            <w:noProof/>
          </w:rPr>
          <w:t>Chapter 3 – Departmental financial statements</w:t>
        </w:r>
        <w:r w:rsidR="0084474F">
          <w:rPr>
            <w:noProof/>
            <w:webHidden/>
          </w:rPr>
          <w:tab/>
        </w:r>
        <w:r w:rsidR="0084474F">
          <w:rPr>
            <w:noProof/>
            <w:webHidden/>
          </w:rPr>
          <w:fldChar w:fldCharType="begin"/>
        </w:r>
        <w:r w:rsidR="0084474F">
          <w:rPr>
            <w:noProof/>
            <w:webHidden/>
          </w:rPr>
          <w:instrText xml:space="preserve"> PAGEREF _Toc449116195 \h </w:instrText>
        </w:r>
        <w:r w:rsidR="0084474F">
          <w:rPr>
            <w:noProof/>
            <w:webHidden/>
          </w:rPr>
        </w:r>
        <w:r w:rsidR="0084474F">
          <w:rPr>
            <w:noProof/>
            <w:webHidden/>
          </w:rPr>
          <w:fldChar w:fldCharType="separate"/>
        </w:r>
        <w:r w:rsidR="0084474F">
          <w:rPr>
            <w:noProof/>
            <w:webHidden/>
          </w:rPr>
          <w:t>75</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196" w:history="1">
        <w:r w:rsidR="0084474F" w:rsidRPr="00485065">
          <w:rPr>
            <w:rStyle w:val="Hyperlink"/>
            <w:rFonts w:eastAsiaTheme="minorHAnsi"/>
            <w:noProof/>
          </w:rPr>
          <w:t>Department of Economic Development, Jobs, Transport and Resources</w:t>
        </w:r>
        <w:r w:rsidR="0084474F">
          <w:rPr>
            <w:noProof/>
            <w:webHidden/>
          </w:rPr>
          <w:tab/>
        </w:r>
        <w:r w:rsidR="0084474F">
          <w:rPr>
            <w:noProof/>
            <w:webHidden/>
          </w:rPr>
          <w:fldChar w:fldCharType="begin"/>
        </w:r>
        <w:r w:rsidR="0084474F">
          <w:rPr>
            <w:noProof/>
            <w:webHidden/>
          </w:rPr>
          <w:instrText xml:space="preserve"> PAGEREF _Toc449116196 \h </w:instrText>
        </w:r>
        <w:r w:rsidR="0084474F">
          <w:rPr>
            <w:noProof/>
            <w:webHidden/>
          </w:rPr>
        </w:r>
        <w:r w:rsidR="0084474F">
          <w:rPr>
            <w:noProof/>
            <w:webHidden/>
          </w:rPr>
          <w:fldChar w:fldCharType="separate"/>
        </w:r>
        <w:r w:rsidR="0084474F">
          <w:rPr>
            <w:noProof/>
            <w:webHidden/>
          </w:rPr>
          <w:t>77</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197" w:history="1">
        <w:r w:rsidR="0084474F" w:rsidRPr="00485065">
          <w:rPr>
            <w:rStyle w:val="Hyperlink"/>
            <w:rFonts w:eastAsiaTheme="minorHAnsi"/>
            <w:noProof/>
          </w:rPr>
          <w:t>Department of Education and Training</w:t>
        </w:r>
        <w:r w:rsidR="0084474F">
          <w:rPr>
            <w:noProof/>
            <w:webHidden/>
          </w:rPr>
          <w:tab/>
        </w:r>
        <w:r w:rsidR="0084474F">
          <w:rPr>
            <w:noProof/>
            <w:webHidden/>
          </w:rPr>
          <w:fldChar w:fldCharType="begin"/>
        </w:r>
        <w:r w:rsidR="0084474F">
          <w:rPr>
            <w:noProof/>
            <w:webHidden/>
          </w:rPr>
          <w:instrText xml:space="preserve"> PAGEREF _Toc449116197 \h </w:instrText>
        </w:r>
        <w:r w:rsidR="0084474F">
          <w:rPr>
            <w:noProof/>
            <w:webHidden/>
          </w:rPr>
        </w:r>
        <w:r w:rsidR="0084474F">
          <w:rPr>
            <w:noProof/>
            <w:webHidden/>
          </w:rPr>
          <w:fldChar w:fldCharType="separate"/>
        </w:r>
        <w:r w:rsidR="0084474F">
          <w:rPr>
            <w:noProof/>
            <w:webHidden/>
          </w:rPr>
          <w:t>85</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198" w:history="1">
        <w:r w:rsidR="0084474F" w:rsidRPr="00485065">
          <w:rPr>
            <w:rStyle w:val="Hyperlink"/>
            <w:rFonts w:eastAsiaTheme="minorHAnsi"/>
            <w:noProof/>
          </w:rPr>
          <w:t>Department of Environment, Land, Water and Planning</w:t>
        </w:r>
        <w:r w:rsidR="0084474F">
          <w:rPr>
            <w:noProof/>
            <w:webHidden/>
          </w:rPr>
          <w:tab/>
        </w:r>
        <w:r w:rsidR="0084474F">
          <w:rPr>
            <w:noProof/>
            <w:webHidden/>
          </w:rPr>
          <w:fldChar w:fldCharType="begin"/>
        </w:r>
        <w:r w:rsidR="0084474F">
          <w:rPr>
            <w:noProof/>
            <w:webHidden/>
          </w:rPr>
          <w:instrText xml:space="preserve"> PAGEREF _Toc449116198 \h </w:instrText>
        </w:r>
        <w:r w:rsidR="0084474F">
          <w:rPr>
            <w:noProof/>
            <w:webHidden/>
          </w:rPr>
        </w:r>
        <w:r w:rsidR="0084474F">
          <w:rPr>
            <w:noProof/>
            <w:webHidden/>
          </w:rPr>
          <w:fldChar w:fldCharType="separate"/>
        </w:r>
        <w:r w:rsidR="0084474F">
          <w:rPr>
            <w:noProof/>
            <w:webHidden/>
          </w:rPr>
          <w:t>92</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199" w:history="1">
        <w:r w:rsidR="0084474F" w:rsidRPr="00485065">
          <w:rPr>
            <w:rStyle w:val="Hyperlink"/>
            <w:rFonts w:eastAsiaTheme="minorHAnsi"/>
            <w:noProof/>
          </w:rPr>
          <w:t>Department of Health and Human Services</w:t>
        </w:r>
        <w:r w:rsidR="0084474F">
          <w:rPr>
            <w:noProof/>
            <w:webHidden/>
          </w:rPr>
          <w:tab/>
        </w:r>
        <w:r w:rsidR="0084474F">
          <w:rPr>
            <w:noProof/>
            <w:webHidden/>
          </w:rPr>
          <w:fldChar w:fldCharType="begin"/>
        </w:r>
        <w:r w:rsidR="0084474F">
          <w:rPr>
            <w:noProof/>
            <w:webHidden/>
          </w:rPr>
          <w:instrText xml:space="preserve"> PAGEREF _Toc449116199 \h </w:instrText>
        </w:r>
        <w:r w:rsidR="0084474F">
          <w:rPr>
            <w:noProof/>
            <w:webHidden/>
          </w:rPr>
        </w:r>
        <w:r w:rsidR="0084474F">
          <w:rPr>
            <w:noProof/>
            <w:webHidden/>
          </w:rPr>
          <w:fldChar w:fldCharType="separate"/>
        </w:r>
        <w:r w:rsidR="0084474F">
          <w:rPr>
            <w:noProof/>
            <w:webHidden/>
          </w:rPr>
          <w:t>100</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200" w:history="1">
        <w:r w:rsidR="0084474F" w:rsidRPr="00485065">
          <w:rPr>
            <w:rStyle w:val="Hyperlink"/>
            <w:rFonts w:eastAsiaTheme="minorHAnsi"/>
            <w:noProof/>
          </w:rPr>
          <w:t>Department of Justice and Regulation</w:t>
        </w:r>
        <w:r w:rsidR="0084474F">
          <w:rPr>
            <w:noProof/>
            <w:webHidden/>
          </w:rPr>
          <w:tab/>
        </w:r>
        <w:r w:rsidR="0084474F">
          <w:rPr>
            <w:noProof/>
            <w:webHidden/>
          </w:rPr>
          <w:fldChar w:fldCharType="begin"/>
        </w:r>
        <w:r w:rsidR="0084474F">
          <w:rPr>
            <w:noProof/>
            <w:webHidden/>
          </w:rPr>
          <w:instrText xml:space="preserve"> PAGEREF _Toc449116200 \h </w:instrText>
        </w:r>
        <w:r w:rsidR="0084474F">
          <w:rPr>
            <w:noProof/>
            <w:webHidden/>
          </w:rPr>
        </w:r>
        <w:r w:rsidR="0084474F">
          <w:rPr>
            <w:noProof/>
            <w:webHidden/>
          </w:rPr>
          <w:fldChar w:fldCharType="separate"/>
        </w:r>
        <w:r w:rsidR="0084474F">
          <w:rPr>
            <w:noProof/>
            <w:webHidden/>
          </w:rPr>
          <w:t>107</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201" w:history="1">
        <w:r w:rsidR="0084474F" w:rsidRPr="00485065">
          <w:rPr>
            <w:rStyle w:val="Hyperlink"/>
            <w:rFonts w:eastAsiaTheme="minorHAnsi"/>
            <w:noProof/>
          </w:rPr>
          <w:t>Department of Premier and Cabinet</w:t>
        </w:r>
        <w:r w:rsidR="0084474F">
          <w:rPr>
            <w:noProof/>
            <w:webHidden/>
          </w:rPr>
          <w:tab/>
        </w:r>
        <w:r w:rsidR="0084474F">
          <w:rPr>
            <w:noProof/>
            <w:webHidden/>
          </w:rPr>
          <w:fldChar w:fldCharType="begin"/>
        </w:r>
        <w:r w:rsidR="0084474F">
          <w:rPr>
            <w:noProof/>
            <w:webHidden/>
          </w:rPr>
          <w:instrText xml:space="preserve"> PAGEREF _Toc449116201 \h </w:instrText>
        </w:r>
        <w:r w:rsidR="0084474F">
          <w:rPr>
            <w:noProof/>
            <w:webHidden/>
          </w:rPr>
        </w:r>
        <w:r w:rsidR="0084474F">
          <w:rPr>
            <w:noProof/>
            <w:webHidden/>
          </w:rPr>
          <w:fldChar w:fldCharType="separate"/>
        </w:r>
        <w:r w:rsidR="0084474F">
          <w:rPr>
            <w:noProof/>
            <w:webHidden/>
          </w:rPr>
          <w:t>115</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202" w:history="1">
        <w:r w:rsidR="0084474F" w:rsidRPr="00485065">
          <w:rPr>
            <w:rStyle w:val="Hyperlink"/>
            <w:rFonts w:eastAsiaTheme="minorHAnsi"/>
            <w:noProof/>
          </w:rPr>
          <w:t>Department of Treasury and Finance</w:t>
        </w:r>
        <w:r w:rsidR="0084474F">
          <w:rPr>
            <w:noProof/>
            <w:webHidden/>
          </w:rPr>
          <w:tab/>
        </w:r>
        <w:r w:rsidR="0084474F">
          <w:rPr>
            <w:noProof/>
            <w:webHidden/>
          </w:rPr>
          <w:fldChar w:fldCharType="begin"/>
        </w:r>
        <w:r w:rsidR="0084474F">
          <w:rPr>
            <w:noProof/>
            <w:webHidden/>
          </w:rPr>
          <w:instrText xml:space="preserve"> PAGEREF _Toc449116202 \h </w:instrText>
        </w:r>
        <w:r w:rsidR="0084474F">
          <w:rPr>
            <w:noProof/>
            <w:webHidden/>
          </w:rPr>
        </w:r>
        <w:r w:rsidR="0084474F">
          <w:rPr>
            <w:noProof/>
            <w:webHidden/>
          </w:rPr>
          <w:fldChar w:fldCharType="separate"/>
        </w:r>
        <w:r w:rsidR="0084474F">
          <w:rPr>
            <w:noProof/>
            <w:webHidden/>
          </w:rPr>
          <w:t>121</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203" w:history="1">
        <w:r w:rsidR="0084474F" w:rsidRPr="00485065">
          <w:rPr>
            <w:rStyle w:val="Hyperlink"/>
            <w:rFonts w:eastAsiaTheme="minorHAnsi"/>
            <w:noProof/>
          </w:rPr>
          <w:t>Parliament (including Victorian Auditor</w:t>
        </w:r>
        <w:r w:rsidR="0084474F" w:rsidRPr="00485065">
          <w:rPr>
            <w:rStyle w:val="Hyperlink"/>
            <w:rFonts w:eastAsiaTheme="minorHAnsi"/>
            <w:noProof/>
          </w:rPr>
          <w:noBreakHyphen/>
          <w:t>General’s Office)</w:t>
        </w:r>
        <w:r w:rsidR="0084474F">
          <w:rPr>
            <w:noProof/>
            <w:webHidden/>
          </w:rPr>
          <w:tab/>
        </w:r>
        <w:r w:rsidR="0084474F">
          <w:rPr>
            <w:noProof/>
            <w:webHidden/>
          </w:rPr>
          <w:fldChar w:fldCharType="begin"/>
        </w:r>
        <w:r w:rsidR="0084474F">
          <w:rPr>
            <w:noProof/>
            <w:webHidden/>
          </w:rPr>
          <w:instrText xml:space="preserve"> PAGEREF _Toc449116203 \h </w:instrText>
        </w:r>
        <w:r w:rsidR="0084474F">
          <w:rPr>
            <w:noProof/>
            <w:webHidden/>
          </w:rPr>
        </w:r>
        <w:r w:rsidR="0084474F">
          <w:rPr>
            <w:noProof/>
            <w:webHidden/>
          </w:rPr>
          <w:fldChar w:fldCharType="separate"/>
        </w:r>
        <w:r w:rsidR="0084474F">
          <w:rPr>
            <w:noProof/>
            <w:webHidden/>
          </w:rPr>
          <w:t>129</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204" w:history="1">
        <w:r w:rsidR="0084474F" w:rsidRPr="00485065">
          <w:rPr>
            <w:rStyle w:val="Hyperlink"/>
            <w:rFonts w:eastAsiaTheme="minorHAnsi"/>
            <w:noProof/>
          </w:rPr>
          <w:t>Courts</w:t>
        </w:r>
        <w:r w:rsidR="0084474F">
          <w:rPr>
            <w:noProof/>
            <w:webHidden/>
          </w:rPr>
          <w:tab/>
        </w:r>
        <w:r w:rsidR="0084474F">
          <w:rPr>
            <w:noProof/>
            <w:webHidden/>
          </w:rPr>
          <w:fldChar w:fldCharType="begin"/>
        </w:r>
        <w:r w:rsidR="0084474F">
          <w:rPr>
            <w:noProof/>
            <w:webHidden/>
          </w:rPr>
          <w:instrText xml:space="preserve"> PAGEREF _Toc449116204 \h </w:instrText>
        </w:r>
        <w:r w:rsidR="0084474F">
          <w:rPr>
            <w:noProof/>
            <w:webHidden/>
          </w:rPr>
        </w:r>
        <w:r w:rsidR="0084474F">
          <w:rPr>
            <w:noProof/>
            <w:webHidden/>
          </w:rPr>
          <w:fldChar w:fldCharType="separate"/>
        </w:r>
        <w:r w:rsidR="0084474F">
          <w:rPr>
            <w:noProof/>
            <w:webHidden/>
          </w:rPr>
          <w:t>135</w:t>
        </w:r>
        <w:r w:rsidR="0084474F">
          <w:rPr>
            <w:noProof/>
            <w:webHidden/>
          </w:rPr>
          <w:fldChar w:fldCharType="end"/>
        </w:r>
      </w:hyperlink>
    </w:p>
    <w:p w:rsidR="0084474F" w:rsidRDefault="00A854D5">
      <w:pPr>
        <w:pStyle w:val="TOC1"/>
        <w:rPr>
          <w:rFonts w:asciiTheme="minorHAnsi" w:eastAsiaTheme="minorEastAsia" w:hAnsiTheme="minorHAnsi" w:cstheme="minorBidi"/>
          <w:b w:val="0"/>
          <w:noProof/>
          <w:sz w:val="22"/>
          <w:szCs w:val="22"/>
          <w:lang w:eastAsia="en-AU"/>
        </w:rPr>
      </w:pPr>
      <w:hyperlink w:anchor="_Toc449116205" w:history="1">
        <w:r w:rsidR="0084474F" w:rsidRPr="00485065">
          <w:rPr>
            <w:rStyle w:val="Hyperlink"/>
            <w:rFonts w:eastAsiaTheme="minorHAnsi"/>
            <w:noProof/>
          </w:rPr>
          <w:t>Chapter 4 – State revenue</w:t>
        </w:r>
        <w:r w:rsidR="0084474F">
          <w:rPr>
            <w:noProof/>
            <w:webHidden/>
          </w:rPr>
          <w:tab/>
        </w:r>
        <w:r w:rsidR="0084474F">
          <w:rPr>
            <w:noProof/>
            <w:webHidden/>
          </w:rPr>
          <w:fldChar w:fldCharType="begin"/>
        </w:r>
        <w:r w:rsidR="0084474F">
          <w:rPr>
            <w:noProof/>
            <w:webHidden/>
          </w:rPr>
          <w:instrText xml:space="preserve"> PAGEREF _Toc449116205 \h </w:instrText>
        </w:r>
        <w:r w:rsidR="0084474F">
          <w:rPr>
            <w:noProof/>
            <w:webHidden/>
          </w:rPr>
        </w:r>
        <w:r w:rsidR="0084474F">
          <w:rPr>
            <w:noProof/>
            <w:webHidden/>
          </w:rPr>
          <w:fldChar w:fldCharType="separate"/>
        </w:r>
        <w:r w:rsidR="0084474F">
          <w:rPr>
            <w:noProof/>
            <w:webHidden/>
          </w:rPr>
          <w:t>143</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206" w:history="1">
        <w:r w:rsidR="0084474F" w:rsidRPr="00485065">
          <w:rPr>
            <w:rStyle w:val="Hyperlink"/>
            <w:rFonts w:eastAsiaTheme="minorHAnsi"/>
            <w:noProof/>
          </w:rPr>
          <w:t>Taxation</w:t>
        </w:r>
        <w:r w:rsidR="0084474F">
          <w:rPr>
            <w:noProof/>
            <w:webHidden/>
          </w:rPr>
          <w:tab/>
        </w:r>
        <w:r w:rsidR="0084474F">
          <w:rPr>
            <w:noProof/>
            <w:webHidden/>
          </w:rPr>
          <w:fldChar w:fldCharType="begin"/>
        </w:r>
        <w:r w:rsidR="0084474F">
          <w:rPr>
            <w:noProof/>
            <w:webHidden/>
          </w:rPr>
          <w:instrText xml:space="preserve"> PAGEREF _Toc449116206 \h </w:instrText>
        </w:r>
        <w:r w:rsidR="0084474F">
          <w:rPr>
            <w:noProof/>
            <w:webHidden/>
          </w:rPr>
        </w:r>
        <w:r w:rsidR="0084474F">
          <w:rPr>
            <w:noProof/>
            <w:webHidden/>
          </w:rPr>
          <w:fldChar w:fldCharType="separate"/>
        </w:r>
        <w:r w:rsidR="0084474F">
          <w:rPr>
            <w:noProof/>
            <w:webHidden/>
          </w:rPr>
          <w:t>144</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207" w:history="1">
        <w:r w:rsidR="0084474F" w:rsidRPr="00485065">
          <w:rPr>
            <w:rStyle w:val="Hyperlink"/>
            <w:rFonts w:eastAsiaTheme="minorHAnsi"/>
            <w:noProof/>
          </w:rPr>
          <w:t>Grants</w:t>
        </w:r>
        <w:r w:rsidR="0084474F">
          <w:rPr>
            <w:noProof/>
            <w:webHidden/>
          </w:rPr>
          <w:tab/>
        </w:r>
        <w:r w:rsidR="0084474F">
          <w:rPr>
            <w:noProof/>
            <w:webHidden/>
          </w:rPr>
          <w:fldChar w:fldCharType="begin"/>
        </w:r>
        <w:r w:rsidR="0084474F">
          <w:rPr>
            <w:noProof/>
            <w:webHidden/>
          </w:rPr>
          <w:instrText xml:space="preserve"> PAGEREF _Toc449116207 \h </w:instrText>
        </w:r>
        <w:r w:rsidR="0084474F">
          <w:rPr>
            <w:noProof/>
            <w:webHidden/>
          </w:rPr>
        </w:r>
        <w:r w:rsidR="0084474F">
          <w:rPr>
            <w:noProof/>
            <w:webHidden/>
          </w:rPr>
          <w:fldChar w:fldCharType="separate"/>
        </w:r>
        <w:r w:rsidR="0084474F">
          <w:rPr>
            <w:noProof/>
            <w:webHidden/>
          </w:rPr>
          <w:t>152</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208" w:history="1">
        <w:r w:rsidR="0084474F" w:rsidRPr="00485065">
          <w:rPr>
            <w:rStyle w:val="Hyperlink"/>
            <w:rFonts w:eastAsiaTheme="minorHAnsi"/>
            <w:noProof/>
          </w:rPr>
          <w:t>Sales of goods and services</w:t>
        </w:r>
        <w:r w:rsidR="0084474F">
          <w:rPr>
            <w:noProof/>
            <w:webHidden/>
          </w:rPr>
          <w:tab/>
        </w:r>
        <w:r w:rsidR="0084474F">
          <w:rPr>
            <w:noProof/>
            <w:webHidden/>
          </w:rPr>
          <w:fldChar w:fldCharType="begin"/>
        </w:r>
        <w:r w:rsidR="0084474F">
          <w:rPr>
            <w:noProof/>
            <w:webHidden/>
          </w:rPr>
          <w:instrText xml:space="preserve"> PAGEREF _Toc449116208 \h </w:instrText>
        </w:r>
        <w:r w:rsidR="0084474F">
          <w:rPr>
            <w:noProof/>
            <w:webHidden/>
          </w:rPr>
        </w:r>
        <w:r w:rsidR="0084474F">
          <w:rPr>
            <w:noProof/>
            <w:webHidden/>
          </w:rPr>
          <w:fldChar w:fldCharType="separate"/>
        </w:r>
        <w:r w:rsidR="0084474F">
          <w:rPr>
            <w:noProof/>
            <w:webHidden/>
          </w:rPr>
          <w:t>163</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209" w:history="1">
        <w:r w:rsidR="0084474F" w:rsidRPr="00485065">
          <w:rPr>
            <w:rStyle w:val="Hyperlink"/>
            <w:rFonts w:eastAsiaTheme="minorHAnsi"/>
            <w:noProof/>
          </w:rPr>
          <w:t>Dividends, income tax equivalent and rate equivalent revenue</w:t>
        </w:r>
        <w:r w:rsidR="0084474F">
          <w:rPr>
            <w:noProof/>
            <w:webHidden/>
          </w:rPr>
          <w:tab/>
        </w:r>
        <w:r w:rsidR="0084474F">
          <w:rPr>
            <w:noProof/>
            <w:webHidden/>
          </w:rPr>
          <w:fldChar w:fldCharType="begin"/>
        </w:r>
        <w:r w:rsidR="0084474F">
          <w:rPr>
            <w:noProof/>
            <w:webHidden/>
          </w:rPr>
          <w:instrText xml:space="preserve"> PAGEREF _Toc449116209 \h </w:instrText>
        </w:r>
        <w:r w:rsidR="0084474F">
          <w:rPr>
            <w:noProof/>
            <w:webHidden/>
          </w:rPr>
        </w:r>
        <w:r w:rsidR="0084474F">
          <w:rPr>
            <w:noProof/>
            <w:webHidden/>
          </w:rPr>
          <w:fldChar w:fldCharType="separate"/>
        </w:r>
        <w:r w:rsidR="0084474F">
          <w:rPr>
            <w:noProof/>
            <w:webHidden/>
          </w:rPr>
          <w:t>163</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210" w:history="1">
        <w:r w:rsidR="0084474F" w:rsidRPr="00485065">
          <w:rPr>
            <w:rStyle w:val="Hyperlink"/>
            <w:rFonts w:eastAsiaTheme="minorHAnsi"/>
            <w:noProof/>
          </w:rPr>
          <w:t>Interest revenue</w:t>
        </w:r>
        <w:r w:rsidR="0084474F">
          <w:rPr>
            <w:noProof/>
            <w:webHidden/>
          </w:rPr>
          <w:tab/>
        </w:r>
        <w:r w:rsidR="0084474F">
          <w:rPr>
            <w:noProof/>
            <w:webHidden/>
          </w:rPr>
          <w:fldChar w:fldCharType="begin"/>
        </w:r>
        <w:r w:rsidR="0084474F">
          <w:rPr>
            <w:noProof/>
            <w:webHidden/>
          </w:rPr>
          <w:instrText xml:space="preserve"> PAGEREF _Toc449116210 \h </w:instrText>
        </w:r>
        <w:r w:rsidR="0084474F">
          <w:rPr>
            <w:noProof/>
            <w:webHidden/>
          </w:rPr>
        </w:r>
        <w:r w:rsidR="0084474F">
          <w:rPr>
            <w:noProof/>
            <w:webHidden/>
          </w:rPr>
          <w:fldChar w:fldCharType="separate"/>
        </w:r>
        <w:r w:rsidR="0084474F">
          <w:rPr>
            <w:noProof/>
            <w:webHidden/>
          </w:rPr>
          <w:t>164</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211" w:history="1">
        <w:r w:rsidR="0084474F" w:rsidRPr="00485065">
          <w:rPr>
            <w:rStyle w:val="Hyperlink"/>
            <w:rFonts w:eastAsiaTheme="minorHAnsi"/>
            <w:noProof/>
          </w:rPr>
          <w:t>Other revenue</w:t>
        </w:r>
        <w:r w:rsidR="0084474F">
          <w:rPr>
            <w:noProof/>
            <w:webHidden/>
          </w:rPr>
          <w:tab/>
        </w:r>
        <w:r w:rsidR="0084474F">
          <w:rPr>
            <w:noProof/>
            <w:webHidden/>
          </w:rPr>
          <w:fldChar w:fldCharType="begin"/>
        </w:r>
        <w:r w:rsidR="0084474F">
          <w:rPr>
            <w:noProof/>
            <w:webHidden/>
          </w:rPr>
          <w:instrText xml:space="preserve"> PAGEREF _Toc449116211 \h </w:instrText>
        </w:r>
        <w:r w:rsidR="0084474F">
          <w:rPr>
            <w:noProof/>
            <w:webHidden/>
          </w:rPr>
        </w:r>
        <w:r w:rsidR="0084474F">
          <w:rPr>
            <w:noProof/>
            <w:webHidden/>
          </w:rPr>
          <w:fldChar w:fldCharType="separate"/>
        </w:r>
        <w:r w:rsidR="0084474F">
          <w:rPr>
            <w:noProof/>
            <w:webHidden/>
          </w:rPr>
          <w:t>164</w:t>
        </w:r>
        <w:r w:rsidR="0084474F">
          <w:rPr>
            <w:noProof/>
            <w:webHidden/>
          </w:rPr>
          <w:fldChar w:fldCharType="end"/>
        </w:r>
      </w:hyperlink>
    </w:p>
    <w:p w:rsidR="0084474F" w:rsidRDefault="00A854D5">
      <w:pPr>
        <w:pStyle w:val="TOC1"/>
        <w:rPr>
          <w:rFonts w:asciiTheme="minorHAnsi" w:eastAsiaTheme="minorEastAsia" w:hAnsiTheme="minorHAnsi" w:cstheme="minorBidi"/>
          <w:b w:val="0"/>
          <w:noProof/>
          <w:sz w:val="22"/>
          <w:szCs w:val="22"/>
          <w:lang w:eastAsia="en-AU"/>
        </w:rPr>
      </w:pPr>
      <w:hyperlink w:anchor="_Toc449116212" w:history="1">
        <w:r w:rsidR="0084474F" w:rsidRPr="00485065">
          <w:rPr>
            <w:rStyle w:val="Hyperlink"/>
            <w:rFonts w:eastAsiaTheme="minorHAnsi"/>
            <w:noProof/>
          </w:rPr>
          <w:t>Chapter 5 – Tax expenditures and concessions</w:t>
        </w:r>
        <w:r w:rsidR="0084474F">
          <w:rPr>
            <w:noProof/>
            <w:webHidden/>
          </w:rPr>
          <w:tab/>
        </w:r>
        <w:r w:rsidR="0084474F">
          <w:rPr>
            <w:noProof/>
            <w:webHidden/>
          </w:rPr>
          <w:fldChar w:fldCharType="begin"/>
        </w:r>
        <w:r w:rsidR="0084474F">
          <w:rPr>
            <w:noProof/>
            <w:webHidden/>
          </w:rPr>
          <w:instrText xml:space="preserve"> PAGEREF _Toc449116212 \h </w:instrText>
        </w:r>
        <w:r w:rsidR="0084474F">
          <w:rPr>
            <w:noProof/>
            <w:webHidden/>
          </w:rPr>
        </w:r>
        <w:r w:rsidR="0084474F">
          <w:rPr>
            <w:noProof/>
            <w:webHidden/>
          </w:rPr>
          <w:fldChar w:fldCharType="separate"/>
        </w:r>
        <w:r w:rsidR="0084474F">
          <w:rPr>
            <w:noProof/>
            <w:webHidden/>
          </w:rPr>
          <w:t>165</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213" w:history="1">
        <w:r w:rsidR="0084474F" w:rsidRPr="00485065">
          <w:rPr>
            <w:rStyle w:val="Hyperlink"/>
            <w:rFonts w:eastAsiaTheme="minorHAnsi"/>
            <w:noProof/>
          </w:rPr>
          <w:t>Tax expenditures</w:t>
        </w:r>
        <w:r w:rsidR="0084474F">
          <w:rPr>
            <w:noProof/>
            <w:webHidden/>
          </w:rPr>
          <w:tab/>
        </w:r>
        <w:r w:rsidR="0084474F">
          <w:rPr>
            <w:noProof/>
            <w:webHidden/>
          </w:rPr>
          <w:fldChar w:fldCharType="begin"/>
        </w:r>
        <w:r w:rsidR="0084474F">
          <w:rPr>
            <w:noProof/>
            <w:webHidden/>
          </w:rPr>
          <w:instrText xml:space="preserve"> PAGEREF _Toc449116213 \h </w:instrText>
        </w:r>
        <w:r w:rsidR="0084474F">
          <w:rPr>
            <w:noProof/>
            <w:webHidden/>
          </w:rPr>
        </w:r>
        <w:r w:rsidR="0084474F">
          <w:rPr>
            <w:noProof/>
            <w:webHidden/>
          </w:rPr>
          <w:fldChar w:fldCharType="separate"/>
        </w:r>
        <w:r w:rsidR="0084474F">
          <w:rPr>
            <w:noProof/>
            <w:webHidden/>
          </w:rPr>
          <w:t>165</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214" w:history="1">
        <w:r w:rsidR="0084474F" w:rsidRPr="00485065">
          <w:rPr>
            <w:rStyle w:val="Hyperlink"/>
            <w:rFonts w:eastAsiaTheme="minorHAnsi"/>
            <w:noProof/>
          </w:rPr>
          <w:t>Concessions</w:t>
        </w:r>
        <w:r w:rsidR="0084474F">
          <w:rPr>
            <w:noProof/>
            <w:webHidden/>
          </w:rPr>
          <w:tab/>
        </w:r>
        <w:r w:rsidR="0084474F">
          <w:rPr>
            <w:noProof/>
            <w:webHidden/>
          </w:rPr>
          <w:fldChar w:fldCharType="begin"/>
        </w:r>
        <w:r w:rsidR="0084474F">
          <w:rPr>
            <w:noProof/>
            <w:webHidden/>
          </w:rPr>
          <w:instrText xml:space="preserve"> PAGEREF _Toc449116214 \h </w:instrText>
        </w:r>
        <w:r w:rsidR="0084474F">
          <w:rPr>
            <w:noProof/>
            <w:webHidden/>
          </w:rPr>
        </w:r>
        <w:r w:rsidR="0084474F">
          <w:rPr>
            <w:noProof/>
            <w:webHidden/>
          </w:rPr>
          <w:fldChar w:fldCharType="separate"/>
        </w:r>
        <w:r w:rsidR="0084474F">
          <w:rPr>
            <w:noProof/>
            <w:webHidden/>
          </w:rPr>
          <w:t>172</w:t>
        </w:r>
        <w:r w:rsidR="0084474F">
          <w:rPr>
            <w:noProof/>
            <w:webHidden/>
          </w:rPr>
          <w:fldChar w:fldCharType="end"/>
        </w:r>
      </w:hyperlink>
    </w:p>
    <w:p w:rsidR="0084474F" w:rsidRDefault="00A854D5">
      <w:pPr>
        <w:pStyle w:val="TOC1"/>
        <w:rPr>
          <w:rFonts w:asciiTheme="minorHAnsi" w:eastAsiaTheme="minorEastAsia" w:hAnsiTheme="minorHAnsi" w:cstheme="minorBidi"/>
          <w:b w:val="0"/>
          <w:noProof/>
          <w:sz w:val="22"/>
          <w:szCs w:val="22"/>
          <w:lang w:eastAsia="en-AU"/>
        </w:rPr>
      </w:pPr>
      <w:hyperlink w:anchor="_Toc449116215" w:history="1">
        <w:r w:rsidR="0084474F" w:rsidRPr="00485065">
          <w:rPr>
            <w:rStyle w:val="Hyperlink"/>
            <w:noProof/>
          </w:rPr>
          <w:t>Chapter 6 – Contingent assets and contingent liabilities</w:t>
        </w:r>
        <w:r w:rsidR="0084474F">
          <w:rPr>
            <w:noProof/>
            <w:webHidden/>
          </w:rPr>
          <w:tab/>
        </w:r>
        <w:r w:rsidR="0084474F">
          <w:rPr>
            <w:noProof/>
            <w:webHidden/>
          </w:rPr>
          <w:fldChar w:fldCharType="begin"/>
        </w:r>
        <w:r w:rsidR="0084474F">
          <w:rPr>
            <w:noProof/>
            <w:webHidden/>
          </w:rPr>
          <w:instrText xml:space="preserve"> PAGEREF _Toc449116215 \h </w:instrText>
        </w:r>
        <w:r w:rsidR="0084474F">
          <w:rPr>
            <w:noProof/>
            <w:webHidden/>
          </w:rPr>
        </w:r>
        <w:r w:rsidR="0084474F">
          <w:rPr>
            <w:noProof/>
            <w:webHidden/>
          </w:rPr>
          <w:fldChar w:fldCharType="separate"/>
        </w:r>
        <w:r w:rsidR="0084474F">
          <w:rPr>
            <w:noProof/>
            <w:webHidden/>
          </w:rPr>
          <w:t>175</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216" w:history="1">
        <w:r w:rsidR="0084474F" w:rsidRPr="00485065">
          <w:rPr>
            <w:rStyle w:val="Hyperlink"/>
            <w:noProof/>
          </w:rPr>
          <w:t>Contingent assets</w:t>
        </w:r>
        <w:r w:rsidR="0084474F">
          <w:rPr>
            <w:noProof/>
            <w:webHidden/>
          </w:rPr>
          <w:tab/>
        </w:r>
        <w:r w:rsidR="0084474F">
          <w:rPr>
            <w:noProof/>
            <w:webHidden/>
          </w:rPr>
          <w:fldChar w:fldCharType="begin"/>
        </w:r>
        <w:r w:rsidR="0084474F">
          <w:rPr>
            <w:noProof/>
            <w:webHidden/>
          </w:rPr>
          <w:instrText xml:space="preserve"> PAGEREF _Toc449116216 \h </w:instrText>
        </w:r>
        <w:r w:rsidR="0084474F">
          <w:rPr>
            <w:noProof/>
            <w:webHidden/>
          </w:rPr>
        </w:r>
        <w:r w:rsidR="0084474F">
          <w:rPr>
            <w:noProof/>
            <w:webHidden/>
          </w:rPr>
          <w:fldChar w:fldCharType="separate"/>
        </w:r>
        <w:r w:rsidR="0084474F">
          <w:rPr>
            <w:noProof/>
            <w:webHidden/>
          </w:rPr>
          <w:t>175</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217" w:history="1">
        <w:r w:rsidR="0084474F" w:rsidRPr="00485065">
          <w:rPr>
            <w:rStyle w:val="Hyperlink"/>
            <w:noProof/>
          </w:rPr>
          <w:t>Contingent liabilities</w:t>
        </w:r>
        <w:r w:rsidR="0084474F">
          <w:rPr>
            <w:noProof/>
            <w:webHidden/>
          </w:rPr>
          <w:tab/>
        </w:r>
        <w:r w:rsidR="0084474F">
          <w:rPr>
            <w:noProof/>
            <w:webHidden/>
          </w:rPr>
          <w:fldChar w:fldCharType="begin"/>
        </w:r>
        <w:r w:rsidR="0084474F">
          <w:rPr>
            <w:noProof/>
            <w:webHidden/>
          </w:rPr>
          <w:instrText xml:space="preserve"> PAGEREF _Toc449116217 \h </w:instrText>
        </w:r>
        <w:r w:rsidR="0084474F">
          <w:rPr>
            <w:noProof/>
            <w:webHidden/>
          </w:rPr>
        </w:r>
        <w:r w:rsidR="0084474F">
          <w:rPr>
            <w:noProof/>
            <w:webHidden/>
          </w:rPr>
          <w:fldChar w:fldCharType="separate"/>
        </w:r>
        <w:r w:rsidR="0084474F">
          <w:rPr>
            <w:noProof/>
            <w:webHidden/>
          </w:rPr>
          <w:t>177</w:t>
        </w:r>
        <w:r w:rsidR="0084474F">
          <w:rPr>
            <w:noProof/>
            <w:webHidden/>
          </w:rPr>
          <w:fldChar w:fldCharType="end"/>
        </w:r>
      </w:hyperlink>
    </w:p>
    <w:p w:rsidR="0084474F" w:rsidRDefault="0084474F">
      <w:pPr>
        <w:spacing w:after="0"/>
        <w:rPr>
          <w:rStyle w:val="Hyperlink"/>
          <w:rFonts w:ascii="Calibri" w:hAnsi="Calibri"/>
          <w:b/>
          <w:noProof/>
          <w:sz w:val="24"/>
        </w:rPr>
      </w:pPr>
      <w:r>
        <w:rPr>
          <w:rStyle w:val="Hyperlink"/>
          <w:noProof/>
        </w:rPr>
        <w:br w:type="page"/>
      </w:r>
    </w:p>
    <w:p w:rsidR="0084474F" w:rsidRPr="0084474F" w:rsidRDefault="0084474F" w:rsidP="0084474F">
      <w:pPr>
        <w:pStyle w:val="TOC1"/>
        <w:spacing w:after="180"/>
        <w:ind w:right="420"/>
        <w:rPr>
          <w:rStyle w:val="Hyperlink"/>
          <w:i/>
          <w:noProof/>
          <w:color w:val="auto"/>
          <w:sz w:val="28"/>
          <w:u w:val="none"/>
        </w:rPr>
      </w:pPr>
      <w:r w:rsidRPr="0084474F">
        <w:rPr>
          <w:rStyle w:val="Hyperlink"/>
          <w:noProof/>
          <w:color w:val="auto"/>
          <w:sz w:val="28"/>
          <w:u w:val="none"/>
        </w:rPr>
        <w:lastRenderedPageBreak/>
        <w:t>Table of Contents</w:t>
      </w:r>
      <w:r w:rsidRPr="0084474F">
        <w:rPr>
          <w:rStyle w:val="Hyperlink"/>
          <w:i/>
          <w:noProof/>
          <w:color w:val="auto"/>
          <w:sz w:val="28"/>
          <w:u w:val="none"/>
        </w:rPr>
        <w:t xml:space="preserve"> (continued)</w:t>
      </w:r>
    </w:p>
    <w:p w:rsidR="0084474F" w:rsidRDefault="00A854D5">
      <w:pPr>
        <w:pStyle w:val="TOC1"/>
        <w:rPr>
          <w:rFonts w:asciiTheme="minorHAnsi" w:eastAsiaTheme="minorEastAsia" w:hAnsiTheme="minorHAnsi" w:cstheme="minorBidi"/>
          <w:b w:val="0"/>
          <w:noProof/>
          <w:sz w:val="22"/>
          <w:szCs w:val="22"/>
          <w:lang w:eastAsia="en-AU"/>
        </w:rPr>
      </w:pPr>
      <w:hyperlink w:anchor="_Toc449116218" w:history="1">
        <w:r w:rsidR="0084474F" w:rsidRPr="00485065">
          <w:rPr>
            <w:rStyle w:val="Hyperlink"/>
            <w:noProof/>
          </w:rPr>
          <w:t>Appendix A – Public Account</w:t>
        </w:r>
        <w:r w:rsidR="0084474F">
          <w:rPr>
            <w:noProof/>
            <w:webHidden/>
          </w:rPr>
          <w:tab/>
        </w:r>
        <w:r w:rsidR="0084474F">
          <w:rPr>
            <w:noProof/>
            <w:webHidden/>
          </w:rPr>
          <w:fldChar w:fldCharType="begin"/>
        </w:r>
        <w:r w:rsidR="0084474F">
          <w:rPr>
            <w:noProof/>
            <w:webHidden/>
          </w:rPr>
          <w:instrText xml:space="preserve"> PAGEREF _Toc449116218 \h </w:instrText>
        </w:r>
        <w:r w:rsidR="0084474F">
          <w:rPr>
            <w:noProof/>
            <w:webHidden/>
          </w:rPr>
        </w:r>
        <w:r w:rsidR="0084474F">
          <w:rPr>
            <w:noProof/>
            <w:webHidden/>
          </w:rPr>
          <w:fldChar w:fldCharType="separate"/>
        </w:r>
        <w:r w:rsidR="0084474F">
          <w:rPr>
            <w:noProof/>
            <w:webHidden/>
          </w:rPr>
          <w:t>183</w:t>
        </w:r>
        <w:r w:rsidR="0084474F">
          <w:rPr>
            <w:noProof/>
            <w:webHidden/>
          </w:rPr>
          <w:fldChar w:fldCharType="end"/>
        </w:r>
      </w:hyperlink>
    </w:p>
    <w:p w:rsidR="0084474F" w:rsidRDefault="00A854D5">
      <w:pPr>
        <w:pStyle w:val="TOC1"/>
        <w:rPr>
          <w:rFonts w:asciiTheme="minorHAnsi" w:eastAsiaTheme="minorEastAsia" w:hAnsiTheme="minorHAnsi" w:cstheme="minorBidi"/>
          <w:b w:val="0"/>
          <w:noProof/>
          <w:sz w:val="22"/>
          <w:szCs w:val="22"/>
          <w:lang w:eastAsia="en-AU"/>
        </w:rPr>
      </w:pPr>
      <w:hyperlink w:anchor="_Toc449116219" w:history="1">
        <w:r w:rsidR="0084474F" w:rsidRPr="00485065">
          <w:rPr>
            <w:rStyle w:val="Hyperlink"/>
            <w:noProof/>
          </w:rPr>
          <w:t xml:space="preserve">Appendix B – </w:t>
        </w:r>
        <w:r w:rsidR="0084474F" w:rsidRPr="00485065">
          <w:rPr>
            <w:rStyle w:val="Hyperlink"/>
            <w:i/>
            <w:noProof/>
          </w:rPr>
          <w:t>2015</w:t>
        </w:r>
        <w:r w:rsidR="0084474F" w:rsidRPr="00485065">
          <w:rPr>
            <w:rStyle w:val="Hyperlink"/>
            <w:i/>
            <w:noProof/>
          </w:rPr>
          <w:noBreakHyphen/>
          <w:t>16 Budget</w:t>
        </w:r>
        <w:r w:rsidR="0084474F" w:rsidRPr="00485065">
          <w:rPr>
            <w:rStyle w:val="Hyperlink"/>
            <w:noProof/>
          </w:rPr>
          <w:t xml:space="preserve"> outcome incorporating the financial report for the March quarter 2016</w:t>
        </w:r>
        <w:r w:rsidR="0084474F">
          <w:rPr>
            <w:noProof/>
            <w:webHidden/>
          </w:rPr>
          <w:tab/>
        </w:r>
        <w:r w:rsidR="0084474F">
          <w:rPr>
            <w:noProof/>
            <w:webHidden/>
          </w:rPr>
          <w:fldChar w:fldCharType="begin"/>
        </w:r>
        <w:r w:rsidR="0084474F">
          <w:rPr>
            <w:noProof/>
            <w:webHidden/>
          </w:rPr>
          <w:instrText xml:space="preserve"> PAGEREF _Toc449116219 \h </w:instrText>
        </w:r>
        <w:r w:rsidR="0084474F">
          <w:rPr>
            <w:noProof/>
            <w:webHidden/>
          </w:rPr>
        </w:r>
        <w:r w:rsidR="0084474F">
          <w:rPr>
            <w:noProof/>
            <w:webHidden/>
          </w:rPr>
          <w:fldChar w:fldCharType="separate"/>
        </w:r>
        <w:r w:rsidR="0084474F">
          <w:rPr>
            <w:noProof/>
            <w:webHidden/>
          </w:rPr>
          <w:t>195</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220" w:history="1">
        <w:r w:rsidR="0084474F" w:rsidRPr="00485065">
          <w:rPr>
            <w:rStyle w:val="Hyperlink"/>
            <w:noProof/>
          </w:rPr>
          <w:t>Financial results for the general government sector</w:t>
        </w:r>
        <w:r w:rsidR="0084474F">
          <w:rPr>
            <w:noProof/>
            <w:webHidden/>
          </w:rPr>
          <w:tab/>
        </w:r>
        <w:r w:rsidR="0084474F">
          <w:rPr>
            <w:noProof/>
            <w:webHidden/>
          </w:rPr>
          <w:fldChar w:fldCharType="begin"/>
        </w:r>
        <w:r w:rsidR="0084474F">
          <w:rPr>
            <w:noProof/>
            <w:webHidden/>
          </w:rPr>
          <w:instrText xml:space="preserve"> PAGEREF _Toc449116220 \h </w:instrText>
        </w:r>
        <w:r w:rsidR="0084474F">
          <w:rPr>
            <w:noProof/>
            <w:webHidden/>
          </w:rPr>
        </w:r>
        <w:r w:rsidR="0084474F">
          <w:rPr>
            <w:noProof/>
            <w:webHidden/>
          </w:rPr>
          <w:fldChar w:fldCharType="separate"/>
        </w:r>
        <w:r w:rsidR="0084474F">
          <w:rPr>
            <w:noProof/>
            <w:webHidden/>
          </w:rPr>
          <w:t>195</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221" w:history="1">
        <w:r w:rsidR="0084474F" w:rsidRPr="00485065">
          <w:rPr>
            <w:rStyle w:val="Hyperlink"/>
            <w:noProof/>
          </w:rPr>
          <w:t>Notes to the financial statements</w:t>
        </w:r>
        <w:r w:rsidR="0084474F">
          <w:rPr>
            <w:noProof/>
            <w:webHidden/>
          </w:rPr>
          <w:tab/>
        </w:r>
        <w:r w:rsidR="0084474F">
          <w:rPr>
            <w:noProof/>
            <w:webHidden/>
          </w:rPr>
          <w:fldChar w:fldCharType="begin"/>
        </w:r>
        <w:r w:rsidR="0084474F">
          <w:rPr>
            <w:noProof/>
            <w:webHidden/>
          </w:rPr>
          <w:instrText xml:space="preserve"> PAGEREF _Toc449116221 \h </w:instrText>
        </w:r>
        <w:r w:rsidR="0084474F">
          <w:rPr>
            <w:noProof/>
            <w:webHidden/>
          </w:rPr>
        </w:r>
        <w:r w:rsidR="0084474F">
          <w:rPr>
            <w:noProof/>
            <w:webHidden/>
          </w:rPr>
          <w:fldChar w:fldCharType="separate"/>
        </w:r>
        <w:r w:rsidR="0084474F">
          <w:rPr>
            <w:noProof/>
            <w:webHidden/>
          </w:rPr>
          <w:t>206</w:t>
        </w:r>
        <w:r w:rsidR="0084474F">
          <w:rPr>
            <w:noProof/>
            <w:webHidden/>
          </w:rPr>
          <w:fldChar w:fldCharType="end"/>
        </w:r>
      </w:hyperlink>
    </w:p>
    <w:p w:rsidR="0084474F" w:rsidRDefault="00A854D5">
      <w:pPr>
        <w:pStyle w:val="TOC2"/>
        <w:rPr>
          <w:rFonts w:asciiTheme="minorHAnsi" w:eastAsiaTheme="minorEastAsia" w:hAnsiTheme="minorHAnsi" w:cstheme="minorBidi"/>
          <w:noProof/>
          <w:sz w:val="22"/>
          <w:szCs w:val="22"/>
          <w:lang w:eastAsia="en-AU"/>
        </w:rPr>
      </w:pPr>
      <w:hyperlink w:anchor="_Toc449116222" w:history="1">
        <w:r w:rsidR="0084474F" w:rsidRPr="00485065">
          <w:rPr>
            <w:rStyle w:val="Hyperlink"/>
            <w:noProof/>
          </w:rPr>
          <w:t>Results quarter by quarter – Victorian general government sector</w:t>
        </w:r>
        <w:r w:rsidR="0084474F">
          <w:rPr>
            <w:noProof/>
            <w:webHidden/>
          </w:rPr>
          <w:tab/>
        </w:r>
        <w:r w:rsidR="0084474F">
          <w:rPr>
            <w:noProof/>
            <w:webHidden/>
          </w:rPr>
          <w:fldChar w:fldCharType="begin"/>
        </w:r>
        <w:r w:rsidR="0084474F">
          <w:rPr>
            <w:noProof/>
            <w:webHidden/>
          </w:rPr>
          <w:instrText xml:space="preserve"> PAGEREF _Toc449116222 \h </w:instrText>
        </w:r>
        <w:r w:rsidR="0084474F">
          <w:rPr>
            <w:noProof/>
            <w:webHidden/>
          </w:rPr>
        </w:r>
        <w:r w:rsidR="0084474F">
          <w:rPr>
            <w:noProof/>
            <w:webHidden/>
          </w:rPr>
          <w:fldChar w:fldCharType="separate"/>
        </w:r>
        <w:r w:rsidR="0084474F">
          <w:rPr>
            <w:noProof/>
            <w:webHidden/>
          </w:rPr>
          <w:t>224</w:t>
        </w:r>
        <w:r w:rsidR="0084474F">
          <w:rPr>
            <w:noProof/>
            <w:webHidden/>
          </w:rPr>
          <w:fldChar w:fldCharType="end"/>
        </w:r>
      </w:hyperlink>
    </w:p>
    <w:p w:rsidR="0084474F" w:rsidRDefault="00A854D5">
      <w:pPr>
        <w:pStyle w:val="TOC1"/>
        <w:rPr>
          <w:rFonts w:asciiTheme="minorHAnsi" w:eastAsiaTheme="minorEastAsia" w:hAnsiTheme="minorHAnsi" w:cstheme="minorBidi"/>
          <w:b w:val="0"/>
          <w:noProof/>
          <w:sz w:val="22"/>
          <w:szCs w:val="22"/>
          <w:lang w:eastAsia="en-AU"/>
        </w:rPr>
      </w:pPr>
      <w:hyperlink w:anchor="_Toc449116223" w:history="1">
        <w:r w:rsidR="0084474F" w:rsidRPr="00485065">
          <w:rPr>
            <w:rStyle w:val="Hyperlink"/>
            <w:noProof/>
          </w:rPr>
          <w:t xml:space="preserve">Appendix C – Compliance index – Requirements of the </w:t>
        </w:r>
        <w:r w:rsidR="0084474F" w:rsidRPr="00485065">
          <w:rPr>
            <w:rStyle w:val="Hyperlink"/>
            <w:i/>
            <w:noProof/>
          </w:rPr>
          <w:t>Financial Management Act 1994</w:t>
        </w:r>
        <w:r w:rsidR="0084474F">
          <w:rPr>
            <w:noProof/>
            <w:webHidden/>
          </w:rPr>
          <w:tab/>
        </w:r>
        <w:r w:rsidR="0084474F">
          <w:rPr>
            <w:noProof/>
            <w:webHidden/>
          </w:rPr>
          <w:fldChar w:fldCharType="begin"/>
        </w:r>
        <w:r w:rsidR="0084474F">
          <w:rPr>
            <w:noProof/>
            <w:webHidden/>
          </w:rPr>
          <w:instrText xml:space="preserve"> PAGEREF _Toc449116223 \h </w:instrText>
        </w:r>
        <w:r w:rsidR="0084474F">
          <w:rPr>
            <w:noProof/>
            <w:webHidden/>
          </w:rPr>
        </w:r>
        <w:r w:rsidR="0084474F">
          <w:rPr>
            <w:noProof/>
            <w:webHidden/>
          </w:rPr>
          <w:fldChar w:fldCharType="separate"/>
        </w:r>
        <w:r w:rsidR="0084474F">
          <w:rPr>
            <w:noProof/>
            <w:webHidden/>
          </w:rPr>
          <w:t>229</w:t>
        </w:r>
        <w:r w:rsidR="0084474F">
          <w:rPr>
            <w:noProof/>
            <w:webHidden/>
          </w:rPr>
          <w:fldChar w:fldCharType="end"/>
        </w:r>
      </w:hyperlink>
    </w:p>
    <w:p w:rsidR="0084474F" w:rsidRDefault="00A854D5">
      <w:pPr>
        <w:pStyle w:val="TOC1"/>
        <w:rPr>
          <w:rFonts w:asciiTheme="minorHAnsi" w:eastAsiaTheme="minorEastAsia" w:hAnsiTheme="minorHAnsi" w:cstheme="minorBidi"/>
          <w:b w:val="0"/>
          <w:noProof/>
          <w:sz w:val="22"/>
          <w:szCs w:val="22"/>
          <w:lang w:eastAsia="en-AU"/>
        </w:rPr>
      </w:pPr>
      <w:hyperlink w:anchor="_Toc449116224" w:history="1">
        <w:r w:rsidR="0084474F" w:rsidRPr="00485065">
          <w:rPr>
            <w:rStyle w:val="Hyperlink"/>
            <w:rFonts w:eastAsiaTheme="minorHAnsi"/>
            <w:noProof/>
          </w:rPr>
          <w:t>Style conventions</w:t>
        </w:r>
        <w:r w:rsidR="0084474F">
          <w:rPr>
            <w:noProof/>
            <w:webHidden/>
          </w:rPr>
          <w:tab/>
        </w:r>
        <w:r w:rsidR="0084474F">
          <w:rPr>
            <w:noProof/>
            <w:webHidden/>
          </w:rPr>
          <w:fldChar w:fldCharType="begin"/>
        </w:r>
        <w:r w:rsidR="0084474F">
          <w:rPr>
            <w:noProof/>
            <w:webHidden/>
          </w:rPr>
          <w:instrText xml:space="preserve"> PAGEREF _Toc449116224 \h </w:instrText>
        </w:r>
        <w:r w:rsidR="0084474F">
          <w:rPr>
            <w:noProof/>
            <w:webHidden/>
          </w:rPr>
        </w:r>
        <w:r w:rsidR="0084474F">
          <w:rPr>
            <w:noProof/>
            <w:webHidden/>
          </w:rPr>
          <w:fldChar w:fldCharType="separate"/>
        </w:r>
        <w:r w:rsidR="0084474F">
          <w:rPr>
            <w:noProof/>
            <w:webHidden/>
          </w:rPr>
          <w:t>231</w:t>
        </w:r>
        <w:r w:rsidR="0084474F">
          <w:rPr>
            <w:noProof/>
            <w:webHidden/>
          </w:rPr>
          <w:fldChar w:fldCharType="end"/>
        </w:r>
      </w:hyperlink>
    </w:p>
    <w:p w:rsidR="002C39A3" w:rsidRDefault="002C39A3" w:rsidP="00FB6856">
      <w:pPr>
        <w:rPr>
          <w:rFonts w:eastAsiaTheme="minorHAnsi"/>
        </w:rPr>
      </w:pPr>
      <w:r w:rsidRPr="007B2462">
        <w:fldChar w:fldCharType="end"/>
      </w:r>
    </w:p>
    <w:p w:rsidR="002C39A3" w:rsidRDefault="002C39A3" w:rsidP="00273B20">
      <w:pPr>
        <w:rPr>
          <w:rFonts w:eastAsiaTheme="minorHAnsi"/>
        </w:rPr>
      </w:pPr>
    </w:p>
    <w:p w:rsidR="002C39A3" w:rsidRDefault="002C39A3" w:rsidP="00273B20">
      <w:pPr>
        <w:rPr>
          <w:rFonts w:eastAsiaTheme="minorHAnsi"/>
        </w:rPr>
      </w:pPr>
    </w:p>
    <w:p w:rsidR="002C39A3" w:rsidRDefault="002C39A3" w:rsidP="00273B20">
      <w:pPr>
        <w:rPr>
          <w:rFonts w:eastAsiaTheme="minorHAnsi"/>
        </w:rPr>
        <w:sectPr w:rsidR="002C39A3" w:rsidSect="009642BA">
          <w:footerReference w:type="even" r:id="rId12"/>
          <w:footerReference w:type="default" r:id="rId13"/>
          <w:type w:val="oddPage"/>
          <w:pgSz w:w="9979" w:h="14181" w:code="34"/>
          <w:pgMar w:top="1140" w:right="1140" w:bottom="1140" w:left="1140" w:header="720" w:footer="431" w:gutter="0"/>
          <w:pgNumType w:fmt="lowerRoman" w:start="1"/>
          <w:cols w:space="708"/>
          <w:docGrid w:linePitch="360"/>
        </w:sectPr>
      </w:pPr>
    </w:p>
    <w:p w:rsidR="002C39A3" w:rsidRPr="00601876" w:rsidRDefault="002C39A3" w:rsidP="00361FA9">
      <w:pPr>
        <w:pStyle w:val="ChapterHeading"/>
      </w:pPr>
      <w:bookmarkStart w:id="1" w:name="_Toc449116187"/>
      <w:r w:rsidRPr="00D746AE">
        <w:lastRenderedPageBreak/>
        <w:t>Chapter</w:t>
      </w:r>
      <w:r w:rsidRPr="00601876">
        <w:rPr>
          <w:caps w:val="0"/>
        </w:rPr>
        <w:t xml:space="preserve"> </w:t>
      </w:r>
      <w:r w:rsidRPr="00601876">
        <w:t>1 – Estimated Financial Statements for the general government sector</w:t>
      </w:r>
      <w:bookmarkEnd w:id="1"/>
    </w:p>
    <w:p w:rsidR="002C39A3" w:rsidRDefault="002C39A3" w:rsidP="00361FA9">
      <w:r>
        <w:t>The following Estimated Financial Statements and accompanying explanatory notes set out the forecast financial results for the Victorian general government sector for the period 2016</w:t>
      </w:r>
      <w:r>
        <w:noBreakHyphen/>
        <w:t>17 to 2019-20.</w:t>
      </w:r>
    </w:p>
    <w:p w:rsidR="002C39A3" w:rsidRDefault="002C39A3" w:rsidP="00361FA9">
      <w:r>
        <w:t xml:space="preserve">The Estimated Financial Statements have been prepared in accordance with the </w:t>
      </w:r>
      <w:r>
        <w:rPr>
          <w:i/>
        </w:rPr>
        <w:t xml:space="preserve">Financial Management Act 1994. </w:t>
      </w:r>
      <w:r>
        <w:t xml:space="preserve">This Act requires the Estimated Financial Statements to be consistent with the financial policy objectives and strategies statement (see Budget Paper No. 2, Chapter 1 </w:t>
      </w:r>
      <w:r>
        <w:rPr>
          <w:i/>
        </w:rPr>
        <w:t>Economic and Fiscal Overview)</w:t>
      </w:r>
      <w:r w:rsidRPr="00C1274A">
        <w:t>, in a manner and fo</w:t>
      </w:r>
      <w:r>
        <w:t>rm determined by the Treasurer, having regard to appropriate financial reporting frameworks.</w:t>
      </w:r>
    </w:p>
    <w:p w:rsidR="002C39A3" w:rsidRDefault="002C39A3" w:rsidP="00361FA9">
      <w:r>
        <w:t xml:space="preserve">The statements have been prepared having regard to applicable Australian Accounting Standards. As there is no specific Australian accounting standard or authoritative pronouncement that prescribes the preparation and presentation of prospective financial statements, the Estimated Financial Statements have been prepared based on the principles set out in the New Zealand Public Benefit Entity Financial Reporting Standard 42 </w:t>
      </w:r>
      <w:r>
        <w:rPr>
          <w:i/>
        </w:rPr>
        <w:t>Prospective Financial Statements</w:t>
      </w:r>
      <w:r>
        <w:t xml:space="preserve"> (FRS-42).</w:t>
      </w:r>
    </w:p>
    <w:p w:rsidR="002C39A3" w:rsidRDefault="002C39A3" w:rsidP="00361FA9">
      <w:pPr>
        <w:rPr>
          <w:i/>
        </w:rPr>
      </w:pPr>
      <w:r>
        <w:t xml:space="preserve">The statements are presented in a manner consistent with the principles of AASB 1049 </w:t>
      </w:r>
      <w:r>
        <w:rPr>
          <w:i/>
        </w:rPr>
        <w:t>Whole of Government and General Government Sector Financial Reporting</w:t>
      </w:r>
      <w:r>
        <w:t xml:space="preserve">. This standard is also consistent with the Uniform Presentation Framework (UPF) as it relates to the general government sector. Chapter 2 </w:t>
      </w:r>
      <w:r>
        <w:rPr>
          <w:i/>
        </w:rPr>
        <w:t xml:space="preserve">Supplementary uniform presentation framework tables </w:t>
      </w:r>
      <w:r>
        <w:t>includes additional disclosures relating to the UPF.</w:t>
      </w:r>
    </w:p>
    <w:p w:rsidR="002C39A3" w:rsidRDefault="002C39A3" w:rsidP="00361FA9">
      <w:r>
        <w:t>The prospective nature of these statements reflects a number of judgements about the most likely macroeconomic, operating and financial conditions for the Victorian general government sector. Variations in these assumed conditions, such as international developments and other risks to the national economy, from which Victoria would not be immune, may cause the Victorian general government sector actual results to differ from the projections. However, appropriate professional judgement has been applied in preparing the Estimated Financial Statements.</w:t>
      </w:r>
    </w:p>
    <w:p w:rsidR="002C39A3" w:rsidRPr="006C6C9E" w:rsidRDefault="002C39A3" w:rsidP="00361FA9">
      <w:r>
        <w:t xml:space="preserve">The Victorian Auditor-General has reviewed the Estimated Financial Statements and his review report follows. </w:t>
      </w:r>
    </w:p>
    <w:p w:rsidR="002C39A3" w:rsidRPr="00C1274A" w:rsidRDefault="002C39A3">
      <w:pPr>
        <w:spacing w:after="0"/>
      </w:pPr>
      <w:r>
        <w:br w:type="page"/>
      </w:r>
    </w:p>
    <w:p w:rsidR="002C39A3" w:rsidRDefault="002C39A3" w:rsidP="00361FA9">
      <w:pPr>
        <w:pStyle w:val="Heading1"/>
      </w:pPr>
      <w:bookmarkStart w:id="2" w:name="_Toc449116188"/>
      <w:r w:rsidRPr="00A1602E">
        <w:lastRenderedPageBreak/>
        <w:t>Auditor</w:t>
      </w:r>
      <w:r w:rsidRPr="00A1602E">
        <w:noBreakHyphen/>
        <w:t>General</w:t>
      </w:r>
      <w:r w:rsidR="0097550F">
        <w:t>’</w:t>
      </w:r>
      <w:r w:rsidRPr="00A1602E">
        <w:t>s report</w:t>
      </w:r>
      <w:bookmarkEnd w:id="2"/>
    </w:p>
    <w:p w:rsidR="002C39A3" w:rsidRPr="007E43CC" w:rsidRDefault="002C39A3" w:rsidP="00361FA9">
      <w:pPr>
        <w:spacing w:after="0"/>
      </w:pPr>
      <w:r>
        <w:rPr>
          <w:noProof/>
          <w:lang w:eastAsia="en-AU"/>
        </w:rPr>
        <w:drawing>
          <wp:inline distT="0" distB="0" distL="0" distR="0" wp14:anchorId="4435F2ED" wp14:editId="64B534AE">
            <wp:extent cx="4891405" cy="793750"/>
            <wp:effectExtent l="0" t="0" r="4445" b="6350"/>
            <wp:docPr id="7" name="Picture 7" descr="R:\Admin\eDraftPDFs\BP5\SSAOP00410016042215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dmin\eDraftPDFs\BP5\SSAOP0041001604221545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1405" cy="793750"/>
                    </a:xfrm>
                    <a:prstGeom prst="rect">
                      <a:avLst/>
                    </a:prstGeom>
                    <a:noFill/>
                    <a:ln>
                      <a:noFill/>
                    </a:ln>
                  </pic:spPr>
                </pic:pic>
              </a:graphicData>
            </a:graphic>
          </wp:inline>
        </w:drawing>
      </w:r>
    </w:p>
    <w:p w:rsidR="002C39A3" w:rsidRDefault="002C39A3" w:rsidP="00361FA9">
      <w:pPr>
        <w:jc w:val="center"/>
      </w:pPr>
      <w:r>
        <w:rPr>
          <w:noProof/>
          <w:lang w:eastAsia="en-AU"/>
        </w:rPr>
        <w:drawing>
          <wp:inline distT="0" distB="0" distL="0" distR="0" wp14:anchorId="16B2D519" wp14:editId="65A5EA69">
            <wp:extent cx="4724400" cy="5419725"/>
            <wp:effectExtent l="0" t="0" r="0" b="9525"/>
            <wp:docPr id="8" name="Picture 8" descr="R:\Admin\eDraftPDFs\BP5\VAGO_report_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dmin\eDraftPDFs\BP5\VAGO_report_page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727547" cy="5423335"/>
                    </a:xfrm>
                    <a:prstGeom prst="rect">
                      <a:avLst/>
                    </a:prstGeom>
                    <a:noFill/>
                    <a:ln>
                      <a:noFill/>
                    </a:ln>
                    <a:extLst>
                      <a:ext uri="{53640926-AAD7-44D8-BBD7-CCE9431645EC}">
                        <a14:shadowObscured xmlns:a14="http://schemas.microsoft.com/office/drawing/2010/main"/>
                      </a:ext>
                    </a:extLst>
                  </pic:spPr>
                </pic:pic>
              </a:graphicData>
            </a:graphic>
          </wp:inline>
        </w:drawing>
      </w:r>
    </w:p>
    <w:p w:rsidR="002C39A3" w:rsidRDefault="002C39A3" w:rsidP="00361FA9">
      <w:pPr>
        <w:jc w:val="center"/>
      </w:pPr>
      <w:r>
        <w:rPr>
          <w:noProof/>
          <w:lang w:eastAsia="en-AU"/>
        </w:rPr>
        <w:drawing>
          <wp:inline distT="0" distB="0" distL="0" distR="0" wp14:anchorId="291E9F2E" wp14:editId="16CD63CE">
            <wp:extent cx="4676775" cy="281100"/>
            <wp:effectExtent l="0" t="0" r="0" b="5080"/>
            <wp:docPr id="11" name="Picture 11" descr="R:\Admin\eDraftPDFs\BP5\VAGO_report_p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dmin\eDraftPDFs\BP5\VAGO_report_page2.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680000" cy="281294"/>
                    </a:xfrm>
                    <a:prstGeom prst="rect">
                      <a:avLst/>
                    </a:prstGeom>
                    <a:noFill/>
                    <a:ln>
                      <a:noFill/>
                    </a:ln>
                    <a:extLst>
                      <a:ext uri="{53640926-AAD7-44D8-BBD7-CCE9431645EC}">
                        <a14:shadowObscured xmlns:a14="http://schemas.microsoft.com/office/drawing/2010/main"/>
                      </a:ext>
                    </a:extLst>
                  </pic:spPr>
                </pic:pic>
              </a:graphicData>
            </a:graphic>
          </wp:inline>
        </w:drawing>
      </w:r>
    </w:p>
    <w:p w:rsidR="002C39A3" w:rsidRDefault="002C39A3" w:rsidP="00361FA9">
      <w:pPr>
        <w:pStyle w:val="Heading2NotesContd"/>
        <w:spacing w:before="360"/>
        <w:ind w:left="1151" w:hanging="1151"/>
      </w:pPr>
      <w:r>
        <w:lastRenderedPageBreak/>
        <w:t>AUDITOR</w:t>
      </w:r>
      <w:r>
        <w:noBreakHyphen/>
        <w:t>GENERAL</w:t>
      </w:r>
      <w:r w:rsidR="0097550F">
        <w:t>’</w:t>
      </w:r>
      <w:r>
        <w:t xml:space="preserve">S REPORT </w:t>
      </w:r>
      <w:r w:rsidRPr="009F00B3">
        <w:rPr>
          <w:i/>
        </w:rPr>
        <w:t>(continued)</w:t>
      </w:r>
    </w:p>
    <w:p w:rsidR="002C39A3" w:rsidRDefault="002C39A3" w:rsidP="00361FA9">
      <w:pPr>
        <w:pStyle w:val="Chartpara"/>
        <w:spacing w:after="120"/>
      </w:pPr>
      <w:r>
        <w:rPr>
          <w:noProof/>
          <w:lang w:eastAsia="en-AU"/>
        </w:rPr>
        <w:drawing>
          <wp:inline distT="0" distB="0" distL="0" distR="0" wp14:anchorId="607AA33C" wp14:editId="5BD526FC">
            <wp:extent cx="4680000" cy="6572129"/>
            <wp:effectExtent l="0" t="0" r="6350" b="635"/>
            <wp:docPr id="9" name="Picture 9" descr="R:\Admin\eDraftPDFs\BP5\VAGO_report_p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dmin\eDraftPDFs\BP5\VAGO_report_page2.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680000" cy="6572129"/>
                    </a:xfrm>
                    <a:prstGeom prst="rect">
                      <a:avLst/>
                    </a:prstGeom>
                    <a:noFill/>
                    <a:ln>
                      <a:noFill/>
                    </a:ln>
                    <a:extLst>
                      <a:ext uri="{53640926-AAD7-44D8-BBD7-CCE9431645EC}">
                        <a14:shadowObscured xmlns:a14="http://schemas.microsoft.com/office/drawing/2010/main"/>
                      </a:ext>
                    </a:extLst>
                  </pic:spPr>
                </pic:pic>
              </a:graphicData>
            </a:graphic>
          </wp:inline>
        </w:drawing>
      </w:r>
    </w:p>
    <w:p w:rsidR="002C39A3" w:rsidRDefault="002C39A3" w:rsidP="00361FA9">
      <w:pPr>
        <w:pStyle w:val="Heading2NotesContd"/>
        <w:spacing w:before="360"/>
        <w:ind w:left="1151" w:hanging="1151"/>
      </w:pPr>
      <w:r>
        <w:lastRenderedPageBreak/>
        <w:t>AUDITOR</w:t>
      </w:r>
      <w:r>
        <w:noBreakHyphen/>
        <w:t>GENERAL</w:t>
      </w:r>
      <w:r w:rsidR="0097550F">
        <w:t>’</w:t>
      </w:r>
      <w:r>
        <w:t xml:space="preserve">S REPORT </w:t>
      </w:r>
      <w:r w:rsidRPr="009F00B3">
        <w:rPr>
          <w:i/>
        </w:rPr>
        <w:t>(continued)</w:t>
      </w:r>
    </w:p>
    <w:p w:rsidR="002C39A3" w:rsidRDefault="002C39A3" w:rsidP="00361FA9">
      <w:pPr>
        <w:pStyle w:val="Chartpara"/>
        <w:rPr>
          <w:noProof/>
          <w:lang w:eastAsia="en-AU"/>
        </w:rPr>
      </w:pPr>
      <w:r>
        <w:rPr>
          <w:noProof/>
          <w:lang w:eastAsia="en-AU"/>
        </w:rPr>
        <w:drawing>
          <wp:inline distT="0" distB="0" distL="0" distR="0" wp14:anchorId="1B458ADC" wp14:editId="55ECD052">
            <wp:extent cx="4749441" cy="6552000"/>
            <wp:effectExtent l="0" t="0" r="0" b="1270"/>
            <wp:docPr id="10" name="Picture 10" descr="R:\Admin\eDraftPDFs\BP5\VAGO_report_p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dmin\eDraftPDFs\BP5\VAGO_report_page3.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749441" cy="6552000"/>
                    </a:xfrm>
                    <a:prstGeom prst="rect">
                      <a:avLst/>
                    </a:prstGeom>
                    <a:noFill/>
                    <a:ln>
                      <a:noFill/>
                    </a:ln>
                    <a:extLst>
                      <a:ext uri="{53640926-AAD7-44D8-BBD7-CCE9431645EC}">
                        <a14:shadowObscured xmlns:a14="http://schemas.microsoft.com/office/drawing/2010/main"/>
                      </a:ext>
                    </a:extLst>
                  </pic:spPr>
                </pic:pic>
              </a:graphicData>
            </a:graphic>
          </wp:inline>
        </w:drawing>
      </w:r>
    </w:p>
    <w:p w:rsidR="002C39A3" w:rsidRDefault="002C39A3" w:rsidP="00361FA9">
      <w:pPr>
        <w:pStyle w:val="Chartpara"/>
        <w:spacing w:after="120"/>
      </w:pPr>
    </w:p>
    <w:p w:rsidR="002C39A3" w:rsidRDefault="002C39A3">
      <w:pPr>
        <w:spacing w:after="0"/>
      </w:pPr>
      <w:r>
        <w:br w:type="page"/>
      </w:r>
    </w:p>
    <w:p w:rsidR="002C39A3" w:rsidRPr="00A1602E" w:rsidRDefault="002C39A3" w:rsidP="00361FA9">
      <w:pPr>
        <w:pStyle w:val="Heading1"/>
      </w:pPr>
      <w:bookmarkStart w:id="3" w:name="_Toc449116189"/>
      <w:r w:rsidRPr="00A1602E">
        <w:lastRenderedPageBreak/>
        <w:t>Certification by the Treasurer and the Department of Treasury and Finance</w:t>
      </w:r>
      <w:bookmarkEnd w:id="3"/>
    </w:p>
    <w:p w:rsidR="002C39A3" w:rsidRPr="00222026" w:rsidRDefault="002C39A3" w:rsidP="00361FA9">
      <w:pPr>
        <w:ind w:right="-113"/>
        <w:rPr>
          <w:sz w:val="20"/>
        </w:rPr>
      </w:pPr>
      <w:r w:rsidRPr="00222026">
        <w:rPr>
          <w:sz w:val="20"/>
        </w:rPr>
        <w:t xml:space="preserve">The Estimated Financial Statements of the Victorian general government sector have been </w:t>
      </w:r>
      <w:r>
        <w:rPr>
          <w:sz w:val="20"/>
        </w:rPr>
        <w:br/>
      </w:r>
      <w:r w:rsidRPr="00222026">
        <w:rPr>
          <w:sz w:val="20"/>
        </w:rPr>
        <w:t>prepared on the basis of the economic and fiscal information available to the Department of Treasury and Finance.</w:t>
      </w:r>
    </w:p>
    <w:p w:rsidR="002C39A3" w:rsidRPr="00222026" w:rsidRDefault="002C39A3" w:rsidP="00361FA9">
      <w:pPr>
        <w:ind w:right="-113"/>
        <w:rPr>
          <w:sz w:val="20"/>
        </w:rPr>
      </w:pPr>
      <w:r w:rsidRPr="00222026">
        <w:rPr>
          <w:sz w:val="20"/>
        </w:rPr>
        <w:t>In our opinion, the Estimated Financial Statements, which comprise the estimated general government sector comprehensive operating statement, balance sheet, cash flow statement, statement of changes in equity, together with the notes to the est</w:t>
      </w:r>
      <w:r>
        <w:rPr>
          <w:sz w:val="20"/>
        </w:rPr>
        <w:t>imated financial statements for the </w:t>
      </w:r>
      <w:r w:rsidRPr="00222026">
        <w:rPr>
          <w:sz w:val="20"/>
        </w:rPr>
        <w:t>year ending 30 June 2017 and the three forward years ending 30 June 2018, 2019 and 2020:</w:t>
      </w:r>
    </w:p>
    <w:p w:rsidR="002C39A3" w:rsidRPr="00222026" w:rsidRDefault="002C39A3" w:rsidP="00361FA9">
      <w:pPr>
        <w:spacing w:after="80"/>
        <w:ind w:left="425" w:right="-113" w:hanging="425"/>
        <w:rPr>
          <w:sz w:val="20"/>
          <w:lang w:eastAsia="en-AU"/>
        </w:rPr>
      </w:pPr>
      <w:r w:rsidRPr="00222026">
        <w:rPr>
          <w:sz w:val="20"/>
          <w:lang w:eastAsia="en-AU"/>
        </w:rPr>
        <w:t xml:space="preserve">(a) </w:t>
      </w:r>
      <w:r w:rsidRPr="00222026">
        <w:rPr>
          <w:sz w:val="20"/>
          <w:lang w:eastAsia="en-AU"/>
        </w:rPr>
        <w:tab/>
        <w:t xml:space="preserve">have been prepared in accordance with sections 23H – 23K of the </w:t>
      </w:r>
      <w:r w:rsidRPr="00222026">
        <w:rPr>
          <w:rFonts w:cs="Garamond-Italic"/>
          <w:i/>
          <w:iCs/>
          <w:sz w:val="20"/>
          <w:lang w:eastAsia="en-AU"/>
        </w:rPr>
        <w:t>Financial Management Act 1994</w:t>
      </w:r>
      <w:r w:rsidRPr="00222026">
        <w:rPr>
          <w:rFonts w:ascii="Garamond-Italic" w:hAnsi="Garamond-Italic" w:cs="Garamond-Italic"/>
          <w:i/>
          <w:iCs/>
          <w:sz w:val="20"/>
          <w:lang w:eastAsia="en-AU"/>
        </w:rPr>
        <w:t xml:space="preserve">, </w:t>
      </w:r>
      <w:r w:rsidRPr="00222026">
        <w:rPr>
          <w:sz w:val="20"/>
          <w:lang w:eastAsia="en-AU"/>
        </w:rPr>
        <w:t xml:space="preserve">having regard to relevant Australian Accounting Standards and pronouncements, and in the absence of an Australian Accounting Standard for the preparation of prospective financial statements, New Zealand Public Benefit Entity Financial Reporting Standard 42 </w:t>
      </w:r>
      <w:r w:rsidRPr="00222026">
        <w:rPr>
          <w:rFonts w:cs="Garamond-Italic"/>
          <w:i/>
          <w:iCs/>
          <w:sz w:val="20"/>
          <w:lang w:eastAsia="en-AU"/>
        </w:rPr>
        <w:t>Prospective Financial Statements</w:t>
      </w:r>
      <w:r w:rsidRPr="00222026">
        <w:rPr>
          <w:sz w:val="20"/>
          <w:lang w:eastAsia="en-AU"/>
        </w:rPr>
        <w:t>;</w:t>
      </w:r>
    </w:p>
    <w:p w:rsidR="002C39A3" w:rsidRPr="00222026" w:rsidRDefault="002C39A3" w:rsidP="00361FA9">
      <w:pPr>
        <w:spacing w:after="80"/>
        <w:ind w:left="425" w:right="-113" w:hanging="425"/>
        <w:rPr>
          <w:sz w:val="20"/>
          <w:lang w:eastAsia="en-AU"/>
        </w:rPr>
      </w:pPr>
      <w:r w:rsidRPr="00222026">
        <w:rPr>
          <w:sz w:val="20"/>
          <w:lang w:eastAsia="en-AU"/>
        </w:rPr>
        <w:t xml:space="preserve">(b) </w:t>
      </w:r>
      <w:r w:rsidRPr="00222026">
        <w:rPr>
          <w:sz w:val="20"/>
          <w:lang w:eastAsia="en-AU"/>
        </w:rPr>
        <w:tab/>
        <w:t xml:space="preserve">take into account government decisions and other circumstances that may have a material effect; and </w:t>
      </w:r>
    </w:p>
    <w:p w:rsidR="002C39A3" w:rsidRPr="00222026" w:rsidRDefault="002C39A3" w:rsidP="00361FA9">
      <w:pPr>
        <w:pStyle w:val="BodyTextIndent"/>
        <w:spacing w:after="80"/>
        <w:ind w:left="425" w:right="-113" w:hanging="425"/>
      </w:pPr>
      <w:r w:rsidRPr="00222026">
        <w:t xml:space="preserve">(c) </w:t>
      </w:r>
      <w:r w:rsidRPr="00222026">
        <w:tab/>
        <w:t>have been prepared using best professional judgement given the prospective nature of the Estimated Financial Statements.</w:t>
      </w:r>
    </w:p>
    <w:p w:rsidR="002C39A3" w:rsidRPr="00222026" w:rsidRDefault="002C39A3" w:rsidP="00361FA9">
      <w:pPr>
        <w:pStyle w:val="BodyText2"/>
        <w:ind w:right="-113"/>
        <w:rPr>
          <w:sz w:val="20"/>
          <w:szCs w:val="20"/>
        </w:rPr>
      </w:pPr>
      <w:r w:rsidRPr="00222026">
        <w:rPr>
          <w:sz w:val="20"/>
          <w:szCs w:val="20"/>
        </w:rPr>
        <w:t>At the time of signing, we are not aware of any circumstances which would render any particulars included in the Estimated Financial Statements to be misleading.</w:t>
      </w:r>
    </w:p>
    <w:p w:rsidR="002C39A3" w:rsidRPr="00222026" w:rsidRDefault="002C39A3" w:rsidP="00361FA9">
      <w:pPr>
        <w:pStyle w:val="Heading4"/>
        <w:spacing w:before="120" w:after="60"/>
      </w:pPr>
      <w:r w:rsidRPr="00222026">
        <w:t>Accounting for the East West Link project funding</w:t>
      </w:r>
    </w:p>
    <w:p w:rsidR="002C39A3" w:rsidRPr="00222026" w:rsidRDefault="002C39A3" w:rsidP="00361FA9">
      <w:pPr>
        <w:pStyle w:val="BodyText2"/>
        <w:ind w:right="-170"/>
        <w:rPr>
          <w:sz w:val="20"/>
          <w:szCs w:val="20"/>
          <w:lang w:eastAsia="en-US"/>
        </w:rPr>
      </w:pPr>
      <w:r w:rsidRPr="00222026">
        <w:rPr>
          <w:sz w:val="20"/>
          <w:szCs w:val="20"/>
          <w:lang w:eastAsia="en-US"/>
        </w:rPr>
        <w:t>Particular attention is drawn to Note 1 (G) to the Estimated Financial</w:t>
      </w:r>
      <w:r>
        <w:rPr>
          <w:sz w:val="20"/>
          <w:szCs w:val="20"/>
          <w:lang w:eastAsia="en-US"/>
        </w:rPr>
        <w:t xml:space="preserve"> Statements which describes the </w:t>
      </w:r>
      <w:r w:rsidRPr="00222026">
        <w:rPr>
          <w:sz w:val="20"/>
          <w:szCs w:val="20"/>
          <w:lang w:eastAsia="en-US"/>
        </w:rPr>
        <w:t>judgements made supporting the basis of accounting adopted for the $1.5 billion contribution previously provided by the Commonwealth Government towards the former East West Link project.</w:t>
      </w:r>
    </w:p>
    <w:p w:rsidR="002C39A3" w:rsidRPr="00222026" w:rsidRDefault="002C39A3" w:rsidP="00361FA9">
      <w:pPr>
        <w:ind w:right="-113"/>
        <w:rPr>
          <w:sz w:val="20"/>
        </w:rPr>
      </w:pPr>
      <w:r w:rsidRPr="00222026">
        <w:rPr>
          <w:sz w:val="20"/>
        </w:rPr>
        <w:t xml:space="preserve">In 2013-14 the State received $1.5 billion from the Commonwealth Government as a contribution towards the former East West Link project. This was recorded as income from transactions in the </w:t>
      </w:r>
      <w:r w:rsidRPr="00222026">
        <w:rPr>
          <w:i/>
          <w:sz w:val="20"/>
        </w:rPr>
        <w:t>2013-14 Financial Report</w:t>
      </w:r>
      <w:r w:rsidRPr="00222026">
        <w:rPr>
          <w:sz w:val="20"/>
        </w:rPr>
        <w:t xml:space="preserve"> for the State of Victoria. The Government confirmed in November 2014 that the East West Link project would not proceed and that it would not return the $1.5 billion to the Commonwealth Government. The State subsequently sought independent legal and accounting advice on the appropriate accounting treatment for this transaction. This advice concluded that the State is not required to recognise a liability under Australian Accounting Standards AASB 1004 </w:t>
      </w:r>
      <w:r w:rsidRPr="00222026">
        <w:rPr>
          <w:i/>
          <w:sz w:val="20"/>
        </w:rPr>
        <w:t>Contributions</w:t>
      </w:r>
      <w:r w:rsidRPr="00222026">
        <w:rPr>
          <w:sz w:val="20"/>
        </w:rPr>
        <w:t xml:space="preserve"> and AASB 137 </w:t>
      </w:r>
      <w:r w:rsidRPr="00222026">
        <w:rPr>
          <w:i/>
          <w:sz w:val="20"/>
        </w:rPr>
        <w:t>Provisions, Contingent Liabilities and Contingent Assets</w:t>
      </w:r>
      <w:r w:rsidRPr="00222026">
        <w:rPr>
          <w:sz w:val="20"/>
        </w:rPr>
        <w:t xml:space="preserve"> as there is no present obligation on the State to return the funding previously received for the project. </w:t>
      </w:r>
    </w:p>
    <w:p w:rsidR="002C39A3" w:rsidRPr="00222026" w:rsidRDefault="002C39A3" w:rsidP="00361FA9">
      <w:pPr>
        <w:pStyle w:val="BodyText2"/>
        <w:ind w:right="-113"/>
        <w:rPr>
          <w:sz w:val="20"/>
          <w:szCs w:val="20"/>
          <w:lang w:eastAsia="en-US"/>
        </w:rPr>
      </w:pPr>
      <w:r w:rsidRPr="00222026">
        <w:rPr>
          <w:sz w:val="20"/>
          <w:szCs w:val="20"/>
          <w:lang w:eastAsia="en-US"/>
        </w:rPr>
        <w:t xml:space="preserve">On 8 April 2016, the Commonwealth Government confirmed </w:t>
      </w:r>
      <w:r>
        <w:rPr>
          <w:sz w:val="20"/>
          <w:szCs w:val="20"/>
          <w:lang w:eastAsia="en-US"/>
        </w:rPr>
        <w:t xml:space="preserve">in writing </w:t>
      </w:r>
      <w:r w:rsidRPr="00222026">
        <w:rPr>
          <w:sz w:val="20"/>
          <w:szCs w:val="20"/>
          <w:lang w:eastAsia="en-US"/>
        </w:rPr>
        <w:t xml:space="preserve">that the $1.5 billion </w:t>
      </w:r>
      <w:r>
        <w:rPr>
          <w:sz w:val="20"/>
          <w:szCs w:val="20"/>
          <w:lang w:eastAsia="en-US"/>
        </w:rPr>
        <w:t xml:space="preserve">will </w:t>
      </w:r>
      <w:r w:rsidRPr="00222026">
        <w:rPr>
          <w:sz w:val="20"/>
          <w:szCs w:val="20"/>
          <w:lang w:eastAsia="en-US"/>
        </w:rPr>
        <w:t xml:space="preserve">be retained by the State </w:t>
      </w:r>
      <w:r>
        <w:rPr>
          <w:sz w:val="20"/>
          <w:szCs w:val="20"/>
          <w:lang w:eastAsia="en-US"/>
        </w:rPr>
        <w:t>and allocated to other projects, over and above funding separately committed by the Commonwealth Government.</w:t>
      </w:r>
      <w:r w:rsidRPr="00222026">
        <w:rPr>
          <w:sz w:val="20"/>
          <w:szCs w:val="20"/>
          <w:lang w:eastAsia="en-US"/>
        </w:rPr>
        <w:t xml:space="preserve"> </w:t>
      </w:r>
      <w:r>
        <w:rPr>
          <w:sz w:val="20"/>
          <w:szCs w:val="20"/>
          <w:lang w:eastAsia="en-US"/>
        </w:rPr>
        <w:t xml:space="preserve">The State has accepted the offer and confirmed that it will work to </w:t>
      </w:r>
      <w:r w:rsidRPr="00222026">
        <w:rPr>
          <w:sz w:val="20"/>
          <w:szCs w:val="20"/>
          <w:lang w:eastAsia="en-US"/>
        </w:rPr>
        <w:t xml:space="preserve">finalise </w:t>
      </w:r>
      <w:r>
        <w:rPr>
          <w:sz w:val="20"/>
          <w:szCs w:val="20"/>
          <w:lang w:eastAsia="en-US"/>
        </w:rPr>
        <w:t>implementation arrangements.</w:t>
      </w:r>
    </w:p>
    <w:p w:rsidR="002C39A3" w:rsidRPr="00222026" w:rsidRDefault="00315533" w:rsidP="00361FA9">
      <w:pPr>
        <w:pStyle w:val="BodyText2"/>
        <w:spacing w:after="0"/>
        <w:ind w:right="-113"/>
        <w:rPr>
          <w:sz w:val="20"/>
          <w:szCs w:val="20"/>
          <w:lang w:eastAsia="en-US"/>
        </w:rPr>
      </w:pPr>
      <w:r>
        <w:rPr>
          <w:noProof/>
          <w:sz w:val="20"/>
          <w:szCs w:val="20"/>
        </w:rPr>
        <w:drawing>
          <wp:anchor distT="0" distB="0" distL="114300" distR="114300" simplePos="0" relativeHeight="251658240" behindDoc="1" locked="0" layoutInCell="1" allowOverlap="1" wp14:anchorId="7900AEAE" wp14:editId="2A3A41B3">
            <wp:simplePos x="0" y="0"/>
            <wp:positionH relativeFrom="column">
              <wp:posOffset>-15875</wp:posOffset>
            </wp:positionH>
            <wp:positionV relativeFrom="paragraph">
              <wp:posOffset>426615</wp:posOffset>
            </wp:positionV>
            <wp:extent cx="4264660" cy="1017270"/>
            <wp:effectExtent l="0" t="0" r="2540" b="0"/>
            <wp:wrapNone/>
            <wp:docPr id="3" name="Picture 3" descr="R:\Admin\eDraftPDFs\BP5\TreasurerSecretarySign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dmin\eDraftPDFs\BP5\TreasurerSecretarySignOff.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424"/>
                    <a:stretch/>
                  </pic:blipFill>
                  <pic:spPr bwMode="auto">
                    <a:xfrm>
                      <a:off x="0" y="0"/>
                      <a:ext cx="42646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39A3" w:rsidRPr="00222026">
        <w:rPr>
          <w:sz w:val="20"/>
          <w:szCs w:val="20"/>
          <w:lang w:eastAsia="en-US"/>
        </w:rPr>
        <w:t>On this basis, no liability has been recognised by the State in relation to this transaction in the Estimated Financial Statements, pending finalisation of discussions with the Commonwealth on the allocation of the funding to other infrastructure projects.</w:t>
      </w:r>
    </w:p>
    <w:p w:rsidR="002C39A3" w:rsidRDefault="002C39A3" w:rsidP="00361FA9">
      <w:pPr>
        <w:pStyle w:val="BodyText2"/>
        <w:spacing w:after="0"/>
        <w:ind w:left="-28" w:right="-113"/>
        <w:rPr>
          <w:sz w:val="20"/>
          <w:szCs w:val="20"/>
          <w:lang w:eastAsia="en-US"/>
        </w:rPr>
      </w:pPr>
    </w:p>
    <w:p w:rsidR="002C39A3" w:rsidRPr="00A1602E" w:rsidRDefault="002C39A3" w:rsidP="00361FA9">
      <w:pPr>
        <w:pStyle w:val="Heading1"/>
      </w:pPr>
      <w:bookmarkStart w:id="4" w:name="_Toc449116190"/>
      <w:r w:rsidRPr="00A1602E">
        <w:lastRenderedPageBreak/>
        <w:t>Estimated Financial Statements</w:t>
      </w:r>
      <w:bookmarkEnd w:id="4"/>
    </w:p>
    <w:p w:rsidR="002C39A3" w:rsidRDefault="002C39A3" w:rsidP="00361FA9">
      <w:pPr>
        <w:pStyle w:val="Tableheading"/>
      </w:pPr>
      <w:r>
        <w:t>Table 1.1:</w:t>
      </w:r>
      <w:r>
        <w:tab/>
        <w:t>Estimated general government sector comprehensive operating statement for the financial year ended 30 June</w:t>
      </w:r>
    </w:p>
    <w:p w:rsidR="002C39A3" w:rsidRPr="00114E35" w:rsidRDefault="002C39A3" w:rsidP="00361FA9">
      <w:pPr>
        <w:pStyle w:val="million"/>
        <w:rPr>
          <w:rFonts w:eastAsiaTheme="minorEastAsia"/>
          <w:lang w:val="en-US" w:eastAsia="en-AU"/>
        </w:rPr>
      </w:pPr>
      <w:r>
        <w:t>($ million)</w:t>
      </w:r>
    </w:p>
    <w:tbl>
      <w:tblPr>
        <w:tblW w:w="7766" w:type="dxa"/>
        <w:tblInd w:w="45" w:type="dxa"/>
        <w:tblLayout w:type="fixed"/>
        <w:tblCellMar>
          <w:left w:w="45" w:type="dxa"/>
          <w:right w:w="45" w:type="dxa"/>
        </w:tblCellMar>
        <w:tblLook w:val="0000" w:firstRow="0" w:lastRow="0" w:firstColumn="0" w:lastColumn="0" w:noHBand="0" w:noVBand="0"/>
      </w:tblPr>
      <w:tblGrid>
        <w:gridCol w:w="3606"/>
        <w:gridCol w:w="737"/>
        <w:gridCol w:w="850"/>
        <w:gridCol w:w="850"/>
        <w:gridCol w:w="856"/>
        <w:gridCol w:w="867"/>
      </w:tblGrid>
      <w:tr w:rsidR="002C39A3" w:rsidRPr="00114E35" w:rsidTr="00361FA9">
        <w:trPr>
          <w:trHeight w:val="464"/>
          <w:tblHeader/>
        </w:trPr>
        <w:tc>
          <w:tcPr>
            <w:tcW w:w="3606"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737"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center"/>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Notes</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2016-17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2017-18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6"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2018-19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67"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2019-20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r>
      <w:tr w:rsidR="002C39A3" w:rsidRPr="00114E35" w:rsidTr="00361FA9">
        <w:tc>
          <w:tcPr>
            <w:tcW w:w="7766" w:type="dxa"/>
            <w:gridSpan w:val="6"/>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Revenue from transactions</w:t>
            </w:r>
          </w:p>
        </w:tc>
      </w:tr>
      <w:tr w:rsidR="002C39A3" w:rsidRPr="00114E35" w:rsidTr="00361FA9">
        <w:tc>
          <w:tcPr>
            <w:tcW w:w="3606"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Taxation revenue</w:t>
            </w:r>
          </w:p>
        </w:tc>
        <w:tc>
          <w:tcPr>
            <w:tcW w:w="73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21 594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21 292</w:t>
            </w:r>
          </w:p>
        </w:tc>
        <w:tc>
          <w:tcPr>
            <w:tcW w:w="856"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22 468</w:t>
            </w:r>
          </w:p>
        </w:tc>
        <w:tc>
          <w:tcPr>
            <w:tcW w:w="86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23 354</w:t>
            </w:r>
          </w:p>
        </w:tc>
      </w:tr>
      <w:tr w:rsidR="002C39A3" w:rsidRPr="00114E35" w:rsidTr="00361FA9">
        <w:tc>
          <w:tcPr>
            <w:tcW w:w="3606"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Interest revenue</w:t>
            </w:r>
          </w:p>
        </w:tc>
        <w:tc>
          <w:tcPr>
            <w:tcW w:w="73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 xml:space="preserve"> </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881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915</w:t>
            </w:r>
          </w:p>
        </w:tc>
        <w:tc>
          <w:tcPr>
            <w:tcW w:w="856"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903</w:t>
            </w:r>
          </w:p>
        </w:tc>
        <w:tc>
          <w:tcPr>
            <w:tcW w:w="86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906</w:t>
            </w:r>
          </w:p>
        </w:tc>
      </w:tr>
      <w:tr w:rsidR="002C39A3" w:rsidRPr="00114E35" w:rsidTr="00361FA9">
        <w:tc>
          <w:tcPr>
            <w:tcW w:w="3606"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Dividends and income tax equivalent and rate equivalent revenue</w:t>
            </w:r>
          </w:p>
        </w:tc>
        <w:tc>
          <w:tcPr>
            <w:tcW w:w="73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1 059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1 377</w:t>
            </w:r>
          </w:p>
        </w:tc>
        <w:tc>
          <w:tcPr>
            <w:tcW w:w="856"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846</w:t>
            </w:r>
          </w:p>
        </w:tc>
        <w:tc>
          <w:tcPr>
            <w:tcW w:w="86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787</w:t>
            </w:r>
          </w:p>
        </w:tc>
      </w:tr>
      <w:tr w:rsidR="002C39A3" w:rsidRPr="00114E35" w:rsidTr="00361FA9">
        <w:tc>
          <w:tcPr>
            <w:tcW w:w="3606"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Sales of goods and services</w:t>
            </w:r>
          </w:p>
        </w:tc>
        <w:tc>
          <w:tcPr>
            <w:tcW w:w="73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6 843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7 036</w:t>
            </w:r>
          </w:p>
        </w:tc>
        <w:tc>
          <w:tcPr>
            <w:tcW w:w="856"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7 212</w:t>
            </w:r>
          </w:p>
        </w:tc>
        <w:tc>
          <w:tcPr>
            <w:tcW w:w="86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7 240</w:t>
            </w:r>
          </w:p>
        </w:tc>
      </w:tr>
      <w:tr w:rsidR="002C39A3" w:rsidRPr="00114E35" w:rsidTr="00361FA9">
        <w:tc>
          <w:tcPr>
            <w:tcW w:w="3606"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Grant revenue</w:t>
            </w:r>
          </w:p>
        </w:tc>
        <w:tc>
          <w:tcPr>
            <w:tcW w:w="73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27 424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28 069</w:t>
            </w:r>
          </w:p>
        </w:tc>
        <w:tc>
          <w:tcPr>
            <w:tcW w:w="856"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28 844</w:t>
            </w:r>
          </w:p>
        </w:tc>
        <w:tc>
          <w:tcPr>
            <w:tcW w:w="86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29 957</w:t>
            </w:r>
          </w:p>
        </w:tc>
      </w:tr>
      <w:tr w:rsidR="002C39A3" w:rsidRPr="00114E35" w:rsidTr="00361FA9">
        <w:tc>
          <w:tcPr>
            <w:tcW w:w="3606"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Other revenue</w:t>
            </w:r>
          </w:p>
        </w:tc>
        <w:tc>
          <w:tcPr>
            <w:tcW w:w="737"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2 569</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2 320</w:t>
            </w:r>
          </w:p>
        </w:tc>
        <w:tc>
          <w:tcPr>
            <w:tcW w:w="856"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2 331</w:t>
            </w:r>
          </w:p>
        </w:tc>
        <w:tc>
          <w:tcPr>
            <w:tcW w:w="867"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2 374</w:t>
            </w:r>
          </w:p>
        </w:tc>
      </w:tr>
      <w:tr w:rsidR="002C39A3" w:rsidRPr="00114E35" w:rsidTr="00361FA9">
        <w:tc>
          <w:tcPr>
            <w:tcW w:w="3606"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revenue from transactions</w:t>
            </w:r>
          </w:p>
        </w:tc>
        <w:tc>
          <w:tcPr>
            <w:tcW w:w="737"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 xml:space="preserve"> </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60 370</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61 009</w:t>
            </w:r>
          </w:p>
        </w:tc>
        <w:tc>
          <w:tcPr>
            <w:tcW w:w="856"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62 604</w:t>
            </w:r>
          </w:p>
        </w:tc>
        <w:tc>
          <w:tcPr>
            <w:tcW w:w="867"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64 618</w:t>
            </w:r>
          </w:p>
        </w:tc>
      </w:tr>
      <w:tr w:rsidR="002C39A3" w:rsidRPr="00114E35" w:rsidTr="00361FA9">
        <w:tc>
          <w:tcPr>
            <w:tcW w:w="7766" w:type="dxa"/>
            <w:gridSpan w:val="6"/>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Expenses from transactions</w:t>
            </w:r>
          </w:p>
        </w:tc>
      </w:tr>
      <w:tr w:rsidR="002C39A3" w:rsidRPr="00114E35" w:rsidTr="00361FA9">
        <w:tc>
          <w:tcPr>
            <w:tcW w:w="3606"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Employee expenses</w:t>
            </w:r>
          </w:p>
        </w:tc>
        <w:tc>
          <w:tcPr>
            <w:tcW w:w="73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 xml:space="preserve"> </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21 298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22 121</w:t>
            </w:r>
          </w:p>
        </w:tc>
        <w:tc>
          <w:tcPr>
            <w:tcW w:w="856"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23 031</w:t>
            </w:r>
          </w:p>
        </w:tc>
        <w:tc>
          <w:tcPr>
            <w:tcW w:w="86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23 713</w:t>
            </w:r>
          </w:p>
        </w:tc>
      </w:tr>
      <w:tr w:rsidR="002C39A3" w:rsidRPr="00114E35" w:rsidTr="00361FA9">
        <w:tc>
          <w:tcPr>
            <w:tcW w:w="3606"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Net superannuation interest expense</w:t>
            </w:r>
          </w:p>
        </w:tc>
        <w:tc>
          <w:tcPr>
            <w:tcW w:w="73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7a</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791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769</w:t>
            </w:r>
          </w:p>
        </w:tc>
        <w:tc>
          <w:tcPr>
            <w:tcW w:w="856"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745</w:t>
            </w:r>
          </w:p>
        </w:tc>
        <w:tc>
          <w:tcPr>
            <w:tcW w:w="86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720</w:t>
            </w:r>
          </w:p>
        </w:tc>
      </w:tr>
      <w:tr w:rsidR="002C39A3" w:rsidRPr="00114E35" w:rsidTr="00361FA9">
        <w:tc>
          <w:tcPr>
            <w:tcW w:w="3606"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Other superannuation</w:t>
            </w:r>
          </w:p>
        </w:tc>
        <w:tc>
          <w:tcPr>
            <w:tcW w:w="73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7a</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2 239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2 255</w:t>
            </w:r>
          </w:p>
        </w:tc>
        <w:tc>
          <w:tcPr>
            <w:tcW w:w="856"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2 287</w:t>
            </w:r>
          </w:p>
        </w:tc>
        <w:tc>
          <w:tcPr>
            <w:tcW w:w="86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2 325</w:t>
            </w:r>
          </w:p>
        </w:tc>
      </w:tr>
      <w:tr w:rsidR="002C39A3" w:rsidRPr="00114E35" w:rsidTr="00361FA9">
        <w:tc>
          <w:tcPr>
            <w:tcW w:w="3606"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Depreciation</w:t>
            </w:r>
          </w:p>
        </w:tc>
        <w:tc>
          <w:tcPr>
            <w:tcW w:w="73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2 620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2 780</w:t>
            </w:r>
          </w:p>
        </w:tc>
        <w:tc>
          <w:tcPr>
            <w:tcW w:w="856"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3 039</w:t>
            </w:r>
          </w:p>
        </w:tc>
        <w:tc>
          <w:tcPr>
            <w:tcW w:w="86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3 216</w:t>
            </w:r>
          </w:p>
        </w:tc>
      </w:tr>
      <w:tr w:rsidR="002C39A3" w:rsidRPr="00114E35" w:rsidTr="00361FA9">
        <w:tc>
          <w:tcPr>
            <w:tcW w:w="3606"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Interest expense</w:t>
            </w:r>
          </w:p>
        </w:tc>
        <w:tc>
          <w:tcPr>
            <w:tcW w:w="73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2 433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2 231</w:t>
            </w:r>
          </w:p>
        </w:tc>
        <w:tc>
          <w:tcPr>
            <w:tcW w:w="856"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2 254</w:t>
            </w:r>
          </w:p>
        </w:tc>
        <w:tc>
          <w:tcPr>
            <w:tcW w:w="86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2 214</w:t>
            </w:r>
          </w:p>
        </w:tc>
      </w:tr>
      <w:tr w:rsidR="002C39A3" w:rsidRPr="00114E35" w:rsidTr="00361FA9">
        <w:tc>
          <w:tcPr>
            <w:tcW w:w="3606"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Grant expense</w:t>
            </w:r>
          </w:p>
        </w:tc>
        <w:tc>
          <w:tcPr>
            <w:tcW w:w="73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9 451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9 697</w:t>
            </w:r>
          </w:p>
        </w:tc>
        <w:tc>
          <w:tcPr>
            <w:tcW w:w="856"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9 942</w:t>
            </w:r>
          </w:p>
        </w:tc>
        <w:tc>
          <w:tcPr>
            <w:tcW w:w="86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10 036</w:t>
            </w:r>
          </w:p>
        </w:tc>
      </w:tr>
      <w:tr w:rsidR="002C39A3" w:rsidRPr="00114E35" w:rsidTr="00361FA9">
        <w:tc>
          <w:tcPr>
            <w:tcW w:w="3606"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Other operating expenses</w:t>
            </w:r>
          </w:p>
        </w:tc>
        <w:tc>
          <w:tcPr>
            <w:tcW w:w="737"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18 669</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19 358</w:t>
            </w:r>
          </w:p>
        </w:tc>
        <w:tc>
          <w:tcPr>
            <w:tcW w:w="856"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19 223</w:t>
            </w:r>
          </w:p>
        </w:tc>
        <w:tc>
          <w:tcPr>
            <w:tcW w:w="867"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19 923</w:t>
            </w:r>
          </w:p>
        </w:tc>
      </w:tr>
      <w:tr w:rsidR="002C39A3" w:rsidRPr="00114E35" w:rsidTr="00361FA9">
        <w:tc>
          <w:tcPr>
            <w:tcW w:w="3606"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expenses from transactions</w:t>
            </w:r>
          </w:p>
        </w:tc>
        <w:tc>
          <w:tcPr>
            <w:tcW w:w="737"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bCs/>
                <w:color w:val="000000"/>
                <w:sz w:val="19"/>
                <w:szCs w:val="19"/>
                <w:lang w:eastAsia="en-AU"/>
              </w:rPr>
            </w:pPr>
            <w:r w:rsidRPr="00114E35">
              <w:rPr>
                <w:rFonts w:ascii="Calibri" w:eastAsiaTheme="minorEastAsia" w:hAnsi="Calibri" w:cs="Calibri"/>
                <w:bCs/>
                <w:color w:val="000000"/>
                <w:sz w:val="19"/>
                <w:szCs w:val="19"/>
                <w:lang w:eastAsia="en-AU"/>
              </w:rPr>
              <w:t>12</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57 501</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59 212</w:t>
            </w:r>
          </w:p>
        </w:tc>
        <w:tc>
          <w:tcPr>
            <w:tcW w:w="856"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60 522</w:t>
            </w:r>
          </w:p>
        </w:tc>
        <w:tc>
          <w:tcPr>
            <w:tcW w:w="867"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62 147</w:t>
            </w:r>
          </w:p>
        </w:tc>
      </w:tr>
      <w:tr w:rsidR="002C39A3" w:rsidRPr="00114E35" w:rsidTr="00361FA9">
        <w:tc>
          <w:tcPr>
            <w:tcW w:w="3606"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Net result from transactions – net operating balance</w:t>
            </w:r>
          </w:p>
        </w:tc>
        <w:tc>
          <w:tcPr>
            <w:tcW w:w="737"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 xml:space="preserve"> </w:t>
            </w:r>
          </w:p>
        </w:tc>
        <w:tc>
          <w:tcPr>
            <w:tcW w:w="850"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2 869</w:t>
            </w:r>
          </w:p>
        </w:tc>
        <w:tc>
          <w:tcPr>
            <w:tcW w:w="850"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1 797</w:t>
            </w:r>
          </w:p>
        </w:tc>
        <w:tc>
          <w:tcPr>
            <w:tcW w:w="856"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2 082</w:t>
            </w:r>
          </w:p>
        </w:tc>
        <w:tc>
          <w:tcPr>
            <w:tcW w:w="867"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2 471</w:t>
            </w:r>
          </w:p>
        </w:tc>
      </w:tr>
      <w:tr w:rsidR="002C39A3" w:rsidRPr="00114E35" w:rsidTr="00361FA9">
        <w:tc>
          <w:tcPr>
            <w:tcW w:w="7766" w:type="dxa"/>
            <w:gridSpan w:val="6"/>
            <w:tcBorders>
              <w:top w:val="single" w:sz="12" w:space="0" w:color="000000"/>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 xml:space="preserve">Other economic flows included in net result </w:t>
            </w:r>
          </w:p>
        </w:tc>
      </w:tr>
      <w:tr w:rsidR="002C39A3" w:rsidRPr="00114E35" w:rsidTr="00361FA9">
        <w:tc>
          <w:tcPr>
            <w:tcW w:w="3606"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Net gain/(loss) on disposal of non-financial assets</w:t>
            </w:r>
          </w:p>
        </w:tc>
        <w:tc>
          <w:tcPr>
            <w:tcW w:w="73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 xml:space="preserve"> </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337</w:t>
            </w:r>
          </w:p>
        </w:tc>
        <w:tc>
          <w:tcPr>
            <w:tcW w:w="856"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77</w:t>
            </w:r>
          </w:p>
        </w:tc>
        <w:tc>
          <w:tcPr>
            <w:tcW w:w="86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67</w:t>
            </w:r>
          </w:p>
        </w:tc>
      </w:tr>
      <w:tr w:rsidR="002C39A3" w:rsidRPr="00114E35" w:rsidTr="00361FA9">
        <w:tc>
          <w:tcPr>
            <w:tcW w:w="3606"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Net gain/(loss) on financial assets or liabilities at fair value</w:t>
            </w:r>
          </w:p>
        </w:tc>
        <w:tc>
          <w:tcPr>
            <w:tcW w:w="73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 xml:space="preserve"> </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16</w:t>
            </w:r>
          </w:p>
        </w:tc>
        <w:tc>
          <w:tcPr>
            <w:tcW w:w="856"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17</w:t>
            </w:r>
          </w:p>
        </w:tc>
        <w:tc>
          <w:tcPr>
            <w:tcW w:w="86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17</w:t>
            </w:r>
          </w:p>
        </w:tc>
      </w:tr>
      <w:tr w:rsidR="002C39A3" w:rsidRPr="00114E35" w:rsidTr="00361FA9">
        <w:tc>
          <w:tcPr>
            <w:tcW w:w="3606"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Other gains/(losses) from other economic flows</w:t>
            </w:r>
          </w:p>
        </w:tc>
        <w:tc>
          <w:tcPr>
            <w:tcW w:w="737"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13</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(318)</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(328)</w:t>
            </w:r>
          </w:p>
        </w:tc>
        <w:tc>
          <w:tcPr>
            <w:tcW w:w="856"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(335)</w:t>
            </w:r>
          </w:p>
        </w:tc>
        <w:tc>
          <w:tcPr>
            <w:tcW w:w="867"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(349)</w:t>
            </w:r>
          </w:p>
        </w:tc>
      </w:tr>
      <w:tr w:rsidR="002C39A3" w:rsidRPr="00114E35" w:rsidTr="00361FA9">
        <w:tc>
          <w:tcPr>
            <w:tcW w:w="3606"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other</w:t>
            </w:r>
            <w:r>
              <w:rPr>
                <w:rFonts w:ascii="Calibri" w:eastAsiaTheme="minorEastAsia" w:hAnsi="Calibri" w:cs="Calibri"/>
                <w:b/>
                <w:bCs/>
                <w:color w:val="000000"/>
                <w:sz w:val="19"/>
                <w:szCs w:val="19"/>
                <w:lang w:eastAsia="en-AU"/>
              </w:rPr>
              <w:t xml:space="preserve"> economic flows included in net </w:t>
            </w:r>
            <w:r w:rsidRPr="00114E35">
              <w:rPr>
                <w:rFonts w:ascii="Calibri" w:eastAsiaTheme="minorEastAsia" w:hAnsi="Calibri" w:cs="Calibri"/>
                <w:b/>
                <w:bCs/>
                <w:color w:val="000000"/>
                <w:sz w:val="19"/>
                <w:szCs w:val="19"/>
                <w:lang w:eastAsia="en-AU"/>
              </w:rPr>
              <w:t>result</w:t>
            </w:r>
          </w:p>
        </w:tc>
        <w:tc>
          <w:tcPr>
            <w:tcW w:w="737"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 xml:space="preserve"> </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(234)</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26</w:t>
            </w:r>
          </w:p>
        </w:tc>
        <w:tc>
          <w:tcPr>
            <w:tcW w:w="856"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(241)</w:t>
            </w:r>
          </w:p>
        </w:tc>
        <w:tc>
          <w:tcPr>
            <w:tcW w:w="867"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(265)</w:t>
            </w:r>
          </w:p>
        </w:tc>
      </w:tr>
      <w:tr w:rsidR="002C39A3" w:rsidRPr="00114E35" w:rsidTr="00361FA9">
        <w:tc>
          <w:tcPr>
            <w:tcW w:w="3606"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Net result</w:t>
            </w:r>
          </w:p>
        </w:tc>
        <w:tc>
          <w:tcPr>
            <w:tcW w:w="737"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 xml:space="preserve"> </w:t>
            </w:r>
          </w:p>
        </w:tc>
        <w:tc>
          <w:tcPr>
            <w:tcW w:w="850"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2 635</w:t>
            </w:r>
          </w:p>
        </w:tc>
        <w:tc>
          <w:tcPr>
            <w:tcW w:w="850"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1 823</w:t>
            </w:r>
          </w:p>
        </w:tc>
        <w:tc>
          <w:tcPr>
            <w:tcW w:w="856"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1 841</w:t>
            </w:r>
          </w:p>
        </w:tc>
        <w:tc>
          <w:tcPr>
            <w:tcW w:w="867"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2 206</w:t>
            </w:r>
          </w:p>
        </w:tc>
      </w:tr>
    </w:tbl>
    <w:p w:rsidR="002C39A3" w:rsidRDefault="002C39A3"/>
    <w:p w:rsidR="002C39A3" w:rsidRDefault="002C39A3">
      <w:pPr>
        <w:spacing w:after="0"/>
      </w:pPr>
      <w:r>
        <w:br w:type="page"/>
      </w:r>
    </w:p>
    <w:p w:rsidR="002C39A3" w:rsidRDefault="002C39A3" w:rsidP="00361FA9">
      <w:pPr>
        <w:pStyle w:val="Tableheadingcontinued"/>
        <w:rPr>
          <w:i/>
        </w:rPr>
      </w:pPr>
      <w:r w:rsidRPr="00384D35">
        <w:lastRenderedPageBreak/>
        <w:t>Table 1.1:</w:t>
      </w:r>
      <w:r w:rsidRPr="00384D35">
        <w:tab/>
        <w:t>Estimated general government sector comprehensive operating statement for the financial year ended 30 June</w:t>
      </w:r>
      <w:r>
        <w:t xml:space="preserve"> </w:t>
      </w:r>
      <w:r w:rsidRPr="00384D35">
        <w:rPr>
          <w:i/>
        </w:rPr>
        <w:t>(continued)</w:t>
      </w:r>
    </w:p>
    <w:p w:rsidR="002C39A3" w:rsidRDefault="002C39A3" w:rsidP="00361FA9">
      <w:pPr>
        <w:pStyle w:val="million"/>
      </w:pPr>
      <w:r>
        <w:t>($ million)</w:t>
      </w:r>
    </w:p>
    <w:tbl>
      <w:tblPr>
        <w:tblW w:w="7766" w:type="dxa"/>
        <w:tblInd w:w="45" w:type="dxa"/>
        <w:tblLayout w:type="fixed"/>
        <w:tblCellMar>
          <w:left w:w="45" w:type="dxa"/>
          <w:right w:w="45" w:type="dxa"/>
        </w:tblCellMar>
        <w:tblLook w:val="0000" w:firstRow="0" w:lastRow="0" w:firstColumn="0" w:lastColumn="0" w:noHBand="0" w:noVBand="0"/>
      </w:tblPr>
      <w:tblGrid>
        <w:gridCol w:w="3606"/>
        <w:gridCol w:w="737"/>
        <w:gridCol w:w="850"/>
        <w:gridCol w:w="850"/>
        <w:gridCol w:w="856"/>
        <w:gridCol w:w="849"/>
        <w:gridCol w:w="18"/>
      </w:tblGrid>
      <w:tr w:rsidR="002C39A3" w:rsidRPr="00114E35" w:rsidTr="00361FA9">
        <w:trPr>
          <w:trHeight w:val="464"/>
          <w:tblHeader/>
        </w:trPr>
        <w:tc>
          <w:tcPr>
            <w:tcW w:w="3606"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w:t>
            </w:r>
          </w:p>
        </w:tc>
        <w:tc>
          <w:tcPr>
            <w:tcW w:w="737"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center"/>
              <w:rPr>
                <w:rFonts w:ascii="Calibri" w:eastAsiaTheme="minorEastAsia" w:hAnsi="Calibri" w:cs="Calibri"/>
                <w:i/>
                <w:iCs/>
                <w:color w:val="FFFFFF"/>
                <w:sz w:val="19"/>
                <w:szCs w:val="19"/>
                <w:lang w:eastAsia="en-AU"/>
              </w:rPr>
            </w:pPr>
            <w:r>
              <w:rPr>
                <w:rFonts w:ascii="Calibri" w:eastAsiaTheme="minorEastAsia" w:hAnsi="Calibri" w:cs="Calibri"/>
                <w:i/>
                <w:iCs/>
                <w:color w:val="FFFFFF"/>
                <w:sz w:val="19"/>
                <w:szCs w:val="19"/>
                <w:lang w:eastAsia="en-AU"/>
              </w:rPr>
              <w:t>Notes</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2016-17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2017-18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6"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2018-19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67" w:type="dxa"/>
            <w:gridSpan w:val="2"/>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2019-20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r>
      <w:tr w:rsidR="002C39A3" w:rsidRPr="00114E35" w:rsidTr="00361FA9">
        <w:trPr>
          <w:gridAfter w:val="1"/>
          <w:wAfter w:w="18" w:type="dxa"/>
        </w:trPr>
        <w:tc>
          <w:tcPr>
            <w:tcW w:w="7748" w:type="dxa"/>
            <w:gridSpan w:val="6"/>
            <w:tcBorders>
              <w:top w:val="single" w:sz="12" w:space="0" w:color="000000"/>
              <w:left w:val="nil"/>
              <w:right w:val="nil"/>
            </w:tcBorders>
            <w:shd w:val="clear" w:color="auto" w:fill="FFFFFF"/>
          </w:tcPr>
          <w:p w:rsidR="002C39A3" w:rsidRPr="00114E35" w:rsidRDefault="002C39A3" w:rsidP="00361FA9">
            <w:pPr>
              <w:pStyle w:val="Heading8"/>
              <w:rPr>
                <w:b w:val="0"/>
                <w:bCs w:val="0"/>
              </w:rPr>
            </w:pPr>
            <w:r w:rsidRPr="00114E35">
              <w:t>Other economic flows – other comprehensive income</w:t>
            </w:r>
          </w:p>
        </w:tc>
      </w:tr>
      <w:tr w:rsidR="002C39A3" w:rsidRPr="00114E35" w:rsidTr="00361FA9">
        <w:trPr>
          <w:gridAfter w:val="1"/>
          <w:wAfter w:w="18" w:type="dxa"/>
        </w:trPr>
        <w:tc>
          <w:tcPr>
            <w:tcW w:w="7748" w:type="dxa"/>
            <w:gridSpan w:val="6"/>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 xml:space="preserve">Items that will not be reclassified to net result </w:t>
            </w:r>
          </w:p>
        </w:tc>
      </w:tr>
      <w:tr w:rsidR="002C39A3" w:rsidRPr="00114E35" w:rsidTr="00361FA9">
        <w:tc>
          <w:tcPr>
            <w:tcW w:w="3606"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Changes in non-financial assets revaluation surplus</w:t>
            </w:r>
          </w:p>
        </w:tc>
        <w:tc>
          <w:tcPr>
            <w:tcW w:w="73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 xml:space="preserve"> </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109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7 101</w:t>
            </w:r>
          </w:p>
        </w:tc>
        <w:tc>
          <w:tcPr>
            <w:tcW w:w="856"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1 653</w:t>
            </w:r>
          </w:p>
        </w:tc>
        <w:tc>
          <w:tcPr>
            <w:tcW w:w="867" w:type="dxa"/>
            <w:gridSpan w:val="2"/>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7 445</w:t>
            </w:r>
          </w:p>
        </w:tc>
      </w:tr>
      <w:tr w:rsidR="002C39A3" w:rsidRPr="00114E35" w:rsidTr="00361FA9">
        <w:tc>
          <w:tcPr>
            <w:tcW w:w="3606"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Remeasurement of superannuation defined benefit plans</w:t>
            </w:r>
          </w:p>
        </w:tc>
        <w:tc>
          <w:tcPr>
            <w:tcW w:w="73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7a</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877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891</w:t>
            </w:r>
          </w:p>
        </w:tc>
        <w:tc>
          <w:tcPr>
            <w:tcW w:w="856"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903</w:t>
            </w:r>
          </w:p>
        </w:tc>
        <w:tc>
          <w:tcPr>
            <w:tcW w:w="867" w:type="dxa"/>
            <w:gridSpan w:val="2"/>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915</w:t>
            </w:r>
          </w:p>
        </w:tc>
      </w:tr>
      <w:tr w:rsidR="002C39A3" w:rsidRPr="00114E35" w:rsidTr="00361FA9">
        <w:tc>
          <w:tcPr>
            <w:tcW w:w="3606"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Other movements in equity</w:t>
            </w:r>
          </w:p>
        </w:tc>
        <w:tc>
          <w:tcPr>
            <w:tcW w:w="73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 xml:space="preserve"> </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w:t>
            </w:r>
          </w:p>
        </w:tc>
        <w:tc>
          <w:tcPr>
            <w:tcW w:w="856"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23</w:t>
            </w:r>
          </w:p>
        </w:tc>
        <w:tc>
          <w:tcPr>
            <w:tcW w:w="867" w:type="dxa"/>
            <w:gridSpan w:val="2"/>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13</w:t>
            </w:r>
          </w:p>
        </w:tc>
      </w:tr>
      <w:tr w:rsidR="002C39A3" w:rsidRPr="00114E35" w:rsidTr="00361FA9">
        <w:trPr>
          <w:gridAfter w:val="1"/>
          <w:wAfter w:w="18" w:type="dxa"/>
        </w:trPr>
        <w:tc>
          <w:tcPr>
            <w:tcW w:w="7748" w:type="dxa"/>
            <w:gridSpan w:val="6"/>
            <w:tcBorders>
              <w:top w:val="nil"/>
              <w:left w:val="nil"/>
              <w:right w:val="nil"/>
            </w:tcBorders>
            <w:shd w:val="clear" w:color="auto" w:fill="FFFFFF"/>
          </w:tcPr>
          <w:p w:rsidR="002C39A3" w:rsidRPr="00114E35" w:rsidRDefault="002C39A3" w:rsidP="00361FA9">
            <w:pPr>
              <w:autoSpaceDE w:val="0"/>
              <w:autoSpaceDN w:val="0"/>
              <w:adjustRightInd w:val="0"/>
              <w:spacing w:after="0"/>
              <w:ind w:left="230" w:hanging="230"/>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Items that may be reclassified subsequently to net result</w:t>
            </w:r>
          </w:p>
        </w:tc>
      </w:tr>
      <w:tr w:rsidR="002C39A3" w:rsidRPr="00114E35" w:rsidTr="00361FA9">
        <w:tc>
          <w:tcPr>
            <w:tcW w:w="3606"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Net gain/(lo</w:t>
            </w:r>
            <w:r>
              <w:rPr>
                <w:rFonts w:ascii="Calibri" w:eastAsiaTheme="minorEastAsia" w:hAnsi="Calibri" w:cs="Calibri"/>
                <w:color w:val="000000"/>
                <w:sz w:val="19"/>
                <w:szCs w:val="19"/>
                <w:lang w:eastAsia="en-AU"/>
              </w:rPr>
              <w:t>ss) on financial assets at fair </w:t>
            </w:r>
            <w:r w:rsidRPr="00114E35">
              <w:rPr>
                <w:rFonts w:ascii="Calibri" w:eastAsiaTheme="minorEastAsia" w:hAnsi="Calibri" w:cs="Calibri"/>
                <w:color w:val="000000"/>
                <w:sz w:val="19"/>
                <w:szCs w:val="19"/>
                <w:lang w:eastAsia="en-AU"/>
              </w:rPr>
              <w:t>value</w:t>
            </w:r>
          </w:p>
        </w:tc>
        <w:tc>
          <w:tcPr>
            <w:tcW w:w="73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 xml:space="preserve"> </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w:t>
            </w:r>
          </w:p>
        </w:tc>
        <w:tc>
          <w:tcPr>
            <w:tcW w:w="856"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w:t>
            </w:r>
          </w:p>
        </w:tc>
        <w:tc>
          <w:tcPr>
            <w:tcW w:w="867" w:type="dxa"/>
            <w:gridSpan w:val="2"/>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w:t>
            </w:r>
          </w:p>
        </w:tc>
      </w:tr>
      <w:tr w:rsidR="002C39A3" w:rsidRPr="00114E35" w:rsidTr="00361FA9">
        <w:tc>
          <w:tcPr>
            <w:tcW w:w="3606"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Net gain/(loss) on equity investments in other sector entities at proportional share of the carrying amount of net assets</w:t>
            </w:r>
          </w:p>
        </w:tc>
        <w:tc>
          <w:tcPr>
            <w:tcW w:w="737"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14</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2 707</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(118)</w:t>
            </w:r>
          </w:p>
        </w:tc>
        <w:tc>
          <w:tcPr>
            <w:tcW w:w="856"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866</w:t>
            </w:r>
          </w:p>
        </w:tc>
        <w:tc>
          <w:tcPr>
            <w:tcW w:w="867" w:type="dxa"/>
            <w:gridSpan w:val="2"/>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(85)</w:t>
            </w:r>
          </w:p>
        </w:tc>
      </w:tr>
      <w:tr w:rsidR="002C39A3" w:rsidRPr="00114E35" w:rsidTr="00361FA9">
        <w:tc>
          <w:tcPr>
            <w:tcW w:w="3606"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other economic flows – other</w:t>
            </w:r>
            <w:r>
              <w:rPr>
                <w:rFonts w:ascii="Calibri" w:eastAsiaTheme="minorEastAsia" w:hAnsi="Calibri" w:cs="Calibri"/>
                <w:b/>
                <w:bCs/>
                <w:color w:val="000000"/>
                <w:sz w:val="19"/>
                <w:szCs w:val="19"/>
                <w:lang w:eastAsia="en-AU"/>
              </w:rPr>
              <w:t> </w:t>
            </w:r>
            <w:r w:rsidRPr="00114E35">
              <w:rPr>
                <w:rFonts w:ascii="Calibri" w:eastAsiaTheme="minorEastAsia" w:hAnsi="Calibri" w:cs="Calibri"/>
                <w:b/>
                <w:bCs/>
                <w:color w:val="000000"/>
                <w:sz w:val="19"/>
                <w:szCs w:val="19"/>
                <w:lang w:eastAsia="en-AU"/>
              </w:rPr>
              <w:t>comprehensive income</w:t>
            </w:r>
          </w:p>
        </w:tc>
        <w:tc>
          <w:tcPr>
            <w:tcW w:w="737"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 xml:space="preserve"> </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3 693</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7 879</w:t>
            </w:r>
          </w:p>
        </w:tc>
        <w:tc>
          <w:tcPr>
            <w:tcW w:w="856"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3 447</w:t>
            </w:r>
          </w:p>
        </w:tc>
        <w:tc>
          <w:tcPr>
            <w:tcW w:w="867" w:type="dxa"/>
            <w:gridSpan w:val="2"/>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8 289</w:t>
            </w:r>
          </w:p>
        </w:tc>
      </w:tr>
      <w:tr w:rsidR="002C39A3" w:rsidRPr="00114E35" w:rsidTr="00361FA9">
        <w:tc>
          <w:tcPr>
            <w:tcW w:w="3606"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Comprehensive result – total change in net</w:t>
            </w:r>
            <w:r>
              <w:rPr>
                <w:rFonts w:ascii="Calibri" w:eastAsiaTheme="minorEastAsia" w:hAnsi="Calibri" w:cs="Calibri"/>
                <w:b/>
                <w:bCs/>
                <w:color w:val="000000"/>
                <w:sz w:val="19"/>
                <w:szCs w:val="19"/>
                <w:lang w:eastAsia="en-AU"/>
              </w:rPr>
              <w:t> </w:t>
            </w:r>
            <w:r w:rsidRPr="00114E35">
              <w:rPr>
                <w:rFonts w:ascii="Calibri" w:eastAsiaTheme="minorEastAsia" w:hAnsi="Calibri" w:cs="Calibri"/>
                <w:b/>
                <w:bCs/>
                <w:color w:val="000000"/>
                <w:sz w:val="19"/>
                <w:szCs w:val="19"/>
                <w:lang w:eastAsia="en-AU"/>
              </w:rPr>
              <w:t>worth</w:t>
            </w:r>
          </w:p>
        </w:tc>
        <w:tc>
          <w:tcPr>
            <w:tcW w:w="737"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 xml:space="preserve"> </w:t>
            </w:r>
          </w:p>
        </w:tc>
        <w:tc>
          <w:tcPr>
            <w:tcW w:w="850"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6 328</w:t>
            </w:r>
          </w:p>
        </w:tc>
        <w:tc>
          <w:tcPr>
            <w:tcW w:w="850"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9 702</w:t>
            </w:r>
          </w:p>
        </w:tc>
        <w:tc>
          <w:tcPr>
            <w:tcW w:w="856"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5 288</w:t>
            </w:r>
          </w:p>
        </w:tc>
        <w:tc>
          <w:tcPr>
            <w:tcW w:w="867" w:type="dxa"/>
            <w:gridSpan w:val="2"/>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10 496</w:t>
            </w:r>
          </w:p>
        </w:tc>
      </w:tr>
      <w:tr w:rsidR="002C39A3" w:rsidRPr="00114E35" w:rsidTr="00361FA9">
        <w:trPr>
          <w:trHeight w:hRule="exact" w:val="120"/>
        </w:trPr>
        <w:tc>
          <w:tcPr>
            <w:tcW w:w="7766" w:type="dxa"/>
            <w:gridSpan w:val="7"/>
            <w:tcBorders>
              <w:top w:val="single" w:sz="12"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p>
        </w:tc>
      </w:tr>
      <w:tr w:rsidR="002C39A3" w:rsidRPr="00114E35" w:rsidTr="00361FA9">
        <w:tc>
          <w:tcPr>
            <w:tcW w:w="7766" w:type="dxa"/>
            <w:gridSpan w:val="7"/>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KEY FISCAL AGGREGATES</w:t>
            </w:r>
          </w:p>
        </w:tc>
      </w:tr>
      <w:tr w:rsidR="002C39A3" w:rsidRPr="00114E35" w:rsidTr="00361FA9">
        <w:tc>
          <w:tcPr>
            <w:tcW w:w="3606"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Net operating balance</w:t>
            </w:r>
          </w:p>
        </w:tc>
        <w:tc>
          <w:tcPr>
            <w:tcW w:w="73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 xml:space="preserve"> </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2 869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1 797</w:t>
            </w:r>
          </w:p>
        </w:tc>
        <w:tc>
          <w:tcPr>
            <w:tcW w:w="856"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2 082</w:t>
            </w:r>
          </w:p>
        </w:tc>
        <w:tc>
          <w:tcPr>
            <w:tcW w:w="867" w:type="dxa"/>
            <w:gridSpan w:val="2"/>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2 471</w:t>
            </w:r>
          </w:p>
        </w:tc>
      </w:tr>
      <w:tr w:rsidR="002C39A3" w:rsidRPr="00114E35" w:rsidTr="00361FA9">
        <w:tc>
          <w:tcPr>
            <w:tcW w:w="3606"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Less: Net acquisition of non-financial assets from transactions</w:t>
            </w:r>
          </w:p>
        </w:tc>
        <w:tc>
          <w:tcPr>
            <w:tcW w:w="737"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15</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1 063</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1 146</w:t>
            </w:r>
          </w:p>
        </w:tc>
        <w:tc>
          <w:tcPr>
            <w:tcW w:w="856"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255</w:t>
            </w:r>
          </w:p>
        </w:tc>
        <w:tc>
          <w:tcPr>
            <w:tcW w:w="867" w:type="dxa"/>
            <w:gridSpan w:val="2"/>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(415)</w:t>
            </w:r>
          </w:p>
        </w:tc>
      </w:tr>
      <w:tr w:rsidR="002C39A3" w:rsidRPr="00114E35" w:rsidTr="00361FA9">
        <w:tc>
          <w:tcPr>
            <w:tcW w:w="3606"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Net lending/(borrowing)</w:t>
            </w:r>
          </w:p>
        </w:tc>
        <w:tc>
          <w:tcPr>
            <w:tcW w:w="737"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 xml:space="preserve"> </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1 806</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651</w:t>
            </w:r>
          </w:p>
        </w:tc>
        <w:tc>
          <w:tcPr>
            <w:tcW w:w="856"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1 827</w:t>
            </w:r>
          </w:p>
        </w:tc>
        <w:tc>
          <w:tcPr>
            <w:tcW w:w="867" w:type="dxa"/>
            <w:gridSpan w:val="2"/>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2 887</w:t>
            </w:r>
          </w:p>
        </w:tc>
      </w:tr>
    </w:tbl>
    <w:p w:rsidR="002C39A3" w:rsidRPr="002A41F7" w:rsidRDefault="002C39A3" w:rsidP="00361FA9">
      <w:pPr>
        <w:pStyle w:val="Source"/>
      </w:pPr>
      <w:r w:rsidRPr="002A41F7">
        <w:t xml:space="preserve">The accompanying notes </w:t>
      </w:r>
      <w:r>
        <w:t>form part of these estimated financial statements.</w:t>
      </w:r>
    </w:p>
    <w:p w:rsidR="002C39A3" w:rsidRDefault="002C39A3">
      <w:pPr>
        <w:spacing w:after="0"/>
        <w:rPr>
          <w:rFonts w:ascii="Calibri" w:hAnsi="Calibri"/>
          <w:b/>
        </w:rPr>
      </w:pPr>
      <w:r>
        <w:br w:type="page"/>
      </w:r>
    </w:p>
    <w:p w:rsidR="002C39A3" w:rsidRDefault="002C39A3" w:rsidP="00361FA9">
      <w:pPr>
        <w:pStyle w:val="Tableheading"/>
      </w:pPr>
      <w:r>
        <w:t>Table 1.2:</w:t>
      </w:r>
      <w:r>
        <w:tab/>
        <w:t>Estimated general government sector balance sheet as at 30 June</w:t>
      </w:r>
    </w:p>
    <w:p w:rsidR="002C39A3" w:rsidRPr="00114E35" w:rsidRDefault="002C39A3" w:rsidP="00361FA9">
      <w:pPr>
        <w:pStyle w:val="million"/>
        <w:rPr>
          <w:rFonts w:eastAsiaTheme="minorEastAsia"/>
          <w:b/>
          <w:bCs/>
          <w:lang w:val="en-US" w:eastAsia="en-AU"/>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2778"/>
        <w:gridCol w:w="57"/>
        <w:gridCol w:w="142"/>
        <w:gridCol w:w="538"/>
        <w:gridCol w:w="850"/>
        <w:gridCol w:w="850"/>
        <w:gridCol w:w="850"/>
        <w:gridCol w:w="850"/>
        <w:gridCol w:w="850"/>
      </w:tblGrid>
      <w:tr w:rsidR="002C39A3" w:rsidRPr="008B284E" w:rsidTr="00361FA9">
        <w:trPr>
          <w:trHeight w:val="464"/>
          <w:tblHeader/>
        </w:trPr>
        <w:tc>
          <w:tcPr>
            <w:tcW w:w="2778" w:type="dxa"/>
            <w:tcBorders>
              <w:top w:val="nil"/>
              <w:left w:val="nil"/>
              <w:right w:val="nil"/>
            </w:tcBorders>
            <w:shd w:val="solid" w:color="000000" w:fill="auto"/>
            <w:vAlign w:val="bottom"/>
          </w:tcPr>
          <w:p w:rsidR="002C39A3" w:rsidRPr="008B284E" w:rsidRDefault="002C39A3" w:rsidP="00361FA9">
            <w:pPr>
              <w:autoSpaceDE w:val="0"/>
              <w:autoSpaceDN w:val="0"/>
              <w:adjustRightInd w:val="0"/>
              <w:spacing w:after="0"/>
              <w:rPr>
                <w:rFonts w:ascii="Calibri" w:eastAsiaTheme="minorEastAsia" w:hAnsi="Calibri" w:cs="Calibri"/>
                <w:i/>
                <w:iCs/>
                <w:color w:val="FFFFFF"/>
                <w:sz w:val="18"/>
                <w:szCs w:val="19"/>
                <w:lang w:eastAsia="en-AU"/>
              </w:rPr>
            </w:pPr>
          </w:p>
        </w:tc>
        <w:tc>
          <w:tcPr>
            <w:tcW w:w="737" w:type="dxa"/>
            <w:gridSpan w:val="3"/>
            <w:tcBorders>
              <w:top w:val="nil"/>
              <w:left w:val="nil"/>
              <w:right w:val="nil"/>
            </w:tcBorders>
            <w:shd w:val="solid" w:color="000000" w:fill="auto"/>
            <w:vAlign w:val="bottom"/>
          </w:tcPr>
          <w:p w:rsidR="002C39A3" w:rsidRPr="008B284E" w:rsidRDefault="002C39A3" w:rsidP="00361FA9">
            <w:pPr>
              <w:autoSpaceDE w:val="0"/>
              <w:autoSpaceDN w:val="0"/>
              <w:adjustRightInd w:val="0"/>
              <w:spacing w:after="0"/>
              <w:jc w:val="center"/>
              <w:rPr>
                <w:rFonts w:ascii="Calibri" w:eastAsiaTheme="minorEastAsia" w:hAnsi="Calibri" w:cs="Calibri"/>
                <w:i/>
                <w:iCs/>
                <w:color w:val="FFFFFF"/>
                <w:sz w:val="18"/>
                <w:szCs w:val="19"/>
                <w:lang w:eastAsia="en-AU"/>
              </w:rPr>
            </w:pPr>
            <w:r w:rsidRPr="008B284E">
              <w:rPr>
                <w:rFonts w:ascii="Calibri" w:eastAsiaTheme="minorEastAsia" w:hAnsi="Calibri" w:cs="Calibri"/>
                <w:i/>
                <w:iCs/>
                <w:color w:val="FFFFFF"/>
                <w:sz w:val="18"/>
                <w:szCs w:val="19"/>
                <w:lang w:eastAsia="en-AU"/>
              </w:rPr>
              <w:t>Notes</w:t>
            </w:r>
          </w:p>
        </w:tc>
        <w:tc>
          <w:tcPr>
            <w:tcW w:w="850" w:type="dxa"/>
            <w:tcBorders>
              <w:top w:val="nil"/>
              <w:left w:val="nil"/>
              <w:right w:val="nil"/>
            </w:tcBorders>
            <w:shd w:val="solid" w:color="000000" w:fill="auto"/>
            <w:vAlign w:val="bottom"/>
          </w:tcPr>
          <w:p w:rsidR="002C39A3" w:rsidRPr="008B284E" w:rsidRDefault="002C39A3"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8B284E">
              <w:rPr>
                <w:rFonts w:ascii="Calibri" w:eastAsiaTheme="minorEastAsia" w:hAnsi="Calibri" w:cs="Calibri"/>
                <w:i/>
                <w:iCs/>
                <w:color w:val="FFFFFF"/>
                <w:sz w:val="18"/>
                <w:szCs w:val="19"/>
                <w:lang w:eastAsia="en-AU"/>
              </w:rPr>
              <w:t xml:space="preserve">2016 </w:t>
            </w:r>
          </w:p>
          <w:p w:rsidR="002C39A3" w:rsidRPr="008B284E" w:rsidRDefault="002C39A3"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8B284E">
              <w:rPr>
                <w:rFonts w:ascii="Calibri" w:eastAsiaTheme="minorEastAsia" w:hAnsi="Calibri" w:cs="Calibri"/>
                <w:i/>
                <w:iCs/>
                <w:color w:val="FFFFFF"/>
                <w:sz w:val="18"/>
                <w:szCs w:val="19"/>
                <w:lang w:eastAsia="en-AU"/>
              </w:rPr>
              <w:t xml:space="preserve"> revised</w:t>
            </w:r>
          </w:p>
        </w:tc>
        <w:tc>
          <w:tcPr>
            <w:tcW w:w="850" w:type="dxa"/>
            <w:tcBorders>
              <w:top w:val="nil"/>
              <w:left w:val="nil"/>
              <w:right w:val="nil"/>
            </w:tcBorders>
            <w:shd w:val="solid" w:color="000000" w:fill="auto"/>
            <w:vAlign w:val="bottom"/>
          </w:tcPr>
          <w:p w:rsidR="002C39A3" w:rsidRPr="008B284E" w:rsidRDefault="002C39A3"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8B284E">
              <w:rPr>
                <w:rFonts w:ascii="Calibri" w:eastAsiaTheme="minorEastAsia" w:hAnsi="Calibri" w:cs="Calibri"/>
                <w:i/>
                <w:iCs/>
                <w:color w:val="FFFFFF"/>
                <w:sz w:val="18"/>
                <w:szCs w:val="19"/>
                <w:lang w:eastAsia="en-AU"/>
              </w:rPr>
              <w:t xml:space="preserve">2017 </w:t>
            </w:r>
          </w:p>
          <w:p w:rsidR="002C39A3" w:rsidRPr="008B284E" w:rsidRDefault="002C39A3"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8B284E">
              <w:rPr>
                <w:rFonts w:ascii="Calibri" w:eastAsiaTheme="minorEastAsia" w:hAnsi="Calibri" w:cs="Calibri"/>
                <w:i/>
                <w:iCs/>
                <w:color w:val="FFFFFF"/>
                <w:sz w:val="18"/>
                <w:szCs w:val="19"/>
                <w:lang w:eastAsia="en-AU"/>
              </w:rPr>
              <w:t xml:space="preserve"> budget</w:t>
            </w:r>
          </w:p>
        </w:tc>
        <w:tc>
          <w:tcPr>
            <w:tcW w:w="850" w:type="dxa"/>
            <w:tcBorders>
              <w:top w:val="nil"/>
              <w:left w:val="nil"/>
              <w:right w:val="nil"/>
            </w:tcBorders>
            <w:shd w:val="solid" w:color="000000" w:fill="auto"/>
            <w:vAlign w:val="bottom"/>
          </w:tcPr>
          <w:p w:rsidR="002C39A3" w:rsidRPr="008B284E" w:rsidRDefault="002C39A3"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8B284E">
              <w:rPr>
                <w:rFonts w:ascii="Calibri" w:eastAsiaTheme="minorEastAsia" w:hAnsi="Calibri" w:cs="Calibri"/>
                <w:i/>
                <w:iCs/>
                <w:color w:val="FFFFFF"/>
                <w:sz w:val="18"/>
                <w:szCs w:val="19"/>
                <w:lang w:eastAsia="en-AU"/>
              </w:rPr>
              <w:t xml:space="preserve">2018 </w:t>
            </w:r>
          </w:p>
          <w:p w:rsidR="002C39A3" w:rsidRPr="008B284E" w:rsidRDefault="002C39A3"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8B284E">
              <w:rPr>
                <w:rFonts w:ascii="Calibri" w:eastAsiaTheme="minorEastAsia" w:hAnsi="Calibri" w:cs="Calibri"/>
                <w:i/>
                <w:iCs/>
                <w:color w:val="FFFFFF"/>
                <w:sz w:val="18"/>
                <w:szCs w:val="19"/>
                <w:lang w:eastAsia="en-AU"/>
              </w:rPr>
              <w:t xml:space="preserve"> estimate</w:t>
            </w:r>
          </w:p>
        </w:tc>
        <w:tc>
          <w:tcPr>
            <w:tcW w:w="850" w:type="dxa"/>
            <w:tcBorders>
              <w:top w:val="nil"/>
              <w:left w:val="nil"/>
              <w:right w:val="nil"/>
            </w:tcBorders>
            <w:shd w:val="solid" w:color="000000" w:fill="auto"/>
            <w:vAlign w:val="bottom"/>
          </w:tcPr>
          <w:p w:rsidR="002C39A3" w:rsidRPr="008B284E" w:rsidRDefault="002C39A3"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8B284E">
              <w:rPr>
                <w:rFonts w:ascii="Calibri" w:eastAsiaTheme="minorEastAsia" w:hAnsi="Calibri" w:cs="Calibri"/>
                <w:i/>
                <w:iCs/>
                <w:color w:val="FFFFFF"/>
                <w:sz w:val="18"/>
                <w:szCs w:val="19"/>
                <w:lang w:eastAsia="en-AU"/>
              </w:rPr>
              <w:t xml:space="preserve">2019 </w:t>
            </w:r>
          </w:p>
          <w:p w:rsidR="002C39A3" w:rsidRPr="008B284E" w:rsidRDefault="002C39A3"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8B284E">
              <w:rPr>
                <w:rFonts w:ascii="Calibri" w:eastAsiaTheme="minorEastAsia" w:hAnsi="Calibri" w:cs="Calibri"/>
                <w:i/>
                <w:iCs/>
                <w:color w:val="FFFFFF"/>
                <w:sz w:val="18"/>
                <w:szCs w:val="19"/>
                <w:lang w:eastAsia="en-AU"/>
              </w:rPr>
              <w:t xml:space="preserve"> estimate</w:t>
            </w:r>
          </w:p>
        </w:tc>
        <w:tc>
          <w:tcPr>
            <w:tcW w:w="850" w:type="dxa"/>
            <w:tcBorders>
              <w:top w:val="nil"/>
              <w:left w:val="nil"/>
              <w:right w:val="nil"/>
            </w:tcBorders>
            <w:shd w:val="solid" w:color="000000" w:fill="auto"/>
            <w:vAlign w:val="bottom"/>
          </w:tcPr>
          <w:p w:rsidR="002C39A3" w:rsidRPr="008B284E" w:rsidRDefault="002C39A3"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8B284E">
              <w:rPr>
                <w:rFonts w:ascii="Calibri" w:eastAsiaTheme="minorEastAsia" w:hAnsi="Calibri" w:cs="Calibri"/>
                <w:i/>
                <w:iCs/>
                <w:color w:val="FFFFFF"/>
                <w:sz w:val="18"/>
                <w:szCs w:val="19"/>
                <w:lang w:eastAsia="en-AU"/>
              </w:rPr>
              <w:t xml:space="preserve">2020 </w:t>
            </w:r>
          </w:p>
          <w:p w:rsidR="002C39A3" w:rsidRPr="008B284E" w:rsidRDefault="002C39A3"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8B284E">
              <w:rPr>
                <w:rFonts w:ascii="Calibri" w:eastAsiaTheme="minorEastAsia" w:hAnsi="Calibri" w:cs="Calibri"/>
                <w:i/>
                <w:iCs/>
                <w:color w:val="FFFFFF"/>
                <w:sz w:val="18"/>
                <w:szCs w:val="19"/>
                <w:lang w:eastAsia="en-AU"/>
              </w:rPr>
              <w:t xml:space="preserve"> estimate</w:t>
            </w:r>
          </w:p>
        </w:tc>
      </w:tr>
      <w:tr w:rsidR="002C39A3" w:rsidRPr="008B284E" w:rsidTr="00361FA9">
        <w:tc>
          <w:tcPr>
            <w:tcW w:w="7765" w:type="dxa"/>
            <w:gridSpan w:val="9"/>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Assets</w:t>
            </w:r>
          </w:p>
        </w:tc>
      </w:tr>
      <w:tr w:rsidR="002C39A3" w:rsidRPr="008B284E" w:rsidTr="00361FA9">
        <w:tc>
          <w:tcPr>
            <w:tcW w:w="7765" w:type="dxa"/>
            <w:gridSpan w:val="9"/>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Financial assets</w:t>
            </w:r>
          </w:p>
        </w:tc>
      </w:tr>
      <w:tr w:rsidR="002C39A3" w:rsidRPr="008B284E" w:rsidTr="00361FA9">
        <w:tc>
          <w:tcPr>
            <w:tcW w:w="2778" w:type="dxa"/>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Cash and deposits</w:t>
            </w:r>
          </w:p>
        </w:tc>
        <w:tc>
          <w:tcPr>
            <w:tcW w:w="737" w:type="dxa"/>
            <w:gridSpan w:val="3"/>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4 338</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4 766</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4 789</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5 107</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5 420</w:t>
            </w:r>
          </w:p>
        </w:tc>
      </w:tr>
      <w:tr w:rsidR="002C39A3" w:rsidRPr="008B284E" w:rsidTr="00361FA9">
        <w:tc>
          <w:tcPr>
            <w:tcW w:w="2835" w:type="dxa"/>
            <w:gridSpan w:val="2"/>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Advances paid</w:t>
            </w:r>
          </w:p>
        </w:tc>
        <w:tc>
          <w:tcPr>
            <w:tcW w:w="680" w:type="dxa"/>
            <w:gridSpan w:val="2"/>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16</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4 521</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10 057</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8 823</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7 908</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6 808</w:t>
            </w:r>
          </w:p>
        </w:tc>
      </w:tr>
      <w:tr w:rsidR="002C39A3" w:rsidRPr="008B284E" w:rsidTr="00361FA9">
        <w:tc>
          <w:tcPr>
            <w:tcW w:w="2778" w:type="dxa"/>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Receivables</w:t>
            </w:r>
          </w:p>
        </w:tc>
        <w:tc>
          <w:tcPr>
            <w:tcW w:w="737" w:type="dxa"/>
            <w:gridSpan w:val="3"/>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5 157</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5 192</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5 266</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5 450</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5 579</w:t>
            </w:r>
          </w:p>
        </w:tc>
      </w:tr>
      <w:tr w:rsidR="002C39A3" w:rsidRPr="008B284E" w:rsidTr="00361FA9">
        <w:tc>
          <w:tcPr>
            <w:tcW w:w="2835" w:type="dxa"/>
            <w:gridSpan w:val="2"/>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Investments, loans and placements</w:t>
            </w:r>
          </w:p>
        </w:tc>
        <w:tc>
          <w:tcPr>
            <w:tcW w:w="680" w:type="dxa"/>
            <w:gridSpan w:val="2"/>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16</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3 552</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3 642</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3 721</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3 802</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3 902</w:t>
            </w:r>
          </w:p>
        </w:tc>
      </w:tr>
      <w:tr w:rsidR="002C39A3" w:rsidRPr="008B284E" w:rsidTr="00361FA9">
        <w:tc>
          <w:tcPr>
            <w:tcW w:w="2778" w:type="dxa"/>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Investments accounted for using equity method</w:t>
            </w:r>
          </w:p>
        </w:tc>
        <w:tc>
          <w:tcPr>
            <w:tcW w:w="737" w:type="dxa"/>
            <w:gridSpan w:val="3"/>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45</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45</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45</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45</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45</w:t>
            </w:r>
          </w:p>
        </w:tc>
      </w:tr>
      <w:tr w:rsidR="002C39A3" w:rsidRPr="008B284E" w:rsidTr="00361FA9">
        <w:tc>
          <w:tcPr>
            <w:tcW w:w="2835" w:type="dxa"/>
            <w:gridSpan w:val="2"/>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Investments in other sector entities</w:t>
            </w:r>
          </w:p>
        </w:tc>
        <w:tc>
          <w:tcPr>
            <w:tcW w:w="680" w:type="dxa"/>
            <w:gridSpan w:val="2"/>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14</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85 347</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85 878</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88 499</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92 032</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94 210</w:t>
            </w:r>
          </w:p>
        </w:tc>
      </w:tr>
      <w:tr w:rsidR="002C39A3" w:rsidRPr="008B284E" w:rsidTr="00361FA9">
        <w:tc>
          <w:tcPr>
            <w:tcW w:w="2778"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Total financial assets</w:t>
            </w:r>
          </w:p>
        </w:tc>
        <w:tc>
          <w:tcPr>
            <w:tcW w:w="737" w:type="dxa"/>
            <w:gridSpan w:val="3"/>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 xml:space="preserve"> </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102 958</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109 580</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111 142</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114 344</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115 964</w:t>
            </w:r>
          </w:p>
        </w:tc>
      </w:tr>
      <w:tr w:rsidR="002C39A3" w:rsidRPr="008B284E" w:rsidTr="00361FA9">
        <w:tc>
          <w:tcPr>
            <w:tcW w:w="7765" w:type="dxa"/>
            <w:gridSpan w:val="9"/>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Non-financial assets</w:t>
            </w:r>
          </w:p>
        </w:tc>
      </w:tr>
      <w:tr w:rsidR="002C39A3" w:rsidRPr="008B284E" w:rsidTr="00361FA9">
        <w:tc>
          <w:tcPr>
            <w:tcW w:w="2778" w:type="dxa"/>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Inventories</w:t>
            </w:r>
          </w:p>
        </w:tc>
        <w:tc>
          <w:tcPr>
            <w:tcW w:w="737" w:type="dxa"/>
            <w:gridSpan w:val="3"/>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148</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152</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156</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161</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165</w:t>
            </w:r>
          </w:p>
        </w:tc>
      </w:tr>
      <w:tr w:rsidR="002C39A3" w:rsidRPr="008B284E" w:rsidTr="00361FA9">
        <w:tc>
          <w:tcPr>
            <w:tcW w:w="2778" w:type="dxa"/>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Non-financial assets held for sale</w:t>
            </w:r>
          </w:p>
        </w:tc>
        <w:tc>
          <w:tcPr>
            <w:tcW w:w="737" w:type="dxa"/>
            <w:gridSpan w:val="3"/>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162</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160</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150</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160</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155</w:t>
            </w:r>
          </w:p>
        </w:tc>
      </w:tr>
      <w:tr w:rsidR="002C39A3" w:rsidRPr="008B284E" w:rsidTr="00361FA9">
        <w:tc>
          <w:tcPr>
            <w:tcW w:w="2778" w:type="dxa"/>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Land, buildings, infrastructure, plant and equipment</w:t>
            </w:r>
          </w:p>
        </w:tc>
        <w:tc>
          <w:tcPr>
            <w:tcW w:w="737" w:type="dxa"/>
            <w:gridSpan w:val="3"/>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17,18</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108 600</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109 917</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118 580</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120 832</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128 012</w:t>
            </w:r>
          </w:p>
        </w:tc>
      </w:tr>
      <w:tr w:rsidR="002C39A3" w:rsidRPr="008B284E" w:rsidTr="00361FA9">
        <w:tc>
          <w:tcPr>
            <w:tcW w:w="2778"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Other non-financial assets</w:t>
            </w:r>
          </w:p>
        </w:tc>
        <w:tc>
          <w:tcPr>
            <w:tcW w:w="737" w:type="dxa"/>
            <w:gridSpan w:val="3"/>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19</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1 024</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1 047</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869</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827</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739</w:t>
            </w:r>
          </w:p>
        </w:tc>
      </w:tr>
      <w:tr w:rsidR="002C39A3" w:rsidRPr="008B284E" w:rsidTr="00361FA9">
        <w:tc>
          <w:tcPr>
            <w:tcW w:w="2778" w:type="dxa"/>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Total non-financial assets</w:t>
            </w:r>
          </w:p>
        </w:tc>
        <w:tc>
          <w:tcPr>
            <w:tcW w:w="737" w:type="dxa"/>
            <w:gridSpan w:val="3"/>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 xml:space="preserve"> </w:t>
            </w:r>
          </w:p>
        </w:tc>
        <w:tc>
          <w:tcPr>
            <w:tcW w:w="850" w:type="dxa"/>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109 935</w:t>
            </w:r>
          </w:p>
        </w:tc>
        <w:tc>
          <w:tcPr>
            <w:tcW w:w="850" w:type="dxa"/>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111 276</w:t>
            </w:r>
          </w:p>
        </w:tc>
        <w:tc>
          <w:tcPr>
            <w:tcW w:w="850" w:type="dxa"/>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119 756</w:t>
            </w:r>
          </w:p>
        </w:tc>
        <w:tc>
          <w:tcPr>
            <w:tcW w:w="850" w:type="dxa"/>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121 980</w:t>
            </w:r>
          </w:p>
        </w:tc>
        <w:tc>
          <w:tcPr>
            <w:tcW w:w="850" w:type="dxa"/>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129 071</w:t>
            </w:r>
          </w:p>
        </w:tc>
      </w:tr>
      <w:tr w:rsidR="002C39A3" w:rsidRPr="008B284E" w:rsidTr="00361FA9">
        <w:tc>
          <w:tcPr>
            <w:tcW w:w="2778"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Total assets</w:t>
            </w:r>
          </w:p>
        </w:tc>
        <w:tc>
          <w:tcPr>
            <w:tcW w:w="737" w:type="dxa"/>
            <w:gridSpan w:val="3"/>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bCs/>
                <w:color w:val="000000"/>
                <w:sz w:val="18"/>
                <w:szCs w:val="19"/>
                <w:lang w:eastAsia="en-AU"/>
              </w:rPr>
            </w:pPr>
            <w:r w:rsidRPr="008B284E">
              <w:rPr>
                <w:rFonts w:ascii="Calibri" w:eastAsiaTheme="minorEastAsia" w:hAnsi="Calibri" w:cs="Calibri"/>
                <w:bCs/>
                <w:color w:val="000000"/>
                <w:sz w:val="18"/>
                <w:szCs w:val="19"/>
                <w:lang w:eastAsia="en-AU"/>
              </w:rPr>
              <w:t>20d</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212 893</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220 855</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230 898</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236 324</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245 035</w:t>
            </w:r>
          </w:p>
        </w:tc>
      </w:tr>
      <w:tr w:rsidR="002C39A3" w:rsidRPr="008B284E" w:rsidTr="00361FA9">
        <w:tc>
          <w:tcPr>
            <w:tcW w:w="7765" w:type="dxa"/>
            <w:gridSpan w:val="9"/>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Liabilities</w:t>
            </w:r>
          </w:p>
        </w:tc>
      </w:tr>
      <w:tr w:rsidR="002C39A3" w:rsidRPr="008B284E" w:rsidTr="00361FA9">
        <w:tc>
          <w:tcPr>
            <w:tcW w:w="2977" w:type="dxa"/>
            <w:gridSpan w:val="3"/>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Deposits held and advances received</w:t>
            </w:r>
          </w:p>
        </w:tc>
        <w:tc>
          <w:tcPr>
            <w:tcW w:w="538"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518</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6 100</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4 922</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4 070</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3 039</w:t>
            </w:r>
          </w:p>
        </w:tc>
      </w:tr>
      <w:tr w:rsidR="002C39A3" w:rsidRPr="008B284E" w:rsidTr="00361FA9">
        <w:tc>
          <w:tcPr>
            <w:tcW w:w="2778" w:type="dxa"/>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Payables</w:t>
            </w:r>
          </w:p>
        </w:tc>
        <w:tc>
          <w:tcPr>
            <w:tcW w:w="737" w:type="dxa"/>
            <w:gridSpan w:val="3"/>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21</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5 267</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5 157</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5 011</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4 943</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4 720</w:t>
            </w:r>
          </w:p>
        </w:tc>
      </w:tr>
      <w:tr w:rsidR="002C39A3" w:rsidRPr="008B284E" w:rsidTr="00361FA9">
        <w:tc>
          <w:tcPr>
            <w:tcW w:w="2778" w:type="dxa"/>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Borrowings</w:t>
            </w:r>
          </w:p>
        </w:tc>
        <w:tc>
          <w:tcPr>
            <w:tcW w:w="737" w:type="dxa"/>
            <w:gridSpan w:val="3"/>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22</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34 386</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30 966</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33 306</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35 052</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35 299</w:t>
            </w:r>
          </w:p>
        </w:tc>
      </w:tr>
      <w:tr w:rsidR="002C39A3" w:rsidRPr="008B284E" w:rsidTr="00361FA9">
        <w:tc>
          <w:tcPr>
            <w:tcW w:w="2778" w:type="dxa"/>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Employee benefits</w:t>
            </w:r>
          </w:p>
        </w:tc>
        <w:tc>
          <w:tcPr>
            <w:tcW w:w="737" w:type="dxa"/>
            <w:gridSpan w:val="3"/>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23</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5 860</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6 257</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6 486</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6 740</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6 938</w:t>
            </w:r>
          </w:p>
        </w:tc>
      </w:tr>
      <w:tr w:rsidR="002C39A3" w:rsidRPr="008B284E" w:rsidTr="00361FA9">
        <w:tc>
          <w:tcPr>
            <w:tcW w:w="2778" w:type="dxa"/>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Superannuation</w:t>
            </w:r>
          </w:p>
        </w:tc>
        <w:tc>
          <w:tcPr>
            <w:tcW w:w="737" w:type="dxa"/>
            <w:gridSpan w:val="3"/>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7d</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27 888</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27 049</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26 165</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25 194</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24 187</w:t>
            </w:r>
          </w:p>
        </w:tc>
      </w:tr>
      <w:tr w:rsidR="002C39A3" w:rsidRPr="008B284E" w:rsidTr="00361FA9">
        <w:tc>
          <w:tcPr>
            <w:tcW w:w="2778"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Other provisions</w:t>
            </w:r>
          </w:p>
        </w:tc>
        <w:tc>
          <w:tcPr>
            <w:tcW w:w="737" w:type="dxa"/>
            <w:gridSpan w:val="3"/>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891</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914</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893</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923</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954</w:t>
            </w:r>
          </w:p>
        </w:tc>
      </w:tr>
      <w:tr w:rsidR="002C39A3" w:rsidRPr="008B284E" w:rsidTr="00361FA9">
        <w:tc>
          <w:tcPr>
            <w:tcW w:w="2778" w:type="dxa"/>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Total liabilities</w:t>
            </w:r>
          </w:p>
        </w:tc>
        <w:tc>
          <w:tcPr>
            <w:tcW w:w="737" w:type="dxa"/>
            <w:gridSpan w:val="3"/>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 xml:space="preserve"> </w:t>
            </w:r>
          </w:p>
        </w:tc>
        <w:tc>
          <w:tcPr>
            <w:tcW w:w="850" w:type="dxa"/>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74 809</w:t>
            </w:r>
          </w:p>
        </w:tc>
        <w:tc>
          <w:tcPr>
            <w:tcW w:w="850" w:type="dxa"/>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76 443</w:t>
            </w:r>
          </w:p>
        </w:tc>
        <w:tc>
          <w:tcPr>
            <w:tcW w:w="850" w:type="dxa"/>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76 784</w:t>
            </w:r>
          </w:p>
        </w:tc>
        <w:tc>
          <w:tcPr>
            <w:tcW w:w="850" w:type="dxa"/>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76 922</w:t>
            </w:r>
          </w:p>
        </w:tc>
        <w:tc>
          <w:tcPr>
            <w:tcW w:w="850" w:type="dxa"/>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75 137</w:t>
            </w:r>
          </w:p>
        </w:tc>
      </w:tr>
      <w:tr w:rsidR="002C39A3" w:rsidRPr="008B284E" w:rsidTr="00361FA9">
        <w:tc>
          <w:tcPr>
            <w:tcW w:w="2778" w:type="dxa"/>
            <w:tcBorders>
              <w:top w:val="single" w:sz="6" w:space="0" w:color="000000"/>
              <w:left w:val="nil"/>
              <w:bottom w:val="single" w:sz="12" w:space="0" w:color="000000"/>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Net assets</w:t>
            </w:r>
          </w:p>
        </w:tc>
        <w:tc>
          <w:tcPr>
            <w:tcW w:w="737" w:type="dxa"/>
            <w:gridSpan w:val="3"/>
            <w:tcBorders>
              <w:top w:val="single" w:sz="6" w:space="0" w:color="000000"/>
              <w:left w:val="nil"/>
              <w:bottom w:val="single" w:sz="12" w:space="0" w:color="000000"/>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 xml:space="preserve"> </w:t>
            </w:r>
          </w:p>
        </w:tc>
        <w:tc>
          <w:tcPr>
            <w:tcW w:w="850" w:type="dxa"/>
            <w:tcBorders>
              <w:top w:val="single" w:sz="6" w:space="0" w:color="000000"/>
              <w:left w:val="nil"/>
              <w:bottom w:val="single" w:sz="12"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138 084</w:t>
            </w:r>
          </w:p>
        </w:tc>
        <w:tc>
          <w:tcPr>
            <w:tcW w:w="850" w:type="dxa"/>
            <w:tcBorders>
              <w:top w:val="single" w:sz="6" w:space="0" w:color="000000"/>
              <w:left w:val="nil"/>
              <w:bottom w:val="single" w:sz="12"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144 412</w:t>
            </w:r>
          </w:p>
        </w:tc>
        <w:tc>
          <w:tcPr>
            <w:tcW w:w="850" w:type="dxa"/>
            <w:tcBorders>
              <w:top w:val="single" w:sz="6" w:space="0" w:color="000000"/>
              <w:left w:val="nil"/>
              <w:bottom w:val="single" w:sz="12"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154 114</w:t>
            </w:r>
          </w:p>
        </w:tc>
        <w:tc>
          <w:tcPr>
            <w:tcW w:w="850" w:type="dxa"/>
            <w:tcBorders>
              <w:top w:val="single" w:sz="6" w:space="0" w:color="000000"/>
              <w:left w:val="nil"/>
              <w:bottom w:val="single" w:sz="12"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159 402</w:t>
            </w:r>
          </w:p>
        </w:tc>
        <w:tc>
          <w:tcPr>
            <w:tcW w:w="850" w:type="dxa"/>
            <w:tcBorders>
              <w:top w:val="single" w:sz="6" w:space="0" w:color="000000"/>
              <w:left w:val="nil"/>
              <w:bottom w:val="single" w:sz="12"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169 898</w:t>
            </w:r>
          </w:p>
        </w:tc>
      </w:tr>
      <w:tr w:rsidR="002C39A3" w:rsidRPr="008B284E" w:rsidTr="00361FA9">
        <w:tc>
          <w:tcPr>
            <w:tcW w:w="2778" w:type="dxa"/>
            <w:tcBorders>
              <w:top w:val="single" w:sz="12" w:space="0" w:color="000000"/>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Accumulated surplus/(deficit)</w:t>
            </w:r>
          </w:p>
        </w:tc>
        <w:tc>
          <w:tcPr>
            <w:tcW w:w="737" w:type="dxa"/>
            <w:gridSpan w:val="3"/>
            <w:tcBorders>
              <w:top w:val="single" w:sz="12" w:space="0" w:color="000000"/>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single" w:sz="12"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45 682</w:t>
            </w:r>
          </w:p>
        </w:tc>
        <w:tc>
          <w:tcPr>
            <w:tcW w:w="850" w:type="dxa"/>
            <w:tcBorders>
              <w:top w:val="single" w:sz="12"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49 193</w:t>
            </w:r>
          </w:p>
        </w:tc>
        <w:tc>
          <w:tcPr>
            <w:tcW w:w="850" w:type="dxa"/>
            <w:tcBorders>
              <w:top w:val="single" w:sz="12"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51 907</w:t>
            </w:r>
          </w:p>
        </w:tc>
        <w:tc>
          <w:tcPr>
            <w:tcW w:w="850" w:type="dxa"/>
            <w:tcBorders>
              <w:top w:val="single" w:sz="12"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54 673</w:t>
            </w:r>
          </w:p>
        </w:tc>
        <w:tc>
          <w:tcPr>
            <w:tcW w:w="850" w:type="dxa"/>
            <w:tcBorders>
              <w:top w:val="single" w:sz="12"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57 804</w:t>
            </w:r>
          </w:p>
        </w:tc>
      </w:tr>
      <w:tr w:rsidR="002C39A3" w:rsidRPr="008B284E" w:rsidTr="00361FA9">
        <w:tc>
          <w:tcPr>
            <w:tcW w:w="2778"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Reserves</w:t>
            </w:r>
          </w:p>
        </w:tc>
        <w:tc>
          <w:tcPr>
            <w:tcW w:w="737" w:type="dxa"/>
            <w:gridSpan w:val="3"/>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24</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92 402</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95 220</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102 207</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104 729</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112 094</w:t>
            </w:r>
          </w:p>
        </w:tc>
      </w:tr>
      <w:tr w:rsidR="002C39A3" w:rsidRPr="008B284E" w:rsidTr="00361FA9">
        <w:tc>
          <w:tcPr>
            <w:tcW w:w="2778" w:type="dxa"/>
            <w:tcBorders>
              <w:top w:val="single" w:sz="6" w:space="0" w:color="000000"/>
              <w:left w:val="nil"/>
              <w:bottom w:val="single" w:sz="12" w:space="0" w:color="000000"/>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Net worth</w:t>
            </w:r>
          </w:p>
        </w:tc>
        <w:tc>
          <w:tcPr>
            <w:tcW w:w="737" w:type="dxa"/>
            <w:gridSpan w:val="3"/>
            <w:tcBorders>
              <w:top w:val="single" w:sz="6" w:space="0" w:color="000000"/>
              <w:left w:val="nil"/>
              <w:bottom w:val="single" w:sz="12" w:space="0" w:color="000000"/>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 xml:space="preserve"> </w:t>
            </w:r>
          </w:p>
        </w:tc>
        <w:tc>
          <w:tcPr>
            <w:tcW w:w="850" w:type="dxa"/>
            <w:tcBorders>
              <w:top w:val="single" w:sz="6" w:space="0" w:color="000000"/>
              <w:left w:val="nil"/>
              <w:bottom w:val="single" w:sz="12"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138 084</w:t>
            </w:r>
          </w:p>
        </w:tc>
        <w:tc>
          <w:tcPr>
            <w:tcW w:w="850" w:type="dxa"/>
            <w:tcBorders>
              <w:top w:val="single" w:sz="6" w:space="0" w:color="000000"/>
              <w:left w:val="nil"/>
              <w:bottom w:val="single" w:sz="12"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144 412</w:t>
            </w:r>
          </w:p>
        </w:tc>
        <w:tc>
          <w:tcPr>
            <w:tcW w:w="850" w:type="dxa"/>
            <w:tcBorders>
              <w:top w:val="single" w:sz="6" w:space="0" w:color="000000"/>
              <w:left w:val="nil"/>
              <w:bottom w:val="single" w:sz="12"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154 114</w:t>
            </w:r>
          </w:p>
        </w:tc>
        <w:tc>
          <w:tcPr>
            <w:tcW w:w="850" w:type="dxa"/>
            <w:tcBorders>
              <w:top w:val="single" w:sz="6" w:space="0" w:color="000000"/>
              <w:left w:val="nil"/>
              <w:bottom w:val="single" w:sz="12"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159 402</w:t>
            </w:r>
          </w:p>
        </w:tc>
        <w:tc>
          <w:tcPr>
            <w:tcW w:w="850" w:type="dxa"/>
            <w:tcBorders>
              <w:top w:val="single" w:sz="6" w:space="0" w:color="000000"/>
              <w:left w:val="nil"/>
              <w:bottom w:val="single" w:sz="12"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169 898</w:t>
            </w:r>
          </w:p>
        </w:tc>
      </w:tr>
      <w:tr w:rsidR="002C39A3" w:rsidRPr="008B284E" w:rsidTr="00361FA9">
        <w:trPr>
          <w:trHeight w:hRule="exact" w:val="120"/>
        </w:trPr>
        <w:tc>
          <w:tcPr>
            <w:tcW w:w="7765" w:type="dxa"/>
            <w:gridSpan w:val="9"/>
            <w:tcBorders>
              <w:top w:val="single" w:sz="12"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p>
        </w:tc>
      </w:tr>
      <w:tr w:rsidR="002C39A3" w:rsidRPr="008B284E" w:rsidTr="00361FA9">
        <w:tc>
          <w:tcPr>
            <w:tcW w:w="7765" w:type="dxa"/>
            <w:gridSpan w:val="9"/>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FISCAL AGGREGATES</w:t>
            </w:r>
          </w:p>
        </w:tc>
      </w:tr>
      <w:tr w:rsidR="002C39A3" w:rsidRPr="008B284E" w:rsidTr="00361FA9">
        <w:tc>
          <w:tcPr>
            <w:tcW w:w="2778" w:type="dxa"/>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Net financial worth</w:t>
            </w:r>
          </w:p>
        </w:tc>
        <w:tc>
          <w:tcPr>
            <w:tcW w:w="737" w:type="dxa"/>
            <w:gridSpan w:val="3"/>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28 150</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33 137</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34 358</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37 422</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40 826</w:t>
            </w:r>
          </w:p>
        </w:tc>
      </w:tr>
      <w:tr w:rsidR="002C39A3" w:rsidRPr="008B284E" w:rsidTr="00361FA9">
        <w:tc>
          <w:tcPr>
            <w:tcW w:w="2778" w:type="dxa"/>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Net financial liabilities</w:t>
            </w:r>
          </w:p>
        </w:tc>
        <w:tc>
          <w:tcPr>
            <w:tcW w:w="737" w:type="dxa"/>
            <w:gridSpan w:val="3"/>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57 197</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52 742</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54 141</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54 610</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53 383</w:t>
            </w:r>
          </w:p>
        </w:tc>
      </w:tr>
      <w:tr w:rsidR="002C39A3" w:rsidRPr="008B284E" w:rsidTr="00361FA9">
        <w:tc>
          <w:tcPr>
            <w:tcW w:w="2778" w:type="dxa"/>
            <w:tcBorders>
              <w:top w:val="nil"/>
              <w:left w:val="nil"/>
              <w:bottom w:val="single" w:sz="12" w:space="0" w:color="auto"/>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Net debt</w:t>
            </w:r>
          </w:p>
        </w:tc>
        <w:tc>
          <w:tcPr>
            <w:tcW w:w="737" w:type="dxa"/>
            <w:gridSpan w:val="3"/>
            <w:tcBorders>
              <w:top w:val="nil"/>
              <w:left w:val="nil"/>
              <w:bottom w:val="single" w:sz="12" w:space="0" w:color="auto"/>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bottom w:val="single" w:sz="12" w:space="0" w:color="auto"/>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22 493</w:t>
            </w:r>
          </w:p>
        </w:tc>
        <w:tc>
          <w:tcPr>
            <w:tcW w:w="850" w:type="dxa"/>
            <w:tcBorders>
              <w:top w:val="nil"/>
              <w:left w:val="nil"/>
              <w:bottom w:val="single" w:sz="12" w:space="0" w:color="auto"/>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18 601</w:t>
            </w:r>
          </w:p>
        </w:tc>
        <w:tc>
          <w:tcPr>
            <w:tcW w:w="850" w:type="dxa"/>
            <w:tcBorders>
              <w:top w:val="nil"/>
              <w:left w:val="nil"/>
              <w:bottom w:val="single" w:sz="12" w:space="0" w:color="auto"/>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20 896</w:t>
            </w:r>
          </w:p>
        </w:tc>
        <w:tc>
          <w:tcPr>
            <w:tcW w:w="850" w:type="dxa"/>
            <w:tcBorders>
              <w:top w:val="nil"/>
              <w:left w:val="nil"/>
              <w:bottom w:val="single" w:sz="12" w:space="0" w:color="auto"/>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22 304</w:t>
            </w:r>
          </w:p>
        </w:tc>
        <w:tc>
          <w:tcPr>
            <w:tcW w:w="850" w:type="dxa"/>
            <w:tcBorders>
              <w:top w:val="nil"/>
              <w:left w:val="nil"/>
              <w:bottom w:val="single" w:sz="12" w:space="0" w:color="auto"/>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22 208</w:t>
            </w:r>
          </w:p>
        </w:tc>
      </w:tr>
    </w:tbl>
    <w:p w:rsidR="002C39A3" w:rsidRPr="008B284E" w:rsidRDefault="002C39A3" w:rsidP="00361FA9">
      <w:pPr>
        <w:pStyle w:val="Source"/>
      </w:pPr>
      <w:r w:rsidRPr="008B284E">
        <w:t xml:space="preserve">The </w:t>
      </w:r>
      <w:r w:rsidRPr="008B284E">
        <w:rPr>
          <w:rStyle w:val="NotesChar"/>
        </w:rPr>
        <w:t>accompanying notes</w:t>
      </w:r>
      <w:r w:rsidRPr="008B284E">
        <w:t xml:space="preserve"> form part of these estimated financial statements.</w:t>
      </w:r>
    </w:p>
    <w:p w:rsidR="002C39A3" w:rsidRPr="00ED4A74" w:rsidRDefault="002C39A3" w:rsidP="00361FA9">
      <w:pPr>
        <w:pStyle w:val="million"/>
        <w:jc w:val="left"/>
        <w:rPr>
          <w:rFonts w:ascii="Garamond" w:hAnsi="Garamond"/>
          <w:i w:val="0"/>
          <w:sz w:val="22"/>
          <w:szCs w:val="22"/>
        </w:rPr>
      </w:pPr>
    </w:p>
    <w:p w:rsidR="002C39A3" w:rsidRDefault="002C39A3">
      <w:pPr>
        <w:spacing w:after="0"/>
        <w:rPr>
          <w:rFonts w:ascii="Calibri" w:hAnsi="Calibri"/>
          <w:b/>
        </w:rPr>
      </w:pPr>
      <w:r>
        <w:br w:type="page"/>
      </w:r>
    </w:p>
    <w:p w:rsidR="002C39A3" w:rsidRDefault="002C39A3" w:rsidP="00361FA9">
      <w:pPr>
        <w:pStyle w:val="Tableheading"/>
      </w:pPr>
      <w:r>
        <w:t>Table 1.3:</w:t>
      </w:r>
      <w:r>
        <w:tab/>
        <w:t xml:space="preserve">Estimated general government sector cash flow statement for the </w:t>
      </w:r>
      <w:r>
        <w:br/>
        <w:t>financial year ended 30 June</w:t>
      </w:r>
    </w:p>
    <w:p w:rsidR="002C39A3" w:rsidRPr="00114E35" w:rsidRDefault="002C39A3" w:rsidP="00361FA9">
      <w:pPr>
        <w:pStyle w:val="million"/>
        <w:rPr>
          <w:rFonts w:ascii="Garamond" w:hAnsi="Garamond"/>
          <w:b/>
          <w:bCs/>
          <w:sz w:val="22"/>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626"/>
        <w:gridCol w:w="739"/>
        <w:gridCol w:w="850"/>
        <w:gridCol w:w="850"/>
        <w:gridCol w:w="850"/>
        <w:gridCol w:w="850"/>
      </w:tblGrid>
      <w:tr w:rsidR="002C39A3" w:rsidRPr="008B284E" w:rsidTr="00361FA9">
        <w:trPr>
          <w:trHeight w:val="464"/>
          <w:tblHeader/>
        </w:trPr>
        <w:tc>
          <w:tcPr>
            <w:tcW w:w="3626" w:type="dxa"/>
            <w:tcBorders>
              <w:top w:val="nil"/>
              <w:left w:val="nil"/>
              <w:right w:val="nil"/>
            </w:tcBorders>
            <w:shd w:val="solid" w:color="000000" w:fill="auto"/>
            <w:vAlign w:val="bottom"/>
          </w:tcPr>
          <w:p w:rsidR="002C39A3" w:rsidRPr="008B284E" w:rsidRDefault="002C39A3" w:rsidP="00361FA9">
            <w:pPr>
              <w:autoSpaceDE w:val="0"/>
              <w:autoSpaceDN w:val="0"/>
              <w:adjustRightInd w:val="0"/>
              <w:spacing w:after="0"/>
              <w:rPr>
                <w:rFonts w:ascii="Calibri" w:eastAsiaTheme="minorEastAsia" w:hAnsi="Calibri" w:cs="Calibri"/>
                <w:i/>
                <w:iCs/>
                <w:color w:val="FFFFFF"/>
                <w:sz w:val="18"/>
                <w:szCs w:val="19"/>
                <w:lang w:eastAsia="en-AU"/>
              </w:rPr>
            </w:pPr>
          </w:p>
        </w:tc>
        <w:tc>
          <w:tcPr>
            <w:tcW w:w="739" w:type="dxa"/>
            <w:tcBorders>
              <w:top w:val="nil"/>
              <w:left w:val="nil"/>
              <w:right w:val="nil"/>
            </w:tcBorders>
            <w:shd w:val="solid" w:color="000000" w:fill="auto"/>
            <w:vAlign w:val="bottom"/>
          </w:tcPr>
          <w:p w:rsidR="002C39A3" w:rsidRPr="008B284E" w:rsidRDefault="002C39A3" w:rsidP="00361FA9">
            <w:pPr>
              <w:autoSpaceDE w:val="0"/>
              <w:autoSpaceDN w:val="0"/>
              <w:adjustRightInd w:val="0"/>
              <w:spacing w:after="0"/>
              <w:jc w:val="center"/>
              <w:rPr>
                <w:rFonts w:ascii="Calibri" w:eastAsiaTheme="minorEastAsia" w:hAnsi="Calibri" w:cs="Calibri"/>
                <w:i/>
                <w:iCs/>
                <w:color w:val="FFFFFF"/>
                <w:sz w:val="18"/>
                <w:szCs w:val="19"/>
                <w:lang w:eastAsia="en-AU"/>
              </w:rPr>
            </w:pPr>
            <w:r w:rsidRPr="008B284E">
              <w:rPr>
                <w:rFonts w:ascii="Calibri" w:eastAsiaTheme="minorEastAsia" w:hAnsi="Calibri" w:cs="Calibri"/>
                <w:i/>
                <w:iCs/>
                <w:color w:val="FFFFFF"/>
                <w:sz w:val="18"/>
                <w:szCs w:val="19"/>
                <w:lang w:eastAsia="en-AU"/>
              </w:rPr>
              <w:t>Notes</w:t>
            </w:r>
          </w:p>
        </w:tc>
        <w:tc>
          <w:tcPr>
            <w:tcW w:w="850" w:type="dxa"/>
            <w:tcBorders>
              <w:top w:val="nil"/>
              <w:left w:val="nil"/>
              <w:right w:val="nil"/>
            </w:tcBorders>
            <w:shd w:val="solid" w:color="000000" w:fill="auto"/>
            <w:vAlign w:val="bottom"/>
          </w:tcPr>
          <w:p w:rsidR="002C39A3" w:rsidRPr="008B284E" w:rsidRDefault="002C39A3"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8B284E">
              <w:rPr>
                <w:rFonts w:ascii="Calibri" w:eastAsiaTheme="minorEastAsia" w:hAnsi="Calibri" w:cs="Calibri"/>
                <w:i/>
                <w:iCs/>
                <w:color w:val="FFFFFF"/>
                <w:sz w:val="18"/>
                <w:szCs w:val="19"/>
                <w:lang w:eastAsia="en-AU"/>
              </w:rPr>
              <w:t xml:space="preserve">2016-17 </w:t>
            </w:r>
          </w:p>
          <w:p w:rsidR="002C39A3" w:rsidRPr="008B284E" w:rsidRDefault="002C39A3"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8B284E">
              <w:rPr>
                <w:rFonts w:ascii="Calibri" w:eastAsiaTheme="minorEastAsia" w:hAnsi="Calibri" w:cs="Calibri"/>
                <w:i/>
                <w:iCs/>
                <w:color w:val="FFFFFF"/>
                <w:sz w:val="18"/>
                <w:szCs w:val="19"/>
                <w:lang w:eastAsia="en-AU"/>
              </w:rPr>
              <w:t xml:space="preserve"> budget</w:t>
            </w:r>
          </w:p>
        </w:tc>
        <w:tc>
          <w:tcPr>
            <w:tcW w:w="850" w:type="dxa"/>
            <w:tcBorders>
              <w:top w:val="nil"/>
              <w:left w:val="nil"/>
              <w:right w:val="nil"/>
            </w:tcBorders>
            <w:shd w:val="solid" w:color="000000" w:fill="auto"/>
            <w:vAlign w:val="bottom"/>
          </w:tcPr>
          <w:p w:rsidR="002C39A3" w:rsidRPr="008B284E" w:rsidRDefault="002C39A3"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8B284E">
              <w:rPr>
                <w:rFonts w:ascii="Calibri" w:eastAsiaTheme="minorEastAsia" w:hAnsi="Calibri" w:cs="Calibri"/>
                <w:i/>
                <w:iCs/>
                <w:color w:val="FFFFFF"/>
                <w:sz w:val="18"/>
                <w:szCs w:val="19"/>
                <w:lang w:eastAsia="en-AU"/>
              </w:rPr>
              <w:t xml:space="preserve">2017-18 </w:t>
            </w:r>
          </w:p>
          <w:p w:rsidR="002C39A3" w:rsidRPr="008B284E" w:rsidRDefault="002C39A3"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8B284E">
              <w:rPr>
                <w:rFonts w:ascii="Calibri" w:eastAsiaTheme="minorEastAsia" w:hAnsi="Calibri" w:cs="Calibri"/>
                <w:i/>
                <w:iCs/>
                <w:color w:val="FFFFFF"/>
                <w:sz w:val="18"/>
                <w:szCs w:val="19"/>
                <w:lang w:eastAsia="en-AU"/>
              </w:rPr>
              <w:t xml:space="preserve"> estimate</w:t>
            </w:r>
          </w:p>
        </w:tc>
        <w:tc>
          <w:tcPr>
            <w:tcW w:w="850" w:type="dxa"/>
            <w:tcBorders>
              <w:top w:val="nil"/>
              <w:left w:val="nil"/>
              <w:right w:val="nil"/>
            </w:tcBorders>
            <w:shd w:val="solid" w:color="000000" w:fill="auto"/>
            <w:vAlign w:val="bottom"/>
          </w:tcPr>
          <w:p w:rsidR="002C39A3" w:rsidRPr="008B284E" w:rsidRDefault="002C39A3"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8B284E">
              <w:rPr>
                <w:rFonts w:ascii="Calibri" w:eastAsiaTheme="minorEastAsia" w:hAnsi="Calibri" w:cs="Calibri"/>
                <w:i/>
                <w:iCs/>
                <w:color w:val="FFFFFF"/>
                <w:sz w:val="18"/>
                <w:szCs w:val="19"/>
                <w:lang w:eastAsia="en-AU"/>
              </w:rPr>
              <w:t xml:space="preserve">2018-19 </w:t>
            </w:r>
          </w:p>
          <w:p w:rsidR="002C39A3" w:rsidRPr="008B284E" w:rsidRDefault="002C39A3"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8B284E">
              <w:rPr>
                <w:rFonts w:ascii="Calibri" w:eastAsiaTheme="minorEastAsia" w:hAnsi="Calibri" w:cs="Calibri"/>
                <w:i/>
                <w:iCs/>
                <w:color w:val="FFFFFF"/>
                <w:sz w:val="18"/>
                <w:szCs w:val="19"/>
                <w:lang w:eastAsia="en-AU"/>
              </w:rPr>
              <w:t xml:space="preserve"> estimate</w:t>
            </w:r>
          </w:p>
        </w:tc>
        <w:tc>
          <w:tcPr>
            <w:tcW w:w="850" w:type="dxa"/>
            <w:tcBorders>
              <w:top w:val="nil"/>
              <w:left w:val="nil"/>
              <w:right w:val="nil"/>
            </w:tcBorders>
            <w:shd w:val="solid" w:color="000000" w:fill="auto"/>
            <w:vAlign w:val="bottom"/>
          </w:tcPr>
          <w:p w:rsidR="002C39A3" w:rsidRPr="008B284E" w:rsidRDefault="002C39A3"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8B284E">
              <w:rPr>
                <w:rFonts w:ascii="Calibri" w:eastAsiaTheme="minorEastAsia" w:hAnsi="Calibri" w:cs="Calibri"/>
                <w:i/>
                <w:iCs/>
                <w:color w:val="FFFFFF"/>
                <w:sz w:val="18"/>
                <w:szCs w:val="19"/>
                <w:lang w:eastAsia="en-AU"/>
              </w:rPr>
              <w:t xml:space="preserve">2019-20 </w:t>
            </w:r>
          </w:p>
          <w:p w:rsidR="002C39A3" w:rsidRPr="008B284E" w:rsidRDefault="002C39A3"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8B284E">
              <w:rPr>
                <w:rFonts w:ascii="Calibri" w:eastAsiaTheme="minorEastAsia" w:hAnsi="Calibri" w:cs="Calibri"/>
                <w:i/>
                <w:iCs/>
                <w:color w:val="FFFFFF"/>
                <w:sz w:val="18"/>
                <w:szCs w:val="19"/>
                <w:lang w:eastAsia="en-AU"/>
              </w:rPr>
              <w:t xml:space="preserve"> estimate</w:t>
            </w:r>
          </w:p>
        </w:tc>
      </w:tr>
      <w:tr w:rsidR="002C39A3" w:rsidRPr="008B284E" w:rsidTr="00361FA9">
        <w:tc>
          <w:tcPr>
            <w:tcW w:w="7765" w:type="dxa"/>
            <w:gridSpan w:val="6"/>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Cash flows from operating activities</w:t>
            </w:r>
          </w:p>
        </w:tc>
      </w:tr>
      <w:tr w:rsidR="002C39A3" w:rsidRPr="008B284E" w:rsidTr="00361FA9">
        <w:tc>
          <w:tcPr>
            <w:tcW w:w="7765" w:type="dxa"/>
            <w:gridSpan w:val="6"/>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Receipts</w:t>
            </w:r>
          </w:p>
        </w:tc>
      </w:tr>
      <w:tr w:rsidR="002C39A3" w:rsidRPr="008B284E" w:rsidTr="00361FA9">
        <w:tc>
          <w:tcPr>
            <w:tcW w:w="3626" w:type="dxa"/>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Taxes received</w:t>
            </w:r>
          </w:p>
        </w:tc>
        <w:tc>
          <w:tcPr>
            <w:tcW w:w="739"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21 483</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21 148</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22 285</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23 183</w:t>
            </w:r>
          </w:p>
        </w:tc>
      </w:tr>
      <w:tr w:rsidR="002C39A3" w:rsidRPr="008B284E" w:rsidTr="00361FA9">
        <w:tc>
          <w:tcPr>
            <w:tcW w:w="3626" w:type="dxa"/>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Grants</w:t>
            </w:r>
          </w:p>
        </w:tc>
        <w:tc>
          <w:tcPr>
            <w:tcW w:w="739"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27 424</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28 069</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28 844</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29 957</w:t>
            </w:r>
          </w:p>
        </w:tc>
      </w:tr>
      <w:tr w:rsidR="002C39A3" w:rsidRPr="008B284E" w:rsidTr="00361FA9">
        <w:tc>
          <w:tcPr>
            <w:tcW w:w="3626" w:type="dxa"/>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vertAlign w:val="superscript"/>
                <w:lang w:eastAsia="en-AU"/>
              </w:rPr>
            </w:pPr>
            <w:r w:rsidRPr="008B284E">
              <w:rPr>
                <w:rFonts w:ascii="Calibri" w:eastAsiaTheme="minorEastAsia" w:hAnsi="Calibri" w:cs="Calibri"/>
                <w:color w:val="000000"/>
                <w:sz w:val="18"/>
                <w:szCs w:val="19"/>
                <w:lang w:eastAsia="en-AU"/>
              </w:rPr>
              <w:t xml:space="preserve">Sales of goods and services </w:t>
            </w:r>
            <w:r w:rsidRPr="008B284E">
              <w:rPr>
                <w:rFonts w:ascii="Calibri" w:eastAsiaTheme="minorEastAsia" w:hAnsi="Calibri" w:cs="Calibri"/>
                <w:color w:val="000000"/>
                <w:sz w:val="18"/>
                <w:szCs w:val="19"/>
                <w:vertAlign w:val="superscript"/>
                <w:lang w:eastAsia="en-AU"/>
              </w:rPr>
              <w:t>(a)</w:t>
            </w:r>
          </w:p>
        </w:tc>
        <w:tc>
          <w:tcPr>
            <w:tcW w:w="739"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7 602</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7 811</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7 812</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7 906</w:t>
            </w:r>
          </w:p>
        </w:tc>
      </w:tr>
      <w:tr w:rsidR="002C39A3" w:rsidRPr="008B284E" w:rsidTr="00361FA9">
        <w:tc>
          <w:tcPr>
            <w:tcW w:w="3626" w:type="dxa"/>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Interest received</w:t>
            </w:r>
          </w:p>
        </w:tc>
        <w:tc>
          <w:tcPr>
            <w:tcW w:w="739"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881</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914</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903</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906</w:t>
            </w:r>
          </w:p>
        </w:tc>
      </w:tr>
      <w:tr w:rsidR="002C39A3" w:rsidRPr="008B284E" w:rsidTr="00361FA9">
        <w:tc>
          <w:tcPr>
            <w:tcW w:w="3626" w:type="dxa"/>
            <w:tcBorders>
              <w:top w:val="nil"/>
              <w:left w:val="nil"/>
              <w:right w:val="nil"/>
            </w:tcBorders>
            <w:shd w:val="clear" w:color="auto" w:fill="FFFFFF"/>
          </w:tcPr>
          <w:p w:rsidR="002C39A3" w:rsidRPr="008B284E" w:rsidRDefault="002C39A3" w:rsidP="00361FA9">
            <w:pPr>
              <w:autoSpaceDE w:val="0"/>
              <w:autoSpaceDN w:val="0"/>
              <w:adjustRightInd w:val="0"/>
              <w:spacing w:after="0" w:line="223" w:lineRule="auto"/>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Dividends and income tax equivalent </w:t>
            </w:r>
            <w:r w:rsidRPr="008B284E">
              <w:rPr>
                <w:rFonts w:ascii="Calibri" w:eastAsiaTheme="minorEastAsia" w:hAnsi="Calibri" w:cs="Calibri"/>
                <w:color w:val="000000"/>
                <w:sz w:val="18"/>
                <w:szCs w:val="19"/>
                <w:lang w:eastAsia="en-AU"/>
              </w:rPr>
              <w:br/>
              <w:t>and rate equivalent receipts</w:t>
            </w:r>
          </w:p>
        </w:tc>
        <w:tc>
          <w:tcPr>
            <w:tcW w:w="739"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1 079</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1 380</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785</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781</w:t>
            </w:r>
          </w:p>
        </w:tc>
      </w:tr>
      <w:tr w:rsidR="002C39A3" w:rsidRPr="008B284E" w:rsidTr="00361FA9">
        <w:tc>
          <w:tcPr>
            <w:tcW w:w="3626"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Other receipts</w:t>
            </w:r>
          </w:p>
        </w:tc>
        <w:tc>
          <w:tcPr>
            <w:tcW w:w="739"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1 877</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1 866</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1 858</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1 876</w:t>
            </w:r>
          </w:p>
        </w:tc>
      </w:tr>
      <w:tr w:rsidR="002C39A3" w:rsidRPr="008B284E" w:rsidTr="00361FA9">
        <w:tc>
          <w:tcPr>
            <w:tcW w:w="3626"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Total receipts</w:t>
            </w:r>
          </w:p>
        </w:tc>
        <w:tc>
          <w:tcPr>
            <w:tcW w:w="739"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 xml:space="preserve"> </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60 345</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61 188</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62 487</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64 608</w:t>
            </w:r>
          </w:p>
        </w:tc>
      </w:tr>
      <w:tr w:rsidR="002C39A3" w:rsidRPr="008B284E" w:rsidTr="00361FA9">
        <w:tc>
          <w:tcPr>
            <w:tcW w:w="7765" w:type="dxa"/>
            <w:gridSpan w:val="6"/>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Payments</w:t>
            </w:r>
          </w:p>
        </w:tc>
      </w:tr>
      <w:tr w:rsidR="002C39A3" w:rsidRPr="008B284E" w:rsidTr="00361FA9">
        <w:tc>
          <w:tcPr>
            <w:tcW w:w="3626" w:type="dxa"/>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Payments for employees</w:t>
            </w:r>
          </w:p>
        </w:tc>
        <w:tc>
          <w:tcPr>
            <w:tcW w:w="739"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(20 902)</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(21 892)</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(22 778)</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(23 517)</w:t>
            </w:r>
          </w:p>
        </w:tc>
      </w:tr>
      <w:tr w:rsidR="002C39A3" w:rsidRPr="008B284E" w:rsidTr="00361FA9">
        <w:tc>
          <w:tcPr>
            <w:tcW w:w="3626" w:type="dxa"/>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Superannuation</w:t>
            </w:r>
          </w:p>
        </w:tc>
        <w:tc>
          <w:tcPr>
            <w:tcW w:w="739"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(2 991)</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(3 018)</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(3 099)</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(3 136)</w:t>
            </w:r>
          </w:p>
        </w:tc>
      </w:tr>
      <w:tr w:rsidR="002C39A3" w:rsidRPr="008B284E" w:rsidTr="00361FA9">
        <w:tc>
          <w:tcPr>
            <w:tcW w:w="3626" w:type="dxa"/>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Interest paid</w:t>
            </w:r>
          </w:p>
        </w:tc>
        <w:tc>
          <w:tcPr>
            <w:tcW w:w="739"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(2 396)</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(2 194)</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(2 217)</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(2 177)</w:t>
            </w:r>
          </w:p>
        </w:tc>
      </w:tr>
      <w:tr w:rsidR="002C39A3" w:rsidRPr="008B284E" w:rsidTr="00361FA9">
        <w:tc>
          <w:tcPr>
            <w:tcW w:w="3626" w:type="dxa"/>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Grants and subsidies</w:t>
            </w:r>
          </w:p>
        </w:tc>
        <w:tc>
          <w:tcPr>
            <w:tcW w:w="739"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(9 501)</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(9 658)</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(9 940)</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(9 990)</w:t>
            </w:r>
          </w:p>
        </w:tc>
      </w:tr>
      <w:tr w:rsidR="002C39A3" w:rsidRPr="008B284E" w:rsidTr="00361FA9">
        <w:tc>
          <w:tcPr>
            <w:tcW w:w="3626" w:type="dxa"/>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vertAlign w:val="superscript"/>
                <w:lang w:eastAsia="en-AU"/>
              </w:rPr>
            </w:pPr>
            <w:r w:rsidRPr="008B284E">
              <w:rPr>
                <w:rFonts w:ascii="Calibri" w:eastAsiaTheme="minorEastAsia" w:hAnsi="Calibri" w:cs="Calibri"/>
                <w:color w:val="000000"/>
                <w:sz w:val="18"/>
                <w:szCs w:val="19"/>
                <w:lang w:eastAsia="en-AU"/>
              </w:rPr>
              <w:t xml:space="preserve">Goods and services </w:t>
            </w:r>
            <w:r w:rsidRPr="008B284E">
              <w:rPr>
                <w:rFonts w:ascii="Calibri" w:eastAsiaTheme="minorEastAsia" w:hAnsi="Calibri" w:cs="Calibri"/>
                <w:color w:val="000000"/>
                <w:sz w:val="18"/>
                <w:szCs w:val="19"/>
                <w:vertAlign w:val="superscript"/>
                <w:lang w:eastAsia="en-AU"/>
              </w:rPr>
              <w:t>(a)</w:t>
            </w:r>
          </w:p>
        </w:tc>
        <w:tc>
          <w:tcPr>
            <w:tcW w:w="739"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(18 729)</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(19 420)</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(19 263)</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(19 906)</w:t>
            </w:r>
          </w:p>
        </w:tc>
      </w:tr>
      <w:tr w:rsidR="002C39A3" w:rsidRPr="008B284E" w:rsidTr="00361FA9">
        <w:tc>
          <w:tcPr>
            <w:tcW w:w="3626"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Other payments</w:t>
            </w:r>
          </w:p>
        </w:tc>
        <w:tc>
          <w:tcPr>
            <w:tcW w:w="739"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(624)</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(647)</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(670)</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(701)</w:t>
            </w:r>
          </w:p>
        </w:tc>
      </w:tr>
      <w:tr w:rsidR="002C39A3" w:rsidRPr="008B284E" w:rsidTr="00361FA9">
        <w:tc>
          <w:tcPr>
            <w:tcW w:w="3626" w:type="dxa"/>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Total payments</w:t>
            </w:r>
          </w:p>
        </w:tc>
        <w:tc>
          <w:tcPr>
            <w:tcW w:w="739" w:type="dxa"/>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 xml:space="preserve"> </w:t>
            </w:r>
          </w:p>
        </w:tc>
        <w:tc>
          <w:tcPr>
            <w:tcW w:w="850" w:type="dxa"/>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(55 143)</w:t>
            </w:r>
          </w:p>
        </w:tc>
        <w:tc>
          <w:tcPr>
            <w:tcW w:w="850" w:type="dxa"/>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(56 829)</w:t>
            </w:r>
          </w:p>
        </w:tc>
        <w:tc>
          <w:tcPr>
            <w:tcW w:w="850" w:type="dxa"/>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(57 967)</w:t>
            </w:r>
          </w:p>
        </w:tc>
        <w:tc>
          <w:tcPr>
            <w:tcW w:w="850" w:type="dxa"/>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(59 427)</w:t>
            </w:r>
          </w:p>
        </w:tc>
      </w:tr>
      <w:tr w:rsidR="002C39A3" w:rsidRPr="008B284E" w:rsidTr="00361FA9">
        <w:tc>
          <w:tcPr>
            <w:tcW w:w="3626"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Net cash flows from operating activities</w:t>
            </w:r>
          </w:p>
        </w:tc>
        <w:tc>
          <w:tcPr>
            <w:tcW w:w="739"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 xml:space="preserve"> </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5 202</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4 359</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4 520</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5 181</w:t>
            </w:r>
          </w:p>
        </w:tc>
      </w:tr>
      <w:tr w:rsidR="002C39A3" w:rsidRPr="008B284E" w:rsidTr="00361FA9">
        <w:tc>
          <w:tcPr>
            <w:tcW w:w="7765" w:type="dxa"/>
            <w:gridSpan w:val="6"/>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Cash flows from investing activities</w:t>
            </w:r>
          </w:p>
        </w:tc>
      </w:tr>
      <w:tr w:rsidR="002C39A3" w:rsidRPr="008B284E" w:rsidTr="00361FA9">
        <w:tc>
          <w:tcPr>
            <w:tcW w:w="3626" w:type="dxa"/>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Purchase of non-financial assets </w:t>
            </w:r>
          </w:p>
        </w:tc>
        <w:tc>
          <w:tcPr>
            <w:tcW w:w="739"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20a,b</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(7 206)</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(7 079)</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(6 542)</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(5 489)</w:t>
            </w:r>
          </w:p>
        </w:tc>
      </w:tr>
      <w:tr w:rsidR="002C39A3" w:rsidRPr="008B284E" w:rsidTr="00361FA9">
        <w:tc>
          <w:tcPr>
            <w:tcW w:w="3626"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Sales of non-financial assets</w:t>
            </w:r>
          </w:p>
        </w:tc>
        <w:tc>
          <w:tcPr>
            <w:tcW w:w="739"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487</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746</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440</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237</w:t>
            </w:r>
          </w:p>
        </w:tc>
      </w:tr>
      <w:tr w:rsidR="002C39A3" w:rsidRPr="008B284E" w:rsidTr="00361FA9">
        <w:tc>
          <w:tcPr>
            <w:tcW w:w="3626"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line="223" w:lineRule="auto"/>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Net cash flows from investments in non</w:t>
            </w:r>
            <w:r w:rsidRPr="008B284E">
              <w:rPr>
                <w:rFonts w:ascii="Calibri" w:eastAsiaTheme="minorEastAsia" w:hAnsi="Calibri" w:cs="Calibri"/>
                <w:color w:val="000000"/>
                <w:sz w:val="18"/>
                <w:szCs w:val="19"/>
                <w:lang w:eastAsia="en-AU"/>
              </w:rPr>
              <w:noBreakHyphen/>
              <w:t>financial assets</w:t>
            </w:r>
          </w:p>
        </w:tc>
        <w:tc>
          <w:tcPr>
            <w:tcW w:w="739"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(6 720)</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(6 333)</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(6 102)</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(5 252)</w:t>
            </w:r>
          </w:p>
        </w:tc>
      </w:tr>
      <w:tr w:rsidR="002C39A3" w:rsidRPr="008B284E" w:rsidTr="00361FA9">
        <w:tc>
          <w:tcPr>
            <w:tcW w:w="3626"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line="223" w:lineRule="auto"/>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Net cash flows from investments in </w:t>
            </w:r>
            <w:r w:rsidRPr="008B284E">
              <w:rPr>
                <w:rFonts w:ascii="Calibri" w:eastAsiaTheme="minorEastAsia" w:hAnsi="Calibri" w:cs="Calibri"/>
                <w:color w:val="000000"/>
                <w:sz w:val="18"/>
                <w:szCs w:val="19"/>
                <w:lang w:eastAsia="en-AU"/>
              </w:rPr>
              <w:br/>
              <w:t>financial assets for policy purposes</w:t>
            </w:r>
          </w:p>
        </w:tc>
        <w:tc>
          <w:tcPr>
            <w:tcW w:w="739"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391</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1 556</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1 676</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1 602</w:t>
            </w:r>
          </w:p>
        </w:tc>
      </w:tr>
      <w:tr w:rsidR="002C39A3" w:rsidRPr="008B284E" w:rsidTr="00361FA9">
        <w:tc>
          <w:tcPr>
            <w:tcW w:w="3626"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Subtotal</w:t>
            </w:r>
          </w:p>
        </w:tc>
        <w:tc>
          <w:tcPr>
            <w:tcW w:w="739"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 xml:space="preserve"> </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(6 328)</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(4 778)</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(4 426)</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(3 650)</w:t>
            </w:r>
          </w:p>
        </w:tc>
      </w:tr>
      <w:tr w:rsidR="002C39A3" w:rsidRPr="008B284E" w:rsidTr="00361FA9">
        <w:tc>
          <w:tcPr>
            <w:tcW w:w="3626"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line="223" w:lineRule="auto"/>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Net cash flows from investment in financial assets for liquidity management purposes</w:t>
            </w:r>
          </w:p>
        </w:tc>
        <w:tc>
          <w:tcPr>
            <w:tcW w:w="739"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(84)</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(68)</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(67)</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(80)</w:t>
            </w:r>
          </w:p>
        </w:tc>
      </w:tr>
      <w:tr w:rsidR="002C39A3" w:rsidRPr="008B284E" w:rsidTr="00361FA9">
        <w:tc>
          <w:tcPr>
            <w:tcW w:w="3626"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Net cash flows from investing activities</w:t>
            </w:r>
          </w:p>
        </w:tc>
        <w:tc>
          <w:tcPr>
            <w:tcW w:w="739"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 xml:space="preserve"> </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(6 413)</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(4 846)</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(4 493)</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(3 731)</w:t>
            </w:r>
          </w:p>
        </w:tc>
      </w:tr>
      <w:tr w:rsidR="002C39A3" w:rsidRPr="008B284E" w:rsidTr="00361FA9">
        <w:tc>
          <w:tcPr>
            <w:tcW w:w="7765" w:type="dxa"/>
            <w:gridSpan w:val="6"/>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Cash flows from financing activities</w:t>
            </w:r>
          </w:p>
        </w:tc>
      </w:tr>
      <w:tr w:rsidR="002C39A3" w:rsidRPr="008B284E" w:rsidTr="00361FA9">
        <w:tc>
          <w:tcPr>
            <w:tcW w:w="3626" w:type="dxa"/>
            <w:tcBorders>
              <w:top w:val="nil"/>
              <w:left w:val="nil"/>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Advances received (net)</w:t>
            </w:r>
          </w:p>
        </w:tc>
        <w:tc>
          <w:tcPr>
            <w:tcW w:w="739"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5 583</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(1 178)</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(852)</w:t>
            </w:r>
          </w:p>
        </w:tc>
        <w:tc>
          <w:tcPr>
            <w:tcW w:w="850" w:type="dxa"/>
            <w:tcBorders>
              <w:top w:val="nil"/>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(1 030)</w:t>
            </w:r>
          </w:p>
        </w:tc>
      </w:tr>
      <w:tr w:rsidR="002C39A3" w:rsidRPr="008B284E" w:rsidTr="00361FA9">
        <w:tc>
          <w:tcPr>
            <w:tcW w:w="3626"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Net borrowings</w:t>
            </w:r>
          </w:p>
        </w:tc>
        <w:tc>
          <w:tcPr>
            <w:tcW w:w="739"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(3 943)</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1 688</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1 143</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(108)</w:t>
            </w:r>
          </w:p>
        </w:tc>
      </w:tr>
      <w:tr w:rsidR="002C39A3" w:rsidRPr="008B284E" w:rsidTr="00361FA9">
        <w:tc>
          <w:tcPr>
            <w:tcW w:w="3626" w:type="dxa"/>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Net cash flows from financing activities</w:t>
            </w:r>
          </w:p>
        </w:tc>
        <w:tc>
          <w:tcPr>
            <w:tcW w:w="739" w:type="dxa"/>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 xml:space="preserve"> </w:t>
            </w:r>
          </w:p>
        </w:tc>
        <w:tc>
          <w:tcPr>
            <w:tcW w:w="850" w:type="dxa"/>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1 640</w:t>
            </w:r>
          </w:p>
        </w:tc>
        <w:tc>
          <w:tcPr>
            <w:tcW w:w="850" w:type="dxa"/>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510</w:t>
            </w:r>
          </w:p>
        </w:tc>
        <w:tc>
          <w:tcPr>
            <w:tcW w:w="850" w:type="dxa"/>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291</w:t>
            </w:r>
          </w:p>
        </w:tc>
        <w:tc>
          <w:tcPr>
            <w:tcW w:w="850" w:type="dxa"/>
            <w:tcBorders>
              <w:top w:val="single" w:sz="6" w:space="0" w:color="000000"/>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(1 138)</w:t>
            </w:r>
          </w:p>
        </w:tc>
      </w:tr>
      <w:tr w:rsidR="002C39A3" w:rsidRPr="008B284E" w:rsidTr="00361FA9">
        <w:tc>
          <w:tcPr>
            <w:tcW w:w="3626"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line="223" w:lineRule="auto"/>
              <w:ind w:left="227" w:hanging="227"/>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Net increase/(decrease) in cash and cash equivalents</w:t>
            </w:r>
          </w:p>
        </w:tc>
        <w:tc>
          <w:tcPr>
            <w:tcW w:w="739"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 xml:space="preserve"> </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429</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23</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318</w:t>
            </w:r>
          </w:p>
        </w:tc>
        <w:tc>
          <w:tcPr>
            <w:tcW w:w="850" w:type="dxa"/>
            <w:tcBorders>
              <w:top w:val="single" w:sz="6" w:space="0" w:color="000000"/>
              <w:left w:val="nil"/>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313</w:t>
            </w:r>
          </w:p>
        </w:tc>
      </w:tr>
      <w:tr w:rsidR="002C39A3" w:rsidRPr="008B284E" w:rsidTr="00361FA9">
        <w:tc>
          <w:tcPr>
            <w:tcW w:w="3626"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line="223" w:lineRule="auto"/>
              <w:ind w:left="227" w:hanging="227"/>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Cash and cash equivalents at beginning of reporting period</w:t>
            </w:r>
          </w:p>
        </w:tc>
        <w:tc>
          <w:tcPr>
            <w:tcW w:w="739"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 xml:space="preserve"> </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4 338</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4 766</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4 789</w:t>
            </w:r>
          </w:p>
        </w:tc>
        <w:tc>
          <w:tcPr>
            <w:tcW w:w="850" w:type="dxa"/>
            <w:tcBorders>
              <w:top w:val="nil"/>
              <w:left w:val="nil"/>
              <w:bottom w:val="single" w:sz="6"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8B284E">
              <w:rPr>
                <w:rFonts w:ascii="Calibri" w:eastAsiaTheme="minorEastAsia" w:hAnsi="Calibri" w:cs="Calibri"/>
                <w:color w:val="000000"/>
                <w:sz w:val="18"/>
                <w:szCs w:val="19"/>
                <w:lang w:eastAsia="en-AU"/>
              </w:rPr>
              <w:t>5 107</w:t>
            </w:r>
          </w:p>
        </w:tc>
      </w:tr>
      <w:tr w:rsidR="002C39A3" w:rsidRPr="008B284E" w:rsidTr="00361FA9">
        <w:tc>
          <w:tcPr>
            <w:tcW w:w="3626" w:type="dxa"/>
            <w:tcBorders>
              <w:top w:val="single" w:sz="6" w:space="0" w:color="000000"/>
              <w:left w:val="nil"/>
              <w:bottom w:val="single" w:sz="12" w:space="0" w:color="000000"/>
              <w:right w:val="nil"/>
            </w:tcBorders>
            <w:shd w:val="clear" w:color="auto" w:fill="FFFFFF"/>
          </w:tcPr>
          <w:p w:rsidR="002C39A3" w:rsidRPr="008B284E" w:rsidRDefault="002C39A3" w:rsidP="00361FA9">
            <w:pPr>
              <w:autoSpaceDE w:val="0"/>
              <w:autoSpaceDN w:val="0"/>
              <w:adjustRightInd w:val="0"/>
              <w:spacing w:after="0" w:line="223" w:lineRule="auto"/>
              <w:ind w:left="227" w:hanging="227"/>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Cash and cash equivalents at end of reporting period</w:t>
            </w:r>
          </w:p>
        </w:tc>
        <w:tc>
          <w:tcPr>
            <w:tcW w:w="739" w:type="dxa"/>
            <w:tcBorders>
              <w:top w:val="single" w:sz="6" w:space="0" w:color="000000"/>
              <w:left w:val="nil"/>
              <w:bottom w:val="single" w:sz="12" w:space="0" w:color="000000"/>
              <w:right w:val="nil"/>
            </w:tcBorders>
            <w:shd w:val="clear" w:color="auto" w:fill="FFFFFF"/>
          </w:tcPr>
          <w:p w:rsidR="002C39A3" w:rsidRPr="008B284E" w:rsidRDefault="002C39A3" w:rsidP="00361FA9">
            <w:pPr>
              <w:autoSpaceDE w:val="0"/>
              <w:autoSpaceDN w:val="0"/>
              <w:adjustRightInd w:val="0"/>
              <w:spacing w:after="0"/>
              <w:jc w:val="center"/>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 xml:space="preserve"> </w:t>
            </w:r>
          </w:p>
        </w:tc>
        <w:tc>
          <w:tcPr>
            <w:tcW w:w="850" w:type="dxa"/>
            <w:tcBorders>
              <w:top w:val="single" w:sz="6" w:space="0" w:color="000000"/>
              <w:left w:val="nil"/>
              <w:bottom w:val="single" w:sz="12"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4 766</w:t>
            </w:r>
          </w:p>
        </w:tc>
        <w:tc>
          <w:tcPr>
            <w:tcW w:w="850" w:type="dxa"/>
            <w:tcBorders>
              <w:top w:val="single" w:sz="6" w:space="0" w:color="000000"/>
              <w:left w:val="nil"/>
              <w:bottom w:val="single" w:sz="12"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4 789</w:t>
            </w:r>
          </w:p>
        </w:tc>
        <w:tc>
          <w:tcPr>
            <w:tcW w:w="850" w:type="dxa"/>
            <w:tcBorders>
              <w:top w:val="single" w:sz="6" w:space="0" w:color="000000"/>
              <w:left w:val="nil"/>
              <w:bottom w:val="single" w:sz="12"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5 107</w:t>
            </w:r>
          </w:p>
        </w:tc>
        <w:tc>
          <w:tcPr>
            <w:tcW w:w="850" w:type="dxa"/>
            <w:tcBorders>
              <w:top w:val="single" w:sz="6" w:space="0" w:color="000000"/>
              <w:left w:val="nil"/>
              <w:bottom w:val="single" w:sz="12" w:space="0" w:color="000000"/>
              <w:right w:val="nil"/>
            </w:tcBorders>
            <w:shd w:val="clear" w:color="auto" w:fill="FFFFFF"/>
          </w:tcPr>
          <w:p w:rsidR="002C39A3" w:rsidRPr="008B284E"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8B284E">
              <w:rPr>
                <w:rFonts w:ascii="Calibri" w:eastAsiaTheme="minorEastAsia" w:hAnsi="Calibri" w:cs="Calibri"/>
                <w:b/>
                <w:bCs/>
                <w:color w:val="000000"/>
                <w:sz w:val="18"/>
                <w:szCs w:val="19"/>
                <w:lang w:eastAsia="en-AU"/>
              </w:rPr>
              <w:t>5 420</w:t>
            </w:r>
          </w:p>
        </w:tc>
      </w:tr>
      <w:tr w:rsidR="002C39A3" w:rsidRPr="00114E35" w:rsidTr="00361FA9">
        <w:tc>
          <w:tcPr>
            <w:tcW w:w="7765" w:type="dxa"/>
            <w:gridSpan w:val="6"/>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FISCAL AGGREGATES</w:t>
            </w:r>
          </w:p>
        </w:tc>
      </w:tr>
      <w:tr w:rsidR="002C39A3" w:rsidRPr="00114E35" w:rsidTr="00361FA9">
        <w:tc>
          <w:tcPr>
            <w:tcW w:w="3626"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Net cash flows from operating activities</w:t>
            </w:r>
          </w:p>
        </w:tc>
        <w:tc>
          <w:tcPr>
            <w:tcW w:w="73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 xml:space="preserve"> </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5 202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4 359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4 520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5 181</w:t>
            </w:r>
          </w:p>
        </w:tc>
      </w:tr>
      <w:tr w:rsidR="002C39A3" w:rsidRPr="00114E35" w:rsidTr="00361FA9">
        <w:tc>
          <w:tcPr>
            <w:tcW w:w="3626"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line="223" w:lineRule="auto"/>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Net cas</w:t>
            </w:r>
            <w:r>
              <w:rPr>
                <w:rFonts w:ascii="Calibri" w:eastAsiaTheme="minorEastAsia" w:hAnsi="Calibri" w:cs="Calibri"/>
                <w:color w:val="000000"/>
                <w:sz w:val="19"/>
                <w:szCs w:val="19"/>
                <w:lang w:eastAsia="en-AU"/>
              </w:rPr>
              <w:t>h flows from investments in non</w:t>
            </w:r>
            <w:r>
              <w:rPr>
                <w:rFonts w:ascii="Calibri" w:eastAsiaTheme="minorEastAsia" w:hAnsi="Calibri" w:cs="Calibri"/>
                <w:color w:val="000000"/>
                <w:sz w:val="19"/>
                <w:szCs w:val="19"/>
                <w:lang w:eastAsia="en-AU"/>
              </w:rPr>
              <w:noBreakHyphen/>
            </w:r>
            <w:r w:rsidRPr="00114E35">
              <w:rPr>
                <w:rFonts w:ascii="Calibri" w:eastAsiaTheme="minorEastAsia" w:hAnsi="Calibri" w:cs="Calibri"/>
                <w:color w:val="000000"/>
                <w:sz w:val="19"/>
                <w:szCs w:val="19"/>
                <w:lang w:eastAsia="en-AU"/>
              </w:rPr>
              <w:t>financial assets</w:t>
            </w:r>
          </w:p>
        </w:tc>
        <w:tc>
          <w:tcPr>
            <w:tcW w:w="739"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(6 720)</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(6 333)</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(6 102)</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(5 252)</w:t>
            </w:r>
          </w:p>
        </w:tc>
      </w:tr>
      <w:tr w:rsidR="002C39A3" w:rsidRPr="00114E35" w:rsidTr="00361FA9">
        <w:tc>
          <w:tcPr>
            <w:tcW w:w="3626"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Cash surplus/(deficit)</w:t>
            </w:r>
          </w:p>
        </w:tc>
        <w:tc>
          <w:tcPr>
            <w:tcW w:w="739"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center"/>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 xml:space="preserve"> </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(1 518)</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(1 974)</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(1 582)</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(71)</w:t>
            </w:r>
          </w:p>
        </w:tc>
      </w:tr>
    </w:tbl>
    <w:p w:rsidR="002C39A3" w:rsidRPr="008B284E" w:rsidRDefault="002C39A3" w:rsidP="00361FA9">
      <w:pPr>
        <w:pStyle w:val="Source"/>
        <w:spacing w:after="60"/>
      </w:pPr>
      <w:r w:rsidRPr="008B284E">
        <w:t>The accompanying notes form part of these estimated financial statements.</w:t>
      </w:r>
    </w:p>
    <w:p w:rsidR="002C39A3" w:rsidRPr="008B284E" w:rsidRDefault="002C39A3" w:rsidP="00361FA9">
      <w:pPr>
        <w:pStyle w:val="Notes"/>
      </w:pPr>
      <w:r w:rsidRPr="008B284E">
        <w:t>Note:</w:t>
      </w:r>
    </w:p>
    <w:p w:rsidR="002C39A3" w:rsidRPr="008B284E" w:rsidRDefault="002C39A3" w:rsidP="00361FA9">
      <w:pPr>
        <w:pStyle w:val="Notes"/>
      </w:pPr>
      <w:r w:rsidRPr="008B284E">
        <w:t>(a)</w:t>
      </w:r>
      <w:r w:rsidRPr="008B284E">
        <w:tab/>
        <w:t>Inclusive of goods and services tax.</w:t>
      </w:r>
    </w:p>
    <w:p w:rsidR="002C39A3" w:rsidRDefault="002C39A3" w:rsidP="00361FA9">
      <w:pPr>
        <w:pStyle w:val="Tableheading"/>
      </w:pPr>
      <w:r>
        <w:t>Table 1.4:</w:t>
      </w:r>
      <w:r>
        <w:tab/>
        <w:t xml:space="preserve">Estimated general government sector statement of changes in </w:t>
      </w:r>
      <w:r>
        <w:br/>
        <w:t>equity for the financial year ended 30 June</w:t>
      </w:r>
    </w:p>
    <w:p w:rsidR="002C39A3" w:rsidRPr="00114E35" w:rsidRDefault="002C39A3" w:rsidP="00361FA9">
      <w:pPr>
        <w:pStyle w:val="million"/>
        <w:rPr>
          <w:rFonts w:eastAsiaTheme="minorEastAsia"/>
          <w:b/>
          <w:bCs/>
          <w:lang w:val="en-US" w:eastAsia="en-AU"/>
        </w:rPr>
      </w:pPr>
      <w:r>
        <w:t xml:space="preserve">($ </w:t>
      </w:r>
      <w:r w:rsidRPr="007D385B">
        <w:t>million</w:t>
      </w:r>
      <w:r>
        <w:t>)</w:t>
      </w:r>
    </w:p>
    <w:tbl>
      <w:tblPr>
        <w:tblW w:w="7767" w:type="dxa"/>
        <w:tblInd w:w="45" w:type="dxa"/>
        <w:tblLayout w:type="fixed"/>
        <w:tblCellMar>
          <w:left w:w="45" w:type="dxa"/>
          <w:right w:w="45" w:type="dxa"/>
        </w:tblCellMar>
        <w:tblLook w:val="0000" w:firstRow="0" w:lastRow="0" w:firstColumn="0" w:lastColumn="0" w:noHBand="0" w:noVBand="0"/>
      </w:tblPr>
      <w:tblGrid>
        <w:gridCol w:w="4229"/>
        <w:gridCol w:w="1531"/>
        <w:gridCol w:w="2007"/>
      </w:tblGrid>
      <w:tr w:rsidR="002C39A3" w:rsidRPr="00114E35" w:rsidTr="00361FA9">
        <w:trPr>
          <w:tblHeader/>
        </w:trPr>
        <w:tc>
          <w:tcPr>
            <w:tcW w:w="4229" w:type="dxa"/>
            <w:tcBorders>
              <w:top w:val="nil"/>
              <w:left w:val="nil"/>
              <w:right w:val="nil"/>
            </w:tcBorders>
            <w:shd w:val="solid" w:color="000000" w:fill="auto"/>
            <w:vAlign w:val="bottom"/>
          </w:tcPr>
          <w:p w:rsidR="002C39A3" w:rsidRPr="00114E35" w:rsidRDefault="002C39A3" w:rsidP="00361FA9">
            <w:pPr>
              <w:pStyle w:val="Source"/>
              <w:spacing w:after="0"/>
              <w:rPr>
                <w:rFonts w:eastAsiaTheme="minorEastAsia" w:cs="Calibri"/>
                <w:iCs/>
                <w:color w:val="FFFFFF"/>
                <w:sz w:val="19"/>
                <w:szCs w:val="19"/>
                <w:lang w:eastAsia="en-AU"/>
              </w:rPr>
            </w:pPr>
            <w:r w:rsidRPr="00114E35">
              <w:rPr>
                <w:rFonts w:eastAsiaTheme="minorEastAsia" w:cs="Calibri"/>
                <w:iCs/>
                <w:color w:val="FFFFFF"/>
                <w:sz w:val="19"/>
                <w:szCs w:val="19"/>
                <w:lang w:eastAsia="en-AU"/>
              </w:rPr>
              <w:t xml:space="preserve"> </w:t>
            </w:r>
          </w:p>
        </w:tc>
        <w:tc>
          <w:tcPr>
            <w:tcW w:w="1531"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Accumulated surplus/(deficit)</w:t>
            </w:r>
          </w:p>
        </w:tc>
        <w:tc>
          <w:tcPr>
            <w:tcW w:w="2007"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vertAlign w:val="superscript"/>
                <w:lang w:eastAsia="en-AU"/>
              </w:rPr>
            </w:pPr>
            <w:r w:rsidRPr="00114E35">
              <w:rPr>
                <w:rFonts w:ascii="Calibri" w:eastAsiaTheme="minorEastAsia" w:hAnsi="Calibri" w:cs="Calibri"/>
                <w:i/>
                <w:iCs/>
                <w:color w:val="FFFFFF"/>
                <w:sz w:val="19"/>
                <w:szCs w:val="19"/>
                <w:lang w:eastAsia="en-AU"/>
              </w:rPr>
              <w:t xml:space="preserve">Non-financial assets revaluation surplus </w:t>
            </w:r>
            <w:r w:rsidRPr="00114E35">
              <w:rPr>
                <w:rFonts w:ascii="Calibri" w:eastAsiaTheme="minorEastAsia" w:hAnsi="Calibri" w:cs="Calibri"/>
                <w:i/>
                <w:iCs/>
                <w:color w:val="FFFFFF"/>
                <w:sz w:val="19"/>
                <w:szCs w:val="19"/>
                <w:vertAlign w:val="superscript"/>
                <w:lang w:eastAsia="en-AU"/>
              </w:rPr>
              <w:t>(a)</w:t>
            </w:r>
          </w:p>
        </w:tc>
      </w:tr>
      <w:tr w:rsidR="002C39A3" w:rsidRPr="00114E35" w:rsidTr="00361FA9">
        <w:tc>
          <w:tcPr>
            <w:tcW w:w="7767" w:type="dxa"/>
            <w:gridSpan w:val="3"/>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2016-17 budget</w:t>
            </w:r>
          </w:p>
        </w:tc>
      </w:tr>
      <w:tr w:rsidR="002C39A3" w:rsidRPr="00114E35" w:rsidTr="00361FA9">
        <w:tc>
          <w:tcPr>
            <w:tcW w:w="4229"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Balance at 1 July 2016</w:t>
            </w:r>
          </w:p>
        </w:tc>
        <w:tc>
          <w:tcPr>
            <w:tcW w:w="1531"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45 682</w:t>
            </w:r>
          </w:p>
        </w:tc>
        <w:tc>
          <w:tcPr>
            <w:tcW w:w="200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43 826</w:t>
            </w:r>
          </w:p>
        </w:tc>
      </w:tr>
      <w:tr w:rsidR="002C39A3" w:rsidRPr="00114E35" w:rsidTr="00361FA9">
        <w:tc>
          <w:tcPr>
            <w:tcW w:w="4229"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Net result for the year</w:t>
            </w:r>
          </w:p>
        </w:tc>
        <w:tc>
          <w:tcPr>
            <w:tcW w:w="1531"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2 635</w:t>
            </w:r>
          </w:p>
        </w:tc>
        <w:tc>
          <w:tcPr>
            <w:tcW w:w="200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r>
      <w:tr w:rsidR="002C39A3" w:rsidRPr="00114E35" w:rsidTr="00361FA9">
        <w:tc>
          <w:tcPr>
            <w:tcW w:w="4229"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Other comprehensive income for the year</w:t>
            </w:r>
          </w:p>
        </w:tc>
        <w:tc>
          <w:tcPr>
            <w:tcW w:w="1531"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875</w:t>
            </w:r>
          </w:p>
        </w:tc>
        <w:tc>
          <w:tcPr>
            <w:tcW w:w="2007"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109</w:t>
            </w:r>
          </w:p>
        </w:tc>
      </w:tr>
      <w:tr w:rsidR="002C39A3" w:rsidRPr="00114E35" w:rsidTr="00361FA9">
        <w:tc>
          <w:tcPr>
            <w:tcW w:w="4229"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equity as at 30 June 2017</w:t>
            </w:r>
          </w:p>
        </w:tc>
        <w:tc>
          <w:tcPr>
            <w:tcW w:w="1531"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49 193</w:t>
            </w:r>
          </w:p>
        </w:tc>
        <w:tc>
          <w:tcPr>
            <w:tcW w:w="2007"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43 935</w:t>
            </w:r>
          </w:p>
        </w:tc>
      </w:tr>
      <w:tr w:rsidR="002C39A3" w:rsidRPr="00114E35" w:rsidTr="00361FA9">
        <w:tc>
          <w:tcPr>
            <w:tcW w:w="7767" w:type="dxa"/>
            <w:gridSpan w:val="3"/>
            <w:tcBorders>
              <w:top w:val="single" w:sz="12" w:space="0" w:color="000000"/>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2017-18 estimate</w:t>
            </w:r>
          </w:p>
        </w:tc>
      </w:tr>
      <w:tr w:rsidR="002C39A3" w:rsidRPr="00114E35" w:rsidTr="00361FA9">
        <w:tc>
          <w:tcPr>
            <w:tcW w:w="4229"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Balance at 1 July 2017</w:t>
            </w:r>
          </w:p>
        </w:tc>
        <w:tc>
          <w:tcPr>
            <w:tcW w:w="1531"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49 193</w:t>
            </w:r>
          </w:p>
        </w:tc>
        <w:tc>
          <w:tcPr>
            <w:tcW w:w="200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43 935</w:t>
            </w:r>
          </w:p>
        </w:tc>
      </w:tr>
      <w:tr w:rsidR="002C39A3" w:rsidRPr="00114E35" w:rsidTr="00361FA9">
        <w:tc>
          <w:tcPr>
            <w:tcW w:w="4229"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Net result for the year</w:t>
            </w:r>
          </w:p>
        </w:tc>
        <w:tc>
          <w:tcPr>
            <w:tcW w:w="1531"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1 823</w:t>
            </w:r>
          </w:p>
        </w:tc>
        <w:tc>
          <w:tcPr>
            <w:tcW w:w="200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r>
      <w:tr w:rsidR="002C39A3" w:rsidRPr="00114E35" w:rsidTr="00361FA9">
        <w:tc>
          <w:tcPr>
            <w:tcW w:w="4229"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Other comprehensive income for the year</w:t>
            </w:r>
          </w:p>
        </w:tc>
        <w:tc>
          <w:tcPr>
            <w:tcW w:w="1531"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892</w:t>
            </w:r>
          </w:p>
        </w:tc>
        <w:tc>
          <w:tcPr>
            <w:tcW w:w="2007"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7 101</w:t>
            </w:r>
          </w:p>
        </w:tc>
      </w:tr>
      <w:tr w:rsidR="002C39A3" w:rsidRPr="00114E35" w:rsidTr="00361FA9">
        <w:tc>
          <w:tcPr>
            <w:tcW w:w="4229"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equity as at 30 June 2018</w:t>
            </w:r>
          </w:p>
        </w:tc>
        <w:tc>
          <w:tcPr>
            <w:tcW w:w="1531"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51 907</w:t>
            </w:r>
          </w:p>
        </w:tc>
        <w:tc>
          <w:tcPr>
            <w:tcW w:w="2007"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51 036</w:t>
            </w:r>
          </w:p>
        </w:tc>
      </w:tr>
      <w:tr w:rsidR="002C39A3" w:rsidRPr="00114E35" w:rsidTr="00361FA9">
        <w:tc>
          <w:tcPr>
            <w:tcW w:w="7767" w:type="dxa"/>
            <w:gridSpan w:val="3"/>
            <w:tcBorders>
              <w:top w:val="single" w:sz="12" w:space="0" w:color="000000"/>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2018-19 estimate</w:t>
            </w:r>
          </w:p>
        </w:tc>
      </w:tr>
      <w:tr w:rsidR="002C39A3" w:rsidRPr="00114E35" w:rsidTr="00361FA9">
        <w:tc>
          <w:tcPr>
            <w:tcW w:w="4229"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Balance at 1 July 2018</w:t>
            </w:r>
          </w:p>
        </w:tc>
        <w:tc>
          <w:tcPr>
            <w:tcW w:w="1531"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51 907</w:t>
            </w:r>
          </w:p>
        </w:tc>
        <w:tc>
          <w:tcPr>
            <w:tcW w:w="200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51 036</w:t>
            </w:r>
          </w:p>
        </w:tc>
      </w:tr>
      <w:tr w:rsidR="002C39A3" w:rsidRPr="00114E35" w:rsidTr="00361FA9">
        <w:tc>
          <w:tcPr>
            <w:tcW w:w="4229"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Net result for the year</w:t>
            </w:r>
          </w:p>
        </w:tc>
        <w:tc>
          <w:tcPr>
            <w:tcW w:w="1531"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1 841</w:t>
            </w:r>
          </w:p>
        </w:tc>
        <w:tc>
          <w:tcPr>
            <w:tcW w:w="200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r>
      <w:tr w:rsidR="002C39A3" w:rsidRPr="00114E35" w:rsidTr="00361FA9">
        <w:tc>
          <w:tcPr>
            <w:tcW w:w="4229"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Other comprehensive income for the year</w:t>
            </w:r>
          </w:p>
        </w:tc>
        <w:tc>
          <w:tcPr>
            <w:tcW w:w="1531"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924</w:t>
            </w:r>
          </w:p>
        </w:tc>
        <w:tc>
          <w:tcPr>
            <w:tcW w:w="2007"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1 653</w:t>
            </w:r>
          </w:p>
        </w:tc>
      </w:tr>
      <w:tr w:rsidR="002C39A3" w:rsidRPr="00114E35" w:rsidTr="00361FA9">
        <w:tc>
          <w:tcPr>
            <w:tcW w:w="4229"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equity as at 30 June 2019</w:t>
            </w:r>
          </w:p>
        </w:tc>
        <w:tc>
          <w:tcPr>
            <w:tcW w:w="1531"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54 673</w:t>
            </w:r>
          </w:p>
        </w:tc>
        <w:tc>
          <w:tcPr>
            <w:tcW w:w="2007"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52 689</w:t>
            </w:r>
          </w:p>
        </w:tc>
      </w:tr>
      <w:tr w:rsidR="002C39A3" w:rsidRPr="00114E35" w:rsidTr="00361FA9">
        <w:tc>
          <w:tcPr>
            <w:tcW w:w="7767" w:type="dxa"/>
            <w:gridSpan w:val="3"/>
            <w:tcBorders>
              <w:top w:val="single" w:sz="12" w:space="0" w:color="000000"/>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2019-20 estimate</w:t>
            </w:r>
          </w:p>
        </w:tc>
      </w:tr>
      <w:tr w:rsidR="002C39A3" w:rsidRPr="00114E35" w:rsidTr="00361FA9">
        <w:tc>
          <w:tcPr>
            <w:tcW w:w="4229"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Balance at 1 July 2019</w:t>
            </w:r>
          </w:p>
        </w:tc>
        <w:tc>
          <w:tcPr>
            <w:tcW w:w="1531"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54 673</w:t>
            </w:r>
          </w:p>
        </w:tc>
        <w:tc>
          <w:tcPr>
            <w:tcW w:w="200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52 689</w:t>
            </w:r>
          </w:p>
        </w:tc>
      </w:tr>
      <w:tr w:rsidR="002C39A3" w:rsidRPr="00114E35" w:rsidTr="00361FA9">
        <w:tc>
          <w:tcPr>
            <w:tcW w:w="4229"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Net result for the year</w:t>
            </w:r>
          </w:p>
        </w:tc>
        <w:tc>
          <w:tcPr>
            <w:tcW w:w="1531"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2 206</w:t>
            </w:r>
          </w:p>
        </w:tc>
        <w:tc>
          <w:tcPr>
            <w:tcW w:w="2007"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r>
      <w:tr w:rsidR="002C39A3" w:rsidRPr="00114E35" w:rsidTr="00361FA9">
        <w:tc>
          <w:tcPr>
            <w:tcW w:w="4229"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Other comprehensive income for the year</w:t>
            </w:r>
          </w:p>
        </w:tc>
        <w:tc>
          <w:tcPr>
            <w:tcW w:w="1531"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925</w:t>
            </w:r>
          </w:p>
        </w:tc>
        <w:tc>
          <w:tcPr>
            <w:tcW w:w="2007"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7 445</w:t>
            </w:r>
          </w:p>
        </w:tc>
      </w:tr>
      <w:tr w:rsidR="002C39A3" w:rsidRPr="00114E35" w:rsidTr="00361FA9">
        <w:tc>
          <w:tcPr>
            <w:tcW w:w="4229"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equity as at 30 June 2020</w:t>
            </w:r>
          </w:p>
        </w:tc>
        <w:tc>
          <w:tcPr>
            <w:tcW w:w="1531"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57 804</w:t>
            </w:r>
          </w:p>
        </w:tc>
        <w:tc>
          <w:tcPr>
            <w:tcW w:w="2007"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60 135</w:t>
            </w:r>
          </w:p>
        </w:tc>
      </w:tr>
    </w:tbl>
    <w:p w:rsidR="002C39A3" w:rsidRDefault="002C39A3" w:rsidP="00361FA9">
      <w:pPr>
        <w:pStyle w:val="Source"/>
      </w:pPr>
      <w:r w:rsidRPr="002A41F7">
        <w:t xml:space="preserve">The accompanying notes </w:t>
      </w:r>
      <w:r>
        <w:t>form part of these estimated financial statements.</w:t>
      </w:r>
    </w:p>
    <w:p w:rsidR="002C39A3" w:rsidRDefault="002C39A3" w:rsidP="00361FA9">
      <w:pPr>
        <w:pStyle w:val="Notes"/>
      </w:pPr>
      <w:r>
        <w:t>Note:</w:t>
      </w:r>
    </w:p>
    <w:p w:rsidR="002C39A3" w:rsidRPr="0093263E" w:rsidRDefault="002C39A3" w:rsidP="00361FA9">
      <w:pPr>
        <w:pStyle w:val="Notes"/>
      </w:pPr>
      <w:r>
        <w:t>(a)</w:t>
      </w:r>
      <w:r>
        <w:tab/>
        <w:t>Non-financial assets revaluation surplus relates to revaluation of land, buildings, infrastructure, plant and equipment.</w:t>
      </w:r>
    </w:p>
    <w:p w:rsidR="002C39A3" w:rsidRDefault="002C39A3">
      <w:pPr>
        <w:spacing w:after="0"/>
      </w:pPr>
      <w:r>
        <w:br w:type="page"/>
      </w:r>
    </w:p>
    <w:p w:rsidR="002C39A3" w:rsidRPr="007C1078" w:rsidRDefault="002C39A3" w:rsidP="00361FA9">
      <w:pPr>
        <w:pStyle w:val="Tableheading"/>
      </w:pPr>
      <w:r w:rsidRPr="007C1078">
        <w:br/>
      </w:r>
    </w:p>
    <w:p w:rsidR="002C39A3" w:rsidRPr="00114E35" w:rsidRDefault="002C39A3" w:rsidP="00361FA9">
      <w:pPr>
        <w:pStyle w:val="million"/>
        <w:rPr>
          <w:rFonts w:eastAsiaTheme="minorEastAsia"/>
          <w:lang w:val="en-US" w:eastAsia="en-AU"/>
        </w:rPr>
      </w:pPr>
    </w:p>
    <w:tbl>
      <w:tblPr>
        <w:tblW w:w="7767" w:type="dxa"/>
        <w:tblInd w:w="45" w:type="dxa"/>
        <w:tblLayout w:type="fixed"/>
        <w:tblCellMar>
          <w:left w:w="45" w:type="dxa"/>
          <w:right w:w="45" w:type="dxa"/>
        </w:tblCellMar>
        <w:tblLook w:val="0000" w:firstRow="0" w:lastRow="0" w:firstColumn="0" w:lastColumn="0" w:noHBand="0" w:noVBand="0"/>
      </w:tblPr>
      <w:tblGrid>
        <w:gridCol w:w="2589"/>
        <w:gridCol w:w="2589"/>
        <w:gridCol w:w="2589"/>
      </w:tblGrid>
      <w:tr w:rsidR="002C39A3" w:rsidRPr="00114E35" w:rsidTr="00361FA9">
        <w:trPr>
          <w:tblHeader/>
        </w:trPr>
        <w:tc>
          <w:tcPr>
            <w:tcW w:w="2589"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Investment in other sector entities revaluation surplus</w:t>
            </w:r>
          </w:p>
        </w:tc>
        <w:tc>
          <w:tcPr>
            <w:tcW w:w="2589"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Other </w:t>
            </w:r>
            <w:r>
              <w:rPr>
                <w:rFonts w:ascii="Calibri" w:eastAsiaTheme="minorEastAsia" w:hAnsi="Calibri" w:cs="Calibri"/>
                <w:i/>
                <w:iCs/>
                <w:color w:val="FFFFFF"/>
                <w:sz w:val="19"/>
                <w:szCs w:val="19"/>
                <w:lang w:eastAsia="en-AU"/>
              </w:rPr>
              <w:br/>
            </w:r>
            <w:r w:rsidRPr="00114E35">
              <w:rPr>
                <w:rFonts w:ascii="Calibri" w:eastAsiaTheme="minorEastAsia" w:hAnsi="Calibri" w:cs="Calibri"/>
                <w:i/>
                <w:iCs/>
                <w:color w:val="FFFFFF"/>
                <w:sz w:val="19"/>
                <w:szCs w:val="19"/>
                <w:lang w:eastAsia="en-AU"/>
              </w:rPr>
              <w:t>reserves</w:t>
            </w:r>
          </w:p>
        </w:tc>
        <w:tc>
          <w:tcPr>
            <w:tcW w:w="2589"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Total</w:t>
            </w:r>
          </w:p>
        </w:tc>
      </w:tr>
      <w:tr w:rsidR="002C39A3" w:rsidRPr="00114E35" w:rsidTr="00361FA9">
        <w:tc>
          <w:tcPr>
            <w:tcW w:w="7767" w:type="dxa"/>
            <w:gridSpan w:val="3"/>
            <w:tcBorders>
              <w:top w:val="nil"/>
              <w:left w:val="nil"/>
              <w:right w:val="nil"/>
            </w:tcBorders>
            <w:shd w:val="clear" w:color="auto" w:fill="FFFFFF"/>
          </w:tcPr>
          <w:p w:rsidR="002C39A3" w:rsidRPr="00114E35" w:rsidRDefault="002C39A3" w:rsidP="00361FA9">
            <w:pPr>
              <w:pStyle w:val="Tabletext"/>
              <w:rPr>
                <w:rFonts w:eastAsiaTheme="minorEastAsia"/>
                <w:lang w:eastAsia="en-AU"/>
              </w:rPr>
            </w:pPr>
          </w:p>
        </w:tc>
      </w:tr>
      <w:tr w:rsidR="002C39A3" w:rsidRPr="00114E35" w:rsidTr="00361FA9">
        <w:tc>
          <w:tcPr>
            <w:tcW w:w="2589"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47 884</w:t>
            </w:r>
          </w:p>
        </w:tc>
        <w:tc>
          <w:tcPr>
            <w:tcW w:w="258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692</w:t>
            </w:r>
          </w:p>
        </w:tc>
        <w:tc>
          <w:tcPr>
            <w:tcW w:w="258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138 084</w:t>
            </w:r>
          </w:p>
        </w:tc>
      </w:tr>
      <w:tr w:rsidR="002C39A3" w:rsidRPr="00114E35" w:rsidTr="00361FA9">
        <w:tc>
          <w:tcPr>
            <w:tcW w:w="2589"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c>
          <w:tcPr>
            <w:tcW w:w="258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c>
          <w:tcPr>
            <w:tcW w:w="258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2 635</w:t>
            </w:r>
          </w:p>
        </w:tc>
      </w:tr>
      <w:tr w:rsidR="002C39A3" w:rsidRPr="00114E35" w:rsidTr="00361FA9">
        <w:tc>
          <w:tcPr>
            <w:tcW w:w="2589"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2 707</w:t>
            </w:r>
          </w:p>
        </w:tc>
        <w:tc>
          <w:tcPr>
            <w:tcW w:w="2589"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w:t>
            </w:r>
          </w:p>
        </w:tc>
        <w:tc>
          <w:tcPr>
            <w:tcW w:w="2589"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3 693</w:t>
            </w:r>
          </w:p>
        </w:tc>
      </w:tr>
      <w:tr w:rsidR="002C39A3" w:rsidRPr="00114E35" w:rsidTr="00361FA9">
        <w:tc>
          <w:tcPr>
            <w:tcW w:w="2589"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50 591</w:t>
            </w:r>
          </w:p>
        </w:tc>
        <w:tc>
          <w:tcPr>
            <w:tcW w:w="2589"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694</w:t>
            </w:r>
          </w:p>
        </w:tc>
        <w:tc>
          <w:tcPr>
            <w:tcW w:w="2589"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144 412</w:t>
            </w:r>
          </w:p>
        </w:tc>
      </w:tr>
      <w:tr w:rsidR="002C39A3" w:rsidRPr="00114E35" w:rsidTr="00361FA9">
        <w:tc>
          <w:tcPr>
            <w:tcW w:w="7767" w:type="dxa"/>
            <w:gridSpan w:val="3"/>
            <w:tcBorders>
              <w:top w:val="single" w:sz="12" w:space="0" w:color="000000"/>
              <w:left w:val="nil"/>
              <w:right w:val="nil"/>
            </w:tcBorders>
            <w:shd w:val="clear" w:color="auto" w:fill="FFFFFF"/>
          </w:tcPr>
          <w:p w:rsidR="002C39A3" w:rsidRPr="00114E35" w:rsidRDefault="002C39A3" w:rsidP="00361FA9">
            <w:pPr>
              <w:pStyle w:val="Tabletext"/>
              <w:rPr>
                <w:rFonts w:eastAsiaTheme="minorEastAsia"/>
                <w:lang w:eastAsia="en-AU"/>
              </w:rPr>
            </w:pPr>
          </w:p>
        </w:tc>
      </w:tr>
      <w:tr w:rsidR="002C39A3" w:rsidRPr="00114E35" w:rsidTr="00361FA9">
        <w:tc>
          <w:tcPr>
            <w:tcW w:w="2589"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50 591</w:t>
            </w:r>
          </w:p>
        </w:tc>
        <w:tc>
          <w:tcPr>
            <w:tcW w:w="258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694</w:t>
            </w:r>
          </w:p>
        </w:tc>
        <w:tc>
          <w:tcPr>
            <w:tcW w:w="258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144 412</w:t>
            </w:r>
          </w:p>
        </w:tc>
      </w:tr>
      <w:tr w:rsidR="002C39A3" w:rsidRPr="00114E35" w:rsidTr="00361FA9">
        <w:tc>
          <w:tcPr>
            <w:tcW w:w="2589"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c>
          <w:tcPr>
            <w:tcW w:w="258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c>
          <w:tcPr>
            <w:tcW w:w="258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1 823</w:t>
            </w:r>
          </w:p>
        </w:tc>
      </w:tr>
      <w:tr w:rsidR="002C39A3" w:rsidRPr="00114E35" w:rsidTr="00361FA9">
        <w:tc>
          <w:tcPr>
            <w:tcW w:w="2589"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(118)</w:t>
            </w:r>
          </w:p>
        </w:tc>
        <w:tc>
          <w:tcPr>
            <w:tcW w:w="2589"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w:t>
            </w:r>
          </w:p>
        </w:tc>
        <w:tc>
          <w:tcPr>
            <w:tcW w:w="2589"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7 879</w:t>
            </w:r>
          </w:p>
        </w:tc>
      </w:tr>
      <w:tr w:rsidR="002C39A3" w:rsidRPr="00114E35" w:rsidTr="00361FA9">
        <w:tc>
          <w:tcPr>
            <w:tcW w:w="2589"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50 473</w:t>
            </w:r>
          </w:p>
        </w:tc>
        <w:tc>
          <w:tcPr>
            <w:tcW w:w="2589"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698</w:t>
            </w:r>
          </w:p>
        </w:tc>
        <w:tc>
          <w:tcPr>
            <w:tcW w:w="2589"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154 114</w:t>
            </w:r>
          </w:p>
        </w:tc>
      </w:tr>
      <w:tr w:rsidR="002C39A3" w:rsidRPr="00114E35" w:rsidTr="00361FA9">
        <w:tc>
          <w:tcPr>
            <w:tcW w:w="7767" w:type="dxa"/>
            <w:gridSpan w:val="3"/>
            <w:tcBorders>
              <w:top w:val="single" w:sz="12" w:space="0" w:color="000000"/>
              <w:left w:val="nil"/>
              <w:right w:val="nil"/>
            </w:tcBorders>
            <w:shd w:val="clear" w:color="auto" w:fill="FFFFFF"/>
          </w:tcPr>
          <w:p w:rsidR="002C39A3" w:rsidRPr="00114E35" w:rsidRDefault="002C39A3" w:rsidP="00361FA9">
            <w:pPr>
              <w:pStyle w:val="Tabletext"/>
              <w:rPr>
                <w:rFonts w:eastAsiaTheme="minorEastAsia"/>
                <w:lang w:eastAsia="en-AU"/>
              </w:rPr>
            </w:pPr>
          </w:p>
        </w:tc>
      </w:tr>
      <w:tr w:rsidR="002C39A3" w:rsidRPr="00114E35" w:rsidTr="00361FA9">
        <w:tc>
          <w:tcPr>
            <w:tcW w:w="2589"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50 473</w:t>
            </w:r>
          </w:p>
        </w:tc>
        <w:tc>
          <w:tcPr>
            <w:tcW w:w="258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698</w:t>
            </w:r>
          </w:p>
        </w:tc>
        <w:tc>
          <w:tcPr>
            <w:tcW w:w="258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154 114</w:t>
            </w:r>
          </w:p>
        </w:tc>
      </w:tr>
      <w:tr w:rsidR="002C39A3" w:rsidRPr="00114E35" w:rsidTr="00361FA9">
        <w:tc>
          <w:tcPr>
            <w:tcW w:w="2589"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c>
          <w:tcPr>
            <w:tcW w:w="258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c>
          <w:tcPr>
            <w:tcW w:w="258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1 841</w:t>
            </w:r>
          </w:p>
        </w:tc>
      </w:tr>
      <w:tr w:rsidR="002C39A3" w:rsidRPr="00114E35" w:rsidTr="00361FA9">
        <w:tc>
          <w:tcPr>
            <w:tcW w:w="2589"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866</w:t>
            </w:r>
          </w:p>
        </w:tc>
        <w:tc>
          <w:tcPr>
            <w:tcW w:w="2589"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w:t>
            </w:r>
          </w:p>
        </w:tc>
        <w:tc>
          <w:tcPr>
            <w:tcW w:w="2589"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3 447</w:t>
            </w:r>
          </w:p>
        </w:tc>
      </w:tr>
      <w:tr w:rsidR="002C39A3" w:rsidRPr="00114E35" w:rsidTr="00361FA9">
        <w:tc>
          <w:tcPr>
            <w:tcW w:w="2589"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51 338</w:t>
            </w:r>
          </w:p>
        </w:tc>
        <w:tc>
          <w:tcPr>
            <w:tcW w:w="2589"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702</w:t>
            </w:r>
          </w:p>
        </w:tc>
        <w:tc>
          <w:tcPr>
            <w:tcW w:w="2589"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159 402</w:t>
            </w:r>
          </w:p>
        </w:tc>
      </w:tr>
      <w:tr w:rsidR="002C39A3" w:rsidRPr="00114E35" w:rsidTr="00361FA9">
        <w:tc>
          <w:tcPr>
            <w:tcW w:w="7767" w:type="dxa"/>
            <w:gridSpan w:val="3"/>
            <w:tcBorders>
              <w:top w:val="single" w:sz="12" w:space="0" w:color="000000"/>
              <w:left w:val="nil"/>
              <w:right w:val="nil"/>
            </w:tcBorders>
            <w:shd w:val="clear" w:color="auto" w:fill="FFFFFF"/>
          </w:tcPr>
          <w:p w:rsidR="002C39A3" w:rsidRPr="00114E35" w:rsidRDefault="002C39A3" w:rsidP="00361FA9">
            <w:pPr>
              <w:pStyle w:val="Tabletext"/>
              <w:rPr>
                <w:rFonts w:eastAsiaTheme="minorEastAsia"/>
                <w:lang w:eastAsia="en-AU"/>
              </w:rPr>
            </w:pPr>
          </w:p>
        </w:tc>
      </w:tr>
      <w:tr w:rsidR="002C39A3" w:rsidRPr="00114E35" w:rsidTr="00361FA9">
        <w:tc>
          <w:tcPr>
            <w:tcW w:w="2589"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51 338</w:t>
            </w:r>
          </w:p>
        </w:tc>
        <w:tc>
          <w:tcPr>
            <w:tcW w:w="258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702</w:t>
            </w:r>
          </w:p>
        </w:tc>
        <w:tc>
          <w:tcPr>
            <w:tcW w:w="258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159 402</w:t>
            </w:r>
          </w:p>
        </w:tc>
      </w:tr>
      <w:tr w:rsidR="002C39A3" w:rsidRPr="00114E35" w:rsidTr="00361FA9">
        <w:tc>
          <w:tcPr>
            <w:tcW w:w="2589"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c>
          <w:tcPr>
            <w:tcW w:w="258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c>
          <w:tcPr>
            <w:tcW w:w="258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2 206</w:t>
            </w:r>
          </w:p>
        </w:tc>
      </w:tr>
      <w:tr w:rsidR="002C39A3" w:rsidRPr="00114E35" w:rsidTr="00361FA9">
        <w:tc>
          <w:tcPr>
            <w:tcW w:w="2589"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(85)</w:t>
            </w:r>
          </w:p>
        </w:tc>
        <w:tc>
          <w:tcPr>
            <w:tcW w:w="2589"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w:t>
            </w:r>
          </w:p>
        </w:tc>
        <w:tc>
          <w:tcPr>
            <w:tcW w:w="2589"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8 289</w:t>
            </w:r>
          </w:p>
        </w:tc>
      </w:tr>
      <w:tr w:rsidR="002C39A3" w:rsidRPr="00114E35" w:rsidTr="00361FA9">
        <w:tc>
          <w:tcPr>
            <w:tcW w:w="2589"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51 253</w:t>
            </w:r>
          </w:p>
        </w:tc>
        <w:tc>
          <w:tcPr>
            <w:tcW w:w="2589"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706</w:t>
            </w:r>
          </w:p>
        </w:tc>
        <w:tc>
          <w:tcPr>
            <w:tcW w:w="2589"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169 898</w:t>
            </w:r>
          </w:p>
        </w:tc>
      </w:tr>
    </w:tbl>
    <w:p w:rsidR="002C39A3" w:rsidRDefault="002C39A3">
      <w:pPr>
        <w:spacing w:after="0"/>
      </w:pPr>
    </w:p>
    <w:p w:rsidR="002C39A3" w:rsidRDefault="002C39A3">
      <w:pPr>
        <w:spacing w:after="0"/>
        <w:rPr>
          <w:rFonts w:ascii="Calibri" w:hAnsi="Calibri"/>
          <w:i/>
          <w:sz w:val="18"/>
          <w:szCs w:val="18"/>
        </w:rPr>
      </w:pPr>
      <w:r>
        <w:br w:type="page"/>
      </w:r>
    </w:p>
    <w:p w:rsidR="002C39A3" w:rsidRDefault="002C39A3" w:rsidP="00361FA9">
      <w:pPr>
        <w:pStyle w:val="Heading1"/>
      </w:pPr>
      <w:bookmarkStart w:id="5" w:name="_Toc449116191"/>
      <w:r>
        <w:t>Notes to the Estimated Financial Statements</w:t>
      </w:r>
      <w:bookmarkEnd w:id="5"/>
    </w:p>
    <w:p w:rsidR="002C39A3" w:rsidRDefault="002C39A3">
      <w:pPr>
        <w:pStyle w:val="TOC4"/>
        <w:rPr>
          <w:rFonts w:asciiTheme="minorHAnsi" w:eastAsiaTheme="minorEastAsia" w:hAnsiTheme="minorHAnsi" w:cstheme="minorBidi"/>
          <w:sz w:val="22"/>
          <w:szCs w:val="22"/>
          <w:lang w:eastAsia="en-AU"/>
        </w:rPr>
      </w:pPr>
      <w:r w:rsidRPr="0040125C">
        <w:fldChar w:fldCharType="begin"/>
      </w:r>
      <w:r w:rsidRPr="0040125C">
        <w:instrText xml:space="preserve"> TOC \h \z \t "Heading 2 Notes,4" </w:instrText>
      </w:r>
      <w:r w:rsidRPr="0040125C">
        <w:fldChar w:fldCharType="separate"/>
      </w:r>
      <w:hyperlink w:anchor="_Toc448928296" w:history="1">
        <w:r w:rsidRPr="004F1C19">
          <w:rPr>
            <w:rStyle w:val="Hyperlink"/>
          </w:rPr>
          <w:t>Note 1:</w:t>
        </w:r>
        <w:r>
          <w:rPr>
            <w:rFonts w:asciiTheme="minorHAnsi" w:eastAsiaTheme="minorEastAsia" w:hAnsiTheme="minorHAnsi" w:cstheme="minorBidi"/>
            <w:sz w:val="22"/>
            <w:szCs w:val="22"/>
            <w:lang w:eastAsia="en-AU"/>
          </w:rPr>
          <w:tab/>
        </w:r>
        <w:r w:rsidRPr="004F1C19">
          <w:rPr>
            <w:rStyle w:val="Hyperlink"/>
          </w:rPr>
          <w:t>Statement of significant accounting policies and forecast assumptions</w:t>
        </w:r>
        <w:r>
          <w:rPr>
            <w:webHidden/>
          </w:rPr>
          <w:tab/>
        </w:r>
        <w:r>
          <w:rPr>
            <w:webHidden/>
          </w:rPr>
          <w:fldChar w:fldCharType="begin"/>
        </w:r>
        <w:r>
          <w:rPr>
            <w:webHidden/>
          </w:rPr>
          <w:instrText xml:space="preserve"> PAGEREF _Toc448928296 \h </w:instrText>
        </w:r>
        <w:r>
          <w:rPr>
            <w:webHidden/>
          </w:rPr>
        </w:r>
        <w:r>
          <w:rPr>
            <w:webHidden/>
          </w:rPr>
          <w:fldChar w:fldCharType="separate"/>
        </w:r>
        <w:r w:rsidR="0084474F">
          <w:rPr>
            <w:webHidden/>
          </w:rPr>
          <w:t>13</w:t>
        </w:r>
        <w:r>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297" w:history="1">
        <w:r w:rsidR="002C39A3" w:rsidRPr="004F1C19">
          <w:rPr>
            <w:rStyle w:val="Hyperlink"/>
          </w:rPr>
          <w:t>Note 2:</w:t>
        </w:r>
        <w:r w:rsidR="002C39A3">
          <w:rPr>
            <w:rFonts w:asciiTheme="minorHAnsi" w:eastAsiaTheme="minorEastAsia" w:hAnsiTheme="minorHAnsi" w:cstheme="minorBidi"/>
            <w:sz w:val="22"/>
            <w:szCs w:val="22"/>
            <w:lang w:eastAsia="en-AU"/>
          </w:rPr>
          <w:tab/>
        </w:r>
        <w:r w:rsidR="002C39A3" w:rsidRPr="004F1C19">
          <w:rPr>
            <w:rStyle w:val="Hyperlink"/>
          </w:rPr>
          <w:t>Taxation revenue</w:t>
        </w:r>
        <w:r w:rsidR="002C39A3">
          <w:rPr>
            <w:webHidden/>
          </w:rPr>
          <w:tab/>
        </w:r>
        <w:r w:rsidR="002C39A3">
          <w:rPr>
            <w:webHidden/>
          </w:rPr>
          <w:fldChar w:fldCharType="begin"/>
        </w:r>
        <w:r w:rsidR="002C39A3">
          <w:rPr>
            <w:webHidden/>
          </w:rPr>
          <w:instrText xml:space="preserve"> PAGEREF _Toc448928297 \h </w:instrText>
        </w:r>
        <w:r w:rsidR="002C39A3">
          <w:rPr>
            <w:webHidden/>
          </w:rPr>
        </w:r>
        <w:r w:rsidR="002C39A3">
          <w:rPr>
            <w:webHidden/>
          </w:rPr>
          <w:fldChar w:fldCharType="separate"/>
        </w:r>
        <w:r w:rsidR="0084474F">
          <w:rPr>
            <w:webHidden/>
          </w:rPr>
          <w:t>25</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298" w:history="1">
        <w:r w:rsidR="002C39A3" w:rsidRPr="004F1C19">
          <w:rPr>
            <w:rStyle w:val="Hyperlink"/>
          </w:rPr>
          <w:t>Note 3:</w:t>
        </w:r>
        <w:r w:rsidR="002C39A3">
          <w:rPr>
            <w:rFonts w:asciiTheme="minorHAnsi" w:eastAsiaTheme="minorEastAsia" w:hAnsiTheme="minorHAnsi" w:cstheme="minorBidi"/>
            <w:sz w:val="22"/>
            <w:szCs w:val="22"/>
            <w:lang w:eastAsia="en-AU"/>
          </w:rPr>
          <w:tab/>
        </w:r>
        <w:r w:rsidR="002C39A3" w:rsidRPr="004F1C19">
          <w:rPr>
            <w:rStyle w:val="Hyperlink"/>
          </w:rPr>
          <w:t>Dividends and income tax equivalent and rate equivalent revenue</w:t>
        </w:r>
        <w:r w:rsidR="002C39A3">
          <w:rPr>
            <w:webHidden/>
          </w:rPr>
          <w:tab/>
        </w:r>
        <w:r w:rsidR="002C39A3">
          <w:rPr>
            <w:webHidden/>
          </w:rPr>
          <w:fldChar w:fldCharType="begin"/>
        </w:r>
        <w:r w:rsidR="002C39A3">
          <w:rPr>
            <w:webHidden/>
          </w:rPr>
          <w:instrText xml:space="preserve"> PAGEREF _Toc448928298 \h </w:instrText>
        </w:r>
        <w:r w:rsidR="002C39A3">
          <w:rPr>
            <w:webHidden/>
          </w:rPr>
        </w:r>
        <w:r w:rsidR="002C39A3">
          <w:rPr>
            <w:webHidden/>
          </w:rPr>
          <w:fldChar w:fldCharType="separate"/>
        </w:r>
        <w:r w:rsidR="0084474F">
          <w:rPr>
            <w:webHidden/>
          </w:rPr>
          <w:t>26</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299" w:history="1">
        <w:r w:rsidR="002C39A3" w:rsidRPr="004F1C19">
          <w:rPr>
            <w:rStyle w:val="Hyperlink"/>
          </w:rPr>
          <w:t>Note 4:</w:t>
        </w:r>
        <w:r w:rsidR="002C39A3">
          <w:rPr>
            <w:rFonts w:asciiTheme="minorHAnsi" w:eastAsiaTheme="minorEastAsia" w:hAnsiTheme="minorHAnsi" w:cstheme="minorBidi"/>
            <w:sz w:val="22"/>
            <w:szCs w:val="22"/>
            <w:lang w:eastAsia="en-AU"/>
          </w:rPr>
          <w:tab/>
        </w:r>
        <w:r w:rsidR="002C39A3" w:rsidRPr="004F1C19">
          <w:rPr>
            <w:rStyle w:val="Hyperlink"/>
          </w:rPr>
          <w:t>Sales of goods and services</w:t>
        </w:r>
        <w:r w:rsidR="002C39A3">
          <w:rPr>
            <w:webHidden/>
          </w:rPr>
          <w:tab/>
        </w:r>
        <w:r w:rsidR="002C39A3">
          <w:rPr>
            <w:webHidden/>
          </w:rPr>
          <w:fldChar w:fldCharType="begin"/>
        </w:r>
        <w:r w:rsidR="002C39A3">
          <w:rPr>
            <w:webHidden/>
          </w:rPr>
          <w:instrText xml:space="preserve"> PAGEREF _Toc448928299 \h </w:instrText>
        </w:r>
        <w:r w:rsidR="002C39A3">
          <w:rPr>
            <w:webHidden/>
          </w:rPr>
        </w:r>
        <w:r w:rsidR="002C39A3">
          <w:rPr>
            <w:webHidden/>
          </w:rPr>
          <w:fldChar w:fldCharType="separate"/>
        </w:r>
        <w:r w:rsidR="0084474F">
          <w:rPr>
            <w:webHidden/>
          </w:rPr>
          <w:t>27</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300" w:history="1">
        <w:r w:rsidR="002C39A3" w:rsidRPr="004F1C19">
          <w:rPr>
            <w:rStyle w:val="Hyperlink"/>
          </w:rPr>
          <w:t>Note 5:</w:t>
        </w:r>
        <w:r w:rsidR="002C39A3">
          <w:rPr>
            <w:rFonts w:asciiTheme="minorHAnsi" w:eastAsiaTheme="minorEastAsia" w:hAnsiTheme="minorHAnsi" w:cstheme="minorBidi"/>
            <w:sz w:val="22"/>
            <w:szCs w:val="22"/>
            <w:lang w:eastAsia="en-AU"/>
          </w:rPr>
          <w:tab/>
        </w:r>
        <w:r w:rsidR="002C39A3" w:rsidRPr="004F1C19">
          <w:rPr>
            <w:rStyle w:val="Hyperlink"/>
          </w:rPr>
          <w:t>Grant revenue</w:t>
        </w:r>
        <w:r w:rsidR="002C39A3">
          <w:rPr>
            <w:webHidden/>
          </w:rPr>
          <w:tab/>
        </w:r>
        <w:r w:rsidR="002C39A3">
          <w:rPr>
            <w:webHidden/>
          </w:rPr>
          <w:fldChar w:fldCharType="begin"/>
        </w:r>
        <w:r w:rsidR="002C39A3">
          <w:rPr>
            <w:webHidden/>
          </w:rPr>
          <w:instrText xml:space="preserve"> PAGEREF _Toc448928300 \h </w:instrText>
        </w:r>
        <w:r w:rsidR="002C39A3">
          <w:rPr>
            <w:webHidden/>
          </w:rPr>
        </w:r>
        <w:r w:rsidR="002C39A3">
          <w:rPr>
            <w:webHidden/>
          </w:rPr>
          <w:fldChar w:fldCharType="separate"/>
        </w:r>
        <w:r w:rsidR="0084474F">
          <w:rPr>
            <w:webHidden/>
          </w:rPr>
          <w:t>27</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301" w:history="1">
        <w:r w:rsidR="002C39A3" w:rsidRPr="004F1C19">
          <w:rPr>
            <w:rStyle w:val="Hyperlink"/>
          </w:rPr>
          <w:t>Note 6:</w:t>
        </w:r>
        <w:r w:rsidR="002C39A3">
          <w:rPr>
            <w:rFonts w:asciiTheme="minorHAnsi" w:eastAsiaTheme="minorEastAsia" w:hAnsiTheme="minorHAnsi" w:cstheme="minorBidi"/>
            <w:sz w:val="22"/>
            <w:szCs w:val="22"/>
            <w:lang w:eastAsia="en-AU"/>
          </w:rPr>
          <w:tab/>
        </w:r>
        <w:r w:rsidR="002C39A3" w:rsidRPr="004F1C19">
          <w:rPr>
            <w:rStyle w:val="Hyperlink"/>
          </w:rPr>
          <w:t>Other revenue</w:t>
        </w:r>
        <w:r w:rsidR="002C39A3">
          <w:rPr>
            <w:webHidden/>
          </w:rPr>
          <w:tab/>
        </w:r>
        <w:r w:rsidR="002C39A3">
          <w:rPr>
            <w:webHidden/>
          </w:rPr>
          <w:fldChar w:fldCharType="begin"/>
        </w:r>
        <w:r w:rsidR="002C39A3">
          <w:rPr>
            <w:webHidden/>
          </w:rPr>
          <w:instrText xml:space="preserve"> PAGEREF _Toc448928301 \h </w:instrText>
        </w:r>
        <w:r w:rsidR="002C39A3">
          <w:rPr>
            <w:webHidden/>
          </w:rPr>
        </w:r>
        <w:r w:rsidR="002C39A3">
          <w:rPr>
            <w:webHidden/>
          </w:rPr>
          <w:fldChar w:fldCharType="separate"/>
        </w:r>
        <w:r w:rsidR="0084474F">
          <w:rPr>
            <w:webHidden/>
          </w:rPr>
          <w:t>27</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302" w:history="1">
        <w:r w:rsidR="002C39A3" w:rsidRPr="004F1C19">
          <w:rPr>
            <w:rStyle w:val="Hyperlink"/>
          </w:rPr>
          <w:t>Note 7:</w:t>
        </w:r>
        <w:r w:rsidR="002C39A3">
          <w:rPr>
            <w:rFonts w:asciiTheme="minorHAnsi" w:eastAsiaTheme="minorEastAsia" w:hAnsiTheme="minorHAnsi" w:cstheme="minorBidi"/>
            <w:sz w:val="22"/>
            <w:szCs w:val="22"/>
            <w:lang w:eastAsia="en-AU"/>
          </w:rPr>
          <w:tab/>
        </w:r>
        <w:r w:rsidR="002C39A3" w:rsidRPr="004F1C19">
          <w:rPr>
            <w:rStyle w:val="Hyperlink"/>
          </w:rPr>
          <w:t>Superannuation</w:t>
        </w:r>
        <w:r w:rsidR="002C39A3">
          <w:rPr>
            <w:webHidden/>
          </w:rPr>
          <w:tab/>
        </w:r>
        <w:r w:rsidR="002C39A3">
          <w:rPr>
            <w:webHidden/>
          </w:rPr>
          <w:fldChar w:fldCharType="begin"/>
        </w:r>
        <w:r w:rsidR="002C39A3">
          <w:rPr>
            <w:webHidden/>
          </w:rPr>
          <w:instrText xml:space="preserve"> PAGEREF _Toc448928302 \h </w:instrText>
        </w:r>
        <w:r w:rsidR="002C39A3">
          <w:rPr>
            <w:webHidden/>
          </w:rPr>
        </w:r>
        <w:r w:rsidR="002C39A3">
          <w:rPr>
            <w:webHidden/>
          </w:rPr>
          <w:fldChar w:fldCharType="separate"/>
        </w:r>
        <w:r w:rsidR="0084474F">
          <w:rPr>
            <w:webHidden/>
          </w:rPr>
          <w:t>28</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303" w:history="1">
        <w:r w:rsidR="002C39A3" w:rsidRPr="004F1C19">
          <w:rPr>
            <w:rStyle w:val="Hyperlink"/>
          </w:rPr>
          <w:t>Note 8:</w:t>
        </w:r>
        <w:r w:rsidR="002C39A3">
          <w:rPr>
            <w:rFonts w:asciiTheme="minorHAnsi" w:eastAsiaTheme="minorEastAsia" w:hAnsiTheme="minorHAnsi" w:cstheme="minorBidi"/>
            <w:sz w:val="22"/>
            <w:szCs w:val="22"/>
            <w:lang w:eastAsia="en-AU"/>
          </w:rPr>
          <w:tab/>
        </w:r>
        <w:r w:rsidR="002C39A3" w:rsidRPr="004F1C19">
          <w:rPr>
            <w:rStyle w:val="Hyperlink"/>
          </w:rPr>
          <w:t>Depreciation</w:t>
        </w:r>
        <w:r w:rsidR="002C39A3">
          <w:rPr>
            <w:webHidden/>
          </w:rPr>
          <w:tab/>
        </w:r>
        <w:r w:rsidR="002C39A3">
          <w:rPr>
            <w:webHidden/>
          </w:rPr>
          <w:fldChar w:fldCharType="begin"/>
        </w:r>
        <w:r w:rsidR="002C39A3">
          <w:rPr>
            <w:webHidden/>
          </w:rPr>
          <w:instrText xml:space="preserve"> PAGEREF _Toc448928303 \h </w:instrText>
        </w:r>
        <w:r w:rsidR="002C39A3">
          <w:rPr>
            <w:webHidden/>
          </w:rPr>
        </w:r>
        <w:r w:rsidR="002C39A3">
          <w:rPr>
            <w:webHidden/>
          </w:rPr>
          <w:fldChar w:fldCharType="separate"/>
        </w:r>
        <w:r w:rsidR="0084474F">
          <w:rPr>
            <w:webHidden/>
          </w:rPr>
          <w:t>30</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304" w:history="1">
        <w:r w:rsidR="002C39A3" w:rsidRPr="004F1C19">
          <w:rPr>
            <w:rStyle w:val="Hyperlink"/>
          </w:rPr>
          <w:t>Note 9:</w:t>
        </w:r>
        <w:r w:rsidR="002C39A3">
          <w:rPr>
            <w:rFonts w:asciiTheme="minorHAnsi" w:eastAsiaTheme="minorEastAsia" w:hAnsiTheme="minorHAnsi" w:cstheme="minorBidi"/>
            <w:sz w:val="22"/>
            <w:szCs w:val="22"/>
            <w:lang w:eastAsia="en-AU"/>
          </w:rPr>
          <w:tab/>
        </w:r>
        <w:r w:rsidR="002C39A3" w:rsidRPr="004F1C19">
          <w:rPr>
            <w:rStyle w:val="Hyperlink"/>
          </w:rPr>
          <w:t>Interest expense</w:t>
        </w:r>
        <w:r w:rsidR="002C39A3">
          <w:rPr>
            <w:webHidden/>
          </w:rPr>
          <w:tab/>
        </w:r>
        <w:r w:rsidR="002C39A3">
          <w:rPr>
            <w:webHidden/>
          </w:rPr>
          <w:fldChar w:fldCharType="begin"/>
        </w:r>
        <w:r w:rsidR="002C39A3">
          <w:rPr>
            <w:webHidden/>
          </w:rPr>
          <w:instrText xml:space="preserve"> PAGEREF _Toc448928304 \h </w:instrText>
        </w:r>
        <w:r w:rsidR="002C39A3">
          <w:rPr>
            <w:webHidden/>
          </w:rPr>
        </w:r>
        <w:r w:rsidR="002C39A3">
          <w:rPr>
            <w:webHidden/>
          </w:rPr>
          <w:fldChar w:fldCharType="separate"/>
        </w:r>
        <w:r w:rsidR="0084474F">
          <w:rPr>
            <w:webHidden/>
          </w:rPr>
          <w:t>30</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305" w:history="1">
        <w:r w:rsidR="002C39A3" w:rsidRPr="004F1C19">
          <w:rPr>
            <w:rStyle w:val="Hyperlink"/>
          </w:rPr>
          <w:t>Note 10:</w:t>
        </w:r>
        <w:r w:rsidR="002C39A3">
          <w:rPr>
            <w:rFonts w:asciiTheme="minorHAnsi" w:eastAsiaTheme="minorEastAsia" w:hAnsiTheme="minorHAnsi" w:cstheme="minorBidi"/>
            <w:sz w:val="22"/>
            <w:szCs w:val="22"/>
            <w:lang w:eastAsia="en-AU"/>
          </w:rPr>
          <w:tab/>
        </w:r>
        <w:r w:rsidR="002C39A3" w:rsidRPr="004F1C19">
          <w:rPr>
            <w:rStyle w:val="Hyperlink"/>
          </w:rPr>
          <w:t>Grant expense</w:t>
        </w:r>
        <w:r w:rsidR="002C39A3">
          <w:rPr>
            <w:webHidden/>
          </w:rPr>
          <w:tab/>
        </w:r>
        <w:r w:rsidR="002C39A3">
          <w:rPr>
            <w:webHidden/>
          </w:rPr>
          <w:fldChar w:fldCharType="begin"/>
        </w:r>
        <w:r w:rsidR="002C39A3">
          <w:rPr>
            <w:webHidden/>
          </w:rPr>
          <w:instrText xml:space="preserve"> PAGEREF _Toc448928305 \h </w:instrText>
        </w:r>
        <w:r w:rsidR="002C39A3">
          <w:rPr>
            <w:webHidden/>
          </w:rPr>
        </w:r>
        <w:r w:rsidR="002C39A3">
          <w:rPr>
            <w:webHidden/>
          </w:rPr>
          <w:fldChar w:fldCharType="separate"/>
        </w:r>
        <w:r w:rsidR="0084474F">
          <w:rPr>
            <w:webHidden/>
          </w:rPr>
          <w:t>31</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306" w:history="1">
        <w:r w:rsidR="002C39A3" w:rsidRPr="004F1C19">
          <w:rPr>
            <w:rStyle w:val="Hyperlink"/>
          </w:rPr>
          <w:t>Note 11:</w:t>
        </w:r>
        <w:r w:rsidR="002C39A3">
          <w:rPr>
            <w:rFonts w:asciiTheme="minorHAnsi" w:eastAsiaTheme="minorEastAsia" w:hAnsiTheme="minorHAnsi" w:cstheme="minorBidi"/>
            <w:sz w:val="22"/>
            <w:szCs w:val="22"/>
            <w:lang w:eastAsia="en-AU"/>
          </w:rPr>
          <w:tab/>
        </w:r>
        <w:r w:rsidR="002C39A3" w:rsidRPr="004F1C19">
          <w:rPr>
            <w:rStyle w:val="Hyperlink"/>
          </w:rPr>
          <w:t>Other operating expenses</w:t>
        </w:r>
        <w:r w:rsidR="002C39A3">
          <w:rPr>
            <w:webHidden/>
          </w:rPr>
          <w:tab/>
        </w:r>
        <w:r w:rsidR="002C39A3">
          <w:rPr>
            <w:webHidden/>
          </w:rPr>
          <w:fldChar w:fldCharType="begin"/>
        </w:r>
        <w:r w:rsidR="002C39A3">
          <w:rPr>
            <w:webHidden/>
          </w:rPr>
          <w:instrText xml:space="preserve"> PAGEREF _Toc448928306 \h </w:instrText>
        </w:r>
        <w:r w:rsidR="002C39A3">
          <w:rPr>
            <w:webHidden/>
          </w:rPr>
        </w:r>
        <w:r w:rsidR="002C39A3">
          <w:rPr>
            <w:webHidden/>
          </w:rPr>
          <w:fldChar w:fldCharType="separate"/>
        </w:r>
        <w:r w:rsidR="0084474F">
          <w:rPr>
            <w:webHidden/>
          </w:rPr>
          <w:t>31</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307" w:history="1">
        <w:r w:rsidR="002C39A3" w:rsidRPr="004F1C19">
          <w:rPr>
            <w:rStyle w:val="Hyperlink"/>
          </w:rPr>
          <w:t>Note 12:</w:t>
        </w:r>
        <w:r w:rsidR="002C39A3">
          <w:rPr>
            <w:rFonts w:asciiTheme="minorHAnsi" w:eastAsiaTheme="minorEastAsia" w:hAnsiTheme="minorHAnsi" w:cstheme="minorBidi"/>
            <w:sz w:val="22"/>
            <w:szCs w:val="22"/>
            <w:lang w:eastAsia="en-AU"/>
          </w:rPr>
          <w:tab/>
        </w:r>
        <w:r w:rsidR="002C39A3" w:rsidRPr="004F1C19">
          <w:rPr>
            <w:rStyle w:val="Hyperlink"/>
          </w:rPr>
          <w:t>Total expenses by government purpose and by department</w:t>
        </w:r>
        <w:r w:rsidR="002C39A3">
          <w:rPr>
            <w:webHidden/>
          </w:rPr>
          <w:tab/>
        </w:r>
        <w:r w:rsidR="002C39A3">
          <w:rPr>
            <w:webHidden/>
          </w:rPr>
          <w:fldChar w:fldCharType="begin"/>
        </w:r>
        <w:r w:rsidR="002C39A3">
          <w:rPr>
            <w:webHidden/>
          </w:rPr>
          <w:instrText xml:space="preserve"> PAGEREF _Toc448928307 \h </w:instrText>
        </w:r>
        <w:r w:rsidR="002C39A3">
          <w:rPr>
            <w:webHidden/>
          </w:rPr>
        </w:r>
        <w:r w:rsidR="002C39A3">
          <w:rPr>
            <w:webHidden/>
          </w:rPr>
          <w:fldChar w:fldCharType="separate"/>
        </w:r>
        <w:r w:rsidR="0084474F">
          <w:rPr>
            <w:webHidden/>
          </w:rPr>
          <w:t>32</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308" w:history="1">
        <w:r w:rsidR="002C39A3" w:rsidRPr="004F1C19">
          <w:rPr>
            <w:rStyle w:val="Hyperlink"/>
          </w:rPr>
          <w:t>Note 13:</w:t>
        </w:r>
        <w:r w:rsidR="002C39A3">
          <w:rPr>
            <w:rFonts w:asciiTheme="minorHAnsi" w:eastAsiaTheme="minorEastAsia" w:hAnsiTheme="minorHAnsi" w:cstheme="minorBidi"/>
            <w:sz w:val="22"/>
            <w:szCs w:val="22"/>
            <w:lang w:eastAsia="en-AU"/>
          </w:rPr>
          <w:tab/>
        </w:r>
        <w:r w:rsidR="002C39A3" w:rsidRPr="004F1C19">
          <w:rPr>
            <w:rStyle w:val="Hyperlink"/>
          </w:rPr>
          <w:t>Other gains/(losses) from other economic flows</w:t>
        </w:r>
        <w:r w:rsidR="002C39A3">
          <w:rPr>
            <w:webHidden/>
          </w:rPr>
          <w:tab/>
        </w:r>
        <w:r w:rsidR="002C39A3">
          <w:rPr>
            <w:webHidden/>
          </w:rPr>
          <w:fldChar w:fldCharType="begin"/>
        </w:r>
        <w:r w:rsidR="002C39A3">
          <w:rPr>
            <w:webHidden/>
          </w:rPr>
          <w:instrText xml:space="preserve"> PAGEREF _Toc448928308 \h </w:instrText>
        </w:r>
        <w:r w:rsidR="002C39A3">
          <w:rPr>
            <w:webHidden/>
          </w:rPr>
        </w:r>
        <w:r w:rsidR="002C39A3">
          <w:rPr>
            <w:webHidden/>
          </w:rPr>
          <w:fldChar w:fldCharType="separate"/>
        </w:r>
        <w:r w:rsidR="0084474F">
          <w:rPr>
            <w:webHidden/>
          </w:rPr>
          <w:t>34</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309" w:history="1">
        <w:r w:rsidR="002C39A3" w:rsidRPr="004F1C19">
          <w:rPr>
            <w:rStyle w:val="Hyperlink"/>
          </w:rPr>
          <w:t>Note 14:</w:t>
        </w:r>
        <w:r w:rsidR="002C39A3">
          <w:rPr>
            <w:rFonts w:asciiTheme="minorHAnsi" w:eastAsiaTheme="minorEastAsia" w:hAnsiTheme="minorHAnsi" w:cstheme="minorBidi"/>
            <w:sz w:val="22"/>
            <w:szCs w:val="22"/>
            <w:lang w:eastAsia="en-AU"/>
          </w:rPr>
          <w:tab/>
        </w:r>
        <w:r w:rsidR="002C39A3" w:rsidRPr="004F1C19">
          <w:rPr>
            <w:rStyle w:val="Hyperlink"/>
          </w:rPr>
          <w:t>Reconciliation of net gain/(loss) on equity investments in other sector entities at proportional share of net assets</w:t>
        </w:r>
        <w:r w:rsidR="002C39A3">
          <w:rPr>
            <w:webHidden/>
          </w:rPr>
          <w:tab/>
        </w:r>
        <w:r w:rsidR="002C39A3">
          <w:rPr>
            <w:webHidden/>
          </w:rPr>
          <w:fldChar w:fldCharType="begin"/>
        </w:r>
        <w:r w:rsidR="002C39A3">
          <w:rPr>
            <w:webHidden/>
          </w:rPr>
          <w:instrText xml:space="preserve"> PAGEREF _Toc448928309 \h </w:instrText>
        </w:r>
        <w:r w:rsidR="002C39A3">
          <w:rPr>
            <w:webHidden/>
          </w:rPr>
        </w:r>
        <w:r w:rsidR="002C39A3">
          <w:rPr>
            <w:webHidden/>
          </w:rPr>
          <w:fldChar w:fldCharType="separate"/>
        </w:r>
        <w:r w:rsidR="0084474F">
          <w:rPr>
            <w:webHidden/>
          </w:rPr>
          <w:t>34</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310" w:history="1">
        <w:r w:rsidR="002C39A3" w:rsidRPr="004F1C19">
          <w:rPr>
            <w:rStyle w:val="Hyperlink"/>
          </w:rPr>
          <w:t>Note 15:</w:t>
        </w:r>
        <w:r w:rsidR="002C39A3">
          <w:rPr>
            <w:rFonts w:asciiTheme="minorHAnsi" w:eastAsiaTheme="minorEastAsia" w:hAnsiTheme="minorHAnsi" w:cstheme="minorBidi"/>
            <w:sz w:val="22"/>
            <w:szCs w:val="22"/>
            <w:lang w:eastAsia="en-AU"/>
          </w:rPr>
          <w:tab/>
        </w:r>
        <w:r w:rsidR="002C39A3" w:rsidRPr="004F1C19">
          <w:rPr>
            <w:rStyle w:val="Hyperlink"/>
          </w:rPr>
          <w:t>Net acquisition of non</w:t>
        </w:r>
        <w:r w:rsidR="002C39A3" w:rsidRPr="004F1C19">
          <w:rPr>
            <w:rStyle w:val="Hyperlink"/>
          </w:rPr>
          <w:noBreakHyphen/>
          <w:t>financial assets from transactions</w:t>
        </w:r>
        <w:r w:rsidR="002C39A3">
          <w:rPr>
            <w:webHidden/>
          </w:rPr>
          <w:tab/>
        </w:r>
        <w:r w:rsidR="002C39A3">
          <w:rPr>
            <w:webHidden/>
          </w:rPr>
          <w:fldChar w:fldCharType="begin"/>
        </w:r>
        <w:r w:rsidR="002C39A3">
          <w:rPr>
            <w:webHidden/>
          </w:rPr>
          <w:instrText xml:space="preserve"> PAGEREF _Toc448928310 \h </w:instrText>
        </w:r>
        <w:r w:rsidR="002C39A3">
          <w:rPr>
            <w:webHidden/>
          </w:rPr>
        </w:r>
        <w:r w:rsidR="002C39A3">
          <w:rPr>
            <w:webHidden/>
          </w:rPr>
          <w:fldChar w:fldCharType="separate"/>
        </w:r>
        <w:r w:rsidR="0084474F">
          <w:rPr>
            <w:webHidden/>
          </w:rPr>
          <w:t>34</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311" w:history="1">
        <w:r w:rsidR="002C39A3" w:rsidRPr="004F1C19">
          <w:rPr>
            <w:rStyle w:val="Hyperlink"/>
          </w:rPr>
          <w:t>Note 16:</w:t>
        </w:r>
        <w:r w:rsidR="002C39A3">
          <w:rPr>
            <w:rFonts w:asciiTheme="minorHAnsi" w:eastAsiaTheme="minorEastAsia" w:hAnsiTheme="minorHAnsi" w:cstheme="minorBidi"/>
            <w:sz w:val="22"/>
            <w:szCs w:val="22"/>
            <w:lang w:eastAsia="en-AU"/>
          </w:rPr>
          <w:tab/>
        </w:r>
        <w:r w:rsidR="002C39A3" w:rsidRPr="004F1C19">
          <w:rPr>
            <w:rStyle w:val="Hyperlink"/>
          </w:rPr>
          <w:t>Advances paid and investments, loans and placements</w:t>
        </w:r>
        <w:r w:rsidR="002C39A3">
          <w:rPr>
            <w:webHidden/>
          </w:rPr>
          <w:tab/>
        </w:r>
        <w:r w:rsidR="002C39A3">
          <w:rPr>
            <w:webHidden/>
          </w:rPr>
          <w:fldChar w:fldCharType="begin"/>
        </w:r>
        <w:r w:rsidR="002C39A3">
          <w:rPr>
            <w:webHidden/>
          </w:rPr>
          <w:instrText xml:space="preserve"> PAGEREF _Toc448928311 \h </w:instrText>
        </w:r>
        <w:r w:rsidR="002C39A3">
          <w:rPr>
            <w:webHidden/>
          </w:rPr>
        </w:r>
        <w:r w:rsidR="002C39A3">
          <w:rPr>
            <w:webHidden/>
          </w:rPr>
          <w:fldChar w:fldCharType="separate"/>
        </w:r>
        <w:r w:rsidR="0084474F">
          <w:rPr>
            <w:webHidden/>
          </w:rPr>
          <w:t>35</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312" w:history="1">
        <w:r w:rsidR="002C39A3" w:rsidRPr="004F1C19">
          <w:rPr>
            <w:rStyle w:val="Hyperlink"/>
          </w:rPr>
          <w:t>Note 17:</w:t>
        </w:r>
        <w:r w:rsidR="002C39A3">
          <w:rPr>
            <w:rFonts w:asciiTheme="minorHAnsi" w:eastAsiaTheme="minorEastAsia" w:hAnsiTheme="minorHAnsi" w:cstheme="minorBidi"/>
            <w:sz w:val="22"/>
            <w:szCs w:val="22"/>
            <w:lang w:eastAsia="en-AU"/>
          </w:rPr>
          <w:tab/>
        </w:r>
        <w:r w:rsidR="002C39A3" w:rsidRPr="004F1C19">
          <w:rPr>
            <w:rStyle w:val="Hyperlink"/>
          </w:rPr>
          <w:t>Land, buildings, infrastructure, plant and equipment</w:t>
        </w:r>
        <w:r w:rsidR="002C39A3">
          <w:rPr>
            <w:webHidden/>
          </w:rPr>
          <w:tab/>
        </w:r>
        <w:r w:rsidR="002C39A3">
          <w:rPr>
            <w:webHidden/>
          </w:rPr>
          <w:fldChar w:fldCharType="begin"/>
        </w:r>
        <w:r w:rsidR="002C39A3">
          <w:rPr>
            <w:webHidden/>
          </w:rPr>
          <w:instrText xml:space="preserve"> PAGEREF _Toc448928312 \h </w:instrText>
        </w:r>
        <w:r w:rsidR="002C39A3">
          <w:rPr>
            <w:webHidden/>
          </w:rPr>
        </w:r>
        <w:r w:rsidR="002C39A3">
          <w:rPr>
            <w:webHidden/>
          </w:rPr>
          <w:fldChar w:fldCharType="separate"/>
        </w:r>
        <w:r w:rsidR="0084474F">
          <w:rPr>
            <w:webHidden/>
          </w:rPr>
          <w:t>35</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313" w:history="1">
        <w:r w:rsidR="002C39A3" w:rsidRPr="004F1C19">
          <w:rPr>
            <w:rStyle w:val="Hyperlink"/>
          </w:rPr>
          <w:t>Note 18:</w:t>
        </w:r>
        <w:r w:rsidR="002C39A3">
          <w:rPr>
            <w:rFonts w:asciiTheme="minorHAnsi" w:eastAsiaTheme="minorEastAsia" w:hAnsiTheme="minorHAnsi" w:cstheme="minorBidi"/>
            <w:sz w:val="22"/>
            <w:szCs w:val="22"/>
            <w:lang w:eastAsia="en-AU"/>
          </w:rPr>
          <w:tab/>
        </w:r>
        <w:r w:rsidR="002C39A3" w:rsidRPr="004F1C19">
          <w:rPr>
            <w:rStyle w:val="Hyperlink"/>
          </w:rPr>
          <w:t>Reconciliation of movements in land, buildings, infrastructure, plant and equipment</w:t>
        </w:r>
        <w:r w:rsidR="002C39A3">
          <w:rPr>
            <w:webHidden/>
          </w:rPr>
          <w:tab/>
        </w:r>
        <w:r w:rsidR="002C39A3">
          <w:rPr>
            <w:webHidden/>
          </w:rPr>
          <w:fldChar w:fldCharType="begin"/>
        </w:r>
        <w:r w:rsidR="002C39A3">
          <w:rPr>
            <w:webHidden/>
          </w:rPr>
          <w:instrText xml:space="preserve"> PAGEREF _Toc448928313 \h </w:instrText>
        </w:r>
        <w:r w:rsidR="002C39A3">
          <w:rPr>
            <w:webHidden/>
          </w:rPr>
        </w:r>
        <w:r w:rsidR="002C39A3">
          <w:rPr>
            <w:webHidden/>
          </w:rPr>
          <w:fldChar w:fldCharType="separate"/>
        </w:r>
        <w:r w:rsidR="0084474F">
          <w:rPr>
            <w:webHidden/>
          </w:rPr>
          <w:t>36</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314" w:history="1">
        <w:r w:rsidR="002C39A3" w:rsidRPr="004F1C19">
          <w:rPr>
            <w:rStyle w:val="Hyperlink"/>
          </w:rPr>
          <w:t>Note 19:</w:t>
        </w:r>
        <w:r w:rsidR="002C39A3">
          <w:rPr>
            <w:rFonts w:asciiTheme="minorHAnsi" w:eastAsiaTheme="minorEastAsia" w:hAnsiTheme="minorHAnsi" w:cstheme="minorBidi"/>
            <w:sz w:val="22"/>
            <w:szCs w:val="22"/>
            <w:lang w:eastAsia="en-AU"/>
          </w:rPr>
          <w:tab/>
        </w:r>
        <w:r w:rsidR="002C39A3" w:rsidRPr="004F1C19">
          <w:rPr>
            <w:rStyle w:val="Hyperlink"/>
          </w:rPr>
          <w:t>Other non</w:t>
        </w:r>
        <w:r w:rsidR="002C39A3" w:rsidRPr="004F1C19">
          <w:rPr>
            <w:rStyle w:val="Hyperlink"/>
          </w:rPr>
          <w:noBreakHyphen/>
          <w:t>financial assets</w:t>
        </w:r>
        <w:r w:rsidR="002C39A3">
          <w:rPr>
            <w:webHidden/>
          </w:rPr>
          <w:tab/>
        </w:r>
        <w:r w:rsidR="002C39A3">
          <w:rPr>
            <w:webHidden/>
          </w:rPr>
          <w:fldChar w:fldCharType="begin"/>
        </w:r>
        <w:r w:rsidR="002C39A3">
          <w:rPr>
            <w:webHidden/>
          </w:rPr>
          <w:instrText xml:space="preserve"> PAGEREF _Toc448928314 \h </w:instrText>
        </w:r>
        <w:r w:rsidR="002C39A3">
          <w:rPr>
            <w:webHidden/>
          </w:rPr>
        </w:r>
        <w:r w:rsidR="002C39A3">
          <w:rPr>
            <w:webHidden/>
          </w:rPr>
          <w:fldChar w:fldCharType="separate"/>
        </w:r>
        <w:r w:rsidR="0084474F">
          <w:rPr>
            <w:webHidden/>
          </w:rPr>
          <w:t>36</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315" w:history="1">
        <w:r w:rsidR="002C39A3" w:rsidRPr="004F1C19">
          <w:rPr>
            <w:rStyle w:val="Hyperlink"/>
          </w:rPr>
          <w:t>Note 20:</w:t>
        </w:r>
        <w:r w:rsidR="002C39A3">
          <w:rPr>
            <w:rFonts w:asciiTheme="minorHAnsi" w:eastAsiaTheme="minorEastAsia" w:hAnsiTheme="minorHAnsi" w:cstheme="minorBidi"/>
            <w:sz w:val="22"/>
            <w:szCs w:val="22"/>
            <w:lang w:eastAsia="en-AU"/>
          </w:rPr>
          <w:tab/>
        </w:r>
        <w:r w:rsidR="002C39A3" w:rsidRPr="004F1C19">
          <w:rPr>
            <w:rStyle w:val="Hyperlink"/>
          </w:rPr>
          <w:t>Assets classified by government purpose and by department</w:t>
        </w:r>
        <w:r w:rsidR="002C39A3">
          <w:rPr>
            <w:webHidden/>
          </w:rPr>
          <w:tab/>
        </w:r>
        <w:r w:rsidR="002C39A3">
          <w:rPr>
            <w:webHidden/>
          </w:rPr>
          <w:fldChar w:fldCharType="begin"/>
        </w:r>
        <w:r w:rsidR="002C39A3">
          <w:rPr>
            <w:webHidden/>
          </w:rPr>
          <w:instrText xml:space="preserve"> PAGEREF _Toc448928315 \h </w:instrText>
        </w:r>
        <w:r w:rsidR="002C39A3">
          <w:rPr>
            <w:webHidden/>
          </w:rPr>
        </w:r>
        <w:r w:rsidR="002C39A3">
          <w:rPr>
            <w:webHidden/>
          </w:rPr>
          <w:fldChar w:fldCharType="separate"/>
        </w:r>
        <w:r w:rsidR="0084474F">
          <w:rPr>
            <w:webHidden/>
          </w:rPr>
          <w:t>37</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316" w:history="1">
        <w:r w:rsidR="002C39A3" w:rsidRPr="004F1C19">
          <w:rPr>
            <w:rStyle w:val="Hyperlink"/>
          </w:rPr>
          <w:t>Note 21:</w:t>
        </w:r>
        <w:r w:rsidR="002C39A3">
          <w:rPr>
            <w:rFonts w:asciiTheme="minorHAnsi" w:eastAsiaTheme="minorEastAsia" w:hAnsiTheme="minorHAnsi" w:cstheme="minorBidi"/>
            <w:sz w:val="22"/>
            <w:szCs w:val="22"/>
            <w:lang w:eastAsia="en-AU"/>
          </w:rPr>
          <w:tab/>
        </w:r>
        <w:r w:rsidR="002C39A3" w:rsidRPr="004F1C19">
          <w:rPr>
            <w:rStyle w:val="Hyperlink"/>
          </w:rPr>
          <w:t>Payables</w:t>
        </w:r>
        <w:r w:rsidR="002C39A3">
          <w:rPr>
            <w:webHidden/>
          </w:rPr>
          <w:tab/>
        </w:r>
        <w:r w:rsidR="002C39A3">
          <w:rPr>
            <w:webHidden/>
          </w:rPr>
          <w:fldChar w:fldCharType="begin"/>
        </w:r>
        <w:r w:rsidR="002C39A3">
          <w:rPr>
            <w:webHidden/>
          </w:rPr>
          <w:instrText xml:space="preserve"> PAGEREF _Toc448928316 \h </w:instrText>
        </w:r>
        <w:r w:rsidR="002C39A3">
          <w:rPr>
            <w:webHidden/>
          </w:rPr>
        </w:r>
        <w:r w:rsidR="002C39A3">
          <w:rPr>
            <w:webHidden/>
          </w:rPr>
          <w:fldChar w:fldCharType="separate"/>
        </w:r>
        <w:r w:rsidR="0084474F">
          <w:rPr>
            <w:webHidden/>
          </w:rPr>
          <w:t>39</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317" w:history="1">
        <w:r w:rsidR="002C39A3" w:rsidRPr="004F1C19">
          <w:rPr>
            <w:rStyle w:val="Hyperlink"/>
          </w:rPr>
          <w:t>Note 22:</w:t>
        </w:r>
        <w:r w:rsidR="002C39A3">
          <w:rPr>
            <w:rFonts w:asciiTheme="minorHAnsi" w:eastAsiaTheme="minorEastAsia" w:hAnsiTheme="minorHAnsi" w:cstheme="minorBidi"/>
            <w:sz w:val="22"/>
            <w:szCs w:val="22"/>
            <w:lang w:eastAsia="en-AU"/>
          </w:rPr>
          <w:tab/>
        </w:r>
        <w:r w:rsidR="002C39A3" w:rsidRPr="004F1C19">
          <w:rPr>
            <w:rStyle w:val="Hyperlink"/>
          </w:rPr>
          <w:t>Borrowings</w:t>
        </w:r>
        <w:r w:rsidR="002C39A3">
          <w:rPr>
            <w:webHidden/>
          </w:rPr>
          <w:tab/>
        </w:r>
        <w:r w:rsidR="002C39A3">
          <w:rPr>
            <w:webHidden/>
          </w:rPr>
          <w:fldChar w:fldCharType="begin"/>
        </w:r>
        <w:r w:rsidR="002C39A3">
          <w:rPr>
            <w:webHidden/>
          </w:rPr>
          <w:instrText xml:space="preserve"> PAGEREF _Toc448928317 \h </w:instrText>
        </w:r>
        <w:r w:rsidR="002C39A3">
          <w:rPr>
            <w:webHidden/>
          </w:rPr>
        </w:r>
        <w:r w:rsidR="002C39A3">
          <w:rPr>
            <w:webHidden/>
          </w:rPr>
          <w:fldChar w:fldCharType="separate"/>
        </w:r>
        <w:r w:rsidR="0084474F">
          <w:rPr>
            <w:webHidden/>
          </w:rPr>
          <w:t>40</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318" w:history="1">
        <w:r w:rsidR="002C39A3" w:rsidRPr="004F1C19">
          <w:rPr>
            <w:rStyle w:val="Hyperlink"/>
          </w:rPr>
          <w:t>Note 23:</w:t>
        </w:r>
        <w:r w:rsidR="002C39A3">
          <w:rPr>
            <w:rFonts w:asciiTheme="minorHAnsi" w:eastAsiaTheme="minorEastAsia" w:hAnsiTheme="minorHAnsi" w:cstheme="minorBidi"/>
            <w:sz w:val="22"/>
            <w:szCs w:val="22"/>
            <w:lang w:eastAsia="en-AU"/>
          </w:rPr>
          <w:tab/>
        </w:r>
        <w:r w:rsidR="002C39A3" w:rsidRPr="004F1C19">
          <w:rPr>
            <w:rStyle w:val="Hyperlink"/>
          </w:rPr>
          <w:t>Employee benefits</w:t>
        </w:r>
        <w:r w:rsidR="002C39A3">
          <w:rPr>
            <w:webHidden/>
          </w:rPr>
          <w:tab/>
        </w:r>
        <w:r w:rsidR="002C39A3">
          <w:rPr>
            <w:webHidden/>
          </w:rPr>
          <w:fldChar w:fldCharType="begin"/>
        </w:r>
        <w:r w:rsidR="002C39A3">
          <w:rPr>
            <w:webHidden/>
          </w:rPr>
          <w:instrText xml:space="preserve"> PAGEREF _Toc448928318 \h </w:instrText>
        </w:r>
        <w:r w:rsidR="002C39A3">
          <w:rPr>
            <w:webHidden/>
          </w:rPr>
        </w:r>
        <w:r w:rsidR="002C39A3">
          <w:rPr>
            <w:webHidden/>
          </w:rPr>
          <w:fldChar w:fldCharType="separate"/>
        </w:r>
        <w:r w:rsidR="0084474F">
          <w:rPr>
            <w:webHidden/>
          </w:rPr>
          <w:t>40</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319" w:history="1">
        <w:r w:rsidR="002C39A3" w:rsidRPr="004F1C19">
          <w:rPr>
            <w:rStyle w:val="Hyperlink"/>
          </w:rPr>
          <w:t>Note 24:</w:t>
        </w:r>
        <w:r w:rsidR="002C39A3">
          <w:rPr>
            <w:rFonts w:asciiTheme="minorHAnsi" w:eastAsiaTheme="minorEastAsia" w:hAnsiTheme="minorHAnsi" w:cstheme="minorBidi"/>
            <w:sz w:val="22"/>
            <w:szCs w:val="22"/>
            <w:lang w:eastAsia="en-AU"/>
          </w:rPr>
          <w:tab/>
        </w:r>
        <w:r w:rsidR="002C39A3" w:rsidRPr="004F1C19">
          <w:rPr>
            <w:rStyle w:val="Hyperlink"/>
          </w:rPr>
          <w:t>Reserves</w:t>
        </w:r>
        <w:r w:rsidR="002C39A3">
          <w:rPr>
            <w:webHidden/>
          </w:rPr>
          <w:tab/>
        </w:r>
        <w:r w:rsidR="002C39A3">
          <w:rPr>
            <w:webHidden/>
          </w:rPr>
          <w:fldChar w:fldCharType="begin"/>
        </w:r>
        <w:r w:rsidR="002C39A3">
          <w:rPr>
            <w:webHidden/>
          </w:rPr>
          <w:instrText xml:space="preserve"> PAGEREF _Toc448928319 \h </w:instrText>
        </w:r>
        <w:r w:rsidR="002C39A3">
          <w:rPr>
            <w:webHidden/>
          </w:rPr>
        </w:r>
        <w:r w:rsidR="002C39A3">
          <w:rPr>
            <w:webHidden/>
          </w:rPr>
          <w:fldChar w:fldCharType="separate"/>
        </w:r>
        <w:r w:rsidR="0084474F">
          <w:rPr>
            <w:webHidden/>
          </w:rPr>
          <w:t>41</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320" w:history="1">
        <w:r w:rsidR="002C39A3" w:rsidRPr="004F1C19">
          <w:rPr>
            <w:rStyle w:val="Hyperlink"/>
          </w:rPr>
          <w:t>Note 25:</w:t>
        </w:r>
        <w:r w:rsidR="002C39A3">
          <w:rPr>
            <w:rFonts w:asciiTheme="minorHAnsi" w:eastAsiaTheme="minorEastAsia" w:hAnsiTheme="minorHAnsi" w:cstheme="minorBidi"/>
            <w:sz w:val="22"/>
            <w:szCs w:val="22"/>
            <w:lang w:eastAsia="en-AU"/>
          </w:rPr>
          <w:tab/>
        </w:r>
        <w:r w:rsidR="002C39A3" w:rsidRPr="004F1C19">
          <w:rPr>
            <w:rStyle w:val="Hyperlink"/>
          </w:rPr>
          <w:t>Reconciliations to Government Finance Statistics – derivation of GFS cash surplus/(deficit)</w:t>
        </w:r>
        <w:r w:rsidR="002C39A3">
          <w:rPr>
            <w:webHidden/>
          </w:rPr>
          <w:tab/>
        </w:r>
        <w:r w:rsidR="002C39A3">
          <w:rPr>
            <w:webHidden/>
          </w:rPr>
          <w:fldChar w:fldCharType="begin"/>
        </w:r>
        <w:r w:rsidR="002C39A3">
          <w:rPr>
            <w:webHidden/>
          </w:rPr>
          <w:instrText xml:space="preserve"> PAGEREF _Toc448928320 \h </w:instrText>
        </w:r>
        <w:r w:rsidR="002C39A3">
          <w:rPr>
            <w:webHidden/>
          </w:rPr>
        </w:r>
        <w:r w:rsidR="002C39A3">
          <w:rPr>
            <w:webHidden/>
          </w:rPr>
          <w:fldChar w:fldCharType="separate"/>
        </w:r>
        <w:r w:rsidR="0084474F">
          <w:rPr>
            <w:webHidden/>
          </w:rPr>
          <w:t>41</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321" w:history="1">
        <w:r w:rsidR="002C39A3" w:rsidRPr="004F1C19">
          <w:rPr>
            <w:rStyle w:val="Hyperlink"/>
          </w:rPr>
          <w:t>Note 26:</w:t>
        </w:r>
        <w:r w:rsidR="002C39A3">
          <w:rPr>
            <w:rFonts w:asciiTheme="minorHAnsi" w:eastAsiaTheme="minorEastAsia" w:hAnsiTheme="minorHAnsi" w:cstheme="minorBidi"/>
            <w:sz w:val="22"/>
            <w:szCs w:val="22"/>
            <w:lang w:eastAsia="en-AU"/>
          </w:rPr>
          <w:tab/>
        </w:r>
        <w:r w:rsidR="002C39A3" w:rsidRPr="004F1C19">
          <w:rPr>
            <w:rStyle w:val="Hyperlink"/>
          </w:rPr>
          <w:t>Financial instruments</w:t>
        </w:r>
        <w:r w:rsidR="002C39A3">
          <w:rPr>
            <w:webHidden/>
          </w:rPr>
          <w:tab/>
        </w:r>
        <w:r w:rsidR="002C39A3">
          <w:rPr>
            <w:webHidden/>
          </w:rPr>
          <w:fldChar w:fldCharType="begin"/>
        </w:r>
        <w:r w:rsidR="002C39A3">
          <w:rPr>
            <w:webHidden/>
          </w:rPr>
          <w:instrText xml:space="preserve"> PAGEREF _Toc448928321 \h </w:instrText>
        </w:r>
        <w:r w:rsidR="002C39A3">
          <w:rPr>
            <w:webHidden/>
          </w:rPr>
        </w:r>
        <w:r w:rsidR="002C39A3">
          <w:rPr>
            <w:webHidden/>
          </w:rPr>
          <w:fldChar w:fldCharType="separate"/>
        </w:r>
        <w:r w:rsidR="0084474F">
          <w:rPr>
            <w:webHidden/>
          </w:rPr>
          <w:t>41</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928322" w:history="1">
        <w:r w:rsidR="002C39A3" w:rsidRPr="004F1C19">
          <w:rPr>
            <w:rStyle w:val="Hyperlink"/>
          </w:rPr>
          <w:t>Note 27:</w:t>
        </w:r>
        <w:r w:rsidR="002C39A3">
          <w:rPr>
            <w:rFonts w:asciiTheme="minorHAnsi" w:eastAsiaTheme="minorEastAsia" w:hAnsiTheme="minorHAnsi" w:cstheme="minorBidi"/>
            <w:sz w:val="22"/>
            <w:szCs w:val="22"/>
            <w:lang w:eastAsia="en-AU"/>
          </w:rPr>
          <w:tab/>
        </w:r>
        <w:r w:rsidR="002C39A3" w:rsidRPr="004F1C19">
          <w:rPr>
            <w:rStyle w:val="Hyperlink"/>
          </w:rPr>
          <w:t>Controlled entities</w:t>
        </w:r>
        <w:r w:rsidR="002C39A3">
          <w:rPr>
            <w:webHidden/>
          </w:rPr>
          <w:tab/>
        </w:r>
        <w:r w:rsidR="002C39A3">
          <w:rPr>
            <w:webHidden/>
          </w:rPr>
          <w:fldChar w:fldCharType="begin"/>
        </w:r>
        <w:r w:rsidR="002C39A3">
          <w:rPr>
            <w:webHidden/>
          </w:rPr>
          <w:instrText xml:space="preserve"> PAGEREF _Toc448928322 \h </w:instrText>
        </w:r>
        <w:r w:rsidR="002C39A3">
          <w:rPr>
            <w:webHidden/>
          </w:rPr>
        </w:r>
        <w:r w:rsidR="002C39A3">
          <w:rPr>
            <w:webHidden/>
          </w:rPr>
          <w:fldChar w:fldCharType="separate"/>
        </w:r>
        <w:r w:rsidR="0084474F">
          <w:rPr>
            <w:webHidden/>
          </w:rPr>
          <w:t>42</w:t>
        </w:r>
        <w:r w:rsidR="002C39A3">
          <w:rPr>
            <w:webHidden/>
          </w:rPr>
          <w:fldChar w:fldCharType="end"/>
        </w:r>
      </w:hyperlink>
    </w:p>
    <w:p w:rsidR="002C39A3" w:rsidRDefault="002C39A3" w:rsidP="00361FA9">
      <w:pPr>
        <w:spacing w:after="0"/>
      </w:pPr>
      <w:r w:rsidRPr="0040125C">
        <w:fldChar w:fldCharType="end"/>
      </w:r>
      <w:r>
        <w:br w:type="page"/>
      </w:r>
    </w:p>
    <w:p w:rsidR="002C39A3" w:rsidRPr="00077B91" w:rsidRDefault="002C39A3" w:rsidP="00361FA9">
      <w:pPr>
        <w:pStyle w:val="Heading2Notes"/>
      </w:pPr>
      <w:bookmarkStart w:id="6" w:name="_Toc448928296"/>
      <w:r w:rsidRPr="00077B91">
        <w:t>Note 1:</w:t>
      </w:r>
      <w:r w:rsidRPr="00077B91">
        <w:tab/>
        <w:t>Statement of significant accounting policies and forecast assumptions</w:t>
      </w:r>
      <w:bookmarkEnd w:id="6"/>
      <w:r w:rsidRPr="00077B91">
        <w:t xml:space="preserve"> </w:t>
      </w:r>
    </w:p>
    <w:p w:rsidR="002C39A3" w:rsidRDefault="002C39A3" w:rsidP="00361FA9">
      <w:r>
        <w:t>This note summarises</w:t>
      </w:r>
      <w:r w:rsidRPr="0040125C">
        <w:t xml:space="preserve"> the </w:t>
      </w:r>
      <w:r>
        <w:t>basis applied in preparing and presenting</w:t>
      </w:r>
      <w:r w:rsidRPr="0040125C">
        <w:t xml:space="preserve"> these Estimated Financial Statements, which includes the budget year and the estimates for the three subsequent years (referred to as the budget and forward estimates period).</w:t>
      </w:r>
      <w:r w:rsidRPr="005A0965">
        <w:t xml:space="preserve"> </w:t>
      </w:r>
    </w:p>
    <w:p w:rsidR="002C39A3" w:rsidRPr="00703A43" w:rsidRDefault="002C39A3" w:rsidP="00361FA9">
      <w:r w:rsidRPr="00920420">
        <w:t>The detailed ac</w:t>
      </w:r>
      <w:r>
        <w:t>counting policies applied in preparing</w:t>
      </w:r>
      <w:r w:rsidRPr="00920420">
        <w:t xml:space="preserve"> the Estimated Financial Statements are consistent with those in the audited 201</w:t>
      </w:r>
      <w:r>
        <w:t>4</w:t>
      </w:r>
      <w:r>
        <w:noBreakHyphen/>
      </w:r>
      <w:r w:rsidRPr="00920420">
        <w:t>1</w:t>
      </w:r>
      <w:r>
        <w:t>5</w:t>
      </w:r>
      <w:r w:rsidRPr="00920420">
        <w:t xml:space="preserve"> annual financial report published in the </w:t>
      </w:r>
      <w:r w:rsidRPr="00920420">
        <w:rPr>
          <w:i/>
        </w:rPr>
        <w:t>201</w:t>
      </w:r>
      <w:r>
        <w:rPr>
          <w:i/>
        </w:rPr>
        <w:t>4</w:t>
      </w:r>
      <w:r>
        <w:rPr>
          <w:i/>
        </w:rPr>
        <w:noBreakHyphen/>
      </w:r>
      <w:r w:rsidRPr="00920420">
        <w:rPr>
          <w:i/>
        </w:rPr>
        <w:t>1</w:t>
      </w:r>
      <w:r>
        <w:rPr>
          <w:i/>
        </w:rPr>
        <w:t>5</w:t>
      </w:r>
      <w:r w:rsidRPr="00920420">
        <w:rPr>
          <w:i/>
        </w:rPr>
        <w:t> Financial Report</w:t>
      </w:r>
      <w:r w:rsidRPr="00920420">
        <w:t xml:space="preserve"> </w:t>
      </w:r>
      <w:r w:rsidRPr="001F50B9">
        <w:t xml:space="preserve">for the State of Victoria </w:t>
      </w:r>
      <w:r w:rsidRPr="00920420">
        <w:t xml:space="preserve">as presented to Parliament, unless otherwise stated. </w:t>
      </w:r>
      <w:r>
        <w:t xml:space="preserve">The audited 30 June 2015 asset and liability balances, as reported in the </w:t>
      </w:r>
      <w:r w:rsidRPr="00920420">
        <w:rPr>
          <w:i/>
        </w:rPr>
        <w:t>201</w:t>
      </w:r>
      <w:r>
        <w:rPr>
          <w:i/>
        </w:rPr>
        <w:t>4</w:t>
      </w:r>
      <w:r>
        <w:rPr>
          <w:i/>
        </w:rPr>
        <w:noBreakHyphen/>
      </w:r>
      <w:r w:rsidRPr="00920420">
        <w:rPr>
          <w:i/>
        </w:rPr>
        <w:t>1</w:t>
      </w:r>
      <w:r>
        <w:rPr>
          <w:i/>
        </w:rPr>
        <w:t>5</w:t>
      </w:r>
      <w:r w:rsidRPr="00920420">
        <w:rPr>
          <w:i/>
        </w:rPr>
        <w:t> Financial Report</w:t>
      </w:r>
      <w:r>
        <w:t>, form the basis on which the budget and forward estimate asset and liability balances are derived.</w:t>
      </w:r>
    </w:p>
    <w:p w:rsidR="002C39A3" w:rsidRPr="0086027A" w:rsidRDefault="002C39A3" w:rsidP="00361FA9">
      <w:r w:rsidRPr="00920420">
        <w:t xml:space="preserve">To gain a better understanding of the terminology and key aggregates used in </w:t>
      </w:r>
      <w:r w:rsidRPr="001F50B9">
        <w:t xml:space="preserve">these statements, </w:t>
      </w:r>
      <w:r w:rsidRPr="00920420">
        <w:t xml:space="preserve">a glossary of terms can be found in </w:t>
      </w:r>
      <w:r w:rsidRPr="0049240A">
        <w:t>Note 40</w:t>
      </w:r>
      <w:r w:rsidRPr="00601D87">
        <w:t xml:space="preserve"> of Chapter </w:t>
      </w:r>
      <w:r w:rsidRPr="00D479E1">
        <w:t>4</w:t>
      </w:r>
      <w:r w:rsidRPr="00601D87">
        <w:rPr>
          <w:i/>
        </w:rPr>
        <w:t xml:space="preserve"> Annual Financial Report </w:t>
      </w:r>
      <w:r w:rsidRPr="00EE5675">
        <w:t>of the</w:t>
      </w:r>
      <w:r w:rsidRPr="00601D87">
        <w:rPr>
          <w:i/>
        </w:rPr>
        <w:t xml:space="preserve"> 201</w:t>
      </w:r>
      <w:r>
        <w:rPr>
          <w:i/>
        </w:rPr>
        <w:t>4</w:t>
      </w:r>
      <w:r>
        <w:rPr>
          <w:i/>
        </w:rPr>
        <w:noBreakHyphen/>
      </w:r>
      <w:r w:rsidRPr="00601D87">
        <w:rPr>
          <w:i/>
        </w:rPr>
        <w:t>1</w:t>
      </w:r>
      <w:r>
        <w:rPr>
          <w:i/>
        </w:rPr>
        <w:t>5</w:t>
      </w:r>
      <w:r w:rsidRPr="00601D87">
        <w:rPr>
          <w:i/>
        </w:rPr>
        <w:t> Financial Report</w:t>
      </w:r>
      <w:r>
        <w:rPr>
          <w:i/>
        </w:rPr>
        <w:t xml:space="preserve"> </w:t>
      </w:r>
      <w:r>
        <w:t>for the State of Victoria</w:t>
      </w:r>
      <w:r w:rsidRPr="00601D87">
        <w:rPr>
          <w:i/>
        </w:rPr>
        <w:t>.</w:t>
      </w:r>
    </w:p>
    <w:p w:rsidR="002C39A3" w:rsidRPr="0040125C" w:rsidRDefault="002C39A3" w:rsidP="00361FA9">
      <w:pPr>
        <w:pStyle w:val="Heading3Numbering"/>
        <w:tabs>
          <w:tab w:val="num" w:pos="720"/>
        </w:tabs>
        <w:ind w:left="720" w:hanging="720"/>
      </w:pPr>
      <w:r w:rsidRPr="0040125C">
        <w:t>Statement of compliance</w:t>
      </w:r>
    </w:p>
    <w:p w:rsidR="002C39A3" w:rsidRPr="0040125C" w:rsidRDefault="002C39A3" w:rsidP="00361FA9">
      <w:r w:rsidRPr="0040125C">
        <w:t>These Estimated Financial Statements have been prepa</w:t>
      </w:r>
      <w:r>
        <w:t>red in accordance with sections </w:t>
      </w:r>
      <w:r w:rsidRPr="0040125C">
        <w:t>23H</w:t>
      </w:r>
      <w:r>
        <w:noBreakHyphen/>
      </w:r>
      <w:r w:rsidRPr="0040125C">
        <w:t xml:space="preserve">23K of the </w:t>
      </w:r>
      <w:r w:rsidRPr="0040125C">
        <w:rPr>
          <w:i/>
        </w:rPr>
        <w:t>Financial Management Act 1994,</w:t>
      </w:r>
      <w:r w:rsidRPr="0040125C">
        <w:t xml:space="preserve"> having regard to Australian Accounting Standards (AAS</w:t>
      </w:r>
      <w:r>
        <w:t>s</w:t>
      </w:r>
      <w:r w:rsidRPr="0040125C">
        <w:t>)</w:t>
      </w:r>
      <w:r>
        <w:t>, which</w:t>
      </w:r>
      <w:r w:rsidRPr="0040125C">
        <w:t xml:space="preserve"> include Interpretations issued by the Australian Accounting Standards Board (AASB). </w:t>
      </w:r>
    </w:p>
    <w:p w:rsidR="002C39A3" w:rsidRPr="0040125C" w:rsidRDefault="002C39A3" w:rsidP="00361FA9">
      <w:r w:rsidRPr="0040125C">
        <w:t xml:space="preserve">The Estimated Financial Statements are presented in a manner consistent with the principles of AASB 1049 </w:t>
      </w:r>
      <w:r w:rsidRPr="0040125C">
        <w:rPr>
          <w:i/>
        </w:rPr>
        <w:t>Whole of Government and General Government Sector Financial Reporting</w:t>
      </w:r>
      <w:r w:rsidRPr="0040125C">
        <w:t xml:space="preserve"> (AASB 1049)</w:t>
      </w:r>
      <w:r>
        <w:t xml:space="preserve"> </w:t>
      </w:r>
      <w:r w:rsidRPr="0040125C">
        <w:t>and other relevant AAS</w:t>
      </w:r>
      <w:r>
        <w:t>s</w:t>
      </w:r>
      <w:r w:rsidRPr="0040125C">
        <w:t xml:space="preserve">. However, the prospective nature of these Estimated Financial Statements means that some AAS disclosures are neither relevant nor practical and have been omitted. Where </w:t>
      </w:r>
      <w:r>
        <w:t>applicable</w:t>
      </w:r>
      <w:r w:rsidRPr="0040125C">
        <w:t>, those AAS</w:t>
      </w:r>
      <w:r>
        <w:t>s</w:t>
      </w:r>
      <w:r w:rsidRPr="0040125C">
        <w:t> paragraphs relevant to not</w:t>
      </w:r>
      <w:r>
        <w:noBreakHyphen/>
      </w:r>
      <w:r w:rsidRPr="0040125C">
        <w:t>for</w:t>
      </w:r>
      <w:r>
        <w:noBreakHyphen/>
      </w:r>
      <w:r w:rsidRPr="0040125C">
        <w:t>profit entities have been applied. Because AAS</w:t>
      </w:r>
      <w:r>
        <w:t>s</w:t>
      </w:r>
      <w:r w:rsidRPr="0040125C">
        <w:t xml:space="preserve"> do not prescribe requirements for </w:t>
      </w:r>
      <w:r>
        <w:t>preparing and presenting</w:t>
      </w:r>
      <w:r w:rsidRPr="0040125C">
        <w:t xml:space="preserve"> prospective financial statements, the Estimated Financial Statements have been prepared having regard to the principles set out in New Zealand </w:t>
      </w:r>
      <w:r>
        <w:t xml:space="preserve">Public Benefit Entity </w:t>
      </w:r>
      <w:r w:rsidRPr="0040125C">
        <w:t xml:space="preserve">Financial Reporting Standard 42 </w:t>
      </w:r>
      <w:r w:rsidRPr="0040125C">
        <w:rPr>
          <w:i/>
        </w:rPr>
        <w:t>Prospective Financial Statements</w:t>
      </w:r>
      <w:r w:rsidRPr="0040125C">
        <w:t>.</w:t>
      </w:r>
    </w:p>
    <w:p w:rsidR="002C39A3" w:rsidRPr="0040125C" w:rsidRDefault="002C39A3" w:rsidP="00361FA9">
      <w:r w:rsidRPr="0040125C">
        <w:t xml:space="preserve">The Government Finance Statistics (GFS) information included in this report is based on </w:t>
      </w:r>
      <w:r>
        <w:t xml:space="preserve">the </w:t>
      </w:r>
      <w:r w:rsidRPr="00D01454">
        <w:rPr>
          <w:i/>
        </w:rPr>
        <w:t>Australian System of Government Finance Statistics: Concepts, Sources and Methods 2005 Cat.</w:t>
      </w:r>
      <w:r>
        <w:rPr>
          <w:i/>
        </w:rPr>
        <w:t> </w:t>
      </w:r>
      <w:r w:rsidRPr="00D01454">
        <w:rPr>
          <w:i/>
        </w:rPr>
        <w:t xml:space="preserve">No. 5514.0 </w:t>
      </w:r>
      <w:r w:rsidRPr="00D01454">
        <w:t xml:space="preserve">and </w:t>
      </w:r>
      <w:r>
        <w:t xml:space="preserve">the </w:t>
      </w:r>
      <w:r w:rsidRPr="00D01454">
        <w:rPr>
          <w:i/>
        </w:rPr>
        <w:t>Amendments to Australian System of Government Finance Statistics, 2005</w:t>
      </w:r>
      <w:r w:rsidRPr="00D01454">
        <w:t xml:space="preserve"> (ABS Catalogue No. 5514.0) (the GFS Manual)</w:t>
      </w:r>
      <w:r w:rsidRPr="00D01454">
        <w:rPr>
          <w:i/>
        </w:rPr>
        <w:t>.</w:t>
      </w:r>
    </w:p>
    <w:p w:rsidR="002C39A3" w:rsidRPr="0040125C" w:rsidRDefault="002C39A3" w:rsidP="00361FA9">
      <w:r w:rsidRPr="0040125C">
        <w:t xml:space="preserve">The information presented in the Estimated Financial Statements takes into account all policy decisions </w:t>
      </w:r>
      <w:r>
        <w:t>made</w:t>
      </w:r>
      <w:r w:rsidRPr="0040125C">
        <w:t xml:space="preserve"> by the Victorian Government, as well as known Commonwealth Government funding revisions and circumstances that may have a material effect on the Estimated Financial Statements </w:t>
      </w:r>
      <w:r w:rsidRPr="005E5CF1">
        <w:t>as at 2</w:t>
      </w:r>
      <w:r>
        <w:t>0</w:t>
      </w:r>
      <w:r w:rsidRPr="005E5CF1">
        <w:t xml:space="preserve"> April</w:t>
      </w:r>
      <w:r w:rsidRPr="00421E30">
        <w:t xml:space="preserve"> 201</w:t>
      </w:r>
      <w:r>
        <w:t>6</w:t>
      </w:r>
      <w:r w:rsidRPr="00421E30">
        <w:t>.</w:t>
      </w:r>
      <w:r w:rsidRPr="0040125C">
        <w:t xml:space="preserve"> </w:t>
      </w:r>
    </w:p>
    <w:p w:rsidR="002C39A3" w:rsidRDefault="002C39A3" w:rsidP="00361FA9">
      <w:pPr>
        <w:spacing w:after="0"/>
        <w:rPr>
          <w:rFonts w:ascii="Calibri" w:hAnsi="Calibri"/>
          <w:b/>
          <w:i/>
          <w:sz w:val="24"/>
          <w:szCs w:val="22"/>
        </w:rPr>
      </w:pPr>
      <w:r>
        <w:br w:type="page"/>
      </w:r>
    </w:p>
    <w:p w:rsidR="002C39A3" w:rsidRDefault="002C39A3" w:rsidP="00361FA9">
      <w:pPr>
        <w:pStyle w:val="Heading2NotesContd"/>
      </w:pPr>
      <w:r>
        <w:t>Note 1:</w:t>
      </w:r>
      <w:r>
        <w:tab/>
        <w:t xml:space="preserve">Statement of significant accounting policies and forecast assumptions </w:t>
      </w:r>
      <w:r w:rsidRPr="00A035F3">
        <w:rPr>
          <w:i/>
        </w:rPr>
        <w:t>(continued)</w:t>
      </w:r>
    </w:p>
    <w:p w:rsidR="002C39A3" w:rsidRPr="0040125C" w:rsidRDefault="002C39A3" w:rsidP="00361FA9">
      <w:pPr>
        <w:pStyle w:val="Heading3Numbering"/>
        <w:tabs>
          <w:tab w:val="num" w:pos="720"/>
        </w:tabs>
        <w:ind w:left="720" w:hanging="720"/>
      </w:pPr>
      <w:r w:rsidRPr="0040125C">
        <w:t>Basis of accounting, preparation and measurement</w:t>
      </w:r>
    </w:p>
    <w:p w:rsidR="002C39A3" w:rsidRPr="0040125C" w:rsidRDefault="002C39A3" w:rsidP="00361FA9">
      <w:r w:rsidRPr="0040125C">
        <w:t>The Estimated Financial Statements</w:t>
      </w:r>
      <w:r>
        <w:t xml:space="preserve"> have been prepared for the 2016</w:t>
      </w:r>
      <w:r>
        <w:noBreakHyphen/>
        <w:t>17</w:t>
      </w:r>
      <w:r w:rsidRPr="0040125C">
        <w:t xml:space="preserve"> budget year in accordance with accounting policies expected to be used in preparing historically oriented general purpose financial statements for that year, and the same accounting policies have been used for the subsequent forecast years.</w:t>
      </w:r>
    </w:p>
    <w:p w:rsidR="002C39A3" w:rsidRPr="0040125C" w:rsidRDefault="002C39A3" w:rsidP="00361FA9">
      <w:r w:rsidRPr="0040125C">
        <w:t xml:space="preserve">The accrual basis of accounting has been applied in </w:t>
      </w:r>
      <w:r>
        <w:t>preparing</w:t>
      </w:r>
      <w:r w:rsidRPr="0040125C">
        <w:t xml:space="preserve"> the Estimated Financial Statements whereby assets, liabilities, equity, </w:t>
      </w:r>
      <w:r>
        <w:t>income</w:t>
      </w:r>
      <w:r w:rsidRPr="0040125C">
        <w:t xml:space="preserve"> and expenses are recognised in the reporting period to which they relate, regardless of when cash is received or paid.</w:t>
      </w:r>
    </w:p>
    <w:p w:rsidR="002C39A3" w:rsidRPr="0040125C" w:rsidRDefault="002C39A3" w:rsidP="00361FA9">
      <w:r w:rsidRPr="0040125C">
        <w:t xml:space="preserve">The Estimated Financial Statements are presented in Australian dollars which is also the functional currency of the Victorian general government sector. </w:t>
      </w:r>
    </w:p>
    <w:p w:rsidR="002C39A3" w:rsidRPr="0040125C" w:rsidRDefault="002C39A3" w:rsidP="00361FA9">
      <w:r w:rsidRPr="0040125C">
        <w:t xml:space="preserve">Judgements, estimates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w:t>
      </w:r>
      <w:r w:rsidRPr="00B214FB">
        <w:t>Given the prospective nature of the E</w:t>
      </w:r>
      <w:r>
        <w:t xml:space="preserve">stimated </w:t>
      </w:r>
      <w:r w:rsidRPr="00B214FB">
        <w:t>F</w:t>
      </w:r>
      <w:r>
        <w:t xml:space="preserve">inancial </w:t>
      </w:r>
      <w:r w:rsidRPr="00B214FB">
        <w:t>S</w:t>
      </w:r>
      <w:r>
        <w:t>tatements</w:t>
      </w:r>
      <w:r w:rsidRPr="00B214FB">
        <w:t xml:space="preserve">, actual results </w:t>
      </w:r>
      <w:r>
        <w:t>are likely to</w:t>
      </w:r>
      <w:r w:rsidRPr="00B214FB">
        <w:t xml:space="preserve"> differ from these estimates</w:t>
      </w:r>
      <w:r>
        <w:t>.</w:t>
      </w:r>
      <w:r w:rsidRPr="00B214FB">
        <w:t xml:space="preserve"> </w:t>
      </w:r>
      <w:r w:rsidRPr="0040125C">
        <w:t xml:space="preserve">Revisions to accounting estimates are recognised in the period in which the estimate is revised and also in future periods that are affected. </w:t>
      </w:r>
    </w:p>
    <w:p w:rsidR="002C39A3" w:rsidRPr="0040125C" w:rsidRDefault="002C39A3" w:rsidP="00361FA9">
      <w:r w:rsidRPr="0040125C">
        <w:t>The Estimated Financial Statements have been prepared in accordance with the historical cost convention. Historical cost is based</w:t>
      </w:r>
      <w:r>
        <w:t xml:space="preserve"> on the fair value</w:t>
      </w:r>
      <w:r w:rsidRPr="0040125C">
        <w:t xml:space="preserve"> of the consideration</w:t>
      </w:r>
      <w:r>
        <w:t>s</w:t>
      </w:r>
      <w:r w:rsidRPr="0040125C">
        <w:t xml:space="preserve"> given in exchange for assets. Exceptions to the historical cost convention include:</w:t>
      </w:r>
    </w:p>
    <w:p w:rsidR="002C39A3" w:rsidRPr="0040125C" w:rsidRDefault="002C39A3" w:rsidP="00361FA9">
      <w:pPr>
        <w:pStyle w:val="BulletText"/>
        <w:spacing w:after="80"/>
        <w:ind w:left="357" w:hanging="357"/>
      </w:pPr>
      <w:r w:rsidRPr="0040125C">
        <w:t xml:space="preserve">general government sector investments in other sector entities </w:t>
      </w:r>
      <w:r>
        <w:t>which</w:t>
      </w:r>
      <w:r w:rsidRPr="0040125C">
        <w:t xml:space="preserve"> are measured at net asset value;</w:t>
      </w:r>
    </w:p>
    <w:p w:rsidR="002C39A3" w:rsidRPr="0040125C" w:rsidRDefault="002C39A3" w:rsidP="00361FA9">
      <w:pPr>
        <w:pStyle w:val="BulletText"/>
        <w:spacing w:after="80"/>
        <w:ind w:left="357" w:hanging="357"/>
      </w:pPr>
      <w:r w:rsidRPr="0040125C">
        <w:t>non</w:t>
      </w:r>
      <w:r>
        <w:noBreakHyphen/>
      </w:r>
      <w:r w:rsidRPr="0040125C">
        <w:t>financial physical assets which, subsequent to acquisition, are measured at a revalued amount being their fair value at the date of revaluation less any subsequent accumulated depreciation</w:t>
      </w:r>
      <w:r>
        <w:t xml:space="preserve"> and </w:t>
      </w:r>
      <w:r w:rsidRPr="0040125C">
        <w:t xml:space="preserve">subsequent impairment losses. Revaluations are made with sufficient regularity to ensure that the carrying amounts do not materially differ from their fair value; </w:t>
      </w:r>
    </w:p>
    <w:p w:rsidR="002C39A3" w:rsidRPr="0040125C" w:rsidRDefault="002C39A3" w:rsidP="00361FA9">
      <w:pPr>
        <w:pStyle w:val="BulletText"/>
        <w:spacing w:after="80"/>
        <w:ind w:left="357" w:hanging="357"/>
      </w:pPr>
      <w:r w:rsidRPr="0040125C">
        <w:t xml:space="preserve">productive trees in commercial native forests, which are </w:t>
      </w:r>
      <w:r>
        <w:t>measured</w:t>
      </w:r>
      <w:r w:rsidRPr="0040125C">
        <w:t xml:space="preserve"> at their fair value less costs to sell;</w:t>
      </w:r>
    </w:p>
    <w:p w:rsidR="002C39A3" w:rsidRPr="0040125C" w:rsidRDefault="002C39A3" w:rsidP="00361FA9">
      <w:pPr>
        <w:pStyle w:val="BulletText"/>
        <w:spacing w:after="80"/>
        <w:ind w:left="357" w:hanging="357"/>
      </w:pPr>
      <w:r w:rsidRPr="0040125C">
        <w:t xml:space="preserve">derivative financial instruments, managed investment schemes, certain debt securities and investment properties after initial recognition, which are measured at fair value with changes reflected in the estimated comprehensive operating statement (fair value through profit and loss); </w:t>
      </w:r>
    </w:p>
    <w:p w:rsidR="002C39A3" w:rsidRPr="0040125C" w:rsidRDefault="002C39A3" w:rsidP="00361FA9">
      <w:pPr>
        <w:pStyle w:val="BulletText"/>
        <w:spacing w:after="80"/>
        <w:ind w:left="357" w:hanging="357"/>
      </w:pPr>
      <w:r w:rsidRPr="0040125C">
        <w:t>certain liabilities, most notably unfunded superannuation and some insurance claim provisions, which are subject to an actuarial assessment; and</w:t>
      </w:r>
    </w:p>
    <w:p w:rsidR="002C39A3" w:rsidRPr="0040125C" w:rsidRDefault="002C39A3" w:rsidP="00361FA9">
      <w:pPr>
        <w:pStyle w:val="BulletText"/>
        <w:spacing w:after="80"/>
        <w:ind w:left="357" w:hanging="357"/>
      </w:pPr>
      <w:r w:rsidRPr="0040125C">
        <w:t>available</w:t>
      </w:r>
      <w:r>
        <w:noBreakHyphen/>
      </w:r>
      <w:r w:rsidRPr="0040125C">
        <w:t>for</w:t>
      </w:r>
      <w:r>
        <w:noBreakHyphen/>
      </w:r>
      <w:r w:rsidRPr="0040125C">
        <w:t xml:space="preserve">sale investments, which are measured at fair value with movements reflected in </w:t>
      </w:r>
      <w:r w:rsidR="0097550F">
        <w:t>‘</w:t>
      </w:r>
      <w:r w:rsidRPr="0040125C">
        <w:t>Other economic flows – other comprehensive income</w:t>
      </w:r>
      <w:r w:rsidR="0097550F">
        <w:t>’</w:t>
      </w:r>
      <w:r w:rsidRPr="0040125C">
        <w:t>.</w:t>
      </w:r>
    </w:p>
    <w:p w:rsidR="002C39A3" w:rsidRDefault="002C39A3" w:rsidP="00361FA9">
      <w:pPr>
        <w:pStyle w:val="Heading2NotesContd"/>
        <w:spacing w:after="80"/>
        <w:ind w:left="1151" w:hanging="1151"/>
      </w:pPr>
      <w:r>
        <w:t>Note 1:</w:t>
      </w:r>
      <w:r>
        <w:tab/>
        <w:t>Statement of significant accounting policies and forecast assumptions</w:t>
      </w:r>
      <w:r w:rsidRPr="000F3DAE">
        <w:rPr>
          <w:i/>
        </w:rPr>
        <w:t xml:space="preserve"> (continued)</w:t>
      </w:r>
    </w:p>
    <w:p w:rsidR="002C39A3" w:rsidRPr="001A6F29" w:rsidRDefault="002C39A3" w:rsidP="00361FA9">
      <w:r w:rsidRPr="001A6F29">
        <w:t xml:space="preserve">For assets and liabilities measured at fair value in the estimated balance sheet, the principles under AASB 13 </w:t>
      </w:r>
      <w:r w:rsidRPr="001A6F29">
        <w:rPr>
          <w:i/>
        </w:rPr>
        <w:t>Fair Value Measurement</w:t>
      </w:r>
      <w:r w:rsidRPr="001A6F29">
        <w:t xml:space="preserve"> have been applied. </w:t>
      </w:r>
    </w:p>
    <w:p w:rsidR="002C39A3" w:rsidRPr="001A6F29" w:rsidRDefault="002C39A3" w:rsidP="00361FA9">
      <w:pPr>
        <w:pStyle w:val="BodyText"/>
      </w:pPr>
      <w:r w:rsidRPr="001A6F29">
        <w:t xml:space="preserve">As required by AASB 1049, the estimated comprehensive operating statement distinguishes between </w:t>
      </w:r>
      <w:r w:rsidR="0097550F">
        <w:t>‘</w:t>
      </w:r>
      <w:r w:rsidRPr="001A6F29">
        <w:t>Transactions</w:t>
      </w:r>
      <w:r w:rsidR="0097550F">
        <w:t>’</w:t>
      </w:r>
      <w:r w:rsidRPr="001A6F29">
        <w:t xml:space="preserve"> and </w:t>
      </w:r>
      <w:r w:rsidR="0097550F">
        <w:t>‘</w:t>
      </w:r>
      <w:r w:rsidRPr="001A6F29">
        <w:t>Other economic flows</w:t>
      </w:r>
      <w:r w:rsidR="0097550F">
        <w:t>’</w:t>
      </w:r>
      <w:r w:rsidRPr="001A6F29">
        <w:t xml:space="preserve"> based on the principles in the GFS Manual. </w:t>
      </w:r>
      <w:r w:rsidR="0097550F">
        <w:t>‘</w:t>
      </w:r>
      <w:r w:rsidRPr="001A6F29">
        <w:t>Transactions</w:t>
      </w:r>
      <w:r w:rsidR="0097550F">
        <w:t>’</w:t>
      </w:r>
      <w:r w:rsidRPr="001A6F29">
        <w:t xml:space="preserve"> are those economic flows that are considered to arise as a result of policy decisions, usually interactions between two entities by mutual agreement, and also flows within an entity, such as depreciation where the owner is simultaneously acting as the owner of the depreciating asset and as the consumer of the service provided by the asset. Taxation is regarded as mutually agreed interactions between the government and the taxpayer. Transactions may be cash or settled in kind (e.g. assets provided/given free of charge or for nominal consideration). </w:t>
      </w:r>
    </w:p>
    <w:p w:rsidR="002C39A3" w:rsidRPr="001A6F29" w:rsidRDefault="0097550F" w:rsidP="00361FA9">
      <w:r>
        <w:t>‘</w:t>
      </w:r>
      <w:r w:rsidR="002C39A3" w:rsidRPr="001A6F29">
        <w:t>Other economic flows</w:t>
      </w:r>
      <w:r>
        <w:t>’</w:t>
      </w:r>
      <w:r w:rsidR="002C39A3" w:rsidRPr="001A6F29">
        <w:t xml:space="preserve"> are changes arising from market remeasurements. They include:</w:t>
      </w:r>
    </w:p>
    <w:p w:rsidR="002C39A3" w:rsidRPr="001A6F29" w:rsidRDefault="002C39A3" w:rsidP="00361FA9">
      <w:pPr>
        <w:pStyle w:val="BulletText"/>
      </w:pPr>
      <w:r w:rsidRPr="001A6F29">
        <w:t>gains and losses from disposals;</w:t>
      </w:r>
    </w:p>
    <w:p w:rsidR="002C39A3" w:rsidRPr="001A6F29" w:rsidRDefault="002C39A3" w:rsidP="00361FA9">
      <w:pPr>
        <w:pStyle w:val="BulletText"/>
      </w:pPr>
      <w:r w:rsidRPr="001A6F29">
        <w:t>revaluations and impairments of non-financial physical and intangible assets;</w:t>
      </w:r>
    </w:p>
    <w:p w:rsidR="002C39A3" w:rsidRPr="001A6F29" w:rsidRDefault="002C39A3" w:rsidP="00361FA9">
      <w:pPr>
        <w:pStyle w:val="BulletText"/>
      </w:pPr>
      <w:r w:rsidRPr="001A6F29">
        <w:t>remeasurement arising from defined benefit superannuation plans;</w:t>
      </w:r>
    </w:p>
    <w:p w:rsidR="002C39A3" w:rsidRPr="001A6F29" w:rsidRDefault="002C39A3" w:rsidP="00361FA9">
      <w:pPr>
        <w:pStyle w:val="BulletText"/>
      </w:pPr>
      <w:r w:rsidRPr="001A6F29">
        <w:t>fair value changes of financial instruments and agricultural assets; and</w:t>
      </w:r>
    </w:p>
    <w:p w:rsidR="002C39A3" w:rsidRDefault="002C39A3" w:rsidP="00361FA9">
      <w:pPr>
        <w:pStyle w:val="BulletText"/>
      </w:pPr>
      <w:r w:rsidRPr="001A6F29">
        <w:t>depletion of natural assets (non-produced) from their use or removal.</w:t>
      </w:r>
    </w:p>
    <w:p w:rsidR="002C39A3" w:rsidRPr="0040125C" w:rsidRDefault="002C39A3" w:rsidP="00361FA9">
      <w:pPr>
        <w:pStyle w:val="Heading3Numbering"/>
        <w:tabs>
          <w:tab w:val="num" w:pos="720"/>
        </w:tabs>
        <w:ind w:left="720" w:hanging="720"/>
      </w:pPr>
      <w:r w:rsidRPr="0040125C">
        <w:t>Reporting entity</w:t>
      </w:r>
    </w:p>
    <w:p w:rsidR="002C39A3" w:rsidRPr="0040125C" w:rsidRDefault="002C39A3" w:rsidP="00361FA9">
      <w:r w:rsidRPr="0040125C">
        <w:t xml:space="preserve">The Estimated Financial Statements are prepared for the general government sector which includes all government departments, offices and other bodies engaged in providing services free of charge or at prices significantly below their cost. The primary function of entities </w:t>
      </w:r>
      <w:r>
        <w:t>with</w:t>
      </w:r>
      <w:r w:rsidRPr="0040125C">
        <w:t>in the general government sector is to provide public services (outputs), which are mainly non</w:t>
      </w:r>
      <w:r>
        <w:noBreakHyphen/>
      </w:r>
      <w:r w:rsidRPr="0040125C">
        <w:t>market in nature, for the collective consumption</w:t>
      </w:r>
      <w:r>
        <w:t xml:space="preserve"> of the community, and involve </w:t>
      </w:r>
      <w:r w:rsidRPr="0040125C">
        <w:t>transfer</w:t>
      </w:r>
      <w:r>
        <w:t>ring or redistributing</w:t>
      </w:r>
      <w:r w:rsidRPr="0040125C">
        <w:t xml:space="preserve"> revenue that is f</w:t>
      </w:r>
      <w:r>
        <w:t>unded</w:t>
      </w:r>
      <w:r w:rsidRPr="0040125C">
        <w:t xml:space="preserve"> mainly through taxes and other compulsory levies. </w:t>
      </w:r>
    </w:p>
    <w:p w:rsidR="002C39A3" w:rsidRPr="0040125C" w:rsidRDefault="002C39A3" w:rsidP="00361FA9">
      <w:r w:rsidRPr="0040125C">
        <w:t xml:space="preserve">The Victorian general government sector is not a separate entity but represents a sector within the State of Victoria reporting entity. Unless otherwise noted, accounting policies applied by the State apply equally to the general government sector. </w:t>
      </w:r>
    </w:p>
    <w:p w:rsidR="002C39A3" w:rsidRPr="0040125C" w:rsidRDefault="002C39A3" w:rsidP="00361FA9">
      <w:pPr>
        <w:pStyle w:val="Heading3Numbering"/>
        <w:tabs>
          <w:tab w:val="num" w:pos="720"/>
        </w:tabs>
        <w:ind w:left="720" w:hanging="720"/>
      </w:pPr>
      <w:r w:rsidRPr="0040125C">
        <w:t>Basis of consolidation</w:t>
      </w:r>
    </w:p>
    <w:p w:rsidR="002C39A3" w:rsidRDefault="002C39A3" w:rsidP="00361FA9">
      <w:r w:rsidRPr="0040125C">
        <w:t xml:space="preserve">The Estimated Financial Statements present the </w:t>
      </w:r>
      <w:r>
        <w:t xml:space="preserve">estimated consolidated results and position of </w:t>
      </w:r>
      <w:r w:rsidRPr="0040125C">
        <w:t>all reporting entities in the general government sector</w:t>
      </w:r>
      <w:r>
        <w:t xml:space="preserve"> that are controlled by the State</w:t>
      </w:r>
      <w:r w:rsidRPr="0040125C">
        <w:t xml:space="preserve">, consistent with the principles of </w:t>
      </w:r>
      <w:r w:rsidRPr="00B40E8C">
        <w:t>AASB 1049</w:t>
      </w:r>
      <w:r w:rsidRPr="0040125C">
        <w:t xml:space="preserve"> and AASB 10 </w:t>
      </w:r>
      <w:r w:rsidRPr="0040125C">
        <w:rPr>
          <w:i/>
        </w:rPr>
        <w:t>Consolidated Financial Statements</w:t>
      </w:r>
      <w:r w:rsidRPr="0040125C">
        <w:t>.</w:t>
      </w:r>
    </w:p>
    <w:p w:rsidR="002C39A3" w:rsidRDefault="002C39A3" w:rsidP="00361FA9">
      <w:pPr>
        <w:spacing w:after="0"/>
      </w:pPr>
      <w:r>
        <w:br w:type="page"/>
      </w:r>
    </w:p>
    <w:p w:rsidR="002C39A3" w:rsidRDefault="002C39A3" w:rsidP="00361FA9">
      <w:pPr>
        <w:pStyle w:val="Heading2NotesContd"/>
        <w:spacing w:after="80"/>
        <w:ind w:left="1151" w:hanging="1151"/>
      </w:pPr>
      <w:r>
        <w:t>Note 1:</w:t>
      </w:r>
      <w:r>
        <w:tab/>
        <w:t xml:space="preserve">Statement of significant accounting policies and forecast assumptions </w:t>
      </w:r>
      <w:r w:rsidRPr="00A035F3">
        <w:rPr>
          <w:i/>
        </w:rPr>
        <w:t>(continued)</w:t>
      </w:r>
    </w:p>
    <w:p w:rsidR="002C39A3" w:rsidRPr="0040125C" w:rsidRDefault="002C39A3" w:rsidP="00361FA9">
      <w:r w:rsidRPr="0040125C">
        <w:t>Entities in the public non</w:t>
      </w:r>
      <w:r>
        <w:noBreakHyphen/>
      </w:r>
      <w:r w:rsidRPr="0040125C">
        <w:t>financial corporations (PNFC) and public financial corporations (PFC) sectors are not consolidated into the financial statements of the general government sector, but are accounted for as equity investments measured at the Government</w:t>
      </w:r>
      <w:r w:rsidR="0097550F">
        <w:t>’</w:t>
      </w:r>
      <w:r w:rsidRPr="0040125C">
        <w:t>s proportional share of the carrying amount of net assets of PNFC and PFC sector entities before consolidation eliminations. Where the carrying amount of a</w:t>
      </w:r>
      <w:r>
        <w:t xml:space="preserve"> PNFC or PFC</w:t>
      </w:r>
      <w:r w:rsidRPr="0040125C">
        <w:t xml:space="preserve"> entity</w:t>
      </w:r>
      <w:r w:rsidR="0097550F">
        <w:t>’</w:t>
      </w:r>
      <w:r w:rsidRPr="0040125C">
        <w:t xml:space="preserve">s net assets before consolidation eliminations is less than zero, the </w:t>
      </w:r>
      <w:r>
        <w:t xml:space="preserve">carrying </w:t>
      </w:r>
      <w:r w:rsidRPr="0040125C">
        <w:t>amount is not included</w:t>
      </w:r>
      <w:r>
        <w:t xml:space="preserve"> at the general government sector but the net liabilities will be consolidated at the State level</w:t>
      </w:r>
      <w:r w:rsidRPr="0040125C">
        <w:t>.</w:t>
      </w:r>
      <w:r>
        <w:t xml:space="preserve"> </w:t>
      </w:r>
      <w:r w:rsidRPr="0040125C">
        <w:t xml:space="preserve">Any change in the carrying amount of the investment from period to period is accounted for as if the change in carrying amount is a change in fair value and accounted for consistent with AASB 139 </w:t>
      </w:r>
      <w:r w:rsidRPr="0040125C">
        <w:rPr>
          <w:i/>
        </w:rPr>
        <w:t xml:space="preserve">Financial Instruments: Recognition and Measurement </w:t>
      </w:r>
      <w:r w:rsidRPr="0040125C">
        <w:t>and AASB 1049.</w:t>
      </w:r>
    </w:p>
    <w:p w:rsidR="002C39A3" w:rsidRPr="0040125C" w:rsidRDefault="002C39A3" w:rsidP="00361FA9">
      <w:pPr>
        <w:pStyle w:val="BodyText"/>
      </w:pPr>
      <w:r w:rsidRPr="0040125C">
        <w:t xml:space="preserve">Where control of an entity is expected to be obtained during the </w:t>
      </w:r>
      <w:r>
        <w:t>reporting</w:t>
      </w:r>
      <w:r w:rsidRPr="0040125C">
        <w:t xml:space="preserve"> period, its results are included in the estimated comprehensive operating statement from the date on which control will commence. Where control is expected to cease during a </w:t>
      </w:r>
      <w:r>
        <w:t>reporting</w:t>
      </w:r>
      <w:r w:rsidRPr="0040125C">
        <w:t xml:space="preserve"> period, the entity</w:t>
      </w:r>
      <w:r w:rsidR="0097550F">
        <w:t>’</w:t>
      </w:r>
      <w:r w:rsidRPr="0040125C">
        <w:t>s results are included for th</w:t>
      </w:r>
      <w:r>
        <w:t xml:space="preserve">at part of the period for which </w:t>
      </w:r>
      <w:r w:rsidRPr="0040125C">
        <w:t xml:space="preserve">control would exist. Where </w:t>
      </w:r>
      <w:r>
        <w:t xml:space="preserve">entities adopt </w:t>
      </w:r>
      <w:r w:rsidRPr="0040125C">
        <w:t>dissimilar accounting policies and their effect is considered material, adjustments are made to ensure consistent policies are adopted in the Estimated Financial Statements.</w:t>
      </w:r>
    </w:p>
    <w:p w:rsidR="002C39A3" w:rsidRPr="0040125C" w:rsidRDefault="002C39A3" w:rsidP="00361FA9">
      <w:pPr>
        <w:pStyle w:val="BodyText"/>
      </w:pPr>
      <w:r>
        <w:t>A</w:t>
      </w:r>
      <w:r w:rsidRPr="0040125C">
        <w:t xml:space="preserve">ll material transactions and balances between entities within the </w:t>
      </w:r>
      <w:r>
        <w:t xml:space="preserve">general government </w:t>
      </w:r>
      <w:r w:rsidRPr="0040125C">
        <w:t>sector are eliminated.</w:t>
      </w:r>
    </w:p>
    <w:p w:rsidR="002C39A3" w:rsidRPr="0040125C" w:rsidRDefault="002C39A3" w:rsidP="00361FA9">
      <w:pPr>
        <w:pStyle w:val="BodyText"/>
      </w:pPr>
      <w:r w:rsidRPr="0040125C">
        <w:t xml:space="preserve">The significant entities consolidated within the sector comprise those </w:t>
      </w:r>
      <w:r>
        <w:t xml:space="preserve">general government sector entities </w:t>
      </w:r>
      <w:r w:rsidRPr="0040125C">
        <w:t xml:space="preserve">listed in </w:t>
      </w:r>
      <w:r w:rsidRPr="006561EB">
        <w:t>Note 42</w:t>
      </w:r>
      <w:r w:rsidRPr="001D1A09">
        <w:t xml:space="preserve"> of Chapter</w:t>
      </w:r>
      <w:r>
        <w:t> </w:t>
      </w:r>
      <w:r w:rsidRPr="001D1A09">
        <w:t xml:space="preserve">4 </w:t>
      </w:r>
      <w:r w:rsidRPr="001D1A09">
        <w:rPr>
          <w:i/>
        </w:rPr>
        <w:t>Annual Financial Report</w:t>
      </w:r>
      <w:r w:rsidRPr="001D1A09">
        <w:t xml:space="preserve"> of </w:t>
      </w:r>
      <w:r w:rsidRPr="0040125C">
        <w:t xml:space="preserve">the </w:t>
      </w:r>
      <w:r w:rsidRPr="0040125C">
        <w:rPr>
          <w:i/>
        </w:rPr>
        <w:t>201</w:t>
      </w:r>
      <w:r>
        <w:rPr>
          <w:i/>
        </w:rPr>
        <w:t>4</w:t>
      </w:r>
      <w:r>
        <w:rPr>
          <w:i/>
        </w:rPr>
        <w:noBreakHyphen/>
      </w:r>
      <w:r w:rsidRPr="0040125C">
        <w:rPr>
          <w:i/>
        </w:rPr>
        <w:t>1</w:t>
      </w:r>
      <w:r>
        <w:rPr>
          <w:i/>
        </w:rPr>
        <w:t>5</w:t>
      </w:r>
      <w:r w:rsidRPr="0040125C">
        <w:rPr>
          <w:i/>
        </w:rPr>
        <w:t> Financial Report</w:t>
      </w:r>
      <w:r>
        <w:rPr>
          <w:i/>
        </w:rPr>
        <w:t xml:space="preserve"> </w:t>
      </w:r>
      <w:r>
        <w:t>for the State of Victoria</w:t>
      </w:r>
      <w:r w:rsidRPr="0040125C">
        <w:t xml:space="preserve">, except as stated </w:t>
      </w:r>
      <w:r w:rsidRPr="005E5CF1">
        <w:t>in Note 27 of the Estimated Financial Statements.</w:t>
      </w:r>
      <w:r w:rsidRPr="0040125C">
        <w:t xml:space="preserve"> </w:t>
      </w:r>
    </w:p>
    <w:p w:rsidR="002C39A3" w:rsidRPr="0040125C" w:rsidRDefault="002C39A3" w:rsidP="00361FA9">
      <w:pPr>
        <w:pStyle w:val="Heading3Numbering"/>
        <w:tabs>
          <w:tab w:val="num" w:pos="720"/>
        </w:tabs>
        <w:ind w:left="720" w:hanging="720"/>
      </w:pPr>
      <w:r w:rsidRPr="0040125C">
        <w:t>Rounding</w:t>
      </w:r>
    </w:p>
    <w:p w:rsidR="002C39A3" w:rsidRPr="00922517" w:rsidRDefault="002C39A3" w:rsidP="00361FA9">
      <w:r w:rsidRPr="0040125C">
        <w:t>All amounts in the Estimated Financial Statements have been</w:t>
      </w:r>
      <w:r>
        <w:t xml:space="preserve"> rounded to the nearest $1 million</w:t>
      </w:r>
      <w:r w:rsidRPr="0040125C">
        <w:t xml:space="preserve"> unless otherwise stated. Figures in the Estimated Financial Statements may not add due to rounding.</w:t>
      </w:r>
    </w:p>
    <w:p w:rsidR="002C39A3" w:rsidRPr="004B1B13" w:rsidRDefault="002C39A3" w:rsidP="00361FA9">
      <w:pPr>
        <w:pStyle w:val="Heading3Numbering"/>
        <w:tabs>
          <w:tab w:val="num" w:pos="720"/>
        </w:tabs>
        <w:ind w:left="720" w:hanging="720"/>
      </w:pPr>
      <w:r w:rsidRPr="004B1B13">
        <w:t>Key financial measure</w:t>
      </w:r>
    </w:p>
    <w:p w:rsidR="002C39A3" w:rsidRDefault="002C39A3" w:rsidP="00361FA9">
      <w:r w:rsidRPr="004B1B13">
        <w:t>The</w:t>
      </w:r>
      <w:r w:rsidRPr="004B1B13">
        <w:rPr>
          <w:rFonts w:ascii="Helv" w:hAnsi="Helv" w:cs="Helv"/>
          <w:color w:val="000000"/>
          <w:sz w:val="20"/>
          <w:lang w:eastAsia="en-AU"/>
        </w:rPr>
        <w:t xml:space="preserve"> </w:t>
      </w:r>
      <w:r w:rsidRPr="004B1B13">
        <w:t xml:space="preserve">Government expects to achieve a net operating surplus (net result from transactions) consistent with maintaining general government net debt at a sustainable level over the medium term, as set out in Budget Paper No. 2, Chapter 1 </w:t>
      </w:r>
      <w:r w:rsidRPr="004B1B13">
        <w:rPr>
          <w:i/>
          <w:iCs/>
        </w:rPr>
        <w:t>Economic and Fiscal Overview</w:t>
      </w:r>
      <w:r w:rsidRPr="004B1B13">
        <w:t>.</w:t>
      </w:r>
    </w:p>
    <w:p w:rsidR="002C39A3" w:rsidRDefault="002C39A3" w:rsidP="00361FA9">
      <w:pPr>
        <w:autoSpaceDE w:val="0"/>
        <w:autoSpaceDN w:val="0"/>
        <w:adjustRightInd w:val="0"/>
        <w:rPr>
          <w:rFonts w:cs="Garamond"/>
          <w:color w:val="000000"/>
          <w:szCs w:val="22"/>
          <w:lang w:eastAsia="en-AU"/>
        </w:rPr>
      </w:pPr>
      <w:r>
        <w:rPr>
          <w:rFonts w:cs="Garamond"/>
          <w:color w:val="000000"/>
          <w:szCs w:val="22"/>
          <w:lang w:eastAsia="en-AU"/>
        </w:rPr>
        <w:t xml:space="preserve">For the </w:t>
      </w:r>
      <w:r>
        <w:rPr>
          <w:rFonts w:cs="Garamond"/>
          <w:i/>
          <w:iCs/>
          <w:color w:val="000000"/>
          <w:szCs w:val="22"/>
          <w:lang w:eastAsia="en-AU"/>
        </w:rPr>
        <w:t>2016-17 Budget</w:t>
      </w:r>
      <w:r>
        <w:rPr>
          <w:rFonts w:cs="Garamond"/>
          <w:color w:val="000000"/>
          <w:szCs w:val="22"/>
          <w:lang w:eastAsia="en-AU"/>
        </w:rPr>
        <w:t>, the Government has set its sustainability objective as:</w:t>
      </w:r>
    </w:p>
    <w:p w:rsidR="002C39A3" w:rsidRDefault="002C39A3" w:rsidP="00361FA9">
      <w:pPr>
        <w:pStyle w:val="BulletText"/>
      </w:pPr>
      <w:r>
        <w:t>net operating surpluses in each year over the budget and forward estimates;</w:t>
      </w:r>
    </w:p>
    <w:p w:rsidR="002C39A3" w:rsidRDefault="002C39A3" w:rsidP="00361FA9">
      <w:pPr>
        <w:pStyle w:val="BulletText"/>
      </w:pPr>
      <w:r>
        <w:t>expenditure growth no greater than revenue growth, on average, over the budget and forward estimates; and</w:t>
      </w:r>
    </w:p>
    <w:p w:rsidR="002C39A3" w:rsidRDefault="002C39A3" w:rsidP="00361FA9">
      <w:pPr>
        <w:pStyle w:val="BulletText"/>
      </w:pPr>
      <w:r w:rsidRPr="002E6878">
        <w:t xml:space="preserve">net debt </w:t>
      </w:r>
      <w:r>
        <w:t>to</w:t>
      </w:r>
      <w:r w:rsidRPr="002E6878">
        <w:t xml:space="preserve"> GSP </w:t>
      </w:r>
      <w:r>
        <w:t xml:space="preserve">no greater than its peak over the last five years by the end of the forward </w:t>
      </w:r>
      <w:r w:rsidRPr="00901DAF">
        <w:t>estimates.</w:t>
      </w:r>
    </w:p>
    <w:p w:rsidR="002C39A3" w:rsidRPr="002E6878" w:rsidRDefault="002C39A3" w:rsidP="00361FA9">
      <w:pPr>
        <w:pStyle w:val="Heading2NotesContd"/>
        <w:spacing w:after="80"/>
        <w:ind w:left="1151" w:hanging="1151"/>
      </w:pPr>
      <w:r>
        <w:t>Note 1:</w:t>
      </w:r>
      <w:r>
        <w:tab/>
        <w:t xml:space="preserve">Statement of significant accounting policies and forecast assumptions </w:t>
      </w:r>
      <w:r w:rsidRPr="006B49DE">
        <w:rPr>
          <w:i/>
        </w:rPr>
        <w:t>(continued)</w:t>
      </w:r>
    </w:p>
    <w:p w:rsidR="002C39A3" w:rsidRPr="0040125C" w:rsidRDefault="002C39A3" w:rsidP="00361FA9">
      <w:pPr>
        <w:pStyle w:val="Heading3Numbering"/>
        <w:tabs>
          <w:tab w:val="num" w:pos="720"/>
        </w:tabs>
        <w:spacing w:before="200"/>
        <w:ind w:left="720" w:hanging="720"/>
      </w:pPr>
      <w:r w:rsidRPr="0040125C">
        <w:t>Material economic and other assumptions</w:t>
      </w:r>
    </w:p>
    <w:p w:rsidR="002C39A3" w:rsidRPr="0040125C" w:rsidRDefault="002C39A3" w:rsidP="00361FA9">
      <w:r w:rsidRPr="0040125C">
        <w:t xml:space="preserve">The Estimated Financial Statements have been prepared using the material economic and other assumptions listed below. </w:t>
      </w:r>
    </w:p>
    <w:p w:rsidR="002C39A3" w:rsidRPr="0040125C" w:rsidRDefault="002C39A3" w:rsidP="00361FA9">
      <w:pPr>
        <w:pStyle w:val="Tableheading"/>
        <w:spacing w:before="200"/>
        <w:rPr>
          <w:sz w:val="20"/>
          <w:vertAlign w:val="superscript"/>
        </w:rPr>
      </w:pPr>
      <w:r w:rsidRPr="00671652">
        <w:t>Key economic assumptions</w:t>
      </w:r>
      <w:r>
        <w:t xml:space="preserve"> </w:t>
      </w:r>
      <w:r w:rsidRPr="00671652">
        <w:rPr>
          <w:sz w:val="20"/>
          <w:vertAlign w:val="superscript"/>
        </w:rPr>
        <w:t>(a)</w:t>
      </w:r>
    </w:p>
    <w:tbl>
      <w:tblPr>
        <w:tblW w:w="7760" w:type="dxa"/>
        <w:tblInd w:w="29" w:type="dxa"/>
        <w:tblLayout w:type="fixed"/>
        <w:tblCellMar>
          <w:left w:w="43" w:type="dxa"/>
          <w:right w:w="43" w:type="dxa"/>
        </w:tblCellMar>
        <w:tblLook w:val="00A0" w:firstRow="1" w:lastRow="0" w:firstColumn="1" w:lastColumn="0" w:noHBand="0" w:noVBand="0"/>
      </w:tblPr>
      <w:tblGrid>
        <w:gridCol w:w="2788"/>
        <w:gridCol w:w="993"/>
        <w:gridCol w:w="994"/>
        <w:gridCol w:w="994"/>
        <w:gridCol w:w="994"/>
        <w:gridCol w:w="997"/>
      </w:tblGrid>
      <w:tr w:rsidR="002C39A3" w:rsidRPr="0021755A" w:rsidTr="00361FA9">
        <w:trPr>
          <w:cantSplit/>
          <w:trHeight w:val="503"/>
          <w:tblHeader/>
        </w:trPr>
        <w:tc>
          <w:tcPr>
            <w:tcW w:w="2788" w:type="dxa"/>
            <w:tcBorders>
              <w:top w:val="single" w:sz="6" w:space="0" w:color="000000"/>
              <w:left w:val="single" w:sz="6" w:space="0" w:color="000000"/>
            </w:tcBorders>
            <w:shd w:val="clear" w:color="auto" w:fill="000000"/>
          </w:tcPr>
          <w:p w:rsidR="002C39A3" w:rsidRPr="0021755A" w:rsidRDefault="002C39A3" w:rsidP="00361FA9">
            <w:pPr>
              <w:pStyle w:val="Tabletext"/>
              <w:ind w:left="0" w:firstLine="0"/>
              <w:rPr>
                <w:lang w:eastAsia="en-AU"/>
              </w:rPr>
            </w:pPr>
          </w:p>
        </w:tc>
        <w:tc>
          <w:tcPr>
            <w:tcW w:w="993" w:type="dxa"/>
            <w:tcBorders>
              <w:top w:val="single" w:sz="6" w:space="0" w:color="000000"/>
            </w:tcBorders>
            <w:shd w:val="clear" w:color="auto" w:fill="000000"/>
          </w:tcPr>
          <w:p w:rsidR="002C39A3" w:rsidRPr="0021755A" w:rsidRDefault="002C39A3" w:rsidP="00361FA9">
            <w:pPr>
              <w:pStyle w:val="Tabletextheading"/>
              <w:rPr>
                <w:rFonts w:cs="Calibri"/>
                <w:iCs/>
                <w:color w:val="FFFFFF"/>
                <w:lang w:eastAsia="en-AU"/>
              </w:rPr>
            </w:pPr>
            <w:r w:rsidRPr="0021755A">
              <w:rPr>
                <w:rFonts w:cs="Calibri"/>
                <w:iCs/>
                <w:color w:val="FFFFFF"/>
                <w:lang w:eastAsia="en-AU"/>
              </w:rPr>
              <w:t>201</w:t>
            </w:r>
            <w:r>
              <w:rPr>
                <w:rFonts w:cs="Calibri"/>
                <w:iCs/>
                <w:color w:val="FFFFFF"/>
                <w:lang w:eastAsia="en-AU"/>
              </w:rPr>
              <w:t>5</w:t>
            </w:r>
            <w:r w:rsidRPr="0021755A">
              <w:rPr>
                <w:rFonts w:cs="Calibri"/>
                <w:iCs/>
                <w:color w:val="FFFFFF"/>
                <w:lang w:eastAsia="en-AU"/>
              </w:rPr>
              <w:t>-1</w:t>
            </w:r>
            <w:r>
              <w:rPr>
                <w:rFonts w:cs="Calibri"/>
                <w:iCs/>
                <w:color w:val="FFFFFF"/>
                <w:lang w:eastAsia="en-AU"/>
              </w:rPr>
              <w:t xml:space="preserve">6 </w:t>
            </w:r>
            <w:r w:rsidRPr="0021755A">
              <w:rPr>
                <w:rFonts w:cs="Calibri"/>
                <w:iCs/>
                <w:color w:val="FFFFFF"/>
                <w:lang w:eastAsia="en-AU"/>
              </w:rPr>
              <w:t>forecast</w:t>
            </w:r>
          </w:p>
        </w:tc>
        <w:tc>
          <w:tcPr>
            <w:tcW w:w="994" w:type="dxa"/>
            <w:tcBorders>
              <w:top w:val="single" w:sz="6" w:space="0" w:color="000000"/>
            </w:tcBorders>
            <w:shd w:val="clear" w:color="auto" w:fill="000000"/>
          </w:tcPr>
          <w:p w:rsidR="002C39A3" w:rsidRPr="0021755A" w:rsidRDefault="002C39A3" w:rsidP="00361FA9">
            <w:pPr>
              <w:pStyle w:val="Tabletextheading"/>
              <w:rPr>
                <w:rFonts w:cs="Calibri"/>
                <w:iCs/>
                <w:color w:val="FFFFFF"/>
                <w:lang w:eastAsia="en-AU"/>
              </w:rPr>
            </w:pPr>
            <w:r w:rsidRPr="0021755A">
              <w:rPr>
                <w:rFonts w:cs="Calibri"/>
                <w:iCs/>
                <w:color w:val="FFFFFF"/>
                <w:lang w:eastAsia="en-AU"/>
              </w:rPr>
              <w:t>201</w:t>
            </w:r>
            <w:r>
              <w:rPr>
                <w:rFonts w:cs="Calibri"/>
                <w:iCs/>
                <w:color w:val="FFFFFF"/>
                <w:lang w:eastAsia="en-AU"/>
              </w:rPr>
              <w:t>6</w:t>
            </w:r>
            <w:r w:rsidRPr="0021755A">
              <w:rPr>
                <w:rFonts w:cs="Calibri"/>
                <w:iCs/>
                <w:color w:val="FFFFFF"/>
                <w:lang w:eastAsia="en-AU"/>
              </w:rPr>
              <w:t>-1</w:t>
            </w:r>
            <w:r>
              <w:rPr>
                <w:rFonts w:cs="Calibri"/>
                <w:iCs/>
                <w:color w:val="FFFFFF"/>
                <w:lang w:eastAsia="en-AU"/>
              </w:rPr>
              <w:t xml:space="preserve">7 </w:t>
            </w:r>
            <w:r w:rsidRPr="0021755A">
              <w:rPr>
                <w:rFonts w:cs="Calibri"/>
                <w:iCs/>
                <w:color w:val="FFFFFF"/>
                <w:lang w:eastAsia="en-AU"/>
              </w:rPr>
              <w:t>forecast</w:t>
            </w:r>
          </w:p>
        </w:tc>
        <w:tc>
          <w:tcPr>
            <w:tcW w:w="994" w:type="dxa"/>
            <w:tcBorders>
              <w:top w:val="single" w:sz="6" w:space="0" w:color="000000"/>
            </w:tcBorders>
            <w:shd w:val="clear" w:color="auto" w:fill="000000"/>
          </w:tcPr>
          <w:p w:rsidR="002C39A3" w:rsidRPr="0021755A" w:rsidRDefault="002C39A3" w:rsidP="00361FA9">
            <w:pPr>
              <w:pStyle w:val="Tabletextheading"/>
              <w:rPr>
                <w:rFonts w:cs="Calibri"/>
                <w:iCs/>
                <w:color w:val="FFFFFF"/>
                <w:lang w:eastAsia="en-AU"/>
              </w:rPr>
            </w:pPr>
            <w:r w:rsidRPr="0021755A">
              <w:rPr>
                <w:rFonts w:cs="Calibri"/>
                <w:iCs/>
                <w:color w:val="FFFFFF"/>
                <w:lang w:eastAsia="en-AU"/>
              </w:rPr>
              <w:t>201</w:t>
            </w:r>
            <w:r>
              <w:rPr>
                <w:rFonts w:cs="Calibri"/>
                <w:iCs/>
                <w:color w:val="FFFFFF"/>
                <w:lang w:eastAsia="en-AU"/>
              </w:rPr>
              <w:t>7</w:t>
            </w:r>
            <w:r w:rsidRPr="0021755A">
              <w:rPr>
                <w:rFonts w:cs="Calibri"/>
                <w:iCs/>
                <w:color w:val="FFFFFF"/>
                <w:lang w:eastAsia="en-AU"/>
              </w:rPr>
              <w:t>-1</w:t>
            </w:r>
            <w:r>
              <w:rPr>
                <w:rFonts w:cs="Calibri"/>
                <w:iCs/>
                <w:color w:val="FFFFFF"/>
                <w:lang w:eastAsia="en-AU"/>
              </w:rPr>
              <w:t xml:space="preserve">8 </w:t>
            </w:r>
            <w:r w:rsidRPr="0021755A">
              <w:rPr>
                <w:rFonts w:cs="Calibri"/>
                <w:iCs/>
                <w:color w:val="FFFFFF"/>
                <w:lang w:eastAsia="en-AU"/>
              </w:rPr>
              <w:t>forecast</w:t>
            </w:r>
          </w:p>
        </w:tc>
        <w:tc>
          <w:tcPr>
            <w:tcW w:w="994" w:type="dxa"/>
            <w:tcBorders>
              <w:top w:val="single" w:sz="6" w:space="0" w:color="000000"/>
            </w:tcBorders>
            <w:shd w:val="clear" w:color="auto" w:fill="000000"/>
          </w:tcPr>
          <w:p w:rsidR="002C39A3" w:rsidRPr="0021755A" w:rsidRDefault="002C39A3" w:rsidP="00361FA9">
            <w:pPr>
              <w:pStyle w:val="Tabletextheading"/>
              <w:rPr>
                <w:rFonts w:cs="Calibri"/>
                <w:iCs/>
                <w:color w:val="FFFFFF"/>
                <w:lang w:eastAsia="en-AU"/>
              </w:rPr>
            </w:pPr>
            <w:r w:rsidRPr="0021755A">
              <w:rPr>
                <w:rFonts w:cs="Calibri"/>
                <w:iCs/>
                <w:color w:val="FFFFFF"/>
                <w:lang w:eastAsia="en-AU"/>
              </w:rPr>
              <w:t>201</w:t>
            </w:r>
            <w:r>
              <w:rPr>
                <w:rFonts w:cs="Calibri"/>
                <w:iCs/>
                <w:color w:val="FFFFFF"/>
                <w:lang w:eastAsia="en-AU"/>
              </w:rPr>
              <w:t>8</w:t>
            </w:r>
            <w:r w:rsidRPr="0021755A">
              <w:rPr>
                <w:rFonts w:cs="Calibri"/>
                <w:iCs/>
                <w:color w:val="FFFFFF"/>
                <w:lang w:eastAsia="en-AU"/>
              </w:rPr>
              <w:t>-1</w:t>
            </w:r>
            <w:r>
              <w:rPr>
                <w:rFonts w:cs="Calibri"/>
                <w:iCs/>
                <w:color w:val="FFFFFF"/>
                <w:lang w:eastAsia="en-AU"/>
              </w:rPr>
              <w:t xml:space="preserve">9 </w:t>
            </w:r>
            <w:r w:rsidRPr="0021755A">
              <w:rPr>
                <w:rFonts w:cs="Calibri"/>
                <w:iCs/>
                <w:color w:val="FFFFFF"/>
                <w:lang w:eastAsia="en-AU"/>
              </w:rPr>
              <w:t>projection</w:t>
            </w:r>
          </w:p>
        </w:tc>
        <w:tc>
          <w:tcPr>
            <w:tcW w:w="997" w:type="dxa"/>
            <w:tcBorders>
              <w:top w:val="single" w:sz="6" w:space="0" w:color="000000"/>
              <w:right w:val="single" w:sz="6" w:space="0" w:color="000000"/>
            </w:tcBorders>
            <w:shd w:val="clear" w:color="auto" w:fill="000000"/>
          </w:tcPr>
          <w:p w:rsidR="002C39A3" w:rsidRPr="0021755A" w:rsidRDefault="002C39A3" w:rsidP="00361FA9">
            <w:pPr>
              <w:pStyle w:val="Tabletextheading"/>
              <w:rPr>
                <w:rFonts w:cs="Calibri"/>
                <w:iCs/>
                <w:color w:val="FFFFFF"/>
                <w:lang w:eastAsia="en-AU"/>
              </w:rPr>
            </w:pPr>
            <w:r w:rsidRPr="0021755A">
              <w:rPr>
                <w:rFonts w:cs="Calibri"/>
                <w:iCs/>
                <w:color w:val="FFFFFF"/>
                <w:lang w:eastAsia="en-AU"/>
              </w:rPr>
              <w:t>201</w:t>
            </w:r>
            <w:r>
              <w:rPr>
                <w:rFonts w:cs="Calibri"/>
                <w:iCs/>
                <w:color w:val="FFFFFF"/>
                <w:lang w:eastAsia="en-AU"/>
              </w:rPr>
              <w:t>9</w:t>
            </w:r>
            <w:r w:rsidRPr="0021755A">
              <w:rPr>
                <w:rFonts w:cs="Calibri"/>
                <w:iCs/>
                <w:color w:val="FFFFFF"/>
                <w:lang w:eastAsia="en-AU"/>
              </w:rPr>
              <w:t>-</w:t>
            </w:r>
            <w:r>
              <w:rPr>
                <w:rFonts w:cs="Calibri"/>
                <w:iCs/>
                <w:color w:val="FFFFFF"/>
                <w:lang w:eastAsia="en-AU"/>
              </w:rPr>
              <w:t xml:space="preserve">20 </w:t>
            </w:r>
            <w:r w:rsidRPr="0021755A">
              <w:rPr>
                <w:rFonts w:cs="Calibri"/>
                <w:iCs/>
                <w:color w:val="FFFFFF"/>
                <w:lang w:eastAsia="en-AU"/>
              </w:rPr>
              <w:t>projection</w:t>
            </w:r>
          </w:p>
        </w:tc>
      </w:tr>
      <w:tr w:rsidR="002C39A3" w:rsidRPr="0021755A" w:rsidTr="00361FA9">
        <w:trPr>
          <w:cantSplit/>
        </w:trPr>
        <w:tc>
          <w:tcPr>
            <w:tcW w:w="2788" w:type="dxa"/>
            <w:tcBorders>
              <w:top w:val="single" w:sz="6" w:space="0" w:color="000000"/>
            </w:tcBorders>
          </w:tcPr>
          <w:p w:rsidR="002C39A3" w:rsidRPr="0021755A" w:rsidRDefault="002C39A3" w:rsidP="00361FA9">
            <w:pPr>
              <w:pStyle w:val="TableofFigures"/>
              <w:rPr>
                <w:rFonts w:cs="Calibri"/>
                <w:i/>
                <w:iCs/>
                <w:lang w:eastAsia="en-AU"/>
              </w:rPr>
            </w:pPr>
          </w:p>
        </w:tc>
        <w:tc>
          <w:tcPr>
            <w:tcW w:w="4972" w:type="dxa"/>
            <w:gridSpan w:val="5"/>
            <w:tcBorders>
              <w:top w:val="single" w:sz="6" w:space="0" w:color="000000"/>
            </w:tcBorders>
          </w:tcPr>
          <w:p w:rsidR="002C39A3" w:rsidRPr="0021755A" w:rsidRDefault="002C39A3" w:rsidP="00361FA9">
            <w:pPr>
              <w:pStyle w:val="TableofFigures"/>
              <w:jc w:val="center"/>
              <w:rPr>
                <w:rFonts w:cs="Calibri"/>
                <w:i/>
                <w:iCs/>
                <w:lang w:eastAsia="en-AU"/>
              </w:rPr>
            </w:pPr>
            <w:r w:rsidRPr="0021755A">
              <w:rPr>
                <w:rFonts w:cs="Calibri"/>
                <w:i/>
                <w:iCs/>
                <w:lang w:eastAsia="en-AU"/>
              </w:rPr>
              <w:t>($ billion)</w:t>
            </w:r>
          </w:p>
        </w:tc>
      </w:tr>
      <w:tr w:rsidR="002C39A3" w:rsidRPr="0021755A" w:rsidTr="00361FA9">
        <w:trPr>
          <w:cantSplit/>
        </w:trPr>
        <w:tc>
          <w:tcPr>
            <w:tcW w:w="2788" w:type="dxa"/>
          </w:tcPr>
          <w:p w:rsidR="002C39A3" w:rsidRPr="0021755A" w:rsidRDefault="002C39A3" w:rsidP="00361FA9">
            <w:pPr>
              <w:pStyle w:val="Tabletext"/>
              <w:rPr>
                <w:rFonts w:cs="Calibri"/>
                <w:lang w:eastAsia="en-AU"/>
              </w:rPr>
            </w:pPr>
            <w:r w:rsidRPr="0021755A">
              <w:rPr>
                <w:rFonts w:cs="Calibri"/>
                <w:lang w:eastAsia="en-AU"/>
              </w:rPr>
              <w:t>Nominal gross state product</w:t>
            </w:r>
          </w:p>
        </w:tc>
        <w:tc>
          <w:tcPr>
            <w:tcW w:w="993" w:type="dxa"/>
          </w:tcPr>
          <w:p w:rsidR="002C39A3" w:rsidRPr="000F3700" w:rsidRDefault="002C39A3" w:rsidP="00361FA9">
            <w:pPr>
              <w:pStyle w:val="TableofFigures"/>
            </w:pPr>
            <w:r w:rsidRPr="000F3700">
              <w:t>379.0</w:t>
            </w:r>
          </w:p>
        </w:tc>
        <w:tc>
          <w:tcPr>
            <w:tcW w:w="994" w:type="dxa"/>
          </w:tcPr>
          <w:p w:rsidR="002C39A3" w:rsidRPr="000F3700" w:rsidRDefault="002C39A3" w:rsidP="00361FA9">
            <w:pPr>
              <w:pStyle w:val="TableofFigures"/>
            </w:pPr>
            <w:r w:rsidRPr="000F3700">
              <w:t>399.1</w:t>
            </w:r>
          </w:p>
        </w:tc>
        <w:tc>
          <w:tcPr>
            <w:tcW w:w="994" w:type="dxa"/>
          </w:tcPr>
          <w:p w:rsidR="002C39A3" w:rsidRPr="000F3700" w:rsidRDefault="002C39A3" w:rsidP="00361FA9">
            <w:pPr>
              <w:pStyle w:val="TableofFigures"/>
            </w:pPr>
            <w:r w:rsidRPr="000F3700">
              <w:t>419.7</w:t>
            </w:r>
          </w:p>
        </w:tc>
        <w:tc>
          <w:tcPr>
            <w:tcW w:w="994" w:type="dxa"/>
          </w:tcPr>
          <w:p w:rsidR="002C39A3" w:rsidRPr="000F3700" w:rsidRDefault="002C39A3" w:rsidP="00361FA9">
            <w:pPr>
              <w:pStyle w:val="TableofFigures"/>
            </w:pPr>
            <w:r w:rsidRPr="000F3700">
              <w:t>441.5</w:t>
            </w:r>
          </w:p>
        </w:tc>
        <w:tc>
          <w:tcPr>
            <w:tcW w:w="997" w:type="dxa"/>
          </w:tcPr>
          <w:p w:rsidR="002C39A3" w:rsidRPr="000F3700" w:rsidRDefault="002C39A3" w:rsidP="00361FA9">
            <w:pPr>
              <w:pStyle w:val="TableofFigures"/>
            </w:pPr>
            <w:r w:rsidRPr="000F3700">
              <w:t>464.6</w:t>
            </w:r>
          </w:p>
        </w:tc>
      </w:tr>
      <w:tr w:rsidR="002C39A3" w:rsidRPr="0021755A" w:rsidTr="00361FA9">
        <w:trPr>
          <w:cantSplit/>
        </w:trPr>
        <w:tc>
          <w:tcPr>
            <w:tcW w:w="2788" w:type="dxa"/>
          </w:tcPr>
          <w:p w:rsidR="002C39A3" w:rsidRPr="0021755A" w:rsidRDefault="002C39A3" w:rsidP="00361FA9">
            <w:pPr>
              <w:pStyle w:val="Tabletext"/>
              <w:rPr>
                <w:rFonts w:cs="Calibri"/>
                <w:i/>
                <w:iCs/>
                <w:vertAlign w:val="superscript"/>
                <w:lang w:eastAsia="en-AU"/>
              </w:rPr>
            </w:pPr>
          </w:p>
        </w:tc>
        <w:tc>
          <w:tcPr>
            <w:tcW w:w="4972" w:type="dxa"/>
            <w:gridSpan w:val="5"/>
          </w:tcPr>
          <w:p w:rsidR="002C39A3" w:rsidRPr="0021755A" w:rsidRDefault="002C39A3" w:rsidP="00361FA9">
            <w:pPr>
              <w:pStyle w:val="TableofFigures"/>
              <w:jc w:val="center"/>
              <w:rPr>
                <w:rFonts w:cs="Calibri"/>
                <w:i/>
                <w:iCs/>
                <w:vertAlign w:val="superscript"/>
                <w:lang w:eastAsia="en-AU"/>
              </w:rPr>
            </w:pPr>
            <w:r w:rsidRPr="0021755A">
              <w:rPr>
                <w:rFonts w:cs="Calibri"/>
                <w:i/>
                <w:iCs/>
                <w:lang w:eastAsia="en-AU"/>
              </w:rPr>
              <w:t>(percentage change)</w:t>
            </w:r>
            <w:r>
              <w:rPr>
                <w:rFonts w:cs="Calibri"/>
                <w:i/>
                <w:iCs/>
                <w:lang w:eastAsia="en-AU"/>
              </w:rPr>
              <w:t xml:space="preserve"> </w:t>
            </w:r>
            <w:r w:rsidRPr="0021755A">
              <w:rPr>
                <w:rFonts w:cs="Calibri"/>
                <w:i/>
                <w:iCs/>
                <w:vertAlign w:val="superscript"/>
                <w:lang w:eastAsia="en-AU"/>
              </w:rPr>
              <w:t>(b)</w:t>
            </w:r>
          </w:p>
        </w:tc>
      </w:tr>
      <w:tr w:rsidR="002C39A3" w:rsidRPr="0021755A" w:rsidTr="00361FA9">
        <w:trPr>
          <w:cantSplit/>
        </w:trPr>
        <w:tc>
          <w:tcPr>
            <w:tcW w:w="2788" w:type="dxa"/>
          </w:tcPr>
          <w:p w:rsidR="002C39A3" w:rsidRPr="0021755A" w:rsidRDefault="002C39A3" w:rsidP="00361FA9">
            <w:pPr>
              <w:pStyle w:val="Tabletext"/>
              <w:rPr>
                <w:rFonts w:cs="Calibri"/>
                <w:lang w:eastAsia="en-AU"/>
              </w:rPr>
            </w:pPr>
            <w:r w:rsidRPr="0021755A">
              <w:rPr>
                <w:rFonts w:cs="Calibri"/>
                <w:lang w:eastAsia="en-AU"/>
              </w:rPr>
              <w:t>Real gross state product</w:t>
            </w:r>
          </w:p>
        </w:tc>
        <w:tc>
          <w:tcPr>
            <w:tcW w:w="993" w:type="dxa"/>
          </w:tcPr>
          <w:p w:rsidR="002C39A3" w:rsidRPr="0021755A" w:rsidRDefault="002C39A3" w:rsidP="00361FA9">
            <w:pPr>
              <w:pStyle w:val="TableofFigures"/>
              <w:rPr>
                <w:rFonts w:cs="Calibri"/>
                <w:lang w:eastAsia="en-AU"/>
              </w:rPr>
            </w:pPr>
            <w:r>
              <w:rPr>
                <w:rFonts w:cs="Calibri"/>
                <w:lang w:eastAsia="en-AU"/>
              </w:rPr>
              <w:t>3.00</w:t>
            </w:r>
          </w:p>
        </w:tc>
        <w:tc>
          <w:tcPr>
            <w:tcW w:w="994" w:type="dxa"/>
          </w:tcPr>
          <w:p w:rsidR="002C39A3" w:rsidRPr="0021755A" w:rsidRDefault="002C39A3" w:rsidP="00361FA9">
            <w:pPr>
              <w:pStyle w:val="TableofFigures"/>
              <w:rPr>
                <w:rFonts w:cs="Calibri"/>
                <w:lang w:eastAsia="en-AU"/>
              </w:rPr>
            </w:pPr>
            <w:r>
              <w:rPr>
                <w:rFonts w:cs="Calibri"/>
                <w:lang w:eastAsia="en-AU"/>
              </w:rPr>
              <w:t>3.00</w:t>
            </w:r>
          </w:p>
        </w:tc>
        <w:tc>
          <w:tcPr>
            <w:tcW w:w="994" w:type="dxa"/>
          </w:tcPr>
          <w:p w:rsidR="002C39A3" w:rsidRPr="0021755A" w:rsidRDefault="002C39A3" w:rsidP="00361FA9">
            <w:pPr>
              <w:pStyle w:val="TableofFigures"/>
              <w:rPr>
                <w:rFonts w:cs="Calibri"/>
                <w:lang w:eastAsia="en-AU"/>
              </w:rPr>
            </w:pPr>
            <w:r>
              <w:rPr>
                <w:rFonts w:cs="Calibri"/>
                <w:lang w:eastAsia="en-AU"/>
              </w:rPr>
              <w:t>2.75</w:t>
            </w:r>
          </w:p>
        </w:tc>
        <w:tc>
          <w:tcPr>
            <w:tcW w:w="994" w:type="dxa"/>
          </w:tcPr>
          <w:p w:rsidR="002C39A3" w:rsidRPr="0021755A" w:rsidRDefault="002C39A3" w:rsidP="00361FA9">
            <w:pPr>
              <w:pStyle w:val="TableofFigures"/>
              <w:rPr>
                <w:rFonts w:cs="Calibri"/>
                <w:lang w:eastAsia="en-AU"/>
              </w:rPr>
            </w:pPr>
            <w:r>
              <w:rPr>
                <w:rFonts w:cs="Calibri"/>
                <w:lang w:eastAsia="en-AU"/>
              </w:rPr>
              <w:t>2.75</w:t>
            </w:r>
          </w:p>
        </w:tc>
        <w:tc>
          <w:tcPr>
            <w:tcW w:w="997" w:type="dxa"/>
          </w:tcPr>
          <w:p w:rsidR="002C39A3" w:rsidRPr="0021755A" w:rsidRDefault="002C39A3" w:rsidP="00361FA9">
            <w:pPr>
              <w:pStyle w:val="TableofFigures"/>
              <w:rPr>
                <w:rFonts w:cs="Calibri"/>
                <w:lang w:eastAsia="en-AU"/>
              </w:rPr>
            </w:pPr>
            <w:r>
              <w:rPr>
                <w:rFonts w:cs="Calibri"/>
                <w:lang w:eastAsia="en-AU"/>
              </w:rPr>
              <w:t>2.75</w:t>
            </w:r>
          </w:p>
        </w:tc>
      </w:tr>
      <w:tr w:rsidR="002C39A3" w:rsidRPr="0021755A" w:rsidTr="00361FA9">
        <w:trPr>
          <w:cantSplit/>
        </w:trPr>
        <w:tc>
          <w:tcPr>
            <w:tcW w:w="2788" w:type="dxa"/>
          </w:tcPr>
          <w:p w:rsidR="002C39A3" w:rsidRPr="0021755A" w:rsidRDefault="002C39A3" w:rsidP="00361FA9">
            <w:pPr>
              <w:pStyle w:val="Tabletext"/>
              <w:rPr>
                <w:rFonts w:cs="Calibri"/>
                <w:lang w:eastAsia="en-AU"/>
              </w:rPr>
            </w:pPr>
            <w:r w:rsidRPr="0021755A">
              <w:rPr>
                <w:rFonts w:cs="Calibri"/>
                <w:lang w:eastAsia="en-AU"/>
              </w:rPr>
              <w:t>Employment</w:t>
            </w:r>
          </w:p>
        </w:tc>
        <w:tc>
          <w:tcPr>
            <w:tcW w:w="993" w:type="dxa"/>
          </w:tcPr>
          <w:p w:rsidR="002C39A3" w:rsidRPr="0021755A" w:rsidRDefault="002C39A3" w:rsidP="00361FA9">
            <w:pPr>
              <w:pStyle w:val="TableofFigures"/>
              <w:rPr>
                <w:rFonts w:cs="Calibri"/>
                <w:lang w:eastAsia="en-AU"/>
              </w:rPr>
            </w:pPr>
            <w:r>
              <w:rPr>
                <w:rFonts w:cs="Calibri"/>
                <w:lang w:eastAsia="en-AU"/>
              </w:rPr>
              <w:t>2.00</w:t>
            </w:r>
          </w:p>
        </w:tc>
        <w:tc>
          <w:tcPr>
            <w:tcW w:w="994" w:type="dxa"/>
          </w:tcPr>
          <w:p w:rsidR="002C39A3" w:rsidRPr="0021755A" w:rsidRDefault="002C39A3" w:rsidP="00361FA9">
            <w:pPr>
              <w:pStyle w:val="TableofFigures"/>
              <w:rPr>
                <w:rFonts w:cs="Calibri"/>
                <w:lang w:eastAsia="en-AU"/>
              </w:rPr>
            </w:pPr>
            <w:r>
              <w:rPr>
                <w:rFonts w:cs="Calibri"/>
                <w:lang w:eastAsia="en-AU"/>
              </w:rPr>
              <w:t>1.75</w:t>
            </w:r>
          </w:p>
        </w:tc>
        <w:tc>
          <w:tcPr>
            <w:tcW w:w="994" w:type="dxa"/>
          </w:tcPr>
          <w:p w:rsidR="002C39A3" w:rsidRPr="0021755A" w:rsidRDefault="002C39A3" w:rsidP="00361FA9">
            <w:pPr>
              <w:pStyle w:val="TableofFigures"/>
              <w:rPr>
                <w:rFonts w:cs="Calibri"/>
                <w:lang w:eastAsia="en-AU"/>
              </w:rPr>
            </w:pPr>
            <w:r>
              <w:rPr>
                <w:rFonts w:cs="Calibri"/>
                <w:lang w:eastAsia="en-AU"/>
              </w:rPr>
              <w:t>1.50</w:t>
            </w:r>
          </w:p>
        </w:tc>
        <w:tc>
          <w:tcPr>
            <w:tcW w:w="994" w:type="dxa"/>
          </w:tcPr>
          <w:p w:rsidR="002C39A3" w:rsidRPr="0021755A" w:rsidRDefault="002C39A3" w:rsidP="00361FA9">
            <w:pPr>
              <w:pStyle w:val="TableofFigures"/>
              <w:rPr>
                <w:rFonts w:cs="Calibri"/>
                <w:lang w:eastAsia="en-AU"/>
              </w:rPr>
            </w:pPr>
            <w:r>
              <w:rPr>
                <w:rFonts w:cs="Calibri"/>
                <w:lang w:eastAsia="en-AU"/>
              </w:rPr>
              <w:t>1.50</w:t>
            </w:r>
          </w:p>
        </w:tc>
        <w:tc>
          <w:tcPr>
            <w:tcW w:w="997" w:type="dxa"/>
          </w:tcPr>
          <w:p w:rsidR="002C39A3" w:rsidRPr="0021755A" w:rsidRDefault="002C39A3" w:rsidP="00361FA9">
            <w:pPr>
              <w:pStyle w:val="TableofFigures"/>
              <w:rPr>
                <w:rFonts w:cs="Calibri"/>
                <w:lang w:eastAsia="en-AU"/>
              </w:rPr>
            </w:pPr>
            <w:r>
              <w:rPr>
                <w:rFonts w:cs="Calibri"/>
                <w:lang w:eastAsia="en-AU"/>
              </w:rPr>
              <w:t>1.50</w:t>
            </w:r>
          </w:p>
        </w:tc>
      </w:tr>
      <w:tr w:rsidR="002C39A3" w:rsidRPr="0021755A" w:rsidTr="00361FA9">
        <w:trPr>
          <w:cantSplit/>
        </w:trPr>
        <w:tc>
          <w:tcPr>
            <w:tcW w:w="2788" w:type="dxa"/>
          </w:tcPr>
          <w:p w:rsidR="002C39A3" w:rsidRPr="0021755A" w:rsidRDefault="002C39A3" w:rsidP="00361FA9">
            <w:pPr>
              <w:pStyle w:val="Tabletext"/>
              <w:rPr>
                <w:rFonts w:cs="Calibri"/>
                <w:lang w:eastAsia="en-AU"/>
              </w:rPr>
            </w:pPr>
            <w:r w:rsidRPr="0021755A">
              <w:rPr>
                <w:rFonts w:cs="Calibri"/>
                <w:lang w:eastAsia="en-AU"/>
              </w:rPr>
              <w:t xml:space="preserve">Unemployment rate </w:t>
            </w:r>
          </w:p>
        </w:tc>
        <w:tc>
          <w:tcPr>
            <w:tcW w:w="993" w:type="dxa"/>
          </w:tcPr>
          <w:p w:rsidR="002C39A3" w:rsidRPr="0021755A" w:rsidRDefault="002C39A3" w:rsidP="00361FA9">
            <w:pPr>
              <w:pStyle w:val="TableofFigures"/>
              <w:rPr>
                <w:rFonts w:cs="Calibri"/>
                <w:lang w:eastAsia="en-AU"/>
              </w:rPr>
            </w:pPr>
            <w:r>
              <w:rPr>
                <w:rFonts w:cs="Calibri"/>
                <w:lang w:eastAsia="en-AU"/>
              </w:rPr>
              <w:t>6.00</w:t>
            </w:r>
          </w:p>
        </w:tc>
        <w:tc>
          <w:tcPr>
            <w:tcW w:w="994" w:type="dxa"/>
          </w:tcPr>
          <w:p w:rsidR="002C39A3" w:rsidRPr="0021755A" w:rsidRDefault="002C39A3" w:rsidP="00361FA9">
            <w:pPr>
              <w:pStyle w:val="TableofFigures"/>
              <w:rPr>
                <w:rFonts w:cs="Calibri"/>
                <w:lang w:eastAsia="en-AU"/>
              </w:rPr>
            </w:pPr>
            <w:r>
              <w:rPr>
                <w:rFonts w:cs="Calibri"/>
                <w:lang w:eastAsia="en-AU"/>
              </w:rPr>
              <w:t>5.75</w:t>
            </w:r>
          </w:p>
        </w:tc>
        <w:tc>
          <w:tcPr>
            <w:tcW w:w="994" w:type="dxa"/>
          </w:tcPr>
          <w:p w:rsidR="002C39A3" w:rsidRPr="0021755A" w:rsidRDefault="002C39A3" w:rsidP="00361FA9">
            <w:pPr>
              <w:pStyle w:val="TableofFigures"/>
              <w:rPr>
                <w:rFonts w:cs="Calibri"/>
                <w:lang w:eastAsia="en-AU"/>
              </w:rPr>
            </w:pPr>
            <w:r>
              <w:rPr>
                <w:rFonts w:cs="Calibri"/>
                <w:lang w:eastAsia="en-AU"/>
              </w:rPr>
              <w:t>5.75</w:t>
            </w:r>
          </w:p>
        </w:tc>
        <w:tc>
          <w:tcPr>
            <w:tcW w:w="994" w:type="dxa"/>
          </w:tcPr>
          <w:p w:rsidR="002C39A3" w:rsidRPr="0021755A" w:rsidRDefault="002C39A3" w:rsidP="00361FA9">
            <w:pPr>
              <w:pStyle w:val="TableofFigures"/>
              <w:rPr>
                <w:rFonts w:cs="Calibri"/>
                <w:lang w:eastAsia="en-AU"/>
              </w:rPr>
            </w:pPr>
            <w:r>
              <w:rPr>
                <w:rFonts w:cs="Calibri"/>
                <w:lang w:eastAsia="en-AU"/>
              </w:rPr>
              <w:t>5.50</w:t>
            </w:r>
          </w:p>
        </w:tc>
        <w:tc>
          <w:tcPr>
            <w:tcW w:w="997" w:type="dxa"/>
          </w:tcPr>
          <w:p w:rsidR="002C39A3" w:rsidRPr="0021755A" w:rsidRDefault="002C39A3" w:rsidP="00361FA9">
            <w:pPr>
              <w:pStyle w:val="TableofFigures"/>
              <w:rPr>
                <w:rFonts w:cs="Calibri"/>
                <w:lang w:eastAsia="en-AU"/>
              </w:rPr>
            </w:pPr>
            <w:r>
              <w:rPr>
                <w:rFonts w:cs="Calibri"/>
                <w:lang w:eastAsia="en-AU"/>
              </w:rPr>
              <w:t>5.50</w:t>
            </w:r>
          </w:p>
        </w:tc>
      </w:tr>
      <w:tr w:rsidR="002C39A3" w:rsidRPr="0021755A" w:rsidTr="00361FA9">
        <w:trPr>
          <w:cantSplit/>
        </w:trPr>
        <w:tc>
          <w:tcPr>
            <w:tcW w:w="2788" w:type="dxa"/>
          </w:tcPr>
          <w:p w:rsidR="002C39A3" w:rsidRPr="0021755A" w:rsidRDefault="002C39A3" w:rsidP="00361FA9">
            <w:pPr>
              <w:pStyle w:val="Tabletext"/>
              <w:rPr>
                <w:rFonts w:cs="Calibri"/>
                <w:vertAlign w:val="superscript"/>
                <w:lang w:eastAsia="en-AU"/>
              </w:rPr>
            </w:pPr>
            <w:r w:rsidRPr="0021755A">
              <w:rPr>
                <w:rFonts w:cs="Calibri"/>
                <w:lang w:eastAsia="en-AU"/>
              </w:rPr>
              <w:t>Consumer price index</w:t>
            </w:r>
            <w:r>
              <w:rPr>
                <w:rFonts w:cs="Calibri"/>
                <w:lang w:eastAsia="en-AU"/>
              </w:rPr>
              <w:t xml:space="preserve"> </w:t>
            </w:r>
            <w:r w:rsidRPr="0021755A">
              <w:rPr>
                <w:rFonts w:cs="Calibri"/>
                <w:vertAlign w:val="superscript"/>
                <w:lang w:eastAsia="en-AU"/>
              </w:rPr>
              <w:t>(c)</w:t>
            </w:r>
          </w:p>
        </w:tc>
        <w:tc>
          <w:tcPr>
            <w:tcW w:w="993" w:type="dxa"/>
          </w:tcPr>
          <w:p w:rsidR="002C39A3" w:rsidRPr="0021755A" w:rsidRDefault="002C39A3" w:rsidP="00361FA9">
            <w:pPr>
              <w:pStyle w:val="TableofFigures"/>
              <w:rPr>
                <w:rFonts w:cs="Calibri"/>
                <w:lang w:eastAsia="en-AU"/>
              </w:rPr>
            </w:pPr>
            <w:r>
              <w:rPr>
                <w:rFonts w:cs="Calibri"/>
                <w:lang w:eastAsia="en-AU"/>
              </w:rPr>
              <w:t>2.00</w:t>
            </w:r>
          </w:p>
        </w:tc>
        <w:tc>
          <w:tcPr>
            <w:tcW w:w="994" w:type="dxa"/>
          </w:tcPr>
          <w:p w:rsidR="002C39A3" w:rsidRPr="0021755A" w:rsidRDefault="002C39A3" w:rsidP="00361FA9">
            <w:pPr>
              <w:pStyle w:val="TableofFigures"/>
              <w:rPr>
                <w:rFonts w:cs="Calibri"/>
                <w:lang w:eastAsia="en-AU"/>
              </w:rPr>
            </w:pPr>
            <w:r>
              <w:rPr>
                <w:rFonts w:cs="Calibri"/>
                <w:lang w:eastAsia="en-AU"/>
              </w:rPr>
              <w:t>2.25</w:t>
            </w:r>
          </w:p>
        </w:tc>
        <w:tc>
          <w:tcPr>
            <w:tcW w:w="994" w:type="dxa"/>
          </w:tcPr>
          <w:p w:rsidR="002C39A3" w:rsidRPr="0021755A" w:rsidRDefault="002C39A3" w:rsidP="00361FA9">
            <w:pPr>
              <w:pStyle w:val="TableofFigures"/>
              <w:rPr>
                <w:rFonts w:cs="Calibri"/>
                <w:lang w:eastAsia="en-AU"/>
              </w:rPr>
            </w:pPr>
            <w:r>
              <w:rPr>
                <w:rFonts w:cs="Calibri"/>
                <w:lang w:eastAsia="en-AU"/>
              </w:rPr>
              <w:t>2.50</w:t>
            </w:r>
          </w:p>
        </w:tc>
        <w:tc>
          <w:tcPr>
            <w:tcW w:w="994" w:type="dxa"/>
          </w:tcPr>
          <w:p w:rsidR="002C39A3" w:rsidRPr="0021755A" w:rsidRDefault="002C39A3" w:rsidP="00361FA9">
            <w:pPr>
              <w:pStyle w:val="TableofFigures"/>
              <w:rPr>
                <w:rFonts w:cs="Calibri"/>
                <w:lang w:eastAsia="en-AU"/>
              </w:rPr>
            </w:pPr>
            <w:r>
              <w:rPr>
                <w:rFonts w:cs="Calibri"/>
                <w:lang w:eastAsia="en-AU"/>
              </w:rPr>
              <w:t>2.50</w:t>
            </w:r>
          </w:p>
        </w:tc>
        <w:tc>
          <w:tcPr>
            <w:tcW w:w="997" w:type="dxa"/>
          </w:tcPr>
          <w:p w:rsidR="002C39A3" w:rsidRPr="0021755A" w:rsidRDefault="002C39A3" w:rsidP="00361FA9">
            <w:pPr>
              <w:pStyle w:val="TableofFigures"/>
              <w:rPr>
                <w:rFonts w:cs="Calibri"/>
                <w:lang w:eastAsia="en-AU"/>
              </w:rPr>
            </w:pPr>
            <w:r>
              <w:rPr>
                <w:rFonts w:cs="Calibri"/>
                <w:lang w:eastAsia="en-AU"/>
              </w:rPr>
              <w:t>2.50</w:t>
            </w:r>
          </w:p>
        </w:tc>
      </w:tr>
      <w:tr w:rsidR="002C39A3" w:rsidRPr="0021755A" w:rsidTr="00361FA9">
        <w:trPr>
          <w:cantSplit/>
        </w:trPr>
        <w:tc>
          <w:tcPr>
            <w:tcW w:w="2788" w:type="dxa"/>
          </w:tcPr>
          <w:p w:rsidR="002C39A3" w:rsidRPr="0021755A" w:rsidRDefault="002C39A3" w:rsidP="00361FA9">
            <w:pPr>
              <w:pStyle w:val="Tabletext"/>
              <w:rPr>
                <w:rFonts w:cs="Calibri"/>
                <w:vertAlign w:val="superscript"/>
                <w:lang w:eastAsia="en-AU"/>
              </w:rPr>
            </w:pPr>
            <w:r w:rsidRPr="0021755A">
              <w:rPr>
                <w:rFonts w:cs="Calibri"/>
                <w:lang w:eastAsia="en-AU"/>
              </w:rPr>
              <w:t>Wage price index</w:t>
            </w:r>
            <w:r>
              <w:rPr>
                <w:rFonts w:cs="Calibri"/>
                <w:lang w:eastAsia="en-AU"/>
              </w:rPr>
              <w:t xml:space="preserve"> </w:t>
            </w:r>
            <w:r w:rsidRPr="0021755A">
              <w:rPr>
                <w:rFonts w:cs="Calibri"/>
                <w:vertAlign w:val="superscript"/>
                <w:lang w:eastAsia="en-AU"/>
              </w:rPr>
              <w:t>(d)</w:t>
            </w:r>
          </w:p>
        </w:tc>
        <w:tc>
          <w:tcPr>
            <w:tcW w:w="993" w:type="dxa"/>
          </w:tcPr>
          <w:p w:rsidR="002C39A3" w:rsidRPr="0021755A" w:rsidRDefault="002C39A3" w:rsidP="00361FA9">
            <w:pPr>
              <w:pStyle w:val="TableofFigures"/>
              <w:rPr>
                <w:rFonts w:cs="Calibri"/>
                <w:lang w:eastAsia="en-AU"/>
              </w:rPr>
            </w:pPr>
            <w:r>
              <w:rPr>
                <w:rFonts w:cs="Calibri"/>
                <w:lang w:eastAsia="en-AU"/>
              </w:rPr>
              <w:t>2.50</w:t>
            </w:r>
          </w:p>
        </w:tc>
        <w:tc>
          <w:tcPr>
            <w:tcW w:w="994" w:type="dxa"/>
          </w:tcPr>
          <w:p w:rsidR="002C39A3" w:rsidRPr="0021755A" w:rsidRDefault="002C39A3" w:rsidP="00361FA9">
            <w:pPr>
              <w:pStyle w:val="TableofFigures"/>
              <w:rPr>
                <w:rFonts w:cs="Calibri"/>
                <w:lang w:eastAsia="en-AU"/>
              </w:rPr>
            </w:pPr>
            <w:r>
              <w:rPr>
                <w:rFonts w:cs="Calibri"/>
                <w:lang w:eastAsia="en-AU"/>
              </w:rPr>
              <w:t>2.75</w:t>
            </w:r>
          </w:p>
        </w:tc>
        <w:tc>
          <w:tcPr>
            <w:tcW w:w="994" w:type="dxa"/>
          </w:tcPr>
          <w:p w:rsidR="002C39A3" w:rsidRPr="0021755A" w:rsidRDefault="002C39A3" w:rsidP="00361FA9">
            <w:pPr>
              <w:pStyle w:val="TableofFigures"/>
              <w:rPr>
                <w:rFonts w:cs="Calibri"/>
                <w:lang w:eastAsia="en-AU"/>
              </w:rPr>
            </w:pPr>
            <w:r>
              <w:rPr>
                <w:rFonts w:cs="Calibri"/>
                <w:lang w:eastAsia="en-AU"/>
              </w:rPr>
              <w:t>3.00</w:t>
            </w:r>
          </w:p>
        </w:tc>
        <w:tc>
          <w:tcPr>
            <w:tcW w:w="994" w:type="dxa"/>
          </w:tcPr>
          <w:p w:rsidR="002C39A3" w:rsidRPr="0021755A" w:rsidRDefault="002C39A3" w:rsidP="00361FA9">
            <w:pPr>
              <w:pStyle w:val="TableofFigures"/>
              <w:rPr>
                <w:rFonts w:cs="Calibri"/>
                <w:lang w:eastAsia="en-AU"/>
              </w:rPr>
            </w:pPr>
            <w:r>
              <w:rPr>
                <w:rFonts w:cs="Calibri"/>
                <w:lang w:eastAsia="en-AU"/>
              </w:rPr>
              <w:t>3.25</w:t>
            </w:r>
          </w:p>
        </w:tc>
        <w:tc>
          <w:tcPr>
            <w:tcW w:w="997" w:type="dxa"/>
          </w:tcPr>
          <w:p w:rsidR="002C39A3" w:rsidRPr="0021755A" w:rsidRDefault="002C39A3" w:rsidP="00361FA9">
            <w:pPr>
              <w:pStyle w:val="TableofFigures"/>
              <w:rPr>
                <w:rFonts w:cs="Calibri"/>
                <w:lang w:eastAsia="en-AU"/>
              </w:rPr>
            </w:pPr>
            <w:r>
              <w:rPr>
                <w:rFonts w:cs="Calibri"/>
                <w:lang w:eastAsia="en-AU"/>
              </w:rPr>
              <w:t>3.50</w:t>
            </w:r>
          </w:p>
        </w:tc>
      </w:tr>
      <w:tr w:rsidR="002C39A3" w:rsidRPr="0021755A" w:rsidTr="00361FA9">
        <w:trPr>
          <w:cantSplit/>
        </w:trPr>
        <w:tc>
          <w:tcPr>
            <w:tcW w:w="2788" w:type="dxa"/>
            <w:tcBorders>
              <w:bottom w:val="single" w:sz="12" w:space="0" w:color="000000"/>
            </w:tcBorders>
            <w:shd w:val="clear" w:color="auto" w:fill="auto"/>
          </w:tcPr>
          <w:p w:rsidR="002C39A3" w:rsidRPr="0021755A" w:rsidRDefault="002C39A3" w:rsidP="00361FA9">
            <w:pPr>
              <w:pStyle w:val="Tabletext"/>
              <w:rPr>
                <w:rFonts w:cs="Calibri"/>
                <w:lang w:eastAsia="en-AU"/>
              </w:rPr>
            </w:pPr>
            <w:r w:rsidRPr="0021755A">
              <w:rPr>
                <w:rFonts w:cs="Calibri"/>
                <w:lang w:eastAsia="en-AU"/>
              </w:rPr>
              <w:t xml:space="preserve">Population </w:t>
            </w:r>
          </w:p>
        </w:tc>
        <w:tc>
          <w:tcPr>
            <w:tcW w:w="993" w:type="dxa"/>
            <w:tcBorders>
              <w:bottom w:val="single" w:sz="12" w:space="0" w:color="000000"/>
            </w:tcBorders>
            <w:shd w:val="clear" w:color="auto" w:fill="auto"/>
          </w:tcPr>
          <w:p w:rsidR="002C39A3" w:rsidRPr="0021755A" w:rsidRDefault="002C39A3" w:rsidP="00361FA9">
            <w:pPr>
              <w:pStyle w:val="TableofFigures"/>
              <w:rPr>
                <w:rFonts w:cs="Calibri"/>
                <w:lang w:eastAsia="en-AU"/>
              </w:rPr>
            </w:pPr>
            <w:r>
              <w:rPr>
                <w:rFonts w:cs="Calibri"/>
                <w:lang w:eastAsia="en-AU"/>
              </w:rPr>
              <w:t>1.8</w:t>
            </w:r>
          </w:p>
        </w:tc>
        <w:tc>
          <w:tcPr>
            <w:tcW w:w="994" w:type="dxa"/>
            <w:tcBorders>
              <w:bottom w:val="single" w:sz="12" w:space="0" w:color="000000"/>
            </w:tcBorders>
            <w:shd w:val="clear" w:color="auto" w:fill="auto"/>
          </w:tcPr>
          <w:p w:rsidR="002C39A3" w:rsidRPr="0021755A" w:rsidRDefault="002C39A3" w:rsidP="00361FA9">
            <w:pPr>
              <w:pStyle w:val="TableofFigures"/>
              <w:rPr>
                <w:rFonts w:cs="Calibri"/>
                <w:lang w:eastAsia="en-AU"/>
              </w:rPr>
            </w:pPr>
            <w:r>
              <w:rPr>
                <w:rFonts w:cs="Calibri"/>
                <w:lang w:eastAsia="en-AU"/>
              </w:rPr>
              <w:t>1.8</w:t>
            </w:r>
          </w:p>
        </w:tc>
        <w:tc>
          <w:tcPr>
            <w:tcW w:w="994" w:type="dxa"/>
            <w:tcBorders>
              <w:bottom w:val="single" w:sz="12" w:space="0" w:color="000000"/>
            </w:tcBorders>
            <w:shd w:val="clear" w:color="auto" w:fill="auto"/>
          </w:tcPr>
          <w:p w:rsidR="002C39A3" w:rsidRPr="0021755A" w:rsidRDefault="002C39A3" w:rsidP="00361FA9">
            <w:pPr>
              <w:pStyle w:val="TableofFigures"/>
              <w:rPr>
                <w:rFonts w:cs="Calibri"/>
                <w:lang w:eastAsia="en-AU"/>
              </w:rPr>
            </w:pPr>
            <w:r>
              <w:rPr>
                <w:rFonts w:cs="Calibri"/>
                <w:lang w:eastAsia="en-AU"/>
              </w:rPr>
              <w:t>1.8</w:t>
            </w:r>
          </w:p>
        </w:tc>
        <w:tc>
          <w:tcPr>
            <w:tcW w:w="994" w:type="dxa"/>
            <w:tcBorders>
              <w:bottom w:val="single" w:sz="12" w:space="0" w:color="000000"/>
            </w:tcBorders>
            <w:shd w:val="clear" w:color="auto" w:fill="auto"/>
          </w:tcPr>
          <w:p w:rsidR="002C39A3" w:rsidRPr="0021755A" w:rsidRDefault="002C39A3" w:rsidP="00361FA9">
            <w:pPr>
              <w:pStyle w:val="TableofFigures"/>
              <w:rPr>
                <w:rFonts w:cs="Calibri"/>
                <w:lang w:eastAsia="en-AU"/>
              </w:rPr>
            </w:pPr>
            <w:r>
              <w:rPr>
                <w:rFonts w:cs="Calibri"/>
                <w:lang w:eastAsia="en-AU"/>
              </w:rPr>
              <w:t>1.8</w:t>
            </w:r>
          </w:p>
        </w:tc>
        <w:tc>
          <w:tcPr>
            <w:tcW w:w="997" w:type="dxa"/>
            <w:tcBorders>
              <w:bottom w:val="single" w:sz="12" w:space="0" w:color="000000"/>
            </w:tcBorders>
            <w:shd w:val="clear" w:color="auto" w:fill="auto"/>
          </w:tcPr>
          <w:p w:rsidR="002C39A3" w:rsidRPr="0021755A" w:rsidRDefault="002C39A3" w:rsidP="00361FA9">
            <w:pPr>
              <w:pStyle w:val="TableofFigures"/>
              <w:rPr>
                <w:rFonts w:cs="Calibri"/>
                <w:lang w:eastAsia="en-AU"/>
              </w:rPr>
            </w:pPr>
            <w:r>
              <w:rPr>
                <w:rFonts w:cs="Calibri"/>
                <w:lang w:eastAsia="en-AU"/>
              </w:rPr>
              <w:t>1.8</w:t>
            </w:r>
          </w:p>
        </w:tc>
      </w:tr>
    </w:tbl>
    <w:p w:rsidR="002C39A3" w:rsidRPr="00922517" w:rsidRDefault="002C39A3" w:rsidP="00361FA9">
      <w:pPr>
        <w:pStyle w:val="Source"/>
        <w:spacing w:after="60"/>
      </w:pPr>
      <w:r w:rsidRPr="00922517">
        <w:t>Source: Department of Treasury and Finance</w:t>
      </w:r>
    </w:p>
    <w:p w:rsidR="002C39A3" w:rsidRPr="00DF427C" w:rsidRDefault="002C39A3" w:rsidP="00361FA9">
      <w:pPr>
        <w:pStyle w:val="Notes"/>
      </w:pPr>
      <w:r w:rsidRPr="00187345">
        <w:t>Notes:</w:t>
      </w:r>
    </w:p>
    <w:p w:rsidR="002C39A3" w:rsidRDefault="002C39A3" w:rsidP="00361FA9">
      <w:pPr>
        <w:pStyle w:val="Notes"/>
      </w:pPr>
      <w:r w:rsidRPr="00DF427C">
        <w:t>(a)</w:t>
      </w:r>
      <w:r w:rsidRPr="00DF427C">
        <w:tab/>
      </w:r>
      <w:r w:rsidRPr="000F3700">
        <w:t>The key assumptions underlying the economic forecasts include: interest rates that follow movements in market expectations in the short term, and stabilise thereafter; a trade-weighted index of 62.1; and oil prices that follow the path suggested by oil futures.</w:t>
      </w:r>
    </w:p>
    <w:p w:rsidR="002C39A3" w:rsidRPr="00DF427C" w:rsidRDefault="002C39A3" w:rsidP="00361FA9">
      <w:pPr>
        <w:pStyle w:val="Notes"/>
      </w:pPr>
      <w:r>
        <w:tab/>
      </w:r>
      <w:r w:rsidRPr="008D07D9">
        <w:t>P</w:t>
      </w:r>
      <w:r>
        <w:t>rojections for 2018-19 and 2019-</w:t>
      </w:r>
      <w:r w:rsidRPr="008D07D9">
        <w:t>20 represent trend rates, except for the wage price index which shows a path towards trend in 2019</w:t>
      </w:r>
      <w:r>
        <w:t>-</w:t>
      </w:r>
      <w:r w:rsidRPr="008D07D9">
        <w:t>20.</w:t>
      </w:r>
    </w:p>
    <w:p w:rsidR="002C39A3" w:rsidRDefault="002C39A3" w:rsidP="00361FA9">
      <w:pPr>
        <w:pStyle w:val="Notes"/>
      </w:pPr>
      <w:r>
        <w:t xml:space="preserve">(b) </w:t>
      </w:r>
      <w:r>
        <w:tab/>
      </w:r>
      <w:r w:rsidRPr="000F3700">
        <w:t>Percentage change in year-average compared with previous year, except for the unemployment rate which is year-average per cent and population which is percentage change over the year to 30 June. Forecasts are rounded to the nearest 0.25 percentage points, except for population which is rounded to the nearest 0.1 percentage point.</w:t>
      </w:r>
    </w:p>
    <w:p w:rsidR="002C39A3" w:rsidRPr="00DF427C" w:rsidRDefault="002C39A3" w:rsidP="00361FA9">
      <w:pPr>
        <w:pStyle w:val="Notes"/>
      </w:pPr>
      <w:r>
        <w:t>(c</w:t>
      </w:r>
      <w:r w:rsidRPr="00DF427C">
        <w:t>)</w:t>
      </w:r>
      <w:r w:rsidRPr="00DF427C">
        <w:tab/>
      </w:r>
      <w:r>
        <w:t>Melbourne consumer price index.</w:t>
      </w:r>
    </w:p>
    <w:p w:rsidR="002C39A3" w:rsidRDefault="002C39A3" w:rsidP="00361FA9">
      <w:pPr>
        <w:pStyle w:val="Notes"/>
      </w:pPr>
      <w:r>
        <w:t>(d</w:t>
      </w:r>
      <w:r w:rsidRPr="00DF427C">
        <w:t>)</w:t>
      </w:r>
      <w:r w:rsidRPr="00DF427C">
        <w:tab/>
      </w:r>
      <w:r w:rsidRPr="00DF427C">
        <w:tab/>
      </w:r>
      <w:r w:rsidRPr="005B1C8A">
        <w:rPr>
          <w:i w:val="0"/>
        </w:rPr>
        <w:t>Wage Price Index</w:t>
      </w:r>
      <w:r>
        <w:t>, Victoria (based on t</w:t>
      </w:r>
      <w:r w:rsidRPr="00DF427C">
        <w:t>otal hourly rate</w:t>
      </w:r>
      <w:r>
        <w:t>s of pay,</w:t>
      </w:r>
      <w:r w:rsidRPr="00DF427C">
        <w:t xml:space="preserve"> excluding bonuses</w:t>
      </w:r>
      <w:r>
        <w:t>)</w:t>
      </w:r>
      <w:r w:rsidRPr="00DF427C">
        <w:t>.</w:t>
      </w:r>
    </w:p>
    <w:p w:rsidR="002C39A3" w:rsidRPr="00DF427C" w:rsidRDefault="002C39A3" w:rsidP="00361FA9">
      <w:pPr>
        <w:pStyle w:val="Notes"/>
      </w:pPr>
    </w:p>
    <w:p w:rsidR="002C39A3" w:rsidRPr="0040125C" w:rsidRDefault="002C39A3" w:rsidP="00361FA9">
      <w:pPr>
        <w:pStyle w:val="Heading4"/>
        <w:spacing w:before="180" w:after="100"/>
      </w:pPr>
      <w:r w:rsidRPr="0040125C">
        <w:t>Summary of other key assumptions</w:t>
      </w:r>
    </w:p>
    <w:p w:rsidR="002C39A3" w:rsidRPr="0040125C" w:rsidRDefault="002C39A3" w:rsidP="00361FA9">
      <w:r w:rsidRPr="0040125C">
        <w:t>The following section outlines the other key ass</w:t>
      </w:r>
      <w:r>
        <w:t xml:space="preserve">umptions used in preparing </w:t>
      </w:r>
      <w:r w:rsidRPr="0040125C">
        <w:t xml:space="preserve">the Estimated Financial Statements, having regard to the materiality of the relevant items in the context of the overall financial position of the State and the sensitivity of those items to changes in key economic assumptions. </w:t>
      </w:r>
    </w:p>
    <w:p w:rsidR="002C39A3" w:rsidRDefault="002C39A3">
      <w:pPr>
        <w:spacing w:after="0"/>
        <w:rPr>
          <w:rFonts w:ascii="Calibri" w:hAnsi="Calibri"/>
          <w:i/>
          <w:sz w:val="24"/>
          <w:szCs w:val="22"/>
        </w:rPr>
      </w:pPr>
      <w:r>
        <w:br w:type="page"/>
      </w:r>
    </w:p>
    <w:p w:rsidR="002C39A3" w:rsidRPr="009A142F" w:rsidRDefault="002C39A3" w:rsidP="00361FA9">
      <w:pPr>
        <w:pStyle w:val="Heading2NotesContd"/>
        <w:spacing w:after="80"/>
        <w:ind w:left="1151" w:hanging="1151"/>
      </w:pPr>
      <w:r>
        <w:t>Note 1:</w:t>
      </w:r>
      <w:r>
        <w:tab/>
        <w:t xml:space="preserve">Statement of significant accounting policies and forecast assumptions </w:t>
      </w:r>
      <w:r w:rsidRPr="00BA311D">
        <w:rPr>
          <w:i/>
        </w:rPr>
        <w:t>(continued)</w:t>
      </w:r>
    </w:p>
    <w:p w:rsidR="002C39A3" w:rsidRPr="0054195A" w:rsidRDefault="002C39A3" w:rsidP="00361FA9">
      <w:pPr>
        <w:pStyle w:val="Heading4"/>
        <w:spacing w:before="180"/>
      </w:pPr>
      <w:r w:rsidRPr="0054195A">
        <w:t>Taxation revenue</w:t>
      </w:r>
    </w:p>
    <w:p w:rsidR="002C39A3" w:rsidRPr="0040125C" w:rsidRDefault="002C39A3" w:rsidP="00361FA9">
      <w:r w:rsidRPr="0040125C">
        <w:t>The State</w:t>
      </w:r>
      <w:r w:rsidR="0097550F">
        <w:t>’</w:t>
      </w:r>
      <w:r w:rsidRPr="0040125C">
        <w:t>s taxation revenue is forecast by a process that involves:</w:t>
      </w:r>
    </w:p>
    <w:p w:rsidR="002C39A3" w:rsidRPr="0040125C" w:rsidRDefault="002C39A3" w:rsidP="00361FA9">
      <w:pPr>
        <w:pStyle w:val="BulletText"/>
      </w:pPr>
      <w:r>
        <w:t xml:space="preserve">assessing </w:t>
      </w:r>
      <w:r w:rsidRPr="0040125C">
        <w:t xml:space="preserve">economic and other factors influencing the tax base </w:t>
      </w:r>
      <w:r>
        <w:br/>
      </w:r>
      <w:r w:rsidRPr="0040125C">
        <w:t xml:space="preserve">(e.g. for payroll tax, </w:t>
      </w:r>
      <w:r>
        <w:t xml:space="preserve">an </w:t>
      </w:r>
      <w:r w:rsidRPr="0040125C">
        <w:t xml:space="preserve">assessment of the outlook for employment and wages; </w:t>
      </w:r>
      <w:r>
        <w:br/>
      </w:r>
      <w:r w:rsidRPr="0040125C">
        <w:t xml:space="preserve">for motor vehicle taxes, </w:t>
      </w:r>
      <w:r>
        <w:t xml:space="preserve">an </w:t>
      </w:r>
      <w:r w:rsidRPr="0040125C">
        <w:t>assessment of the outlook for demand for vehic</w:t>
      </w:r>
      <w:r>
        <w:t xml:space="preserve">les; and for gambling taxes, an </w:t>
      </w:r>
      <w:r w:rsidRPr="0040125C">
        <w:t>assessment of the outlook for consumer spending and the labour market);</w:t>
      </w:r>
    </w:p>
    <w:p w:rsidR="002C39A3" w:rsidRPr="0040125C" w:rsidRDefault="002C39A3" w:rsidP="00361FA9">
      <w:pPr>
        <w:pStyle w:val="BulletText"/>
      </w:pPr>
      <w:r>
        <w:t xml:space="preserve">analysing </w:t>
      </w:r>
      <w:r w:rsidRPr="0040125C">
        <w:t>historical information and relationships using econometric an</w:t>
      </w:r>
      <w:r>
        <w:t>d other statistical methods; and</w:t>
      </w:r>
    </w:p>
    <w:p w:rsidR="002C39A3" w:rsidRDefault="002C39A3" w:rsidP="00361FA9">
      <w:pPr>
        <w:pStyle w:val="BulletText"/>
      </w:pPr>
      <w:r>
        <w:t>consulting</w:t>
      </w:r>
      <w:r w:rsidRPr="0040125C">
        <w:t xml:space="preserve"> with private sector economists, industry associations and </w:t>
      </w:r>
      <w:r>
        <w:t>relevant government authorities.</w:t>
      </w:r>
    </w:p>
    <w:p w:rsidR="002C39A3" w:rsidRPr="0040125C" w:rsidRDefault="002C39A3" w:rsidP="00361FA9">
      <w:pPr>
        <w:pStyle w:val="BulletText"/>
        <w:numPr>
          <w:ilvl w:val="0"/>
          <w:numId w:val="0"/>
        </w:numPr>
      </w:pPr>
      <w:r w:rsidRPr="009A142F">
        <w:t xml:space="preserve">The forecast for gambling taxes in 2018-19 and 2019-20 assumes revenue from public lotteries will continue in line with previous years. The Victorian Government is currently undertaking a process in accordance with the </w:t>
      </w:r>
      <w:r w:rsidRPr="005E5EF9">
        <w:rPr>
          <w:i/>
        </w:rPr>
        <w:t>Gambling Regulation Act 2008</w:t>
      </w:r>
      <w:r w:rsidRPr="009A142F">
        <w:t xml:space="preserve"> to award a new public lotteries licence in Victoria beyond June 2018.</w:t>
      </w:r>
    </w:p>
    <w:p w:rsidR="002C39A3" w:rsidRPr="0054195A" w:rsidRDefault="002C39A3" w:rsidP="00361FA9">
      <w:pPr>
        <w:pStyle w:val="Heading4"/>
        <w:spacing w:before="180"/>
      </w:pPr>
      <w:r w:rsidRPr="0054195A">
        <w:t>Dividends and income tax equivalent revenue</w:t>
      </w:r>
    </w:p>
    <w:p w:rsidR="002C39A3" w:rsidRDefault="002C39A3" w:rsidP="00361FA9">
      <w:r w:rsidRPr="004E1BAE">
        <w:t>Dividends and income tax equivalent revenue are mainly from the PNFC and PFC sectors. These revenues are based on established dividend policy and expected profitability as estimated by PNFCs and PFCs at the time of the Budget.</w:t>
      </w:r>
    </w:p>
    <w:p w:rsidR="002C39A3" w:rsidRPr="00B97181" w:rsidRDefault="002C39A3" w:rsidP="00361FA9">
      <w:r w:rsidRPr="00B97181">
        <w:t>While most government department</w:t>
      </w:r>
      <w:r>
        <w:t>s</w:t>
      </w:r>
      <w:r w:rsidRPr="00B97181">
        <w:t xml:space="preserve"> and agencies are exempt from federal income tax, certain larger PNFC and PFC entities are subject to income tax equivalents payable to the general government sector in accordance with the National Tax Equivalent Regime (NTER). The primary objective of the NTER is to promote competitive neutrality, through </w:t>
      </w:r>
      <w:r>
        <w:t>uniformly applying</w:t>
      </w:r>
      <w:r w:rsidRPr="00B97181">
        <w:t xml:space="preserve"> income tax laws, between NTER entities and their privately held counterparts.</w:t>
      </w:r>
    </w:p>
    <w:p w:rsidR="002C39A3" w:rsidRPr="0054195A" w:rsidRDefault="002C39A3" w:rsidP="00361FA9">
      <w:pPr>
        <w:pStyle w:val="Heading4"/>
        <w:spacing w:before="180"/>
      </w:pPr>
      <w:r w:rsidRPr="0054195A">
        <w:t>Sales of goods and services</w:t>
      </w:r>
    </w:p>
    <w:p w:rsidR="002C39A3" w:rsidRPr="0040125C" w:rsidRDefault="002C39A3" w:rsidP="00361FA9">
      <w:r w:rsidRPr="004B1B13">
        <w:t>Revenue from the sale of goods and the supply of services is forecast by taking into account known factors</w:t>
      </w:r>
      <w:r>
        <w:t xml:space="preserve">, for example, </w:t>
      </w:r>
      <w:r w:rsidRPr="004B1B13">
        <w:t xml:space="preserve">indexation as provided for under the </w:t>
      </w:r>
      <w:r w:rsidRPr="004B1B13">
        <w:rPr>
          <w:i/>
        </w:rPr>
        <w:t>Monetary Units Act 2004.</w:t>
      </w:r>
      <w:r w:rsidRPr="0040125C">
        <w:t xml:space="preserve"> </w:t>
      </w:r>
    </w:p>
    <w:p w:rsidR="002C39A3" w:rsidRPr="0054195A" w:rsidRDefault="002C39A3" w:rsidP="00361FA9">
      <w:pPr>
        <w:pStyle w:val="Heading4"/>
        <w:spacing w:before="180"/>
      </w:pPr>
      <w:r w:rsidRPr="0054195A">
        <w:t xml:space="preserve">Grant revenue </w:t>
      </w:r>
    </w:p>
    <w:p w:rsidR="002C39A3" w:rsidRPr="0040125C" w:rsidRDefault="002C39A3" w:rsidP="00361FA9">
      <w:r w:rsidRPr="0040125C">
        <w:t>The forecast receipt of financial assistance from the Commonwealth is determined on the latest available information at the time of prepar</w:t>
      </w:r>
      <w:r>
        <w:t>ing</w:t>
      </w:r>
      <w:r w:rsidRPr="0040125C">
        <w:t xml:space="preserve"> the Estimated Financial Statements.</w:t>
      </w:r>
    </w:p>
    <w:p w:rsidR="002C39A3" w:rsidRPr="001F1E66" w:rsidRDefault="002C39A3" w:rsidP="00361FA9">
      <w:r w:rsidRPr="001F1E66">
        <w:t>Forecasts of goods and services tax (GST) grants are based on Victoria</w:t>
      </w:r>
      <w:r w:rsidR="0097550F">
        <w:t>’</w:t>
      </w:r>
      <w:r w:rsidRPr="001F1E66">
        <w:t xml:space="preserve">s assessment of the latest Commonwealth forecasts of the national GST pool. </w:t>
      </w:r>
      <w:r>
        <w:t>Victoria</w:t>
      </w:r>
      <w:r w:rsidR="0097550F">
        <w:t>’</w:t>
      </w:r>
      <w:r>
        <w:t>s share of GST for 2016</w:t>
      </w:r>
      <w:r>
        <w:noBreakHyphen/>
        <w:t>17</w:t>
      </w:r>
      <w:r w:rsidRPr="001F1E66">
        <w:t xml:space="preserve"> is informed by Victoria</w:t>
      </w:r>
      <w:r w:rsidR="0097550F">
        <w:t>’</w:t>
      </w:r>
      <w:r w:rsidRPr="001F1E66">
        <w:t>s assessed relativity for that year published by the Commonwealth Grants Commission and the Commonwealth Government</w:t>
      </w:r>
      <w:r w:rsidR="0097550F">
        <w:t>’</w:t>
      </w:r>
      <w:r w:rsidRPr="001F1E66">
        <w:t xml:space="preserve">s population projections. </w:t>
      </w:r>
    </w:p>
    <w:p w:rsidR="002C39A3" w:rsidRPr="003B30A2" w:rsidRDefault="002C39A3" w:rsidP="00361FA9">
      <w:pPr>
        <w:pStyle w:val="Heading2NotesContd"/>
        <w:rPr>
          <w:i/>
        </w:rPr>
      </w:pPr>
      <w:r w:rsidRPr="008840D7">
        <w:t>Note 1:</w:t>
      </w:r>
      <w:r w:rsidRPr="008840D7">
        <w:tab/>
        <w:t xml:space="preserve">Statement of significant accounting policies and forecast assumptions </w:t>
      </w:r>
      <w:r w:rsidRPr="008840D7">
        <w:rPr>
          <w:i/>
        </w:rPr>
        <w:t>(continued)</w:t>
      </w:r>
    </w:p>
    <w:p w:rsidR="002C39A3" w:rsidRPr="00F8736D" w:rsidRDefault="002C39A3" w:rsidP="00361FA9">
      <w:pPr>
        <w:rPr>
          <w:i/>
        </w:rPr>
      </w:pPr>
      <w:r>
        <w:t>Beyond 2016</w:t>
      </w:r>
      <w:r>
        <w:noBreakHyphen/>
        <w:t>17</w:t>
      </w:r>
      <w:r w:rsidRPr="001F1E66">
        <w:t>, Victoria</w:t>
      </w:r>
      <w:r w:rsidR="0097550F">
        <w:t>’</w:t>
      </w:r>
      <w:r w:rsidRPr="001F1E66">
        <w:t>s share of GST is based on its estimated assessed relativity in a particular year (calculated as the average of the p</w:t>
      </w:r>
      <w:r>
        <w:t xml:space="preserve">revious three annual per capita </w:t>
      </w:r>
      <w:r w:rsidRPr="001F1E66">
        <w:t>relativities) and its assessment of the Commonwealth Government</w:t>
      </w:r>
      <w:r w:rsidR="0097550F">
        <w:t>’</w:t>
      </w:r>
      <w:r w:rsidRPr="001F1E66">
        <w:t>s population projections. Victoria</w:t>
      </w:r>
      <w:r w:rsidR="0097550F">
        <w:t>’</w:t>
      </w:r>
      <w:r w:rsidRPr="001F1E66">
        <w:t>s forecast per capita relativities are based on the projected fiscal capacity of each state and territory estimated using information sourced from each jurisdiction</w:t>
      </w:r>
      <w:r w:rsidR="0097550F">
        <w:t>’</w:t>
      </w:r>
      <w:r w:rsidRPr="001F1E66">
        <w:t xml:space="preserve">s latest published budget information (revenue, expenses, capital and lending </w:t>
      </w:r>
      <w:r w:rsidRPr="008840D7">
        <w:t>requirements and non</w:t>
      </w:r>
      <w:r w:rsidRPr="008840D7">
        <w:noBreakHyphen/>
        <w:t>GST Commonwealth payments).</w:t>
      </w:r>
    </w:p>
    <w:p w:rsidR="002C39A3" w:rsidRDefault="002C39A3" w:rsidP="00361FA9">
      <w:r w:rsidRPr="008840D7">
        <w:t>In 2013-14</w:t>
      </w:r>
      <w:r>
        <w:t>,</w:t>
      </w:r>
      <w:r w:rsidRPr="008840D7">
        <w:t xml:space="preserve"> the State received $1.5 billion from the Commonwealth Government as a contribution towards the former East West Link project. This was recorded as </w:t>
      </w:r>
      <w:r>
        <w:t xml:space="preserve">income from transactions in the </w:t>
      </w:r>
      <w:r w:rsidRPr="00B67425">
        <w:rPr>
          <w:i/>
        </w:rPr>
        <w:t>2013-14 Financial Report</w:t>
      </w:r>
      <w:r w:rsidRPr="008840D7">
        <w:t xml:space="preserve"> for the State of Victoria. The Government confirmed in November 2014 that the East West Link project would not proceed and that it would not return the $1.5 billion to the Commonwealth Government. The State subsequently sought independent legal and accounting advice on the appropriate accounting treatment for th</w:t>
      </w:r>
      <w:r>
        <w:t xml:space="preserve">is transaction. This advice </w:t>
      </w:r>
      <w:r w:rsidRPr="008840D7">
        <w:t>concluded that the State is not required to recognise a liability under Australian Account</w:t>
      </w:r>
      <w:r>
        <w:t>ing Standards AASB </w:t>
      </w:r>
      <w:r w:rsidRPr="008840D7">
        <w:t xml:space="preserve">1004 </w:t>
      </w:r>
      <w:r w:rsidRPr="00B67425">
        <w:rPr>
          <w:i/>
        </w:rPr>
        <w:t>Contributions</w:t>
      </w:r>
      <w:r>
        <w:t xml:space="preserve"> and AASB 137 </w:t>
      </w:r>
      <w:r w:rsidRPr="00B67425">
        <w:rPr>
          <w:i/>
        </w:rPr>
        <w:t>Provisions, Contingent Liabilities and Contingent Assets</w:t>
      </w:r>
      <w:r w:rsidRPr="008840D7">
        <w:t xml:space="preserve"> as there is no present obligation on the State to return the funding previ</w:t>
      </w:r>
      <w:r>
        <w:t>ously received for the project.</w:t>
      </w:r>
    </w:p>
    <w:p w:rsidR="002C39A3" w:rsidRPr="005C633F" w:rsidRDefault="002C39A3" w:rsidP="00361FA9">
      <w:pPr>
        <w:rPr>
          <w:szCs w:val="22"/>
        </w:rPr>
      </w:pPr>
      <w:r w:rsidRPr="005C633F">
        <w:rPr>
          <w:szCs w:val="22"/>
        </w:rPr>
        <w:t>On 8 April 2016, the Commonwealth Government confirmed in writing that the $1.5</w:t>
      </w:r>
      <w:r>
        <w:rPr>
          <w:szCs w:val="22"/>
        </w:rPr>
        <w:t> </w:t>
      </w:r>
      <w:r w:rsidRPr="005C633F">
        <w:rPr>
          <w:szCs w:val="22"/>
        </w:rPr>
        <w:t>billion will be retained by the State and allocated to other projects, over and above funding separately committed by the Commonwealth Government. The State has accepted the offer and confirmed that it will work to finalise implementation arrangements.</w:t>
      </w:r>
    </w:p>
    <w:p w:rsidR="002C39A3" w:rsidRPr="008840D7" w:rsidRDefault="002C39A3" w:rsidP="00361FA9">
      <w:r w:rsidRPr="008840D7">
        <w:t>On this basis, no liability has been recognised by the State in relation to this transaction</w:t>
      </w:r>
      <w:r w:rsidRPr="00877EFE">
        <w:t xml:space="preserve"> </w:t>
      </w:r>
      <w:r w:rsidRPr="008840D7">
        <w:t>in the Estimated Financial Statements, pending finalisation of discussions with the Commonwealth on the allocation of the funding to other infrastructure projects.</w:t>
      </w:r>
    </w:p>
    <w:p w:rsidR="002C39A3" w:rsidRPr="0040125C" w:rsidRDefault="002C39A3" w:rsidP="00361FA9">
      <w:pPr>
        <w:pStyle w:val="Heading4"/>
      </w:pPr>
      <w:r w:rsidRPr="0040125C">
        <w:t>Employee expenses</w:t>
      </w:r>
    </w:p>
    <w:p w:rsidR="002C39A3" w:rsidRPr="0040125C" w:rsidRDefault="002C39A3" w:rsidP="00361FA9">
      <w:r w:rsidRPr="0040125C">
        <w:t>Employee expenses are forecast on the basis of staffing profiles and current salaries, conditions and on</w:t>
      </w:r>
      <w:r>
        <w:noBreakHyphen/>
      </w:r>
      <w:r w:rsidRPr="0040125C">
        <w:t xml:space="preserve">costs. For the forecast period, employee expenses are adjusted for </w:t>
      </w:r>
      <w:r>
        <w:t xml:space="preserve">the expected financial impact of employing more staff to increase service delivery and </w:t>
      </w:r>
      <w:r w:rsidRPr="0040125C">
        <w:t xml:space="preserve">approved wage agreements, with allowance made for further adjustments </w:t>
      </w:r>
      <w:r>
        <w:t>and expected wages growth</w:t>
      </w:r>
      <w:r w:rsidRPr="0040125C">
        <w:t xml:space="preserve">. Employee expenses forecasts also reflect the </w:t>
      </w:r>
      <w:r>
        <w:t xml:space="preserve">estimated </w:t>
      </w:r>
      <w:r w:rsidRPr="0040125C">
        <w:t xml:space="preserve">impact of </w:t>
      </w:r>
      <w:r>
        <w:t xml:space="preserve">expected savings and </w:t>
      </w:r>
      <w:r w:rsidRPr="0040125C">
        <w:t>new initiatives.</w:t>
      </w:r>
    </w:p>
    <w:p w:rsidR="002C39A3" w:rsidRPr="0040125C" w:rsidRDefault="002C39A3" w:rsidP="00361FA9">
      <w:pPr>
        <w:pStyle w:val="Heading4"/>
      </w:pPr>
      <w:r w:rsidRPr="0040125C">
        <w:t>Depreciation</w:t>
      </w:r>
    </w:p>
    <w:p w:rsidR="002C39A3" w:rsidRDefault="002C39A3" w:rsidP="00361FA9">
      <w:pPr>
        <w:rPr>
          <w:rFonts w:ascii="Calibri" w:hAnsi="Calibri"/>
          <w:i/>
          <w:sz w:val="24"/>
          <w:szCs w:val="22"/>
        </w:rPr>
      </w:pPr>
      <w:r w:rsidRPr="0040125C">
        <w:t xml:space="preserve">Depreciation is forecast on the basis of known asset profiles, asset sales programs and approved new asset investment programs. The expense is based on the assumption that there will be no change in depreciation rates over the forecast period, but includes the estimated impact of </w:t>
      </w:r>
      <w:r>
        <w:t xml:space="preserve">projected </w:t>
      </w:r>
      <w:r w:rsidRPr="0040125C">
        <w:t xml:space="preserve">future revaluation of assets. However, any future changes in useful lives, carrying value, residual value or methodology would result in a change in future depreciation expense. </w:t>
      </w:r>
    </w:p>
    <w:p w:rsidR="002C39A3" w:rsidRPr="008840D7" w:rsidRDefault="002C39A3" w:rsidP="00361FA9">
      <w:pPr>
        <w:pStyle w:val="Heading2NotesContd"/>
        <w:rPr>
          <w:i/>
        </w:rPr>
      </w:pPr>
      <w:r w:rsidRPr="008840D7">
        <w:t>Note 1:</w:t>
      </w:r>
      <w:r w:rsidRPr="008840D7">
        <w:tab/>
        <w:t xml:space="preserve">Statement of significant accounting policies and forecast assumptions </w:t>
      </w:r>
      <w:r w:rsidRPr="008840D7">
        <w:rPr>
          <w:i/>
        </w:rPr>
        <w:t>(continued)</w:t>
      </w:r>
    </w:p>
    <w:p w:rsidR="002C39A3" w:rsidRPr="0040125C" w:rsidRDefault="002C39A3" w:rsidP="00361FA9">
      <w:pPr>
        <w:pStyle w:val="Heading4"/>
      </w:pPr>
      <w:r w:rsidRPr="0040125C">
        <w:t>Interest expense</w:t>
      </w:r>
    </w:p>
    <w:p w:rsidR="002C39A3" w:rsidRDefault="002C39A3" w:rsidP="00361FA9">
      <w:r w:rsidRPr="0040125C">
        <w:t>Estimates for interest expense are based on the forecast level of outstanding Victorian general government sector debt and expected changes in non</w:t>
      </w:r>
      <w:r>
        <w:noBreakHyphen/>
      </w:r>
      <w:r w:rsidRPr="0040125C">
        <w:t xml:space="preserve">current financial liabilities and provisions. Victorian general government sector debt is expected to mainly comprise fixed rate facilities from the Treasury Corporation of Victoria. Interest expenses associated with </w:t>
      </w:r>
      <w:r>
        <w:t>assumed future</w:t>
      </w:r>
      <w:r w:rsidRPr="0040125C">
        <w:t xml:space="preserve"> borrowings are based on information provided by the Treasury Corporation of Victoria on forward contracts for Victorian government bonds.</w:t>
      </w:r>
    </w:p>
    <w:p w:rsidR="002C39A3" w:rsidRPr="0040125C" w:rsidRDefault="002C39A3" w:rsidP="00361FA9">
      <w:pPr>
        <w:pStyle w:val="Heading4"/>
      </w:pPr>
      <w:r w:rsidRPr="0040125C">
        <w:t xml:space="preserve">Grant </w:t>
      </w:r>
      <w:r>
        <w:t>expense</w:t>
      </w:r>
    </w:p>
    <w:p w:rsidR="002C39A3" w:rsidRDefault="002C39A3" w:rsidP="00361FA9">
      <w:r w:rsidRPr="0040125C">
        <w:t>Grants and other transfer payments are forecast on the basis of known activity and adjusted by the appropriate economic parameters. Where payments are tied to third party revenue, such as Commonwealth grants for on</w:t>
      </w:r>
      <w:r>
        <w:noBreakHyphen/>
      </w:r>
      <w:r w:rsidRPr="0040125C">
        <w:t>passing, forecasts a</w:t>
      </w:r>
      <w:r>
        <w:t>re based on estimated receipts.</w:t>
      </w:r>
    </w:p>
    <w:p w:rsidR="002C39A3" w:rsidRPr="0040125C" w:rsidRDefault="002C39A3" w:rsidP="00361FA9">
      <w:pPr>
        <w:pStyle w:val="Heading4"/>
      </w:pPr>
      <w:r w:rsidRPr="0040125C">
        <w:t>Other operating expenses</w:t>
      </w:r>
    </w:p>
    <w:p w:rsidR="002C39A3" w:rsidRPr="0040125C" w:rsidRDefault="002C39A3" w:rsidP="00361FA9">
      <w:r w:rsidRPr="0040125C">
        <w:t xml:space="preserve">Other operating expenses mainly include the cost of supplies and services. Supplies and services expenses are forecast on the basis of experience and known activity changes, including </w:t>
      </w:r>
      <w:r>
        <w:t>consideration</w:t>
      </w:r>
      <w:r w:rsidRPr="0040125C">
        <w:t xml:space="preserve"> of government policy such as efficiency measures, changes in the method of service delivery and appropriate economic parameters.</w:t>
      </w:r>
    </w:p>
    <w:p w:rsidR="002C39A3" w:rsidRPr="0040125C" w:rsidRDefault="002C39A3" w:rsidP="00361FA9">
      <w:r w:rsidRPr="0040125C">
        <w:t xml:space="preserve">An allowance is made for emerging demand that may arise over the budget and forward estimates period. </w:t>
      </w:r>
    </w:p>
    <w:p w:rsidR="002C39A3" w:rsidRPr="0040125C" w:rsidRDefault="002C39A3" w:rsidP="00361FA9">
      <w:pPr>
        <w:pStyle w:val="Heading4"/>
        <w:spacing w:before="200" w:after="80"/>
        <w:rPr>
          <w:b/>
          <w:kern w:val="28"/>
          <w:sz w:val="26"/>
        </w:rPr>
      </w:pPr>
      <w:r w:rsidRPr="0040125C">
        <w:t>Investments in other sector entities</w:t>
      </w:r>
    </w:p>
    <w:p w:rsidR="002C39A3" w:rsidRDefault="002C39A3" w:rsidP="00361FA9">
      <w:pPr>
        <w:spacing w:after="100"/>
      </w:pPr>
      <w:r w:rsidRPr="0040125C">
        <w:t>Investments in other sector entities are estimated based on their audit</w:t>
      </w:r>
      <w:r>
        <w:t>ed net assets as at 30 June 2015</w:t>
      </w:r>
      <w:r w:rsidRPr="0040125C">
        <w:t>, adjusted by management estimates of subsequent operating results, capital investments and distributions.</w:t>
      </w:r>
    </w:p>
    <w:p w:rsidR="002C39A3" w:rsidRPr="00313E9A" w:rsidRDefault="002C39A3" w:rsidP="00361FA9">
      <w:pPr>
        <w:spacing w:after="100"/>
      </w:pPr>
      <w:r w:rsidRPr="00313E9A">
        <w:t xml:space="preserve">The Government </w:t>
      </w:r>
      <w:r>
        <w:t>intends to</w:t>
      </w:r>
      <w:r w:rsidRPr="00313E9A">
        <w:t xml:space="preserve"> lease the operations of the Port of Melbourne</w:t>
      </w:r>
      <w:r>
        <w:t xml:space="preserve"> for 50 years</w:t>
      </w:r>
      <w:r w:rsidRPr="00313E9A">
        <w:t xml:space="preserve">. The </w:t>
      </w:r>
      <w:r w:rsidRPr="00313E9A">
        <w:rPr>
          <w:i/>
        </w:rPr>
        <w:t>Delivering Victorian Infrastructure (Port of Melbourne Lease Transaction) Act 2016</w:t>
      </w:r>
      <w:r w:rsidRPr="00313E9A">
        <w:t xml:space="preserve"> passed on 10 March 2016 provides the legislative basis </w:t>
      </w:r>
      <w:r>
        <w:t>for this lease</w:t>
      </w:r>
      <w:r w:rsidRPr="00313E9A">
        <w:t xml:space="preserve">. These Estimated Financial Statements reflect the </w:t>
      </w:r>
      <w:r>
        <w:t xml:space="preserve">expected </w:t>
      </w:r>
      <w:r w:rsidRPr="00313E9A">
        <w:t>lease proceeds being paid upfront</w:t>
      </w:r>
      <w:r>
        <w:t xml:space="preserve"> and the first 15 years of the port licence fee also being prepaid</w:t>
      </w:r>
      <w:r w:rsidRPr="00313E9A">
        <w:t xml:space="preserve"> to the State in 2016-17</w:t>
      </w:r>
      <w:r>
        <w:t xml:space="preserve"> when the lease is expected to be entered into</w:t>
      </w:r>
      <w:r w:rsidRPr="00313E9A">
        <w:t>. The proposed lease will affect the operations of the Port of Melbourne Corporation, which is classified as a PNFC entity, and will consequently affect the general government sector</w:t>
      </w:r>
      <w:r w:rsidR="0097550F">
        <w:t>’</w:t>
      </w:r>
      <w:r w:rsidRPr="00313E9A">
        <w:t>s investments in other sector entities. The impact of this will be treated in accordance with the accounting policy outlined in Note 1(D) and AASB 1049.</w:t>
      </w:r>
    </w:p>
    <w:p w:rsidR="002C39A3" w:rsidRPr="0040125C" w:rsidRDefault="002C39A3" w:rsidP="00361FA9">
      <w:pPr>
        <w:pStyle w:val="Heading4"/>
        <w:spacing w:before="200" w:after="80"/>
      </w:pPr>
      <w:r w:rsidRPr="0040125C">
        <w:t>Land, buildings, infrastructure, plant and equipment</w:t>
      </w:r>
    </w:p>
    <w:p w:rsidR="002C39A3" w:rsidRDefault="002C39A3" w:rsidP="00361FA9">
      <w:pPr>
        <w:spacing w:after="100"/>
      </w:pPr>
      <w:r w:rsidRPr="00012F39">
        <w:t>Land, buildings, infrastructure, plant and equipment</w:t>
      </w:r>
      <w:r>
        <w:t xml:space="preserve"> </w:t>
      </w:r>
      <w:r w:rsidRPr="0040125C">
        <w:t>are estimated based on their audit</w:t>
      </w:r>
      <w:r>
        <w:t xml:space="preserve">ed balances as at 30 June 2015, which are adjusted for estimated </w:t>
      </w:r>
      <w:r w:rsidRPr="0040125C">
        <w:t>acquisitions, disposals and the impact o</w:t>
      </w:r>
      <w:r>
        <w:t>f depreciation and revaluation.</w:t>
      </w:r>
    </w:p>
    <w:p w:rsidR="002C39A3" w:rsidRDefault="002C39A3" w:rsidP="00361FA9">
      <w:pPr>
        <w:pStyle w:val="Heading2NotesContd"/>
        <w:spacing w:after="80"/>
        <w:ind w:left="1151" w:hanging="1151"/>
      </w:pPr>
      <w:r>
        <w:t>Note 1:</w:t>
      </w:r>
      <w:r>
        <w:tab/>
        <w:t xml:space="preserve">Statement of significant accounting policies and forecast assumptions </w:t>
      </w:r>
      <w:r w:rsidRPr="00A035F3">
        <w:rPr>
          <w:i/>
        </w:rPr>
        <w:t>(continued)</w:t>
      </w:r>
    </w:p>
    <w:p w:rsidR="002C39A3" w:rsidRPr="0040125C" w:rsidRDefault="002C39A3" w:rsidP="00361FA9">
      <w:pPr>
        <w:spacing w:after="100"/>
      </w:pPr>
      <w:r w:rsidRPr="00E60DCE">
        <w:t xml:space="preserve">Where an asset has been identified as surplus to the needs of the entity and is not in use, the asset </w:t>
      </w:r>
      <w:r>
        <w:t>is</w:t>
      </w:r>
      <w:r w:rsidRPr="00E60DCE">
        <w:t xml:space="preserve"> valued at disposal value.</w:t>
      </w:r>
      <w:r>
        <w:t xml:space="preserve"> N</w:t>
      </w:r>
      <w:r w:rsidRPr="0040125C">
        <w:t>ew investments in assets are valued at the forecast purchase price or, where appropriate, recognised progressively over the estimated construction period.</w:t>
      </w:r>
    </w:p>
    <w:p w:rsidR="002C39A3" w:rsidRDefault="002C39A3" w:rsidP="00361FA9">
      <w:pPr>
        <w:spacing w:after="100"/>
      </w:pPr>
      <w:r w:rsidRPr="0040125C">
        <w:t>The budget and forward estimates include the estimated impact of revaluations of non</w:t>
      </w:r>
      <w:r>
        <w:noBreakHyphen/>
      </w:r>
      <w:r w:rsidRPr="0040125C">
        <w:t>financial physical assets. The</w:t>
      </w:r>
      <w:r>
        <w:t>y have been estimated</w:t>
      </w:r>
      <w:r w:rsidRPr="0040125C">
        <w:t xml:space="preserve"> </w:t>
      </w:r>
      <w:r>
        <w:t>from examining and extrapolating</w:t>
      </w:r>
      <w:r w:rsidRPr="0040125C">
        <w:t xml:space="preserve"> historical trends in asset revaluations by major asset class.</w:t>
      </w:r>
    </w:p>
    <w:p w:rsidR="002C39A3" w:rsidRDefault="002C39A3" w:rsidP="00361FA9">
      <w:pPr>
        <w:spacing w:after="100"/>
      </w:pPr>
      <w:r>
        <w:t xml:space="preserve">The </w:t>
      </w:r>
      <w:r>
        <w:rPr>
          <w:i/>
        </w:rPr>
        <w:t>2014</w:t>
      </w:r>
      <w:r>
        <w:rPr>
          <w:i/>
        </w:rPr>
        <w:noBreakHyphen/>
        <w:t>15</w:t>
      </w:r>
      <w:r w:rsidRPr="0040125C">
        <w:rPr>
          <w:i/>
        </w:rPr>
        <w:t> Financial Report</w:t>
      </w:r>
      <w:r>
        <w:rPr>
          <w:i/>
        </w:rPr>
        <w:t xml:space="preserve"> </w:t>
      </w:r>
      <w:r>
        <w:t>for the State of Victoria was qualified by the Acting Auditor</w:t>
      </w:r>
      <w:r>
        <w:noBreakHyphen/>
        <w:t>General as it was considered that the Department of Education and Training did not maintain adequate accounts and records supporting the property, plant and equipment balances in its financial statements as at 30 June 2015. To address this matter, extensive work has commenced for a full revaluation of the Department</w:t>
      </w:r>
      <w:r w:rsidR="0097550F">
        <w:t>’</w:t>
      </w:r>
      <w:r>
        <w:t>s property, plant and equipment assets for the financial reporting period ending 30 June 2016.</w:t>
      </w:r>
    </w:p>
    <w:p w:rsidR="002C39A3" w:rsidRPr="009D405F" w:rsidRDefault="002C39A3" w:rsidP="00361FA9">
      <w:pPr>
        <w:pStyle w:val="Heading4"/>
        <w:spacing w:before="200" w:after="80"/>
      </w:pPr>
      <w:r>
        <w:t>Payables</w:t>
      </w:r>
    </w:p>
    <w:p w:rsidR="002C39A3" w:rsidRPr="009D405F" w:rsidRDefault="002C39A3" w:rsidP="00361FA9">
      <w:pPr>
        <w:spacing w:after="100"/>
      </w:pPr>
      <w:r w:rsidRPr="009D405F">
        <w:t xml:space="preserve">Payables consist of accounts payable, accrued taxes such as GST and fringe benefit tax, and unearned revenue including deferred revenue from concession arrangements and licences. </w:t>
      </w:r>
    </w:p>
    <w:p w:rsidR="002C39A3" w:rsidRPr="009D405F" w:rsidRDefault="002C39A3" w:rsidP="00361FA9">
      <w:pPr>
        <w:spacing w:after="100"/>
      </w:pPr>
      <w:r w:rsidRPr="009D405F">
        <w:t>Estimates of accounts payables are based on known movements in contractual arrangements, other outstanding payables and historical experience.</w:t>
      </w:r>
    </w:p>
    <w:p w:rsidR="002C39A3" w:rsidRPr="0040125C" w:rsidRDefault="002C39A3" w:rsidP="00361FA9">
      <w:pPr>
        <w:spacing w:after="100"/>
      </w:pPr>
      <w:r w:rsidRPr="009D405F">
        <w:t>Unearned income relating to concession arrangements and licences will reduce each year as income is progressively brought to account over the remaining period of the concession term or licence. The estimated changes in other components are based on historical experience.</w:t>
      </w:r>
    </w:p>
    <w:p w:rsidR="002C39A3" w:rsidRPr="0040125C" w:rsidRDefault="002C39A3" w:rsidP="00361FA9">
      <w:pPr>
        <w:spacing w:after="100"/>
      </w:pPr>
      <w:r w:rsidRPr="0040125C">
        <w:t>The indemnity payable to the State Electricity Commission of Victoria, which relates to the</w:t>
      </w:r>
      <w:r>
        <w:t xml:space="preserve"> electricity supply arrangement with the aluminium smelter</w:t>
      </w:r>
      <w:r w:rsidRPr="0040125C">
        <w:t xml:space="preserve"> at Portland, is estimated based on forecast electricity prices and expected market aluminium prices</w:t>
      </w:r>
      <w:r>
        <w:t xml:space="preserve"> over the period until expiry on 31 October 2016</w:t>
      </w:r>
      <w:r w:rsidRPr="00DA0014">
        <w:t>.</w:t>
      </w:r>
    </w:p>
    <w:p w:rsidR="002C39A3" w:rsidRPr="0027256D" w:rsidRDefault="002C39A3" w:rsidP="00361FA9">
      <w:pPr>
        <w:pStyle w:val="Heading4"/>
        <w:spacing w:before="200" w:after="80"/>
        <w:rPr>
          <w:i w:val="0"/>
        </w:rPr>
      </w:pPr>
      <w:r w:rsidRPr="00343838">
        <w:t>Borrowings</w:t>
      </w:r>
    </w:p>
    <w:p w:rsidR="002C39A3" w:rsidRPr="0040125C" w:rsidRDefault="002C39A3" w:rsidP="00361FA9">
      <w:r w:rsidRPr="00343838">
        <w:t>Estimates for borrowings are based on the need to repay maturing debt and finance capital expenditure. The forecast for finance lease liabilities across the forward estimates period relates primarily to expected public private partnerships.</w:t>
      </w:r>
    </w:p>
    <w:p w:rsidR="002C39A3" w:rsidRPr="0040125C" w:rsidRDefault="002C39A3" w:rsidP="00361FA9">
      <w:pPr>
        <w:pStyle w:val="Heading4"/>
      </w:pPr>
      <w:r w:rsidRPr="0040125C">
        <w:t>Employee benefits</w:t>
      </w:r>
    </w:p>
    <w:p w:rsidR="002C39A3" w:rsidRDefault="002C39A3" w:rsidP="00361FA9">
      <w:pPr>
        <w:rPr>
          <w:rFonts w:ascii="Calibri" w:hAnsi="Calibri"/>
          <w:i/>
          <w:sz w:val="24"/>
          <w:szCs w:val="22"/>
        </w:rPr>
      </w:pPr>
      <w:r w:rsidRPr="008C12D3">
        <w:t>Employee benefits are forecast on the basis of staffing profiles and current salaries and conditions. For the forecast period, employee benefits are adjusted for the expected financial impact of employing more staff to increase service delivery and approved wage agreements allowing for future movements and expected wages growth.</w:t>
      </w:r>
    </w:p>
    <w:p w:rsidR="002C39A3" w:rsidRPr="007A3B3B" w:rsidRDefault="002C39A3" w:rsidP="00361FA9">
      <w:pPr>
        <w:pStyle w:val="Heading2NotesContd"/>
        <w:spacing w:after="80"/>
        <w:ind w:left="1151" w:hanging="1151"/>
      </w:pPr>
      <w:r w:rsidRPr="00476F8A">
        <w:t>Note 1:</w:t>
      </w:r>
      <w:r w:rsidRPr="00476F8A">
        <w:tab/>
        <w:t xml:space="preserve">Statement of significant accounting policies and forecast assumptions </w:t>
      </w:r>
      <w:r w:rsidRPr="00B636E7">
        <w:rPr>
          <w:i/>
        </w:rPr>
        <w:t>(continued)</w:t>
      </w:r>
    </w:p>
    <w:p w:rsidR="002C39A3" w:rsidRPr="00AE003C" w:rsidRDefault="002C39A3" w:rsidP="00361FA9">
      <w:pPr>
        <w:pStyle w:val="Heading4"/>
      </w:pPr>
      <w:r w:rsidRPr="00922517">
        <w:t>Superannuation</w:t>
      </w:r>
    </w:p>
    <w:p w:rsidR="002C39A3" w:rsidRDefault="002C39A3" w:rsidP="00361FA9">
      <w:r>
        <w:t xml:space="preserve">Future defined contribution superannuation expenses are based on assumptions regarding future salaries and contribution rates. </w:t>
      </w:r>
    </w:p>
    <w:p w:rsidR="002C39A3" w:rsidRDefault="002C39A3" w:rsidP="00361FA9">
      <w:r w:rsidRPr="002B2532">
        <w:t xml:space="preserve">Future defined benefit superannuation costs, and superannuation liabilities at future balance dates, are estimated by the actuaries of the various defined benefit superannuation plans. These estimates </w:t>
      </w:r>
      <w:r>
        <w:t>use</w:t>
      </w:r>
      <w:r w:rsidRPr="002B2532">
        <w:t xml:space="preserve"> a number of demogra</w:t>
      </w:r>
      <w:r>
        <w:t xml:space="preserve">phic and financial assumptions. </w:t>
      </w:r>
      <w:r w:rsidRPr="002B2532">
        <w:t xml:space="preserve">The table below sets out the major financial assumptions used to estimate the </w:t>
      </w:r>
      <w:r>
        <w:t>s</w:t>
      </w:r>
      <w:r w:rsidRPr="002B2532">
        <w:t>uperannuation expense and liability in respect of each defined benefit superannuation plan.</w:t>
      </w:r>
      <w:r>
        <w:t xml:space="preserve"> </w:t>
      </w:r>
    </w:p>
    <w:p w:rsidR="002C39A3" w:rsidRDefault="002C39A3" w:rsidP="00361FA9">
      <w:pPr>
        <w:rPr>
          <w:b/>
        </w:rPr>
      </w:pPr>
      <w:r w:rsidRPr="002B2532">
        <w:t>The discount and inflation rates are based on prevailing long</w:t>
      </w:r>
      <w:r w:rsidRPr="002B2532">
        <w:noBreakHyphen/>
        <w:t>term Commonwealth Government bonds (both nominal and inflation linked) and are assumed to remain constant across the budget and forward estimates period. An expected return on plan assets is assumed when projecting assets, and the return this provides in excess of the discount rate is included in other economic flows – other comprehensive income. Actual experience may differ from assumptions and may cause significant variations in the reported superannuation liabilities.</w:t>
      </w:r>
    </w:p>
    <w:p w:rsidR="002C39A3" w:rsidRPr="007F7C6B" w:rsidRDefault="002C39A3" w:rsidP="00361FA9">
      <w:pPr>
        <w:pStyle w:val="Heading4"/>
        <w:spacing w:before="200" w:after="80"/>
      </w:pPr>
      <w:r>
        <w:rPr>
          <w:rFonts w:cs="Calibri"/>
          <w:b/>
          <w:bCs/>
          <w:color w:val="000000"/>
        </w:rPr>
        <w:t>Superannuation assumptions</w:t>
      </w:r>
    </w:p>
    <w:tbl>
      <w:tblPr>
        <w:tblW w:w="0" w:type="auto"/>
        <w:tblInd w:w="29" w:type="dxa"/>
        <w:tblLayout w:type="fixed"/>
        <w:tblCellMar>
          <w:left w:w="43" w:type="dxa"/>
          <w:right w:w="43" w:type="dxa"/>
        </w:tblCellMar>
        <w:tblLook w:val="00A0" w:firstRow="1" w:lastRow="0" w:firstColumn="1" w:lastColumn="0" w:noHBand="0" w:noVBand="0"/>
      </w:tblPr>
      <w:tblGrid>
        <w:gridCol w:w="6532"/>
        <w:gridCol w:w="1133"/>
      </w:tblGrid>
      <w:tr w:rsidR="002C39A3" w:rsidTr="00361FA9">
        <w:tc>
          <w:tcPr>
            <w:tcW w:w="6532" w:type="dxa"/>
            <w:tcBorders>
              <w:top w:val="single" w:sz="6" w:space="0" w:color="000000"/>
              <w:left w:val="single" w:sz="6" w:space="0" w:color="000000"/>
              <w:bottom w:val="single" w:sz="6" w:space="0" w:color="000000"/>
              <w:right w:val="single" w:sz="6" w:space="0" w:color="000000"/>
            </w:tcBorders>
            <w:shd w:val="clear" w:color="auto" w:fill="000000"/>
          </w:tcPr>
          <w:p w:rsidR="002C39A3" w:rsidRDefault="002C39A3" w:rsidP="00361FA9">
            <w:pPr>
              <w:autoSpaceDE w:val="0"/>
              <w:autoSpaceDN w:val="0"/>
              <w:adjustRightInd w:val="0"/>
              <w:spacing w:after="0"/>
              <w:rPr>
                <w:rFonts w:ascii="Calibri" w:hAnsi="Calibri" w:cs="Calibri"/>
                <w:i/>
                <w:iCs/>
                <w:color w:val="FFFFFF"/>
                <w:sz w:val="20"/>
                <w:vertAlign w:val="superscript"/>
              </w:rPr>
            </w:pPr>
            <w:r>
              <w:rPr>
                <w:rFonts w:ascii="Calibri" w:hAnsi="Calibri" w:cs="Calibri"/>
                <w:i/>
                <w:iCs/>
                <w:color w:val="FFFFFF"/>
                <w:sz w:val="20"/>
              </w:rPr>
              <w:t xml:space="preserve">Underlying assumptions for all listed schemes </w:t>
            </w:r>
            <w:r>
              <w:rPr>
                <w:rFonts w:ascii="Calibri" w:hAnsi="Calibri" w:cs="Calibri"/>
                <w:i/>
                <w:iCs/>
                <w:color w:val="FFFFFF"/>
                <w:sz w:val="20"/>
                <w:vertAlign w:val="superscript"/>
              </w:rPr>
              <w:t>(a)</w:t>
            </w:r>
          </w:p>
        </w:tc>
        <w:tc>
          <w:tcPr>
            <w:tcW w:w="1133" w:type="dxa"/>
            <w:tcBorders>
              <w:top w:val="single" w:sz="6" w:space="0" w:color="000000"/>
              <w:left w:val="single" w:sz="6" w:space="0" w:color="000000"/>
              <w:bottom w:val="single" w:sz="6" w:space="0" w:color="000000"/>
              <w:right w:val="single" w:sz="6" w:space="0" w:color="000000"/>
            </w:tcBorders>
            <w:shd w:val="clear" w:color="auto" w:fill="000000"/>
          </w:tcPr>
          <w:p w:rsidR="002C39A3" w:rsidRDefault="002C39A3" w:rsidP="00361FA9">
            <w:pPr>
              <w:autoSpaceDE w:val="0"/>
              <w:autoSpaceDN w:val="0"/>
              <w:adjustRightInd w:val="0"/>
              <w:spacing w:after="0"/>
              <w:jc w:val="right"/>
              <w:rPr>
                <w:rFonts w:ascii="Calibri" w:hAnsi="Calibri" w:cs="Calibri"/>
                <w:i/>
                <w:iCs/>
                <w:color w:val="FFFFFF"/>
                <w:sz w:val="20"/>
              </w:rPr>
            </w:pPr>
            <w:r>
              <w:rPr>
                <w:rFonts w:ascii="Calibri" w:hAnsi="Calibri" w:cs="Calibri"/>
                <w:i/>
                <w:iCs/>
                <w:color w:val="FFFFFF"/>
                <w:sz w:val="20"/>
              </w:rPr>
              <w:t>Per cent</w:t>
            </w:r>
          </w:p>
        </w:tc>
      </w:tr>
      <w:tr w:rsidR="002C39A3" w:rsidTr="00361FA9">
        <w:tc>
          <w:tcPr>
            <w:tcW w:w="6532" w:type="dxa"/>
            <w:tcBorders>
              <w:top w:val="single" w:sz="6" w:space="0" w:color="000000"/>
            </w:tcBorders>
          </w:tcPr>
          <w:p w:rsidR="002C39A3" w:rsidRDefault="002C39A3" w:rsidP="00361FA9">
            <w:pPr>
              <w:autoSpaceDE w:val="0"/>
              <w:autoSpaceDN w:val="0"/>
              <w:adjustRightInd w:val="0"/>
              <w:spacing w:after="0"/>
              <w:ind w:left="180" w:hanging="180"/>
              <w:rPr>
                <w:rFonts w:ascii="Calibri" w:hAnsi="Calibri" w:cs="Calibri"/>
                <w:color w:val="000000"/>
                <w:sz w:val="20"/>
                <w:vertAlign w:val="superscript"/>
              </w:rPr>
            </w:pPr>
            <w:r>
              <w:rPr>
                <w:rFonts w:ascii="Calibri" w:hAnsi="Calibri" w:cs="Calibri"/>
                <w:color w:val="000000"/>
                <w:sz w:val="20"/>
              </w:rPr>
              <w:t xml:space="preserve">Discount rate </w:t>
            </w:r>
            <w:r>
              <w:rPr>
                <w:rFonts w:ascii="Calibri" w:hAnsi="Calibri" w:cs="Calibri"/>
                <w:color w:val="000000"/>
                <w:sz w:val="20"/>
                <w:vertAlign w:val="superscript"/>
              </w:rPr>
              <w:t>(b)</w:t>
            </w:r>
          </w:p>
        </w:tc>
        <w:tc>
          <w:tcPr>
            <w:tcW w:w="1133" w:type="dxa"/>
            <w:tcBorders>
              <w:top w:val="single" w:sz="6" w:space="0" w:color="000000"/>
            </w:tcBorders>
          </w:tcPr>
          <w:p w:rsidR="002C39A3" w:rsidRDefault="002C39A3" w:rsidP="00361FA9">
            <w:pPr>
              <w:keepNext/>
              <w:keepLines/>
              <w:autoSpaceDE w:val="0"/>
              <w:autoSpaceDN w:val="0"/>
              <w:adjustRightInd w:val="0"/>
              <w:spacing w:after="0"/>
              <w:jc w:val="right"/>
              <w:rPr>
                <w:rFonts w:ascii="Calibri" w:hAnsi="Calibri" w:cs="Calibri"/>
                <w:color w:val="000000"/>
                <w:sz w:val="20"/>
              </w:rPr>
            </w:pPr>
            <w:r>
              <w:rPr>
                <w:rFonts w:ascii="Calibri" w:hAnsi="Calibri" w:cs="Calibri"/>
                <w:color w:val="000000"/>
                <w:sz w:val="20"/>
              </w:rPr>
              <w:t>2.9</w:t>
            </w:r>
          </w:p>
        </w:tc>
      </w:tr>
      <w:tr w:rsidR="002C39A3" w:rsidTr="00361FA9">
        <w:tc>
          <w:tcPr>
            <w:tcW w:w="6532" w:type="dxa"/>
          </w:tcPr>
          <w:p w:rsidR="002C39A3" w:rsidRDefault="002C39A3" w:rsidP="00361FA9">
            <w:pPr>
              <w:autoSpaceDE w:val="0"/>
              <w:autoSpaceDN w:val="0"/>
              <w:adjustRightInd w:val="0"/>
              <w:spacing w:after="0"/>
              <w:ind w:left="180" w:hanging="180"/>
              <w:rPr>
                <w:rFonts w:ascii="Calibri" w:hAnsi="Calibri" w:cs="Calibri"/>
                <w:color w:val="000000"/>
                <w:sz w:val="20"/>
                <w:vertAlign w:val="superscript"/>
              </w:rPr>
            </w:pPr>
            <w:r>
              <w:rPr>
                <w:rFonts w:ascii="Calibri" w:hAnsi="Calibri" w:cs="Calibri"/>
                <w:color w:val="000000"/>
                <w:sz w:val="20"/>
              </w:rPr>
              <w:t xml:space="preserve">Wages growth </w:t>
            </w:r>
            <w:r>
              <w:rPr>
                <w:rFonts w:ascii="Calibri" w:hAnsi="Calibri" w:cs="Calibri"/>
                <w:color w:val="000000"/>
                <w:sz w:val="20"/>
                <w:vertAlign w:val="superscript"/>
              </w:rPr>
              <w:t>(c)(d)</w:t>
            </w:r>
          </w:p>
        </w:tc>
        <w:tc>
          <w:tcPr>
            <w:tcW w:w="1133" w:type="dxa"/>
          </w:tcPr>
          <w:p w:rsidR="002C39A3" w:rsidRDefault="002C39A3" w:rsidP="00361FA9">
            <w:pPr>
              <w:keepNext/>
              <w:keepLines/>
              <w:autoSpaceDE w:val="0"/>
              <w:autoSpaceDN w:val="0"/>
              <w:adjustRightInd w:val="0"/>
              <w:spacing w:after="0"/>
              <w:jc w:val="right"/>
              <w:rPr>
                <w:rFonts w:ascii="Calibri" w:hAnsi="Calibri" w:cs="Calibri"/>
                <w:color w:val="000000"/>
                <w:sz w:val="20"/>
              </w:rPr>
            </w:pPr>
            <w:r>
              <w:rPr>
                <w:rFonts w:ascii="Calibri" w:hAnsi="Calibri" w:cs="Calibri"/>
                <w:color w:val="000000"/>
                <w:sz w:val="20"/>
              </w:rPr>
              <w:t>3.4</w:t>
            </w:r>
          </w:p>
        </w:tc>
      </w:tr>
      <w:tr w:rsidR="002C39A3" w:rsidTr="00361FA9">
        <w:tc>
          <w:tcPr>
            <w:tcW w:w="6532" w:type="dxa"/>
            <w:tcBorders>
              <w:bottom w:val="single" w:sz="12" w:space="0" w:color="000000"/>
            </w:tcBorders>
          </w:tcPr>
          <w:p w:rsidR="002C39A3" w:rsidRDefault="002C39A3" w:rsidP="00361FA9">
            <w:pPr>
              <w:autoSpaceDE w:val="0"/>
              <w:autoSpaceDN w:val="0"/>
              <w:adjustRightInd w:val="0"/>
              <w:spacing w:after="0"/>
              <w:ind w:left="180" w:hanging="180"/>
              <w:rPr>
                <w:rFonts w:ascii="Calibri" w:hAnsi="Calibri" w:cs="Calibri"/>
                <w:color w:val="000000"/>
                <w:sz w:val="20"/>
                <w:vertAlign w:val="superscript"/>
              </w:rPr>
            </w:pPr>
            <w:r>
              <w:rPr>
                <w:rFonts w:ascii="Calibri" w:hAnsi="Calibri" w:cs="Calibri"/>
                <w:color w:val="000000"/>
                <w:sz w:val="20"/>
              </w:rPr>
              <w:t xml:space="preserve">Inflation rate </w:t>
            </w:r>
            <w:r>
              <w:rPr>
                <w:rFonts w:ascii="Calibri" w:hAnsi="Calibri" w:cs="Calibri"/>
                <w:color w:val="000000"/>
                <w:sz w:val="20"/>
                <w:vertAlign w:val="superscript"/>
              </w:rPr>
              <w:t>(d)(e)</w:t>
            </w:r>
          </w:p>
        </w:tc>
        <w:tc>
          <w:tcPr>
            <w:tcW w:w="1133" w:type="dxa"/>
            <w:tcBorders>
              <w:bottom w:val="single" w:sz="12" w:space="0" w:color="000000"/>
            </w:tcBorders>
          </w:tcPr>
          <w:p w:rsidR="002C39A3" w:rsidRDefault="002C39A3" w:rsidP="00361FA9">
            <w:pPr>
              <w:keepNext/>
              <w:keepLines/>
              <w:autoSpaceDE w:val="0"/>
              <w:autoSpaceDN w:val="0"/>
              <w:adjustRightInd w:val="0"/>
              <w:spacing w:after="0"/>
              <w:jc w:val="right"/>
              <w:rPr>
                <w:rFonts w:ascii="Calibri" w:hAnsi="Calibri" w:cs="Calibri"/>
                <w:color w:val="000000"/>
                <w:sz w:val="20"/>
              </w:rPr>
            </w:pPr>
            <w:r>
              <w:rPr>
                <w:rFonts w:ascii="Calibri" w:hAnsi="Calibri" w:cs="Calibri"/>
                <w:color w:val="000000"/>
                <w:sz w:val="20"/>
              </w:rPr>
              <w:t>1.9</w:t>
            </w:r>
          </w:p>
        </w:tc>
      </w:tr>
      <w:tr w:rsidR="002C39A3" w:rsidTr="00361FA9">
        <w:tc>
          <w:tcPr>
            <w:tcW w:w="6532" w:type="dxa"/>
            <w:tcBorders>
              <w:top w:val="single" w:sz="12" w:space="0" w:color="000000"/>
              <w:left w:val="single" w:sz="6" w:space="0" w:color="000000"/>
              <w:bottom w:val="single" w:sz="6" w:space="0" w:color="000000"/>
              <w:right w:val="single" w:sz="6" w:space="0" w:color="000000"/>
            </w:tcBorders>
            <w:shd w:val="clear" w:color="auto" w:fill="000000"/>
          </w:tcPr>
          <w:p w:rsidR="002C39A3" w:rsidRDefault="002C39A3" w:rsidP="00361FA9">
            <w:pPr>
              <w:autoSpaceDE w:val="0"/>
              <w:autoSpaceDN w:val="0"/>
              <w:adjustRightInd w:val="0"/>
              <w:spacing w:after="0"/>
              <w:rPr>
                <w:rFonts w:ascii="Calibri" w:hAnsi="Calibri" w:cs="Calibri"/>
                <w:i/>
                <w:iCs/>
                <w:color w:val="FFFFFF"/>
                <w:sz w:val="20"/>
                <w:vertAlign w:val="superscript"/>
              </w:rPr>
            </w:pPr>
            <w:r>
              <w:rPr>
                <w:rFonts w:ascii="Calibri" w:hAnsi="Calibri" w:cs="Calibri"/>
                <w:i/>
                <w:iCs/>
                <w:color w:val="FFFFFF"/>
                <w:sz w:val="20"/>
              </w:rPr>
              <w:t xml:space="preserve">Expected return on assets </w:t>
            </w:r>
            <w:r>
              <w:rPr>
                <w:rFonts w:ascii="Calibri" w:hAnsi="Calibri" w:cs="Calibri"/>
                <w:i/>
                <w:iCs/>
                <w:color w:val="FFFFFF"/>
                <w:sz w:val="20"/>
                <w:vertAlign w:val="superscript"/>
              </w:rPr>
              <w:t>(f)</w:t>
            </w:r>
          </w:p>
        </w:tc>
        <w:tc>
          <w:tcPr>
            <w:tcW w:w="1133" w:type="dxa"/>
            <w:tcBorders>
              <w:top w:val="single" w:sz="12" w:space="0" w:color="000000"/>
              <w:left w:val="single" w:sz="6" w:space="0" w:color="000000"/>
              <w:bottom w:val="single" w:sz="6" w:space="0" w:color="000000"/>
              <w:right w:val="single" w:sz="6" w:space="0" w:color="000000"/>
            </w:tcBorders>
            <w:shd w:val="clear" w:color="auto" w:fill="000000"/>
          </w:tcPr>
          <w:p w:rsidR="002C39A3" w:rsidRDefault="002C39A3" w:rsidP="00361FA9">
            <w:pPr>
              <w:keepNext/>
              <w:keepLines/>
              <w:autoSpaceDE w:val="0"/>
              <w:autoSpaceDN w:val="0"/>
              <w:adjustRightInd w:val="0"/>
              <w:spacing w:after="0"/>
              <w:rPr>
                <w:rFonts w:ascii="Calibri" w:hAnsi="Calibri" w:cs="Calibri"/>
                <w:i/>
                <w:iCs/>
                <w:color w:val="FFFFFF"/>
                <w:sz w:val="20"/>
                <w:vertAlign w:val="superscript"/>
              </w:rPr>
            </w:pPr>
          </w:p>
        </w:tc>
      </w:tr>
      <w:tr w:rsidR="002C39A3" w:rsidTr="00361FA9">
        <w:tc>
          <w:tcPr>
            <w:tcW w:w="6532" w:type="dxa"/>
            <w:tcBorders>
              <w:top w:val="single" w:sz="6" w:space="0" w:color="000000"/>
            </w:tcBorders>
          </w:tcPr>
          <w:p w:rsidR="002C39A3" w:rsidRDefault="002C39A3" w:rsidP="00361FA9">
            <w:pPr>
              <w:autoSpaceDE w:val="0"/>
              <w:autoSpaceDN w:val="0"/>
              <w:adjustRightInd w:val="0"/>
              <w:spacing w:after="0"/>
              <w:ind w:left="180" w:hanging="180"/>
              <w:rPr>
                <w:rFonts w:ascii="Calibri" w:hAnsi="Calibri" w:cs="Calibri"/>
                <w:color w:val="000000"/>
                <w:sz w:val="20"/>
              </w:rPr>
            </w:pPr>
            <w:r>
              <w:rPr>
                <w:rFonts w:ascii="Calibri" w:hAnsi="Calibri" w:cs="Calibri"/>
                <w:color w:val="000000"/>
                <w:sz w:val="20"/>
              </w:rPr>
              <w:t xml:space="preserve">Emergency Services and State Super </w:t>
            </w:r>
          </w:p>
        </w:tc>
        <w:tc>
          <w:tcPr>
            <w:tcW w:w="1133" w:type="dxa"/>
            <w:tcBorders>
              <w:top w:val="single" w:sz="6" w:space="0" w:color="000000"/>
            </w:tcBorders>
          </w:tcPr>
          <w:p w:rsidR="002C39A3" w:rsidRDefault="002C39A3" w:rsidP="00361FA9">
            <w:pPr>
              <w:keepNext/>
              <w:keepLines/>
              <w:autoSpaceDE w:val="0"/>
              <w:autoSpaceDN w:val="0"/>
              <w:adjustRightInd w:val="0"/>
              <w:spacing w:after="0"/>
              <w:jc w:val="right"/>
              <w:rPr>
                <w:rFonts w:ascii="Calibri" w:hAnsi="Calibri" w:cs="Calibri"/>
                <w:color w:val="000000"/>
                <w:sz w:val="20"/>
              </w:rPr>
            </w:pPr>
            <w:r>
              <w:rPr>
                <w:rFonts w:ascii="Calibri" w:hAnsi="Calibri" w:cs="Calibri"/>
                <w:color w:val="000000"/>
                <w:sz w:val="20"/>
              </w:rPr>
              <w:t>8.0</w:t>
            </w:r>
          </w:p>
        </w:tc>
      </w:tr>
      <w:tr w:rsidR="002C39A3" w:rsidTr="00361FA9">
        <w:tc>
          <w:tcPr>
            <w:tcW w:w="6532" w:type="dxa"/>
          </w:tcPr>
          <w:p w:rsidR="002C39A3" w:rsidRDefault="002C39A3" w:rsidP="00361FA9">
            <w:pPr>
              <w:autoSpaceDE w:val="0"/>
              <w:autoSpaceDN w:val="0"/>
              <w:adjustRightInd w:val="0"/>
              <w:spacing w:after="0"/>
              <w:ind w:left="180" w:hanging="180"/>
              <w:rPr>
                <w:rFonts w:ascii="Calibri" w:hAnsi="Calibri" w:cs="Calibri"/>
                <w:color w:val="000000"/>
                <w:sz w:val="20"/>
              </w:rPr>
            </w:pPr>
            <w:r>
              <w:rPr>
                <w:rFonts w:ascii="Calibri" w:hAnsi="Calibri" w:cs="Calibri"/>
                <w:color w:val="000000"/>
                <w:sz w:val="20"/>
              </w:rPr>
              <w:t>Health Super Fund Defined Benefit Scheme</w:t>
            </w:r>
          </w:p>
        </w:tc>
        <w:tc>
          <w:tcPr>
            <w:tcW w:w="1133" w:type="dxa"/>
          </w:tcPr>
          <w:p w:rsidR="002C39A3" w:rsidRDefault="002C39A3" w:rsidP="00361FA9">
            <w:pPr>
              <w:keepNext/>
              <w:keepLines/>
              <w:autoSpaceDE w:val="0"/>
              <w:autoSpaceDN w:val="0"/>
              <w:adjustRightInd w:val="0"/>
              <w:spacing w:after="0"/>
              <w:jc w:val="right"/>
              <w:rPr>
                <w:rFonts w:ascii="Calibri" w:hAnsi="Calibri" w:cs="Calibri"/>
                <w:color w:val="000000"/>
                <w:sz w:val="20"/>
              </w:rPr>
            </w:pPr>
            <w:r>
              <w:rPr>
                <w:rFonts w:ascii="Calibri" w:hAnsi="Calibri" w:cs="Calibri"/>
                <w:color w:val="000000"/>
                <w:sz w:val="20"/>
              </w:rPr>
              <w:t>5.8</w:t>
            </w:r>
          </w:p>
        </w:tc>
      </w:tr>
      <w:tr w:rsidR="002C39A3" w:rsidTr="00361FA9">
        <w:tc>
          <w:tcPr>
            <w:tcW w:w="6532" w:type="dxa"/>
            <w:tcBorders>
              <w:bottom w:val="single" w:sz="12" w:space="0" w:color="000000"/>
            </w:tcBorders>
          </w:tcPr>
          <w:p w:rsidR="002C39A3" w:rsidRDefault="002C39A3" w:rsidP="00361FA9">
            <w:pPr>
              <w:autoSpaceDE w:val="0"/>
              <w:autoSpaceDN w:val="0"/>
              <w:adjustRightInd w:val="0"/>
              <w:spacing w:after="0"/>
              <w:ind w:left="180" w:hanging="180"/>
              <w:rPr>
                <w:rFonts w:ascii="Calibri" w:hAnsi="Calibri" w:cs="Calibri"/>
                <w:color w:val="000000"/>
                <w:sz w:val="20"/>
                <w:vertAlign w:val="superscript"/>
              </w:rPr>
            </w:pPr>
            <w:r>
              <w:rPr>
                <w:rFonts w:ascii="Calibri" w:hAnsi="Calibri" w:cs="Calibri"/>
                <w:color w:val="000000"/>
                <w:sz w:val="20"/>
              </w:rPr>
              <w:t xml:space="preserve">Constitutionally protected schemes </w:t>
            </w:r>
            <w:r>
              <w:rPr>
                <w:rFonts w:ascii="Calibri" w:hAnsi="Calibri" w:cs="Calibri"/>
                <w:color w:val="000000"/>
                <w:sz w:val="20"/>
                <w:vertAlign w:val="superscript"/>
              </w:rPr>
              <w:t>(g)</w:t>
            </w:r>
          </w:p>
        </w:tc>
        <w:tc>
          <w:tcPr>
            <w:tcW w:w="1133" w:type="dxa"/>
            <w:tcBorders>
              <w:bottom w:val="single" w:sz="12" w:space="0" w:color="000000"/>
            </w:tcBorders>
          </w:tcPr>
          <w:p w:rsidR="002C39A3" w:rsidRDefault="002C39A3" w:rsidP="00361FA9">
            <w:pPr>
              <w:keepNext/>
              <w:keepLines/>
              <w:autoSpaceDE w:val="0"/>
              <w:autoSpaceDN w:val="0"/>
              <w:adjustRightInd w:val="0"/>
              <w:spacing w:after="0"/>
              <w:jc w:val="right"/>
              <w:rPr>
                <w:rFonts w:ascii="Calibri" w:hAnsi="Calibri" w:cs="Calibri"/>
                <w:color w:val="000000"/>
                <w:sz w:val="20"/>
              </w:rPr>
            </w:pPr>
            <w:r>
              <w:rPr>
                <w:rFonts w:ascii="Calibri" w:hAnsi="Calibri" w:cs="Calibri"/>
                <w:color w:val="000000"/>
                <w:sz w:val="20"/>
              </w:rPr>
              <w:t>n.a.</w:t>
            </w:r>
          </w:p>
        </w:tc>
      </w:tr>
    </w:tbl>
    <w:p w:rsidR="002C39A3" w:rsidRPr="0053627B" w:rsidRDefault="002C39A3" w:rsidP="00361FA9">
      <w:pPr>
        <w:pStyle w:val="Source"/>
      </w:pPr>
      <w:r w:rsidRPr="0053627B">
        <w:t>Source: Department of Treasury and Finance</w:t>
      </w:r>
    </w:p>
    <w:p w:rsidR="002C39A3" w:rsidRPr="0053627B" w:rsidRDefault="002C39A3" w:rsidP="00361FA9">
      <w:pPr>
        <w:tabs>
          <w:tab w:val="left" w:pos="454"/>
        </w:tabs>
        <w:autoSpaceDE w:val="0"/>
        <w:autoSpaceDN w:val="0"/>
        <w:adjustRightInd w:val="0"/>
        <w:spacing w:after="0"/>
        <w:ind w:left="461" w:hanging="461"/>
        <w:rPr>
          <w:rFonts w:ascii="Calibri" w:hAnsi="Calibri"/>
          <w:i/>
          <w:sz w:val="15"/>
        </w:rPr>
      </w:pPr>
      <w:r w:rsidRPr="0053627B">
        <w:rPr>
          <w:rFonts w:ascii="Calibri" w:hAnsi="Calibri"/>
          <w:i/>
          <w:sz w:val="15"/>
        </w:rPr>
        <w:t>Notes:</w:t>
      </w:r>
    </w:p>
    <w:p w:rsidR="002C39A3" w:rsidRPr="0053627B" w:rsidRDefault="002C39A3" w:rsidP="00361FA9">
      <w:pPr>
        <w:tabs>
          <w:tab w:val="left" w:pos="454"/>
        </w:tabs>
        <w:autoSpaceDE w:val="0"/>
        <w:autoSpaceDN w:val="0"/>
        <w:adjustRightInd w:val="0"/>
        <w:spacing w:after="0"/>
        <w:ind w:left="461" w:hanging="461"/>
        <w:rPr>
          <w:rFonts w:ascii="Calibri" w:hAnsi="Calibri"/>
          <w:i/>
          <w:sz w:val="15"/>
        </w:rPr>
      </w:pPr>
      <w:r w:rsidRPr="0053627B">
        <w:rPr>
          <w:rFonts w:ascii="Calibri" w:hAnsi="Calibri"/>
          <w:i/>
          <w:sz w:val="15"/>
        </w:rPr>
        <w:t>(a)</w:t>
      </w:r>
      <w:r w:rsidRPr="0053627B">
        <w:rPr>
          <w:rFonts w:ascii="Calibri" w:hAnsi="Calibri"/>
          <w:i/>
          <w:sz w:val="15"/>
        </w:rPr>
        <w:tab/>
        <w:t>All rates are nominal annual rates and are applicable to all the listed schemes.</w:t>
      </w:r>
    </w:p>
    <w:p w:rsidR="002C39A3" w:rsidRPr="0053627B" w:rsidRDefault="002C39A3" w:rsidP="00361FA9">
      <w:pPr>
        <w:tabs>
          <w:tab w:val="left" w:pos="454"/>
        </w:tabs>
        <w:autoSpaceDE w:val="0"/>
        <w:autoSpaceDN w:val="0"/>
        <w:adjustRightInd w:val="0"/>
        <w:spacing w:after="0"/>
        <w:ind w:left="461" w:hanging="461"/>
        <w:rPr>
          <w:rFonts w:ascii="Calibri" w:hAnsi="Calibri"/>
          <w:i/>
          <w:sz w:val="15"/>
        </w:rPr>
      </w:pPr>
      <w:r w:rsidRPr="0053627B">
        <w:rPr>
          <w:rFonts w:ascii="Calibri" w:hAnsi="Calibri"/>
          <w:i/>
          <w:sz w:val="15"/>
        </w:rPr>
        <w:t>(b)</w:t>
      </w:r>
      <w:r w:rsidRPr="0053627B">
        <w:rPr>
          <w:rFonts w:ascii="Calibri" w:hAnsi="Calibri"/>
          <w:i/>
          <w:sz w:val="15"/>
        </w:rPr>
        <w:tab/>
        <w:t>The discount rate is based on a long</w:t>
      </w:r>
      <w:r>
        <w:rPr>
          <w:rFonts w:ascii="Calibri" w:hAnsi="Calibri"/>
          <w:i/>
          <w:sz w:val="15"/>
        </w:rPr>
        <w:noBreakHyphen/>
      </w:r>
      <w:r w:rsidRPr="0053627B">
        <w:rPr>
          <w:rFonts w:ascii="Calibri" w:hAnsi="Calibri"/>
          <w:i/>
          <w:sz w:val="15"/>
        </w:rPr>
        <w:t>term fixed interest Commonwealth Government bond rate. The rate stated above is an annual effective rate, gross of tax.</w:t>
      </w:r>
    </w:p>
    <w:p w:rsidR="002C39A3" w:rsidRDefault="002C39A3" w:rsidP="00361FA9">
      <w:pPr>
        <w:tabs>
          <w:tab w:val="left" w:pos="454"/>
        </w:tabs>
        <w:autoSpaceDE w:val="0"/>
        <w:autoSpaceDN w:val="0"/>
        <w:adjustRightInd w:val="0"/>
        <w:spacing w:after="0"/>
        <w:ind w:left="461" w:hanging="461"/>
        <w:rPr>
          <w:rFonts w:ascii="Calibri" w:hAnsi="Calibri"/>
          <w:i/>
          <w:sz w:val="15"/>
        </w:rPr>
      </w:pPr>
      <w:r w:rsidRPr="00476109">
        <w:rPr>
          <w:rFonts w:ascii="Calibri" w:hAnsi="Calibri"/>
          <w:i/>
          <w:sz w:val="15"/>
        </w:rPr>
        <w:t>(c)</w:t>
      </w:r>
      <w:r w:rsidRPr="00476109">
        <w:rPr>
          <w:rFonts w:ascii="Calibri" w:hAnsi="Calibri"/>
          <w:i/>
          <w:sz w:val="15"/>
        </w:rPr>
        <w:tab/>
      </w:r>
      <w:r w:rsidRPr="00253B8D">
        <w:rPr>
          <w:rFonts w:ascii="Calibri" w:hAnsi="Calibri"/>
          <w:i/>
          <w:sz w:val="15"/>
        </w:rPr>
        <w:t>Based on the historical relationship between price and wage inflation, wages growth is assumed to be 1.5 per cent higher than price inflation.</w:t>
      </w:r>
      <w:r>
        <w:rPr>
          <w:rFonts w:ascii="Calibri" w:hAnsi="Calibri"/>
          <w:i/>
          <w:sz w:val="15"/>
        </w:rPr>
        <w:t xml:space="preserve"> </w:t>
      </w:r>
    </w:p>
    <w:p w:rsidR="002C39A3" w:rsidRDefault="002C39A3" w:rsidP="00361FA9">
      <w:pPr>
        <w:tabs>
          <w:tab w:val="left" w:pos="454"/>
        </w:tabs>
        <w:autoSpaceDE w:val="0"/>
        <w:autoSpaceDN w:val="0"/>
        <w:adjustRightInd w:val="0"/>
        <w:spacing w:after="0"/>
        <w:ind w:left="461" w:hanging="461"/>
        <w:rPr>
          <w:rFonts w:ascii="Calibri" w:hAnsi="Calibri"/>
          <w:i/>
          <w:sz w:val="15"/>
        </w:rPr>
      </w:pPr>
      <w:r>
        <w:rPr>
          <w:rFonts w:ascii="Calibri" w:hAnsi="Calibri"/>
          <w:i/>
          <w:sz w:val="15"/>
        </w:rPr>
        <w:t>(d)</w:t>
      </w:r>
      <w:r>
        <w:rPr>
          <w:rFonts w:ascii="Calibri" w:hAnsi="Calibri"/>
          <w:i/>
          <w:sz w:val="15"/>
        </w:rPr>
        <w:tab/>
      </w:r>
      <w:r w:rsidRPr="00AE0047">
        <w:rPr>
          <w:rFonts w:ascii="Calibri" w:hAnsi="Calibri"/>
          <w:i/>
          <w:sz w:val="15"/>
        </w:rPr>
        <w:t>The superannuation assumptions are determined in accordance with Australian accounting standard AASB 119 Employee Benefits which requires that they be based on Com</w:t>
      </w:r>
      <w:r>
        <w:rPr>
          <w:rFonts w:ascii="Calibri" w:hAnsi="Calibri"/>
          <w:i/>
          <w:sz w:val="15"/>
        </w:rPr>
        <w:t>monwealth government bond yields</w:t>
      </w:r>
      <w:r w:rsidRPr="00AE0047">
        <w:rPr>
          <w:rFonts w:ascii="Calibri" w:hAnsi="Calibri"/>
          <w:i/>
          <w:sz w:val="15"/>
        </w:rPr>
        <w:t xml:space="preserve">. These assumptions therefore differ from the key economic assumptions in this note, and Budget </w:t>
      </w:r>
      <w:r w:rsidRPr="00B22CCC">
        <w:rPr>
          <w:rFonts w:ascii="Calibri" w:hAnsi="Calibri"/>
          <w:i/>
          <w:sz w:val="15"/>
        </w:rPr>
        <w:t>Paper No. 2, Chapter 2</w:t>
      </w:r>
      <w:r>
        <w:rPr>
          <w:rFonts w:ascii="Calibri" w:hAnsi="Calibri"/>
          <w:sz w:val="15"/>
        </w:rPr>
        <w:t xml:space="preserve"> Economic Context</w:t>
      </w:r>
      <w:r w:rsidRPr="00AE0047">
        <w:rPr>
          <w:rFonts w:ascii="Calibri" w:hAnsi="Calibri"/>
          <w:i/>
          <w:sz w:val="15"/>
        </w:rPr>
        <w:t>, which reflect the expected change in consumer prices in Melbo</w:t>
      </w:r>
      <w:r>
        <w:rPr>
          <w:rFonts w:ascii="Calibri" w:hAnsi="Calibri"/>
          <w:i/>
          <w:sz w:val="15"/>
        </w:rPr>
        <w:t>urne and movements in the price</w:t>
      </w:r>
      <w:r w:rsidRPr="00AE0047">
        <w:rPr>
          <w:rFonts w:ascii="Calibri" w:hAnsi="Calibri"/>
          <w:i/>
          <w:sz w:val="15"/>
        </w:rPr>
        <w:t xml:space="preserve"> of wages and salaries in the Victorian labour market</w:t>
      </w:r>
      <w:r>
        <w:rPr>
          <w:rFonts w:ascii="Calibri" w:hAnsi="Calibri"/>
          <w:i/>
          <w:sz w:val="15"/>
        </w:rPr>
        <w:t>.</w:t>
      </w:r>
    </w:p>
    <w:p w:rsidR="002C39A3" w:rsidRPr="0053627B" w:rsidRDefault="002C39A3" w:rsidP="00361FA9">
      <w:pPr>
        <w:tabs>
          <w:tab w:val="left" w:pos="454"/>
        </w:tabs>
        <w:autoSpaceDE w:val="0"/>
        <w:autoSpaceDN w:val="0"/>
        <w:adjustRightInd w:val="0"/>
        <w:spacing w:after="0"/>
        <w:ind w:left="461" w:hanging="461"/>
        <w:rPr>
          <w:rFonts w:ascii="Calibri" w:hAnsi="Calibri"/>
          <w:i/>
          <w:sz w:val="15"/>
        </w:rPr>
      </w:pPr>
      <w:r>
        <w:rPr>
          <w:rFonts w:ascii="Calibri" w:hAnsi="Calibri"/>
          <w:i/>
          <w:sz w:val="15"/>
        </w:rPr>
        <w:t>(e</w:t>
      </w:r>
      <w:r w:rsidRPr="0053627B">
        <w:rPr>
          <w:rFonts w:ascii="Calibri" w:hAnsi="Calibri"/>
          <w:i/>
          <w:sz w:val="15"/>
        </w:rPr>
        <w:t>)</w:t>
      </w:r>
      <w:r w:rsidRPr="0053627B">
        <w:rPr>
          <w:rFonts w:ascii="Calibri" w:hAnsi="Calibri"/>
          <w:i/>
          <w:sz w:val="15"/>
        </w:rPr>
        <w:tab/>
        <w:t>The inflation rate assumed by the actuary reflects market expectations of price inflation, implied from the relationship between the yields on nominal and inflation linked Commonwealth Government bonds. This ensures consistency with the prescribed (i.e. market</w:t>
      </w:r>
      <w:r>
        <w:rPr>
          <w:rFonts w:ascii="Calibri" w:hAnsi="Calibri"/>
          <w:i/>
          <w:sz w:val="15"/>
        </w:rPr>
        <w:noBreakHyphen/>
      </w:r>
      <w:r w:rsidRPr="0053627B">
        <w:rPr>
          <w:rFonts w:ascii="Calibri" w:hAnsi="Calibri"/>
          <w:i/>
          <w:sz w:val="15"/>
        </w:rPr>
        <w:t>based) discount rate.</w:t>
      </w:r>
    </w:p>
    <w:p w:rsidR="002C39A3" w:rsidRPr="0053627B" w:rsidRDefault="002C39A3" w:rsidP="00361FA9">
      <w:pPr>
        <w:tabs>
          <w:tab w:val="left" w:pos="454"/>
        </w:tabs>
        <w:autoSpaceDE w:val="0"/>
        <w:autoSpaceDN w:val="0"/>
        <w:adjustRightInd w:val="0"/>
        <w:spacing w:after="0"/>
        <w:ind w:left="461" w:hanging="461"/>
        <w:rPr>
          <w:rFonts w:ascii="Calibri" w:hAnsi="Calibri"/>
          <w:i/>
          <w:sz w:val="15"/>
        </w:rPr>
      </w:pPr>
      <w:r w:rsidRPr="0053627B">
        <w:rPr>
          <w:rFonts w:ascii="Calibri" w:hAnsi="Calibri"/>
          <w:i/>
          <w:sz w:val="15"/>
        </w:rPr>
        <w:t>(</w:t>
      </w:r>
      <w:r>
        <w:rPr>
          <w:rFonts w:ascii="Calibri" w:hAnsi="Calibri"/>
          <w:i/>
          <w:sz w:val="15"/>
        </w:rPr>
        <w:t>f</w:t>
      </w:r>
      <w:r w:rsidRPr="0053627B">
        <w:rPr>
          <w:rFonts w:ascii="Calibri" w:hAnsi="Calibri"/>
          <w:i/>
          <w:sz w:val="15"/>
        </w:rPr>
        <w:t>)</w:t>
      </w:r>
      <w:r w:rsidRPr="0053627B">
        <w:rPr>
          <w:rFonts w:ascii="Calibri" w:hAnsi="Calibri"/>
          <w:i/>
          <w:sz w:val="15"/>
        </w:rPr>
        <w:tab/>
        <w:t>The expected return on assets stated is gross of tax. Estimated tax payments are explicitly allowed for in the calculation process.</w:t>
      </w:r>
    </w:p>
    <w:p w:rsidR="002C39A3" w:rsidRPr="001556DA" w:rsidRDefault="002C39A3" w:rsidP="00361FA9">
      <w:pPr>
        <w:tabs>
          <w:tab w:val="left" w:pos="454"/>
        </w:tabs>
        <w:autoSpaceDE w:val="0"/>
        <w:autoSpaceDN w:val="0"/>
        <w:adjustRightInd w:val="0"/>
        <w:spacing w:after="0"/>
        <w:ind w:left="461" w:hanging="461"/>
        <w:rPr>
          <w:rFonts w:ascii="Calibri" w:hAnsi="Calibri"/>
          <w:i/>
          <w:sz w:val="15"/>
        </w:rPr>
      </w:pPr>
      <w:r w:rsidRPr="0053627B">
        <w:rPr>
          <w:rFonts w:ascii="Calibri" w:hAnsi="Calibri"/>
          <w:i/>
          <w:sz w:val="15"/>
        </w:rPr>
        <w:t>(</w:t>
      </w:r>
      <w:r>
        <w:rPr>
          <w:rFonts w:ascii="Calibri" w:hAnsi="Calibri"/>
          <w:i/>
          <w:sz w:val="15"/>
        </w:rPr>
        <w:t>g</w:t>
      </w:r>
      <w:r w:rsidRPr="0053627B">
        <w:rPr>
          <w:rFonts w:ascii="Calibri" w:hAnsi="Calibri"/>
          <w:i/>
          <w:sz w:val="15"/>
        </w:rPr>
        <w:t>)</w:t>
      </w:r>
      <w:r w:rsidRPr="0053627B">
        <w:rPr>
          <w:rFonts w:ascii="Calibri" w:hAnsi="Calibri"/>
          <w:i/>
          <w:sz w:val="15"/>
        </w:rPr>
        <w:tab/>
        <w:t>Pensions payable from constitutionally protected schemes are paid from the Consolidated Fund. These schemes hold no assets so there is no expected return on assets.</w:t>
      </w:r>
    </w:p>
    <w:p w:rsidR="002C39A3" w:rsidRPr="007A3B3B" w:rsidRDefault="002C39A3" w:rsidP="00361FA9">
      <w:pPr>
        <w:pStyle w:val="Heading2NotesContd"/>
      </w:pPr>
      <w:r w:rsidRPr="002A768D">
        <w:t>Note</w:t>
      </w:r>
      <w:r>
        <w:t xml:space="preserve"> 1: </w:t>
      </w:r>
      <w:r>
        <w:tab/>
      </w:r>
      <w:r w:rsidRPr="00476F8A">
        <w:t xml:space="preserve">Statement of significant accounting policies and forecast assumptions </w:t>
      </w:r>
      <w:r w:rsidRPr="002A768D">
        <w:rPr>
          <w:i/>
        </w:rPr>
        <w:t>(continued)</w:t>
      </w:r>
    </w:p>
    <w:p w:rsidR="002C39A3" w:rsidRPr="0040125C" w:rsidRDefault="002C39A3" w:rsidP="00361FA9">
      <w:pPr>
        <w:pStyle w:val="Heading4"/>
      </w:pPr>
      <w:r w:rsidRPr="0040125C">
        <w:t>Service concession arrangements (otherwise referred to as public private partnerships)</w:t>
      </w:r>
    </w:p>
    <w:p w:rsidR="002C39A3" w:rsidRPr="0040125C" w:rsidRDefault="002C39A3" w:rsidP="00361FA9">
      <w:r>
        <w:t>From time to time, t</w:t>
      </w:r>
      <w:r w:rsidRPr="0040125C">
        <w:t xml:space="preserve">he State enters into concession arrangements with the private sector to design, construct or upgrade assets used to provide public services. These arrangements may include operational and maintenance services for a specified period of time. </w:t>
      </w:r>
    </w:p>
    <w:p w:rsidR="002C39A3" w:rsidRPr="0040125C" w:rsidRDefault="002C39A3" w:rsidP="00361FA9">
      <w:r>
        <w:t xml:space="preserve">In accordance with the accounting policies applicable to service concession arrangements outlined in the </w:t>
      </w:r>
      <w:r w:rsidRPr="00C47717">
        <w:rPr>
          <w:i/>
        </w:rPr>
        <w:t xml:space="preserve">2014-15 Financial Report </w:t>
      </w:r>
      <w:r>
        <w:t>for the State of Victoria, p</w:t>
      </w:r>
      <w:r w:rsidRPr="0040125C">
        <w:t>rojects approved as public private partnershi</w:t>
      </w:r>
      <w:r>
        <w:t>ps are budgeted as private public partnerships</w:t>
      </w:r>
      <w:r w:rsidRPr="0040125C">
        <w:t xml:space="preserve"> from the date of approval. </w:t>
      </w:r>
    </w:p>
    <w:p w:rsidR="002C39A3" w:rsidRPr="00594519" w:rsidRDefault="002C39A3" w:rsidP="00361FA9">
      <w:pPr>
        <w:spacing w:after="0"/>
        <w:rPr>
          <w:rFonts w:ascii="Calibri" w:hAnsi="Calibri" w:cs="Calibri"/>
          <w:b/>
          <w:bCs/>
          <w:color w:val="000000"/>
        </w:rPr>
      </w:pPr>
      <w:r w:rsidRPr="0040125C">
        <w:t>Some service concession arrangements</w:t>
      </w:r>
      <w:r>
        <w:t>, such as user pay toll roads,</w:t>
      </w:r>
      <w:r w:rsidRPr="00625816">
        <w:t xml:space="preserve"> </w:t>
      </w:r>
      <w:r>
        <w:t xml:space="preserve">involve the State granting the private sector concessionaire </w:t>
      </w:r>
      <w:r w:rsidRPr="00E97613">
        <w:t>a right</w:t>
      </w:r>
      <w:r>
        <w:t xml:space="preserve"> to earn revenue from</w:t>
      </w:r>
      <w:r w:rsidRPr="00E97613">
        <w:t xml:space="preserve"> third-party user</w:t>
      </w:r>
      <w:r>
        <w:t>s</w:t>
      </w:r>
      <w:r w:rsidRPr="00E97613">
        <w:t xml:space="preserve"> of the service concession asset</w:t>
      </w:r>
      <w:r>
        <w:t>. Usually the</w:t>
      </w:r>
      <w:r w:rsidRPr="0040125C">
        <w:t xml:space="preserve"> State </w:t>
      </w:r>
      <w:r>
        <w:t>will</w:t>
      </w:r>
      <w:r w:rsidRPr="0040125C">
        <w:t xml:space="preserve"> take control of the asset at the end of the concession period. As there is currently no authoritative accounting guidance to </w:t>
      </w:r>
      <w:r>
        <w:t>recognise and measure</w:t>
      </w:r>
      <w:r w:rsidRPr="0040125C">
        <w:t xml:space="preserve"> these assets, they are not recognised in the Estimated Financial Statements. </w:t>
      </w:r>
      <w:r>
        <w:t>There are no such concessions ending within the period of the Estimated Financial Statements.</w:t>
      </w:r>
    </w:p>
    <w:p w:rsidR="002C39A3" w:rsidRPr="0040125C" w:rsidRDefault="002C39A3" w:rsidP="00361FA9">
      <w:pPr>
        <w:pStyle w:val="Heading3Numbering"/>
        <w:tabs>
          <w:tab w:val="num" w:pos="720"/>
        </w:tabs>
        <w:ind w:left="720" w:hanging="720"/>
      </w:pPr>
      <w:r w:rsidRPr="0040125C">
        <w:t>Sensitivity analysis</w:t>
      </w:r>
    </w:p>
    <w:p w:rsidR="002C39A3" w:rsidRPr="0040125C" w:rsidRDefault="002C39A3" w:rsidP="00361FA9">
      <w:r w:rsidRPr="00063B8D">
        <w:t xml:space="preserve">Appendix A </w:t>
      </w:r>
      <w:r w:rsidRPr="00063B8D">
        <w:rPr>
          <w:i/>
        </w:rPr>
        <w:t>Sensitivity analysis</w:t>
      </w:r>
      <w:r w:rsidRPr="00063B8D">
        <w:t xml:space="preserve"> </w:t>
      </w:r>
      <w:r w:rsidRPr="005679F7">
        <w:t>contained in Budget Paper No. 2 estimate</w:t>
      </w:r>
      <w:r>
        <w:t xml:space="preserve">s </w:t>
      </w:r>
      <w:r w:rsidRPr="005679F7">
        <w:t xml:space="preserve">the impact on </w:t>
      </w:r>
      <w:r>
        <w:t>revenue</w:t>
      </w:r>
      <w:r w:rsidRPr="005679F7">
        <w:t>, expenses, the net result from transactions, the net result, and net debt associated with variations to forecasts of selected economic and financial variables.</w:t>
      </w:r>
    </w:p>
    <w:p w:rsidR="002C39A3" w:rsidRDefault="002C39A3">
      <w:pPr>
        <w:spacing w:after="0"/>
        <w:rPr>
          <w:rFonts w:ascii="Calibri" w:hAnsi="Calibri"/>
          <w:b/>
          <w:i/>
          <w:kern w:val="28"/>
          <w:sz w:val="24"/>
          <w:szCs w:val="22"/>
        </w:rPr>
      </w:pPr>
      <w:r>
        <w:br w:type="page"/>
      </w:r>
    </w:p>
    <w:p w:rsidR="002C39A3" w:rsidRPr="0070694C" w:rsidRDefault="002C39A3" w:rsidP="00361FA9">
      <w:pPr>
        <w:pStyle w:val="Heading2NotesContd"/>
        <w:rPr>
          <w:i/>
        </w:rPr>
      </w:pPr>
      <w:r w:rsidRPr="002A768D">
        <w:t>Note</w:t>
      </w:r>
      <w:r>
        <w:t xml:space="preserve"> 1: </w:t>
      </w:r>
      <w:r>
        <w:tab/>
      </w:r>
      <w:r w:rsidRPr="00476F8A">
        <w:t xml:space="preserve">Statement of significant accounting policies and forecast assumptions </w:t>
      </w:r>
      <w:r w:rsidRPr="0070694C">
        <w:rPr>
          <w:i/>
        </w:rPr>
        <w:t>(continued)</w:t>
      </w:r>
    </w:p>
    <w:p w:rsidR="002C39A3" w:rsidRPr="00D26163" w:rsidRDefault="002C39A3" w:rsidP="00361FA9">
      <w:pPr>
        <w:pStyle w:val="Heading3Numbering"/>
        <w:tabs>
          <w:tab w:val="num" w:pos="720"/>
        </w:tabs>
        <w:ind w:left="720" w:hanging="720"/>
      </w:pPr>
      <w:r w:rsidRPr="00D26163">
        <w:t xml:space="preserve">Prospective accounting </w:t>
      </w:r>
      <w:r>
        <w:t xml:space="preserve">and reporting </w:t>
      </w:r>
      <w:r w:rsidRPr="00D26163">
        <w:t>changes</w:t>
      </w:r>
    </w:p>
    <w:p w:rsidR="002C39A3" w:rsidRPr="00D26163" w:rsidRDefault="002C39A3" w:rsidP="00361FA9">
      <w:r w:rsidRPr="00D26163">
        <w:t>Certain new and revised accounti</w:t>
      </w:r>
      <w:r>
        <w:t>ng standards have been issued</w:t>
      </w:r>
      <w:r w:rsidRPr="00D26163">
        <w:t xml:space="preserve"> bu</w:t>
      </w:r>
      <w:r>
        <w:t>t are not effective for the 2016</w:t>
      </w:r>
      <w:r>
        <w:noBreakHyphen/>
        <w:t>17</w:t>
      </w:r>
      <w:r w:rsidRPr="00D26163">
        <w:t xml:space="preserve"> reporting period. </w:t>
      </w:r>
      <w:r>
        <w:t xml:space="preserve">There is no intention to early adopt these accounting standards and they have not been applied to the Estimated Financial Statements. </w:t>
      </w:r>
      <w:r w:rsidRPr="00D26163">
        <w:t>The</w:t>
      </w:r>
      <w:r>
        <w:t>se accounting standards</w:t>
      </w:r>
      <w:r w:rsidRPr="00D26163">
        <w:t xml:space="preserve"> include: </w:t>
      </w:r>
    </w:p>
    <w:p w:rsidR="002C39A3" w:rsidRPr="00D26163" w:rsidRDefault="002C39A3" w:rsidP="00361FA9">
      <w:pPr>
        <w:pStyle w:val="BulletText"/>
      </w:pPr>
      <w:r w:rsidRPr="00D26163">
        <w:t>AASB 15 </w:t>
      </w:r>
      <w:r w:rsidRPr="00D26163">
        <w:rPr>
          <w:i/>
        </w:rPr>
        <w:t>Revenue from Contracts with Customers</w:t>
      </w:r>
      <w:r>
        <w:t>, operative for</w:t>
      </w:r>
      <w:r w:rsidRPr="00D26163">
        <w:t xml:space="preserve"> </w:t>
      </w:r>
      <w:r>
        <w:t xml:space="preserve">reporting periods commencing </w:t>
      </w:r>
      <w:r w:rsidRPr="00D26163">
        <w:t>1 January 2017. The core principle of AASB 15 requires an entity to recognise revenue when the entity satisfies a performance obligation by transferring a promised good or service to a customer. The State is reviewing its existing revenue recognition policy to assess the potential implications arising from AASB 15.</w:t>
      </w:r>
    </w:p>
    <w:p w:rsidR="002C39A3" w:rsidRDefault="002C39A3" w:rsidP="00361FA9">
      <w:pPr>
        <w:pStyle w:val="BulletText"/>
      </w:pPr>
      <w:r w:rsidRPr="00D26163">
        <w:t xml:space="preserve">AASB 9 </w:t>
      </w:r>
      <w:r w:rsidRPr="00D26163">
        <w:rPr>
          <w:i/>
        </w:rPr>
        <w:t xml:space="preserve">Financial Instruments, </w:t>
      </w:r>
      <w:r w:rsidRPr="00D26163">
        <w:t>operative for reporting periods beginning from 1 January 2018 as revised by AASB 2014</w:t>
      </w:r>
      <w:r>
        <w:noBreakHyphen/>
      </w:r>
      <w:r w:rsidRPr="00D26163">
        <w:t xml:space="preserve">1 </w:t>
      </w:r>
      <w:r w:rsidRPr="00D26163">
        <w:rPr>
          <w:i/>
        </w:rPr>
        <w:t xml:space="preserve">Amendments to Australian Accounting Standards </w:t>
      </w:r>
      <w:r w:rsidRPr="00D26163">
        <w:t>(Part E</w:t>
      </w:r>
      <w:r w:rsidRPr="00D26163">
        <w:rPr>
          <w:i/>
        </w:rPr>
        <w:t xml:space="preserve"> Financial Instruments</w:t>
      </w:r>
      <w:r w:rsidRPr="00D26163">
        <w:t>). The key changes introduced by AASB 9 include the simplified requirements for the classification and measurement of financial assets, a new hedging accounting model and a revised impairment loss model to recognise impairment losses earlier, as opposed to the current approach that recognises impairment only when incurred.</w:t>
      </w:r>
      <w:r>
        <w:t xml:space="preserve"> The State is reviewing its existing policies to make changes as required.</w:t>
      </w:r>
    </w:p>
    <w:p w:rsidR="002C39A3" w:rsidRPr="00841A87" w:rsidRDefault="002C39A3" w:rsidP="00361FA9">
      <w:pPr>
        <w:pStyle w:val="BulletText"/>
      </w:pPr>
      <w:r w:rsidRPr="00841A87">
        <w:t xml:space="preserve">AASB 16 </w:t>
      </w:r>
      <w:r w:rsidRPr="00841A87">
        <w:rPr>
          <w:i/>
        </w:rPr>
        <w:t>Leases</w:t>
      </w:r>
      <w:r w:rsidRPr="00841A87">
        <w:t>, operative</w:t>
      </w:r>
      <w:r w:rsidRPr="00841A87">
        <w:rPr>
          <w:i/>
        </w:rPr>
        <w:t xml:space="preserve"> </w:t>
      </w:r>
      <w:r w:rsidRPr="00841A87">
        <w:t>for reporting periods beginning from 1 January 2019. The key changes introduced by AASB 16 include the recognition of most operating leases on balance sheet. The State is reviewing its existing policy to assess the potential implications arising from AASB 16.</w:t>
      </w:r>
    </w:p>
    <w:p w:rsidR="002C39A3" w:rsidRPr="00D26163" w:rsidRDefault="002C39A3" w:rsidP="00361FA9">
      <w:pPr>
        <w:pStyle w:val="BulletText"/>
        <w:numPr>
          <w:ilvl w:val="0"/>
          <w:numId w:val="0"/>
        </w:numPr>
      </w:pPr>
      <w:r w:rsidRPr="00D26163">
        <w:t xml:space="preserve">Several other amending standards and AASB interpretations have been issued that </w:t>
      </w:r>
      <w:r>
        <w:t>apply</w:t>
      </w:r>
      <w:r w:rsidRPr="00D26163">
        <w:t xml:space="preserve"> </w:t>
      </w:r>
      <w:r>
        <w:t>to</w:t>
      </w:r>
      <w:r w:rsidRPr="00D26163">
        <w:t xml:space="preserve"> future reporting periods, but are considered to have limited impact on public sector reporting.</w:t>
      </w:r>
    </w:p>
    <w:p w:rsidR="002C39A3" w:rsidRPr="000F3DAE" w:rsidRDefault="002C39A3" w:rsidP="00361FA9">
      <w:r w:rsidRPr="007F213C">
        <w:t xml:space="preserve">The Australian Bureau of Statistics (ABS) recently released a new manual, </w:t>
      </w:r>
      <w:r w:rsidRPr="00DB273F">
        <w:rPr>
          <w:i/>
        </w:rPr>
        <w:t>Australian System of Government Finance Statistics: Concepts, Sources and Methods 2015</w:t>
      </w:r>
      <w:r w:rsidRPr="007F213C">
        <w:t xml:space="preserve"> on 23 December 2015. For financial reporting under AASB 1049, the new manual will apply for reporting periods beginning from 1 July 2018. The State will assess the potential reporting implications of the amendments.</w:t>
      </w:r>
    </w:p>
    <w:p w:rsidR="002C39A3" w:rsidRDefault="002C39A3" w:rsidP="00361FA9"/>
    <w:p w:rsidR="002C39A3" w:rsidRDefault="002C39A3" w:rsidP="00361FA9"/>
    <w:p w:rsidR="002C39A3" w:rsidRDefault="002C39A3">
      <w:pPr>
        <w:spacing w:after="0"/>
        <w:rPr>
          <w:rFonts w:ascii="Calibri" w:hAnsi="Calibri"/>
          <w:b/>
          <w:kern w:val="28"/>
          <w:sz w:val="26"/>
          <w:szCs w:val="22"/>
        </w:rPr>
      </w:pPr>
      <w:r>
        <w:br w:type="page"/>
      </w:r>
    </w:p>
    <w:p w:rsidR="002C39A3" w:rsidRDefault="002C39A3" w:rsidP="00361FA9">
      <w:pPr>
        <w:pStyle w:val="Heading2Notes"/>
      </w:pPr>
      <w:bookmarkStart w:id="7" w:name="_Toc448928297"/>
      <w:r>
        <w:t>Note 2:</w:t>
      </w:r>
      <w:r>
        <w:tab/>
        <w:t>Taxation revenue</w:t>
      </w:r>
      <w:bookmarkEnd w:id="7"/>
    </w:p>
    <w:p w:rsidR="002C39A3" w:rsidRPr="00114E35" w:rsidRDefault="002C39A3" w:rsidP="00361FA9">
      <w:pPr>
        <w:pStyle w:val="million"/>
        <w:rPr>
          <w:rFonts w:eastAsiaTheme="minorEastAsia"/>
          <w:b/>
          <w:bCs/>
          <w:lang w:val="en-US" w:eastAsia="en-AU"/>
        </w:rPr>
      </w:pPr>
      <w:r w:rsidRPr="000241D1">
        <w:t>($ million)</w:t>
      </w:r>
    </w:p>
    <w:tbl>
      <w:tblPr>
        <w:tblW w:w="7766"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1"/>
        <w:gridCol w:w="850"/>
      </w:tblGrid>
      <w:tr w:rsidR="002C39A3" w:rsidRPr="00114E35" w:rsidTr="00361FA9">
        <w:trPr>
          <w:trHeight w:val="464"/>
          <w:tblHeader/>
        </w:trPr>
        <w:tc>
          <w:tcPr>
            <w:tcW w:w="4365"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2016-17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2017-18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1"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2018-19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2019-20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Taxes on employers</w:t>
            </w:r>
            <w:r w:rsidR="0097550F">
              <w:rPr>
                <w:rFonts w:ascii="Calibri" w:eastAsiaTheme="minorEastAsia" w:hAnsi="Calibri" w:cs="Calibri"/>
                <w:b/>
                <w:bCs/>
                <w:color w:val="000000"/>
                <w:sz w:val="19"/>
                <w:szCs w:val="19"/>
                <w:lang w:eastAsia="en-AU"/>
              </w:rPr>
              <w:t>’</w:t>
            </w:r>
            <w:r w:rsidRPr="00114E35">
              <w:rPr>
                <w:rFonts w:ascii="Calibri" w:eastAsiaTheme="minorEastAsia" w:hAnsi="Calibri" w:cs="Calibri"/>
                <w:b/>
                <w:bCs/>
                <w:color w:val="000000"/>
                <w:sz w:val="19"/>
                <w:szCs w:val="19"/>
                <w:lang w:eastAsia="en-AU"/>
              </w:rPr>
              <w:t xml:space="preserve"> payroll and labour force</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5 671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5 933</w:t>
            </w:r>
          </w:p>
        </w:tc>
        <w:tc>
          <w:tcPr>
            <w:tcW w:w="851"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6 212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6 507</w:t>
            </w:r>
          </w:p>
        </w:tc>
      </w:tr>
      <w:tr w:rsidR="002C39A3" w:rsidRPr="00114E35" w:rsidTr="00361FA9">
        <w:tc>
          <w:tcPr>
            <w:tcW w:w="7766" w:type="dxa"/>
            <w:gridSpan w:val="5"/>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Taxes on property</w:t>
            </w:r>
          </w:p>
        </w:tc>
      </w:tr>
      <w:tr w:rsidR="002C39A3" w:rsidRPr="00114E35" w:rsidTr="00361FA9">
        <w:tc>
          <w:tcPr>
            <w:tcW w:w="7766" w:type="dxa"/>
            <w:gridSpan w:val="5"/>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Taxes on immovable property</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Land tax</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2 225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2 174</w:t>
            </w:r>
          </w:p>
        </w:tc>
        <w:tc>
          <w:tcPr>
            <w:tcW w:w="851"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2 459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2 398</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Fire Services Property Levy</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674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684</w:t>
            </w:r>
          </w:p>
        </w:tc>
        <w:tc>
          <w:tcPr>
            <w:tcW w:w="851"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678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687</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Congestion levy</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118</w:t>
            </w:r>
          </w:p>
        </w:tc>
        <w:tc>
          <w:tcPr>
            <w:tcW w:w="851"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121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124</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Metropolitan improvement levy</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157</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158</w:t>
            </w:r>
          </w:p>
        </w:tc>
        <w:tc>
          <w:tcPr>
            <w:tcW w:w="851"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158</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158</w:t>
            </w:r>
          </w:p>
        </w:tc>
      </w:tr>
      <w:tr w:rsidR="002C39A3" w:rsidRPr="00114E35" w:rsidTr="00361FA9">
        <w:tc>
          <w:tcPr>
            <w:tcW w:w="4365"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taxes on immovable property</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3 171</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3 134</w:t>
            </w:r>
          </w:p>
        </w:tc>
        <w:tc>
          <w:tcPr>
            <w:tcW w:w="851"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3 416</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3 366</w:t>
            </w:r>
          </w:p>
        </w:tc>
      </w:tr>
      <w:tr w:rsidR="002C39A3" w:rsidRPr="00114E35" w:rsidTr="00361FA9">
        <w:tc>
          <w:tcPr>
            <w:tcW w:w="7766" w:type="dxa"/>
            <w:gridSpan w:val="5"/>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Financial and capital transactions</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Land transfer duty</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5 677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5 856</w:t>
            </w:r>
          </w:p>
        </w:tc>
        <w:tc>
          <w:tcPr>
            <w:tcW w:w="851"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6 135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6 508</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Other property duties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w:t>
            </w:r>
          </w:p>
        </w:tc>
        <w:tc>
          <w:tcPr>
            <w:tcW w:w="851"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Metropolitan Planning Levy</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17</w:t>
            </w:r>
          </w:p>
        </w:tc>
        <w:tc>
          <w:tcPr>
            <w:tcW w:w="851"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17</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Financial accommodation levy</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149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163</w:t>
            </w:r>
          </w:p>
        </w:tc>
        <w:tc>
          <w:tcPr>
            <w:tcW w:w="851"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176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188</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Growth areas infrastructure contributions</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146</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154</w:t>
            </w:r>
          </w:p>
        </w:tc>
        <w:tc>
          <w:tcPr>
            <w:tcW w:w="851"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162</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171</w:t>
            </w:r>
          </w:p>
        </w:tc>
      </w:tr>
      <w:tr w:rsidR="002C39A3" w:rsidRPr="00114E35" w:rsidTr="00361FA9">
        <w:tc>
          <w:tcPr>
            <w:tcW w:w="4365"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financial and capital transactions</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5 991</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6 192</w:t>
            </w:r>
          </w:p>
        </w:tc>
        <w:tc>
          <w:tcPr>
            <w:tcW w:w="851"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6 493</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6 888</w:t>
            </w:r>
          </w:p>
        </w:tc>
      </w:tr>
      <w:tr w:rsidR="002C39A3" w:rsidRPr="00114E35" w:rsidTr="00361FA9">
        <w:tc>
          <w:tcPr>
            <w:tcW w:w="4365"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taxes on property</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9 162</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9 326</w:t>
            </w:r>
          </w:p>
        </w:tc>
        <w:tc>
          <w:tcPr>
            <w:tcW w:w="851"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9 909</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10 254</w:t>
            </w:r>
          </w:p>
        </w:tc>
      </w:tr>
      <w:tr w:rsidR="002C39A3" w:rsidRPr="00114E35" w:rsidTr="00361FA9">
        <w:tc>
          <w:tcPr>
            <w:tcW w:w="7766" w:type="dxa"/>
            <w:gridSpan w:val="5"/>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Taxes on the provision of goods and services</w:t>
            </w:r>
          </w:p>
        </w:tc>
      </w:tr>
      <w:tr w:rsidR="002C39A3" w:rsidRPr="00114E35" w:rsidTr="00361FA9">
        <w:tc>
          <w:tcPr>
            <w:tcW w:w="7766" w:type="dxa"/>
            <w:gridSpan w:val="5"/>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Gambling taxes</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Public lotteries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446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463</w:t>
            </w:r>
          </w:p>
        </w:tc>
        <w:tc>
          <w:tcPr>
            <w:tcW w:w="851"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480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498</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Electronic gaming machines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1 107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1 135</w:t>
            </w:r>
          </w:p>
        </w:tc>
        <w:tc>
          <w:tcPr>
            <w:tcW w:w="851"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1 163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1 192</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Casino</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251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259</w:t>
            </w:r>
          </w:p>
        </w:tc>
        <w:tc>
          <w:tcPr>
            <w:tcW w:w="851"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268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276</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Racing</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78</w:t>
            </w:r>
          </w:p>
        </w:tc>
        <w:tc>
          <w:tcPr>
            <w:tcW w:w="851"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74</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Other</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28</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31</w:t>
            </w:r>
          </w:p>
        </w:tc>
        <w:tc>
          <w:tcPr>
            <w:tcW w:w="851"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36</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40</w:t>
            </w:r>
          </w:p>
        </w:tc>
      </w:tr>
      <w:tr w:rsidR="002C39A3" w:rsidRPr="00114E35" w:rsidTr="00361FA9">
        <w:tc>
          <w:tcPr>
            <w:tcW w:w="4365"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gambling taxes</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1 911</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1 966</w:t>
            </w:r>
          </w:p>
        </w:tc>
        <w:tc>
          <w:tcPr>
            <w:tcW w:w="851"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2 022</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2 079</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Levies on statutory corporations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112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112</w:t>
            </w:r>
          </w:p>
        </w:tc>
        <w:tc>
          <w:tcPr>
            <w:tcW w:w="851"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158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158</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Taxes on insurance</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1 220</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1 302</w:t>
            </w:r>
          </w:p>
        </w:tc>
        <w:tc>
          <w:tcPr>
            <w:tcW w:w="851"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1 391</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1 485</w:t>
            </w:r>
          </w:p>
        </w:tc>
      </w:tr>
      <w:tr w:rsidR="002C39A3" w:rsidRPr="00114E35" w:rsidTr="00361FA9">
        <w:tc>
          <w:tcPr>
            <w:tcW w:w="4365"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taxes on the provision of goods and services</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3 243</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3 380</w:t>
            </w:r>
          </w:p>
        </w:tc>
        <w:tc>
          <w:tcPr>
            <w:tcW w:w="851"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3 570</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3 722</w:t>
            </w:r>
          </w:p>
        </w:tc>
      </w:tr>
      <w:tr w:rsidR="002C39A3" w:rsidRPr="00114E35" w:rsidTr="00361FA9">
        <w:tc>
          <w:tcPr>
            <w:tcW w:w="7766" w:type="dxa"/>
            <w:gridSpan w:val="5"/>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Taxes on the use of goods and performance of activities</w:t>
            </w:r>
          </w:p>
        </w:tc>
      </w:tr>
      <w:tr w:rsidR="002C39A3" w:rsidRPr="00114E35" w:rsidTr="00361FA9">
        <w:tc>
          <w:tcPr>
            <w:tcW w:w="7766" w:type="dxa"/>
            <w:gridSpan w:val="5"/>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 xml:space="preserve">Motor vehicle taxes </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Vehicle registration fees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1 532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1 594</w:t>
            </w:r>
          </w:p>
        </w:tc>
        <w:tc>
          <w:tcPr>
            <w:tcW w:w="851"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1 658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1 726</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Duty on vehicle registrations and transfers</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802</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826</w:t>
            </w:r>
          </w:p>
        </w:tc>
        <w:tc>
          <w:tcPr>
            <w:tcW w:w="851"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851</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877</w:t>
            </w:r>
          </w:p>
        </w:tc>
      </w:tr>
      <w:tr w:rsidR="002C39A3" w:rsidRPr="00114E35" w:rsidTr="00361FA9">
        <w:tc>
          <w:tcPr>
            <w:tcW w:w="4365"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motor vehicle taxes</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2 334</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2 420</w:t>
            </w:r>
          </w:p>
        </w:tc>
        <w:tc>
          <w:tcPr>
            <w:tcW w:w="851"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2 509</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2 603</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Liquor licence fees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23</w:t>
            </w:r>
          </w:p>
        </w:tc>
        <w:tc>
          <w:tcPr>
            <w:tcW w:w="851"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24</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Other</w:t>
            </w:r>
            <w:r>
              <w:rPr>
                <w:rFonts w:ascii="Calibri" w:eastAsiaTheme="minorEastAsia" w:hAnsi="Calibri" w:cs="Calibri"/>
                <w:b/>
                <w:bCs/>
                <w:color w:val="000000"/>
                <w:sz w:val="19"/>
                <w:szCs w:val="19"/>
                <w:lang w:eastAsia="en-AU"/>
              </w:rPr>
              <w:t xml:space="preserve"> </w:t>
            </w:r>
            <w:r w:rsidRPr="000E7765">
              <w:rPr>
                <w:rFonts w:ascii="Calibri" w:eastAsiaTheme="minorEastAsia" w:hAnsi="Calibri" w:cs="Calibri"/>
                <w:b/>
                <w:bCs/>
                <w:color w:val="000000"/>
                <w:sz w:val="19"/>
                <w:szCs w:val="19"/>
                <w:vertAlign w:val="superscript"/>
                <w:lang w:eastAsia="en-AU"/>
              </w:rPr>
              <w:t>(a)</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1 161</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210</w:t>
            </w:r>
          </w:p>
        </w:tc>
        <w:tc>
          <w:tcPr>
            <w:tcW w:w="851"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244</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244</w:t>
            </w:r>
          </w:p>
        </w:tc>
      </w:tr>
      <w:tr w:rsidR="002C39A3" w:rsidRPr="00114E35" w:rsidTr="00361FA9">
        <w:tc>
          <w:tcPr>
            <w:tcW w:w="4365"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taxes on the use of goods and performance of activities</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3 518</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2 653</w:t>
            </w:r>
          </w:p>
        </w:tc>
        <w:tc>
          <w:tcPr>
            <w:tcW w:w="851"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2 777</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2 871</w:t>
            </w:r>
          </w:p>
        </w:tc>
      </w:tr>
      <w:tr w:rsidR="002C39A3" w:rsidRPr="00114E35" w:rsidTr="00361FA9">
        <w:tc>
          <w:tcPr>
            <w:tcW w:w="4365"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taxation revenue</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21 594</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21 292</w:t>
            </w:r>
          </w:p>
        </w:tc>
        <w:tc>
          <w:tcPr>
            <w:tcW w:w="851"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22 468</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23 354</w:t>
            </w:r>
          </w:p>
        </w:tc>
      </w:tr>
    </w:tbl>
    <w:p w:rsidR="002C39A3" w:rsidRDefault="002C39A3" w:rsidP="00361FA9">
      <w:pPr>
        <w:pStyle w:val="Notes"/>
      </w:pPr>
      <w:r>
        <w:t>Note:</w:t>
      </w:r>
    </w:p>
    <w:p w:rsidR="002C39A3" w:rsidRDefault="002C39A3" w:rsidP="00361FA9">
      <w:pPr>
        <w:pStyle w:val="Notes"/>
      </w:pPr>
      <w:r>
        <w:t>(a)</w:t>
      </w:r>
      <w:r>
        <w:tab/>
        <w:t>Includes an allowance for prepaid port licence fees.</w:t>
      </w:r>
    </w:p>
    <w:p w:rsidR="002C39A3" w:rsidRDefault="002C39A3" w:rsidP="00361FA9"/>
    <w:p w:rsidR="002C39A3" w:rsidRPr="007D07A6" w:rsidRDefault="002C39A3" w:rsidP="00361FA9">
      <w:pPr>
        <w:rPr>
          <w:rFonts w:ascii="Calibri" w:hAnsi="Calibri"/>
          <w:i/>
          <w:sz w:val="18"/>
          <w:szCs w:val="18"/>
        </w:rPr>
      </w:pPr>
      <w:r w:rsidRPr="007D07A6">
        <w:br w:type="page"/>
      </w:r>
    </w:p>
    <w:p w:rsidR="002C39A3" w:rsidRDefault="002C39A3" w:rsidP="00361FA9">
      <w:pPr>
        <w:pStyle w:val="Heading2Notes"/>
      </w:pPr>
      <w:bookmarkStart w:id="8" w:name="_Toc448928298"/>
      <w:r>
        <w:t>Note 3:</w:t>
      </w:r>
      <w:r>
        <w:tab/>
        <w:t>Dividends and income tax equivalent and rate equivalent revenue</w:t>
      </w:r>
      <w:bookmarkEnd w:id="8"/>
    </w:p>
    <w:p w:rsidR="002C39A3" w:rsidRDefault="002C39A3" w:rsidP="00361FA9">
      <w:pPr>
        <w:pStyle w:val="Tableheading"/>
      </w:pPr>
      <w:r>
        <w:t>(a)</w:t>
      </w:r>
      <w:r>
        <w:tab/>
        <w:t>Dividends and income tax equivalent and rate equivalent revenue</w:t>
      </w:r>
    </w:p>
    <w:p w:rsidR="002C39A3" w:rsidRPr="00114E35" w:rsidRDefault="002C39A3" w:rsidP="00361FA9">
      <w:pPr>
        <w:pStyle w:val="million"/>
        <w:rPr>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2C39A3" w:rsidRPr="00114E35" w:rsidTr="00361FA9">
        <w:trPr>
          <w:trHeight w:val="464"/>
          <w:tblHeader/>
        </w:trPr>
        <w:tc>
          <w:tcPr>
            <w:tcW w:w="4365" w:type="dxa"/>
            <w:tcBorders>
              <w:top w:val="nil"/>
              <w:left w:val="nil"/>
              <w:right w:val="nil"/>
            </w:tcBorders>
            <w:shd w:val="solid" w:color="000000" w:fill="auto"/>
            <w:vAlign w:val="bottom"/>
          </w:tcPr>
          <w:p w:rsidR="002C39A3" w:rsidRPr="00114E35" w:rsidRDefault="002C39A3" w:rsidP="00361FA9">
            <w:pPr>
              <w:pStyle w:val="million"/>
              <w:jc w:val="left"/>
              <w:rPr>
                <w:rFonts w:eastAsiaTheme="minorEastAsia" w:cs="Calibri"/>
                <w:iCs/>
                <w:color w:val="FFFFFF"/>
                <w:sz w:val="19"/>
                <w:szCs w:val="19"/>
                <w:lang w:eastAsia="en-AU"/>
              </w:rPr>
            </w:pP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2016-17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2017-18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2018-19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2019-20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Dividends from PFC sector</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526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879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336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235</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Dividends from PNFC sector</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250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178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164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128</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Dividends from non-public sector</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28</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27</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26</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25</w:t>
            </w:r>
          </w:p>
        </w:tc>
      </w:tr>
      <w:tr w:rsidR="002C39A3" w:rsidRPr="00114E35" w:rsidTr="00361FA9">
        <w:tc>
          <w:tcPr>
            <w:tcW w:w="4365"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Dividends</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805</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1 084</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526</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388</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Income tax equivalent revenue from PFC sector</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104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126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210</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Income tax equivalent revenue from PNFC sector</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192</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179</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183</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177</w:t>
            </w:r>
          </w:p>
        </w:tc>
      </w:tr>
      <w:tr w:rsidR="002C39A3" w:rsidRPr="00114E35" w:rsidTr="00361FA9">
        <w:tc>
          <w:tcPr>
            <w:tcW w:w="4365"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Income tax equivalent revenue</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243</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282</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309</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387</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Local government rate equivalent revenue</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12</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12</w:t>
            </w:r>
          </w:p>
        </w:tc>
      </w:tr>
      <w:tr w:rsidR="002C39A3" w:rsidRPr="00114E35" w:rsidTr="00361FA9">
        <w:tc>
          <w:tcPr>
            <w:tcW w:w="4365"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dividends and income tax equivalent and rate</w:t>
            </w:r>
            <w:r>
              <w:rPr>
                <w:rFonts w:ascii="Calibri" w:eastAsiaTheme="minorEastAsia" w:hAnsi="Calibri" w:cs="Calibri"/>
                <w:b/>
                <w:bCs/>
                <w:color w:val="000000"/>
                <w:sz w:val="19"/>
                <w:szCs w:val="19"/>
                <w:lang w:eastAsia="en-AU"/>
              </w:rPr>
              <w:t> </w:t>
            </w:r>
            <w:r w:rsidRPr="00114E35">
              <w:rPr>
                <w:rFonts w:ascii="Calibri" w:eastAsiaTheme="minorEastAsia" w:hAnsi="Calibri" w:cs="Calibri"/>
                <w:b/>
                <w:bCs/>
                <w:color w:val="000000"/>
                <w:sz w:val="19"/>
                <w:szCs w:val="19"/>
                <w:lang w:eastAsia="en-AU"/>
              </w:rPr>
              <w:t>equivalent revenue</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1 059</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1 377</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846</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787</w:t>
            </w:r>
          </w:p>
        </w:tc>
      </w:tr>
    </w:tbl>
    <w:p w:rsidR="002C39A3" w:rsidRPr="00741996" w:rsidRDefault="002C39A3" w:rsidP="00361FA9"/>
    <w:p w:rsidR="002C39A3" w:rsidRDefault="002C39A3" w:rsidP="00361FA9">
      <w:pPr>
        <w:pStyle w:val="Tableheading"/>
      </w:pPr>
      <w:r>
        <w:t>(b)</w:t>
      </w:r>
      <w:r>
        <w:tab/>
        <w:t>Dividends by entity</w:t>
      </w:r>
    </w:p>
    <w:p w:rsidR="002C39A3" w:rsidRPr="00114E35" w:rsidRDefault="002C39A3" w:rsidP="00361FA9">
      <w:pPr>
        <w:pStyle w:val="million"/>
        <w:rPr>
          <w:rFonts w:eastAsiaTheme="minorEastAsia"/>
          <w:lang w:val="en-US" w:eastAsia="en-AU"/>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2C39A3" w:rsidRPr="00114E35" w:rsidTr="00361FA9">
        <w:trPr>
          <w:trHeight w:val="464"/>
          <w:tblHeader/>
        </w:trPr>
        <w:tc>
          <w:tcPr>
            <w:tcW w:w="4365"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2016-17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2017-18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2018-19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2019-20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r>
      <w:tr w:rsidR="002C39A3" w:rsidRPr="00114E35" w:rsidTr="00361FA9">
        <w:tc>
          <w:tcPr>
            <w:tcW w:w="7765" w:type="dxa"/>
            <w:gridSpan w:val="5"/>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 xml:space="preserve">Public financial corporations </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Victorian Managed Insurance Authority</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145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165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13</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Transport Accident Commission</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342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629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258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187</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Treasury Corporation of Victoria</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32</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State Trustees Ltd</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Victorian Funds Management Corporation</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w:t>
            </w:r>
          </w:p>
        </w:tc>
      </w:tr>
      <w:tr w:rsidR="002C39A3" w:rsidRPr="00114E35" w:rsidTr="00361FA9">
        <w:tc>
          <w:tcPr>
            <w:tcW w:w="4365"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Dividends from PFC sector</w:t>
            </w:r>
          </w:p>
        </w:tc>
        <w:tc>
          <w:tcPr>
            <w:tcW w:w="850"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526</w:t>
            </w:r>
          </w:p>
        </w:tc>
        <w:tc>
          <w:tcPr>
            <w:tcW w:w="850"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879</w:t>
            </w:r>
          </w:p>
        </w:tc>
        <w:tc>
          <w:tcPr>
            <w:tcW w:w="850"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336</w:t>
            </w:r>
          </w:p>
        </w:tc>
        <w:tc>
          <w:tcPr>
            <w:tcW w:w="850"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235</w:t>
            </w:r>
          </w:p>
        </w:tc>
      </w:tr>
      <w:tr w:rsidR="002C39A3" w:rsidRPr="00114E35" w:rsidTr="00361FA9">
        <w:tc>
          <w:tcPr>
            <w:tcW w:w="7765" w:type="dxa"/>
            <w:gridSpan w:val="5"/>
            <w:tcBorders>
              <w:top w:val="single" w:sz="12" w:space="0" w:color="000000"/>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Public non-financial corporations</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City West Water Corporation</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16</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Melbourne Water Corporation</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South East Water Corporation</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38</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Yarra Valley Water Corporation</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28</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State Electricity Commission of Victoria</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100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40</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Port of Melbourne Corporation</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Places Victoria</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Other</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w:t>
            </w:r>
          </w:p>
        </w:tc>
      </w:tr>
      <w:tr w:rsidR="002C39A3" w:rsidRPr="00114E35" w:rsidTr="00361FA9">
        <w:tc>
          <w:tcPr>
            <w:tcW w:w="4365"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Dividends from PNFC sector</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250</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178</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164</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128</w:t>
            </w:r>
          </w:p>
        </w:tc>
      </w:tr>
    </w:tbl>
    <w:p w:rsidR="002C39A3" w:rsidRDefault="002C39A3" w:rsidP="00361FA9"/>
    <w:p w:rsidR="002C39A3" w:rsidRPr="007D07A6" w:rsidRDefault="002C39A3" w:rsidP="00361FA9">
      <w:pPr>
        <w:rPr>
          <w:rFonts w:ascii="Calibri" w:hAnsi="Calibri"/>
          <w:i/>
          <w:sz w:val="18"/>
          <w:szCs w:val="18"/>
        </w:rPr>
      </w:pPr>
      <w:r w:rsidRPr="007D07A6">
        <w:br w:type="page"/>
      </w:r>
    </w:p>
    <w:p w:rsidR="002C39A3" w:rsidRDefault="002C39A3" w:rsidP="00361FA9">
      <w:pPr>
        <w:pStyle w:val="Heading2Notes"/>
      </w:pPr>
      <w:bookmarkStart w:id="9" w:name="_Toc448928299"/>
      <w:r>
        <w:t>Note 4:</w:t>
      </w:r>
      <w:r>
        <w:tab/>
        <w:t>Sales of goods and services</w:t>
      </w:r>
      <w:bookmarkEnd w:id="9"/>
    </w:p>
    <w:p w:rsidR="002C39A3" w:rsidRPr="00114E35" w:rsidRDefault="002C39A3" w:rsidP="00361FA9">
      <w:pPr>
        <w:pStyle w:val="million"/>
        <w:rPr>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2C39A3" w:rsidRPr="00114E35" w:rsidTr="00361FA9">
        <w:trPr>
          <w:trHeight w:val="464"/>
          <w:tblHeader/>
        </w:trPr>
        <w:tc>
          <w:tcPr>
            <w:tcW w:w="4365" w:type="dxa"/>
            <w:tcBorders>
              <w:right w:val="nil"/>
            </w:tcBorders>
            <w:shd w:val="solid" w:color="000000" w:fill="auto"/>
            <w:vAlign w:val="bottom"/>
          </w:tcPr>
          <w:p w:rsidR="002C39A3" w:rsidRPr="00114E35" w:rsidRDefault="002C39A3"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850"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2016-17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budget</w:t>
            </w:r>
          </w:p>
        </w:tc>
        <w:tc>
          <w:tcPr>
            <w:tcW w:w="850"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2017-18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2018-19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lef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2019-20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r>
      <w:tr w:rsidR="002C39A3" w:rsidRPr="00114E35" w:rsidTr="00361FA9">
        <w:tc>
          <w:tcPr>
            <w:tcW w:w="4365" w:type="dxa"/>
            <w:tcBorders>
              <w:top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Motor vehicle regulatory fees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216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192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203</w:t>
            </w:r>
          </w:p>
        </w:tc>
        <w:tc>
          <w:tcPr>
            <w:tcW w:w="850" w:type="dxa"/>
            <w:tcBorders>
              <w:top w:val="nil"/>
              <w:lef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211</w:t>
            </w:r>
          </w:p>
        </w:tc>
      </w:tr>
      <w:tr w:rsidR="002C39A3" w:rsidRPr="00114E35" w:rsidTr="00361FA9">
        <w:tc>
          <w:tcPr>
            <w:tcW w:w="4365" w:type="dxa"/>
            <w:tcBorders>
              <w:top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Other regulatory fees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499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512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518</w:t>
            </w:r>
          </w:p>
        </w:tc>
        <w:tc>
          <w:tcPr>
            <w:tcW w:w="850" w:type="dxa"/>
            <w:tcBorders>
              <w:top w:val="nil"/>
              <w:lef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532</w:t>
            </w:r>
          </w:p>
        </w:tc>
      </w:tr>
      <w:tr w:rsidR="002C39A3" w:rsidRPr="00114E35" w:rsidTr="00361FA9">
        <w:tc>
          <w:tcPr>
            <w:tcW w:w="4365" w:type="dxa"/>
            <w:tcBorders>
              <w:top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Sale of goods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75</w:t>
            </w:r>
          </w:p>
        </w:tc>
        <w:tc>
          <w:tcPr>
            <w:tcW w:w="850" w:type="dxa"/>
            <w:tcBorders>
              <w:top w:val="nil"/>
              <w:lef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77</w:t>
            </w:r>
          </w:p>
        </w:tc>
      </w:tr>
      <w:tr w:rsidR="002C39A3" w:rsidRPr="00114E35" w:rsidTr="00361FA9">
        <w:tc>
          <w:tcPr>
            <w:tcW w:w="4365" w:type="dxa"/>
            <w:tcBorders>
              <w:top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114E35">
              <w:rPr>
                <w:rFonts w:ascii="Calibri" w:eastAsiaTheme="minorEastAsia" w:hAnsi="Calibri" w:cs="Calibri"/>
                <w:color w:val="000000"/>
                <w:sz w:val="19"/>
                <w:szCs w:val="19"/>
                <w:lang w:eastAsia="en-AU"/>
              </w:rPr>
              <w:t>Provision of services</w:t>
            </w:r>
            <w:r w:rsidRPr="00114E35">
              <w:rPr>
                <w:rFonts w:ascii="Calibri" w:eastAsiaTheme="minorEastAsia" w:hAnsi="Calibri" w:cs="Calibri"/>
                <w:color w:val="000000"/>
                <w:sz w:val="19"/>
                <w:szCs w:val="19"/>
                <w:vertAlign w:val="superscript"/>
                <w:lang w:eastAsia="en-AU"/>
              </w:rPr>
              <w:t xml:space="preserve"> (a)</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4 017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4 071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4 127</w:t>
            </w:r>
          </w:p>
        </w:tc>
        <w:tc>
          <w:tcPr>
            <w:tcW w:w="850" w:type="dxa"/>
            <w:tcBorders>
              <w:top w:val="nil"/>
              <w:lef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4 122</w:t>
            </w:r>
          </w:p>
        </w:tc>
      </w:tr>
      <w:tr w:rsidR="002C39A3" w:rsidRPr="00114E35" w:rsidTr="00361FA9">
        <w:tc>
          <w:tcPr>
            <w:tcW w:w="4365" w:type="dxa"/>
            <w:tcBorders>
              <w:top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Rental</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63</w:t>
            </w:r>
          </w:p>
        </w:tc>
        <w:tc>
          <w:tcPr>
            <w:tcW w:w="850" w:type="dxa"/>
            <w:tcBorders>
              <w:top w:val="nil"/>
              <w:lef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64</w:t>
            </w:r>
          </w:p>
        </w:tc>
      </w:tr>
      <w:tr w:rsidR="002C39A3" w:rsidRPr="00114E35" w:rsidTr="00361FA9">
        <w:tc>
          <w:tcPr>
            <w:tcW w:w="4365" w:type="dxa"/>
            <w:tcBorders>
              <w:top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Refunds and reimbursements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56</w:t>
            </w:r>
          </w:p>
        </w:tc>
        <w:tc>
          <w:tcPr>
            <w:tcW w:w="850" w:type="dxa"/>
            <w:tcBorders>
              <w:top w:val="nil"/>
              <w:lef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56</w:t>
            </w:r>
          </w:p>
        </w:tc>
      </w:tr>
      <w:tr w:rsidR="002C39A3" w:rsidRPr="00114E35" w:rsidTr="00361FA9">
        <w:tc>
          <w:tcPr>
            <w:tcW w:w="4365" w:type="dxa"/>
            <w:tcBorders>
              <w:top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Inter-sector capital asset charge</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1 924</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2 071</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2 171</w:t>
            </w:r>
          </w:p>
        </w:tc>
        <w:tc>
          <w:tcPr>
            <w:tcW w:w="850" w:type="dxa"/>
            <w:tcBorders>
              <w:top w:val="nil"/>
              <w:left w:val="nil"/>
              <w:bottom w:val="single" w:sz="6" w:space="0" w:color="000000"/>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2 179</w:t>
            </w:r>
          </w:p>
        </w:tc>
      </w:tr>
      <w:tr w:rsidR="002C39A3" w:rsidRPr="00114E35" w:rsidTr="00361FA9">
        <w:tc>
          <w:tcPr>
            <w:tcW w:w="4365" w:type="dxa"/>
            <w:tcBorders>
              <w:top w:val="single" w:sz="6" w:space="0" w:color="000000"/>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sales of goods and services</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6 843</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7 036</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7 212</w:t>
            </w:r>
          </w:p>
        </w:tc>
        <w:tc>
          <w:tcPr>
            <w:tcW w:w="850" w:type="dxa"/>
            <w:tcBorders>
              <w:top w:val="single" w:sz="6" w:space="0" w:color="000000"/>
              <w:left w:val="nil"/>
              <w:bottom w:val="single" w:sz="12" w:space="0" w:color="auto"/>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7 240</w:t>
            </w:r>
          </w:p>
        </w:tc>
      </w:tr>
    </w:tbl>
    <w:p w:rsidR="002C39A3" w:rsidRDefault="002C39A3" w:rsidP="00361FA9">
      <w:pPr>
        <w:pStyle w:val="Notes"/>
      </w:pPr>
      <w:r>
        <w:t>Note:</w:t>
      </w:r>
    </w:p>
    <w:p w:rsidR="002C39A3" w:rsidRDefault="002C39A3" w:rsidP="00361FA9">
      <w:pPr>
        <w:pStyle w:val="Notes"/>
      </w:pPr>
      <w:r>
        <w:t>(a)</w:t>
      </w:r>
      <w:r>
        <w:tab/>
        <w:t>Further disclosure on provision of services by department is available on the Department of Treasury and Finance</w:t>
      </w:r>
      <w:r w:rsidR="0097550F">
        <w:t>’</w:t>
      </w:r>
      <w:r>
        <w:t>s website. This further disclosure is not subject to review by the Victorian Auditor</w:t>
      </w:r>
      <w:r>
        <w:noBreakHyphen/>
        <w:t>General</w:t>
      </w:r>
      <w:r w:rsidR="0097550F">
        <w:t>’</w:t>
      </w:r>
      <w:r>
        <w:t>s Office.</w:t>
      </w:r>
    </w:p>
    <w:p w:rsidR="002C39A3" w:rsidRDefault="002C39A3" w:rsidP="00361FA9"/>
    <w:p w:rsidR="002C39A3" w:rsidRPr="007D07A6" w:rsidRDefault="002C39A3" w:rsidP="00361FA9"/>
    <w:p w:rsidR="002C39A3" w:rsidRDefault="002C39A3" w:rsidP="00361FA9">
      <w:pPr>
        <w:pStyle w:val="Heading2Notes"/>
      </w:pPr>
      <w:bookmarkStart w:id="10" w:name="_Toc448928300"/>
      <w:r>
        <w:t>Note 5:</w:t>
      </w:r>
      <w:r>
        <w:tab/>
        <w:t>Grant revenue</w:t>
      </w:r>
      <w:bookmarkEnd w:id="10"/>
    </w:p>
    <w:p w:rsidR="002C39A3" w:rsidRPr="00114E35" w:rsidRDefault="002C39A3" w:rsidP="00361FA9">
      <w:pPr>
        <w:pStyle w:val="million"/>
        <w:rPr>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2C39A3" w:rsidRPr="00114E35" w:rsidTr="00361FA9">
        <w:trPr>
          <w:trHeight w:val="464"/>
          <w:tblHeader/>
        </w:trPr>
        <w:tc>
          <w:tcPr>
            <w:tcW w:w="4365"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2016-17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2017-18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2018-19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2019-20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General purpose grants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13 885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14 609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15 770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16 534</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Specific purpose grants for on-passing</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3 576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3 767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3 936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4 096</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Grants for specific purposes</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9 731</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9 464</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8 859</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9 166</w:t>
            </w:r>
          </w:p>
        </w:tc>
      </w:tr>
      <w:tr w:rsidR="002C39A3" w:rsidRPr="00114E35" w:rsidTr="00361FA9">
        <w:tc>
          <w:tcPr>
            <w:tcW w:w="4365"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27 192</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27 839</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28 565</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29 796</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Other contributions and grants</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232</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230</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279</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161</w:t>
            </w:r>
          </w:p>
        </w:tc>
      </w:tr>
      <w:tr w:rsidR="002C39A3" w:rsidRPr="00114E35" w:rsidTr="00361FA9">
        <w:tc>
          <w:tcPr>
            <w:tcW w:w="4365"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grant revenue</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27 424</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28 069</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28 844</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29 957</w:t>
            </w:r>
          </w:p>
        </w:tc>
      </w:tr>
    </w:tbl>
    <w:p w:rsidR="002C39A3" w:rsidRDefault="002C39A3" w:rsidP="00361FA9"/>
    <w:p w:rsidR="002C39A3" w:rsidRDefault="002C39A3" w:rsidP="00361FA9"/>
    <w:p w:rsidR="002C39A3" w:rsidRDefault="002C39A3" w:rsidP="00361FA9">
      <w:pPr>
        <w:pStyle w:val="Heading2Notes"/>
      </w:pPr>
      <w:bookmarkStart w:id="11" w:name="_Toc448928301"/>
      <w:r>
        <w:t>Note 6:</w:t>
      </w:r>
      <w:r>
        <w:tab/>
        <w:t>Other revenue</w:t>
      </w:r>
      <w:bookmarkEnd w:id="11"/>
    </w:p>
    <w:p w:rsidR="002C39A3" w:rsidRPr="00114E35" w:rsidRDefault="002C39A3" w:rsidP="00361FA9">
      <w:pPr>
        <w:pStyle w:val="million"/>
        <w:rPr>
          <w:rFonts w:ascii="Garamond" w:hAnsi="Garamond"/>
          <w:b/>
          <w:bCs/>
          <w:sz w:val="22"/>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2C39A3" w:rsidRPr="00114E35" w:rsidTr="00361FA9">
        <w:trPr>
          <w:trHeight w:val="464"/>
          <w:tblHeader/>
        </w:trPr>
        <w:tc>
          <w:tcPr>
            <w:tcW w:w="4365"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2016-17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2017-18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2018-19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2019-20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Fair value of assets received free of charge or for nominal consideration</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290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55</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Fines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776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796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814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847</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Royalties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122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119</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Donations and gifts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312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267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269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261</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Other non-property rental</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22</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Other miscellaneous revenue</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1 084</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1 057</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1 053</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1 071</w:t>
            </w:r>
          </w:p>
        </w:tc>
      </w:tr>
      <w:tr w:rsidR="002C39A3" w:rsidRPr="00114E35" w:rsidTr="00361FA9">
        <w:tc>
          <w:tcPr>
            <w:tcW w:w="4365"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other revenue</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2 569</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2 320</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2 331</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2 374</w:t>
            </w:r>
          </w:p>
        </w:tc>
      </w:tr>
    </w:tbl>
    <w:p w:rsidR="002C39A3" w:rsidRDefault="002C39A3" w:rsidP="00361FA9"/>
    <w:p w:rsidR="002C39A3" w:rsidRDefault="002C39A3" w:rsidP="00361FA9"/>
    <w:p w:rsidR="002C39A3" w:rsidRDefault="002C39A3" w:rsidP="00361FA9">
      <w:pPr>
        <w:pStyle w:val="Heading2Notes"/>
      </w:pPr>
      <w:bookmarkStart w:id="12" w:name="_Toc448928302"/>
      <w:r>
        <w:t>Note 7:</w:t>
      </w:r>
      <w:r>
        <w:tab/>
        <w:t>Superannuation</w:t>
      </w:r>
      <w:bookmarkEnd w:id="12"/>
    </w:p>
    <w:p w:rsidR="002C39A3" w:rsidRDefault="002C39A3" w:rsidP="00361FA9">
      <w:pPr>
        <w:pStyle w:val="Tableheading"/>
      </w:pPr>
      <w:r>
        <w:t xml:space="preserve">(a) </w:t>
      </w:r>
      <w:r>
        <w:tab/>
        <w:t>Superannuation costs recognised in the comprehensive operating statement</w:t>
      </w:r>
    </w:p>
    <w:p w:rsidR="002C39A3" w:rsidRPr="00114E35" w:rsidRDefault="002C39A3" w:rsidP="00361FA9">
      <w:pPr>
        <w:pStyle w:val="million"/>
        <w:rPr>
          <w:rFonts w:eastAsiaTheme="minorEastAsia"/>
          <w:lang w:val="en-US" w:eastAsia="en-AU"/>
        </w:rPr>
      </w:pPr>
      <w:r>
        <w:t xml:space="preserve">($ </w:t>
      </w:r>
      <w:r w:rsidRPr="006335E0">
        <w:t>million</w:t>
      </w:r>
      <w:r>
        <w:t>)</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2C39A3" w:rsidRPr="00114E35" w:rsidTr="00361FA9">
        <w:trPr>
          <w:trHeight w:val="464"/>
          <w:tblHeader/>
        </w:trPr>
        <w:tc>
          <w:tcPr>
            <w:tcW w:w="4365" w:type="dxa"/>
            <w:tcBorders>
              <w:top w:val="nil"/>
              <w:left w:val="nil"/>
              <w:right w:val="nil"/>
            </w:tcBorders>
            <w:shd w:val="solid" w:color="000000" w:fill="auto"/>
            <w:vAlign w:val="bottom"/>
          </w:tcPr>
          <w:p w:rsidR="002C39A3" w:rsidRPr="00114E35" w:rsidRDefault="002C39A3" w:rsidP="00361FA9">
            <w:pPr>
              <w:pStyle w:val="million"/>
              <w:jc w:val="left"/>
              <w:rPr>
                <w:rFonts w:eastAsiaTheme="minorEastAsia" w:cs="Calibri"/>
                <w:iCs/>
                <w:color w:val="FFFFFF"/>
                <w:sz w:val="19"/>
                <w:szCs w:val="19"/>
                <w:lang w:eastAsia="en-AU"/>
              </w:rPr>
            </w:pPr>
            <w:r w:rsidRPr="00114E35">
              <w:rPr>
                <w:rFonts w:eastAsiaTheme="minorEastAsia" w:cs="Calibri"/>
                <w:iCs/>
                <w:color w:val="FFFFFF"/>
                <w:sz w:val="19"/>
                <w:szCs w:val="19"/>
                <w:lang w:eastAsia="en-AU"/>
              </w:rPr>
              <w:t xml:space="preserve"> </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2016-17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2017-18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2018-19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2019-20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r>
      <w:tr w:rsidR="002C39A3" w:rsidRPr="00114E35" w:rsidTr="00361FA9">
        <w:tc>
          <w:tcPr>
            <w:tcW w:w="7765" w:type="dxa"/>
            <w:gridSpan w:val="5"/>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Defined benefit plans</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Net superannuation interest expense</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791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769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745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720</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 xml:space="preserve">Current service cost </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780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766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753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752</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Remeasurements: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 xml:space="preserve"> </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 xml:space="preserve"> </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 xml:space="preserve"> </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 xml:space="preserve"> </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Expected return on superannuation assets excluding interest income</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(877)</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(891)</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(903)</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(915)</w:t>
            </w:r>
          </w:p>
        </w:tc>
      </w:tr>
      <w:tr w:rsidR="002C39A3" w:rsidRPr="00114E35" w:rsidTr="00361FA9">
        <w:tc>
          <w:tcPr>
            <w:tcW w:w="4365"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expense recognised in respect of defined benefit plans</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694</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644</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594</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558</w:t>
            </w:r>
          </w:p>
        </w:tc>
      </w:tr>
      <w:tr w:rsidR="002C39A3" w:rsidRPr="00114E35" w:rsidTr="00361FA9">
        <w:tc>
          <w:tcPr>
            <w:tcW w:w="7765" w:type="dxa"/>
            <w:gridSpan w:val="5"/>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Defined contribution plans</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 xml:space="preserve">Employer contributions to defined contribution plans </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1 396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1 424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1 468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1 504</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Other (including pensions)</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63</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65</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66</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68</w:t>
            </w:r>
          </w:p>
        </w:tc>
      </w:tr>
      <w:tr w:rsidR="002C39A3" w:rsidRPr="00114E35" w:rsidTr="00361FA9">
        <w:tc>
          <w:tcPr>
            <w:tcW w:w="4365"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expense recognised in respect of defined contribution plans</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1 459</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1 489</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1 534</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1 572</w:t>
            </w:r>
          </w:p>
        </w:tc>
      </w:tr>
      <w:tr w:rsidR="002C39A3" w:rsidRPr="00114E35" w:rsidTr="00361FA9">
        <w:tc>
          <w:tcPr>
            <w:tcW w:w="4365"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superannuation expense recognised in operating statement</w:t>
            </w:r>
          </w:p>
        </w:tc>
        <w:tc>
          <w:tcPr>
            <w:tcW w:w="850"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2 153</w:t>
            </w:r>
          </w:p>
        </w:tc>
        <w:tc>
          <w:tcPr>
            <w:tcW w:w="850"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2 133</w:t>
            </w:r>
          </w:p>
        </w:tc>
        <w:tc>
          <w:tcPr>
            <w:tcW w:w="850"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2 129</w:t>
            </w:r>
          </w:p>
        </w:tc>
        <w:tc>
          <w:tcPr>
            <w:tcW w:w="850"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2 130</w:t>
            </w:r>
          </w:p>
        </w:tc>
      </w:tr>
      <w:tr w:rsidR="002C39A3" w:rsidRPr="00114E35" w:rsidTr="00361FA9">
        <w:tc>
          <w:tcPr>
            <w:tcW w:w="7765" w:type="dxa"/>
            <w:gridSpan w:val="5"/>
            <w:tcBorders>
              <w:top w:val="single" w:sz="12" w:space="0" w:color="000000"/>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Represented by:</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Net superannuation interest expense</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791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769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745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720</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Other superannuation</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2 239</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2 255</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2 287</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2 325</w:t>
            </w:r>
          </w:p>
        </w:tc>
      </w:tr>
      <w:tr w:rsidR="002C39A3" w:rsidRPr="00114E35" w:rsidTr="00361FA9">
        <w:tc>
          <w:tcPr>
            <w:tcW w:w="4365"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Superannuation expense from transactions</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3 030</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3 024</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3 032</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3 045</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Remeasurements recognised in other comprehensive income</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(877)</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(891)</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(903)</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(915)</w:t>
            </w:r>
          </w:p>
        </w:tc>
      </w:tr>
      <w:tr w:rsidR="002C39A3" w:rsidRPr="00114E35" w:rsidTr="00361FA9">
        <w:tc>
          <w:tcPr>
            <w:tcW w:w="4365"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superannuation expense recognised in operating statement</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2 153</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2 133</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2 129</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2 130</w:t>
            </w:r>
          </w:p>
        </w:tc>
      </w:tr>
    </w:tbl>
    <w:p w:rsidR="002C39A3" w:rsidRPr="00471DBC" w:rsidRDefault="002C39A3" w:rsidP="00361FA9">
      <w:pPr>
        <w:rPr>
          <w:szCs w:val="22"/>
        </w:rPr>
      </w:pPr>
    </w:p>
    <w:p w:rsidR="002C39A3" w:rsidRDefault="002C39A3" w:rsidP="00361FA9">
      <w:pPr>
        <w:pStyle w:val="Tableheading"/>
      </w:pPr>
      <w:r>
        <w:t xml:space="preserve">(b) </w:t>
      </w:r>
      <w:r>
        <w:tab/>
        <w:t>Reconciliation of the present value of the defined benefit obligation</w:t>
      </w:r>
    </w:p>
    <w:p w:rsidR="002C39A3" w:rsidRPr="00114E35" w:rsidRDefault="002C39A3" w:rsidP="00361FA9">
      <w:pPr>
        <w:pStyle w:val="million"/>
        <w:rPr>
          <w:rFonts w:eastAsiaTheme="minorEastAsia"/>
          <w:lang w:val="en-US" w:eastAsia="en-AU"/>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2C39A3" w:rsidRPr="00114E35" w:rsidTr="00361FA9">
        <w:trPr>
          <w:trHeight w:val="464"/>
          <w:tblHeader/>
        </w:trPr>
        <w:tc>
          <w:tcPr>
            <w:tcW w:w="4365" w:type="dxa"/>
            <w:tcBorders>
              <w:left w:val="nil"/>
              <w:right w:val="nil"/>
            </w:tcBorders>
            <w:shd w:val="solid" w:color="000000" w:fill="auto"/>
            <w:vAlign w:val="bottom"/>
          </w:tcPr>
          <w:p w:rsidR="002C39A3" w:rsidRPr="00114E35" w:rsidRDefault="002C39A3" w:rsidP="00361FA9">
            <w:pPr>
              <w:autoSpaceDE w:val="0"/>
              <w:autoSpaceDN w:val="0"/>
              <w:adjustRightInd w:val="0"/>
              <w:spacing w:after="0"/>
              <w:rPr>
                <w:rFonts w:ascii="Calibri" w:eastAsiaTheme="minorEastAsia" w:hAnsi="Calibri" w:cs="Calibri"/>
                <w:color w:val="FFFFFF"/>
                <w:sz w:val="19"/>
                <w:lang w:eastAsia="en-AU"/>
              </w:rPr>
            </w:pPr>
          </w:p>
        </w:tc>
        <w:tc>
          <w:tcPr>
            <w:tcW w:w="850"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2016-17</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2017-18</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estimate</w:t>
            </w:r>
          </w:p>
        </w:tc>
        <w:tc>
          <w:tcPr>
            <w:tcW w:w="850"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2018-19</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estimate</w:t>
            </w:r>
          </w:p>
        </w:tc>
        <w:tc>
          <w:tcPr>
            <w:tcW w:w="850"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2019-20</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estimate</w:t>
            </w:r>
          </w:p>
        </w:tc>
      </w:tr>
      <w:tr w:rsidR="002C39A3" w:rsidRPr="00114E35" w:rsidTr="00361FA9">
        <w:tc>
          <w:tcPr>
            <w:tcW w:w="4365" w:type="dxa"/>
            <w:tcBorders>
              <w:top w:val="single" w:sz="6" w:space="0" w:color="auto"/>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Opening balance of defined benefit obligation</w:t>
            </w:r>
          </w:p>
        </w:tc>
        <w:tc>
          <w:tcPr>
            <w:tcW w:w="850" w:type="dxa"/>
            <w:tcBorders>
              <w:top w:val="single" w:sz="6" w:space="0" w:color="auto"/>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47 481</w:t>
            </w:r>
          </w:p>
        </w:tc>
        <w:tc>
          <w:tcPr>
            <w:tcW w:w="850" w:type="dxa"/>
            <w:tcBorders>
              <w:top w:val="single" w:sz="6" w:space="0" w:color="auto"/>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47 030</w:t>
            </w:r>
          </w:p>
        </w:tc>
        <w:tc>
          <w:tcPr>
            <w:tcW w:w="850" w:type="dxa"/>
            <w:tcBorders>
              <w:top w:val="single" w:sz="6" w:space="0" w:color="auto"/>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46 499</w:t>
            </w:r>
          </w:p>
        </w:tc>
        <w:tc>
          <w:tcPr>
            <w:tcW w:w="850" w:type="dxa"/>
            <w:tcBorders>
              <w:top w:val="single" w:sz="6" w:space="0" w:color="auto"/>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45 867</w:t>
            </w:r>
          </w:p>
        </w:tc>
      </w:tr>
      <w:tr w:rsidR="002C39A3" w:rsidRPr="00114E35" w:rsidTr="00361FA9">
        <w:tc>
          <w:tcPr>
            <w:tcW w:w="4365" w:type="dxa"/>
            <w:tcBorders>
              <w:top w:val="nil"/>
              <w:left w:val="nil"/>
              <w:right w:val="nil"/>
            </w:tcBorders>
            <w:shd w:val="clear" w:color="000000"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Current service cost</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780</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766</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753</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752</w:t>
            </w:r>
          </w:p>
        </w:tc>
      </w:tr>
      <w:tr w:rsidR="002C39A3" w:rsidRPr="00114E35" w:rsidTr="00361FA9">
        <w:tc>
          <w:tcPr>
            <w:tcW w:w="4365" w:type="dxa"/>
            <w:tcBorders>
              <w:top w:val="nil"/>
              <w:left w:val="nil"/>
              <w:right w:val="nil"/>
            </w:tcBorders>
            <w:shd w:val="clear" w:color="000000"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Interest expense</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1 347</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1 335</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1 320</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1 304</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Contributions by plan participants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189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183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178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173</w:t>
            </w:r>
          </w:p>
        </w:tc>
      </w:tr>
      <w:tr w:rsidR="002C39A3" w:rsidRPr="00114E35" w:rsidTr="00361FA9">
        <w:tc>
          <w:tcPr>
            <w:tcW w:w="4365"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Benefits paid</w:t>
            </w:r>
          </w:p>
        </w:tc>
        <w:tc>
          <w:tcPr>
            <w:tcW w:w="850"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(2 766)</w:t>
            </w:r>
          </w:p>
        </w:tc>
        <w:tc>
          <w:tcPr>
            <w:tcW w:w="850"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(2 815)</w:t>
            </w:r>
          </w:p>
        </w:tc>
        <w:tc>
          <w:tcPr>
            <w:tcW w:w="850"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(2 883)</w:t>
            </w:r>
          </w:p>
        </w:tc>
        <w:tc>
          <w:tcPr>
            <w:tcW w:w="850"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(2 939)</w:t>
            </w:r>
          </w:p>
        </w:tc>
      </w:tr>
      <w:tr w:rsidR="002C39A3" w:rsidRPr="00114E35" w:rsidTr="00361FA9">
        <w:tc>
          <w:tcPr>
            <w:tcW w:w="4365"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Closing balance of defined benefit obligation</w:t>
            </w:r>
          </w:p>
        </w:tc>
        <w:tc>
          <w:tcPr>
            <w:tcW w:w="850"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47 030</w:t>
            </w:r>
          </w:p>
        </w:tc>
        <w:tc>
          <w:tcPr>
            <w:tcW w:w="850"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46 499</w:t>
            </w:r>
          </w:p>
        </w:tc>
        <w:tc>
          <w:tcPr>
            <w:tcW w:w="850"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45 867</w:t>
            </w:r>
          </w:p>
        </w:tc>
        <w:tc>
          <w:tcPr>
            <w:tcW w:w="850"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45 158</w:t>
            </w:r>
          </w:p>
        </w:tc>
      </w:tr>
    </w:tbl>
    <w:p w:rsidR="002C39A3" w:rsidRPr="00A66F04" w:rsidRDefault="002C39A3" w:rsidP="00361FA9"/>
    <w:p w:rsidR="002C39A3" w:rsidRDefault="002C39A3">
      <w:pPr>
        <w:spacing w:after="0"/>
        <w:rPr>
          <w:rFonts w:ascii="Calibri" w:hAnsi="Calibri"/>
          <w:b/>
        </w:rPr>
      </w:pPr>
      <w:r>
        <w:br w:type="page"/>
      </w:r>
    </w:p>
    <w:p w:rsidR="002C39A3" w:rsidRDefault="002C39A3" w:rsidP="00361FA9">
      <w:pPr>
        <w:pStyle w:val="Heading2NotesContd"/>
      </w:pPr>
      <w:r>
        <w:t>Note 7:</w:t>
      </w:r>
      <w:r>
        <w:tab/>
        <w:t xml:space="preserve">Superannuation </w:t>
      </w:r>
      <w:r w:rsidRPr="00B80C17">
        <w:rPr>
          <w:i/>
        </w:rPr>
        <w:t>(continued)</w:t>
      </w:r>
    </w:p>
    <w:p w:rsidR="002C39A3" w:rsidRDefault="002C39A3" w:rsidP="00361FA9">
      <w:pPr>
        <w:pStyle w:val="Tableheading"/>
      </w:pPr>
      <w:r>
        <w:t>(c)</w:t>
      </w:r>
      <w:r>
        <w:tab/>
        <w:t>Reconciliation of the fair value of superannuation plan assets</w:t>
      </w:r>
    </w:p>
    <w:p w:rsidR="002C39A3" w:rsidRPr="00114E35" w:rsidRDefault="002C39A3" w:rsidP="00361FA9">
      <w:pPr>
        <w:pStyle w:val="million"/>
        <w:rPr>
          <w:rFonts w:eastAsiaTheme="minorEastAsia"/>
          <w:b/>
          <w:bCs/>
          <w:lang w:val="en-US" w:eastAsia="en-AU"/>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4253"/>
        <w:gridCol w:w="878"/>
        <w:gridCol w:w="878"/>
        <w:gridCol w:w="878"/>
        <w:gridCol w:w="878"/>
      </w:tblGrid>
      <w:tr w:rsidR="002C39A3" w:rsidRPr="00114E35" w:rsidTr="00361FA9">
        <w:trPr>
          <w:trHeight w:val="464"/>
          <w:tblHeader/>
        </w:trPr>
        <w:tc>
          <w:tcPr>
            <w:tcW w:w="4253" w:type="dxa"/>
            <w:tcBorders>
              <w:left w:val="nil"/>
              <w:right w:val="nil"/>
            </w:tcBorders>
            <w:shd w:val="solid" w:color="000000" w:fill="auto"/>
            <w:vAlign w:val="bottom"/>
          </w:tcPr>
          <w:p w:rsidR="002C39A3" w:rsidRPr="00114E35" w:rsidRDefault="002C39A3" w:rsidP="00361FA9">
            <w:pPr>
              <w:autoSpaceDE w:val="0"/>
              <w:autoSpaceDN w:val="0"/>
              <w:adjustRightInd w:val="0"/>
              <w:spacing w:after="0"/>
              <w:rPr>
                <w:rFonts w:ascii="Calibri" w:eastAsiaTheme="minorEastAsia" w:hAnsi="Calibri" w:cs="Calibri"/>
                <w:color w:val="FFFFFF"/>
                <w:sz w:val="19"/>
                <w:lang w:eastAsia="en-AU"/>
              </w:rPr>
            </w:pPr>
          </w:p>
        </w:tc>
        <w:tc>
          <w:tcPr>
            <w:tcW w:w="878"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2016-17</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budget</w:t>
            </w:r>
          </w:p>
        </w:tc>
        <w:tc>
          <w:tcPr>
            <w:tcW w:w="878"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2017-18</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estimate</w:t>
            </w:r>
          </w:p>
        </w:tc>
        <w:tc>
          <w:tcPr>
            <w:tcW w:w="878"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2018-19</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estimate</w:t>
            </w:r>
          </w:p>
        </w:tc>
        <w:tc>
          <w:tcPr>
            <w:tcW w:w="878"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2019-20</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estimate</w:t>
            </w:r>
          </w:p>
        </w:tc>
      </w:tr>
      <w:tr w:rsidR="002C39A3" w:rsidRPr="00114E35" w:rsidTr="00361FA9">
        <w:tc>
          <w:tcPr>
            <w:tcW w:w="4253" w:type="dxa"/>
            <w:tcBorders>
              <w:top w:val="single" w:sz="6" w:space="0" w:color="auto"/>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Opening balance of plan assets</w:t>
            </w:r>
          </w:p>
        </w:tc>
        <w:tc>
          <w:tcPr>
            <w:tcW w:w="878" w:type="dxa"/>
            <w:tcBorders>
              <w:top w:val="single" w:sz="6" w:space="0" w:color="auto"/>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19 594</w:t>
            </w:r>
          </w:p>
        </w:tc>
        <w:tc>
          <w:tcPr>
            <w:tcW w:w="878" w:type="dxa"/>
            <w:tcBorders>
              <w:top w:val="single" w:sz="6" w:space="0" w:color="auto"/>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19 981</w:t>
            </w:r>
          </w:p>
        </w:tc>
        <w:tc>
          <w:tcPr>
            <w:tcW w:w="878" w:type="dxa"/>
            <w:tcBorders>
              <w:top w:val="single" w:sz="6" w:space="0" w:color="auto"/>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20 334</w:t>
            </w:r>
          </w:p>
        </w:tc>
        <w:tc>
          <w:tcPr>
            <w:tcW w:w="878" w:type="dxa"/>
            <w:tcBorders>
              <w:top w:val="single" w:sz="6" w:space="0" w:color="auto"/>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20 673</w:t>
            </w:r>
          </w:p>
        </w:tc>
      </w:tr>
      <w:tr w:rsidR="002C39A3" w:rsidRPr="00114E35" w:rsidTr="00361FA9">
        <w:tc>
          <w:tcPr>
            <w:tcW w:w="4253" w:type="dxa"/>
            <w:tcBorders>
              <w:top w:val="nil"/>
              <w:left w:val="nil"/>
              <w:right w:val="nil"/>
            </w:tcBorders>
            <w:shd w:val="clear" w:color="000000"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Interest income</w:t>
            </w:r>
          </w:p>
        </w:tc>
        <w:tc>
          <w:tcPr>
            <w:tcW w:w="878"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555</w:t>
            </w:r>
          </w:p>
        </w:tc>
        <w:tc>
          <w:tcPr>
            <w:tcW w:w="878"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566</w:t>
            </w:r>
          </w:p>
        </w:tc>
        <w:tc>
          <w:tcPr>
            <w:tcW w:w="878"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575</w:t>
            </w:r>
          </w:p>
        </w:tc>
        <w:tc>
          <w:tcPr>
            <w:tcW w:w="878"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584</w:t>
            </w:r>
          </w:p>
        </w:tc>
      </w:tr>
      <w:tr w:rsidR="002C39A3" w:rsidRPr="00114E35" w:rsidTr="00361FA9">
        <w:tc>
          <w:tcPr>
            <w:tcW w:w="4253" w:type="dxa"/>
            <w:tcBorders>
              <w:top w:val="nil"/>
              <w:left w:val="nil"/>
              <w:right w:val="nil"/>
            </w:tcBorders>
            <w:shd w:val="clear" w:color="000000"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Return on plan assets not included in interest income</w:t>
            </w:r>
          </w:p>
        </w:tc>
        <w:tc>
          <w:tcPr>
            <w:tcW w:w="878"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877</w:t>
            </w:r>
          </w:p>
        </w:tc>
        <w:tc>
          <w:tcPr>
            <w:tcW w:w="878"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891</w:t>
            </w:r>
          </w:p>
        </w:tc>
        <w:tc>
          <w:tcPr>
            <w:tcW w:w="878"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903</w:t>
            </w:r>
          </w:p>
        </w:tc>
        <w:tc>
          <w:tcPr>
            <w:tcW w:w="878"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915</w:t>
            </w:r>
          </w:p>
        </w:tc>
      </w:tr>
      <w:tr w:rsidR="002C39A3" w:rsidRPr="00114E35" w:rsidTr="00361FA9">
        <w:tc>
          <w:tcPr>
            <w:tcW w:w="4253"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Employer contributions</w:t>
            </w:r>
          </w:p>
        </w:tc>
        <w:tc>
          <w:tcPr>
            <w:tcW w:w="878"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1 532</w:t>
            </w:r>
          </w:p>
        </w:tc>
        <w:tc>
          <w:tcPr>
            <w:tcW w:w="878"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1 529</w:t>
            </w:r>
          </w:p>
        </w:tc>
        <w:tc>
          <w:tcPr>
            <w:tcW w:w="878"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1 565</w:t>
            </w:r>
          </w:p>
        </w:tc>
        <w:tc>
          <w:tcPr>
            <w:tcW w:w="878"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1 564</w:t>
            </w:r>
          </w:p>
        </w:tc>
      </w:tr>
      <w:tr w:rsidR="002C39A3" w:rsidRPr="00114E35" w:rsidTr="00361FA9">
        <w:tc>
          <w:tcPr>
            <w:tcW w:w="4253"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Contributions by plan participants</w:t>
            </w:r>
          </w:p>
        </w:tc>
        <w:tc>
          <w:tcPr>
            <w:tcW w:w="878"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189</w:t>
            </w:r>
          </w:p>
        </w:tc>
        <w:tc>
          <w:tcPr>
            <w:tcW w:w="878"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183</w:t>
            </w:r>
          </w:p>
        </w:tc>
        <w:tc>
          <w:tcPr>
            <w:tcW w:w="878"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178</w:t>
            </w:r>
          </w:p>
        </w:tc>
        <w:tc>
          <w:tcPr>
            <w:tcW w:w="878"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173</w:t>
            </w:r>
          </w:p>
        </w:tc>
      </w:tr>
      <w:tr w:rsidR="002C39A3" w:rsidRPr="00114E35" w:rsidTr="00361FA9">
        <w:tc>
          <w:tcPr>
            <w:tcW w:w="4253"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Benefits paid (including tax paid)</w:t>
            </w:r>
          </w:p>
        </w:tc>
        <w:tc>
          <w:tcPr>
            <w:tcW w:w="878"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(2 766)</w:t>
            </w:r>
          </w:p>
        </w:tc>
        <w:tc>
          <w:tcPr>
            <w:tcW w:w="878"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(2 815)</w:t>
            </w:r>
          </w:p>
        </w:tc>
        <w:tc>
          <w:tcPr>
            <w:tcW w:w="878"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(2 883)</w:t>
            </w:r>
          </w:p>
        </w:tc>
        <w:tc>
          <w:tcPr>
            <w:tcW w:w="878"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(2 939)</w:t>
            </w:r>
          </w:p>
        </w:tc>
      </w:tr>
      <w:tr w:rsidR="002C39A3" w:rsidRPr="00114E35" w:rsidTr="00361FA9">
        <w:tc>
          <w:tcPr>
            <w:tcW w:w="4253"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Closing balance of plan assets</w:t>
            </w:r>
          </w:p>
        </w:tc>
        <w:tc>
          <w:tcPr>
            <w:tcW w:w="878"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19 981</w:t>
            </w:r>
          </w:p>
        </w:tc>
        <w:tc>
          <w:tcPr>
            <w:tcW w:w="878"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20 334</w:t>
            </w:r>
          </w:p>
        </w:tc>
        <w:tc>
          <w:tcPr>
            <w:tcW w:w="878"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20 673</w:t>
            </w:r>
          </w:p>
        </w:tc>
        <w:tc>
          <w:tcPr>
            <w:tcW w:w="878"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20 970</w:t>
            </w:r>
          </w:p>
        </w:tc>
      </w:tr>
    </w:tbl>
    <w:p w:rsidR="002C39A3" w:rsidRDefault="002C39A3" w:rsidP="00361FA9"/>
    <w:p w:rsidR="002C39A3" w:rsidRDefault="002C39A3" w:rsidP="00361FA9">
      <w:pPr>
        <w:pStyle w:val="Tableheading"/>
      </w:pPr>
      <w:r>
        <w:t>(d)</w:t>
      </w:r>
      <w:r>
        <w:tab/>
        <w:t>Reconciliation of the superannuation liabilities</w:t>
      </w:r>
    </w:p>
    <w:p w:rsidR="002C39A3" w:rsidRPr="00114E35" w:rsidRDefault="002C39A3" w:rsidP="00361FA9">
      <w:pPr>
        <w:pStyle w:val="million"/>
        <w:rPr>
          <w:rFonts w:eastAsiaTheme="minorEastAsia"/>
          <w:lang w:val="en-US" w:eastAsia="en-AU"/>
        </w:rPr>
      </w:pPr>
      <w:r>
        <w:t>($ milli</w:t>
      </w:r>
      <w:r w:rsidRPr="00681360">
        <w:rPr>
          <w:rStyle w:val="millionChar"/>
        </w:rPr>
        <w:t>o</w:t>
      </w:r>
      <w:r>
        <w:t>n)</w:t>
      </w:r>
    </w:p>
    <w:tbl>
      <w:tblPr>
        <w:tblW w:w="7768" w:type="dxa"/>
        <w:tblInd w:w="45" w:type="dxa"/>
        <w:tblLayout w:type="fixed"/>
        <w:tblCellMar>
          <w:left w:w="45" w:type="dxa"/>
          <w:right w:w="45" w:type="dxa"/>
        </w:tblCellMar>
        <w:tblLook w:val="0000" w:firstRow="0" w:lastRow="0" w:firstColumn="0" w:lastColumn="0" w:noHBand="0" w:noVBand="0"/>
      </w:tblPr>
      <w:tblGrid>
        <w:gridCol w:w="4252"/>
        <w:gridCol w:w="879"/>
        <w:gridCol w:w="879"/>
        <w:gridCol w:w="879"/>
        <w:gridCol w:w="879"/>
      </w:tblGrid>
      <w:tr w:rsidR="002C39A3" w:rsidRPr="00114E35" w:rsidTr="00361FA9">
        <w:trPr>
          <w:trHeight w:val="464"/>
          <w:tblHeader/>
        </w:trPr>
        <w:tc>
          <w:tcPr>
            <w:tcW w:w="4252" w:type="dxa"/>
            <w:tcBorders>
              <w:left w:val="nil"/>
              <w:right w:val="nil"/>
            </w:tcBorders>
            <w:shd w:val="solid" w:color="000000" w:fill="auto"/>
            <w:vAlign w:val="bottom"/>
          </w:tcPr>
          <w:p w:rsidR="002C39A3" w:rsidRPr="00114E35" w:rsidRDefault="002C39A3" w:rsidP="00361FA9">
            <w:pPr>
              <w:pStyle w:val="Notes"/>
              <w:rPr>
                <w:rFonts w:eastAsiaTheme="minorEastAsia" w:cs="Calibri"/>
                <w:color w:val="FFFFFF"/>
                <w:sz w:val="19"/>
                <w:lang w:eastAsia="en-AU"/>
              </w:rPr>
            </w:pPr>
          </w:p>
        </w:tc>
        <w:tc>
          <w:tcPr>
            <w:tcW w:w="879"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2016-17</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budget</w:t>
            </w:r>
          </w:p>
        </w:tc>
        <w:tc>
          <w:tcPr>
            <w:tcW w:w="879"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2017-18</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estimate</w:t>
            </w:r>
          </w:p>
        </w:tc>
        <w:tc>
          <w:tcPr>
            <w:tcW w:w="879"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2018-19</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estimate</w:t>
            </w:r>
          </w:p>
        </w:tc>
        <w:tc>
          <w:tcPr>
            <w:tcW w:w="879"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2019-20</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estimate</w:t>
            </w:r>
          </w:p>
        </w:tc>
      </w:tr>
      <w:tr w:rsidR="002C39A3" w:rsidRPr="00114E35" w:rsidTr="00361FA9">
        <w:tc>
          <w:tcPr>
            <w:tcW w:w="7768" w:type="dxa"/>
            <w:gridSpan w:val="5"/>
            <w:tcBorders>
              <w:top w:val="single" w:sz="6" w:space="0" w:color="auto"/>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b/>
                <w:bCs/>
                <w:color w:val="000000"/>
                <w:sz w:val="19"/>
                <w:lang w:eastAsia="en-AU"/>
              </w:rPr>
              <w:t>Emergency Services and State Super</w:t>
            </w:r>
            <w:r w:rsidRPr="00114E35">
              <w:rPr>
                <w:rFonts w:ascii="Calibri" w:eastAsiaTheme="minorEastAsia" w:hAnsi="Calibri" w:cs="Calibri"/>
                <w:color w:val="000000"/>
                <w:sz w:val="19"/>
                <w:lang w:eastAsia="en-AU"/>
              </w:rPr>
              <w:t xml:space="preserve"> </w:t>
            </w:r>
          </w:p>
        </w:tc>
      </w:tr>
      <w:tr w:rsidR="002C39A3" w:rsidRPr="00114E35" w:rsidTr="00361FA9">
        <w:tc>
          <w:tcPr>
            <w:tcW w:w="4252"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Defined benefit obligation</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42 340</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41 877</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41 323</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40 688</w:t>
            </w:r>
          </w:p>
        </w:tc>
      </w:tr>
      <w:tr w:rsidR="002C39A3" w:rsidRPr="00114E35" w:rsidTr="00361FA9">
        <w:tc>
          <w:tcPr>
            <w:tcW w:w="4252"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114E35">
              <w:rPr>
                <w:rFonts w:ascii="Calibri" w:eastAsiaTheme="minorEastAsia" w:hAnsi="Calibri" w:cs="Calibri"/>
                <w:color w:val="000000"/>
                <w:sz w:val="19"/>
                <w:lang w:eastAsia="en-AU"/>
              </w:rPr>
              <w:t xml:space="preserve">Tax liability </w:t>
            </w:r>
            <w:r w:rsidRPr="00114E35">
              <w:rPr>
                <w:rFonts w:ascii="Calibri" w:eastAsiaTheme="minorEastAsia" w:hAnsi="Calibri" w:cs="Calibri"/>
                <w:color w:val="000000"/>
                <w:sz w:val="19"/>
                <w:vertAlign w:val="superscript"/>
                <w:lang w:eastAsia="en-AU"/>
              </w:rPr>
              <w:t>(a)</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2 667</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2 590</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2 504</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2 414</w:t>
            </w:r>
          </w:p>
        </w:tc>
      </w:tr>
      <w:tr w:rsidR="002C39A3" w:rsidRPr="00114E35" w:rsidTr="00361FA9">
        <w:tc>
          <w:tcPr>
            <w:tcW w:w="4252"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Plan assets</w:t>
            </w:r>
          </w:p>
        </w:tc>
        <w:tc>
          <w:tcPr>
            <w:tcW w:w="879"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(19 006)</w:t>
            </w:r>
          </w:p>
        </w:tc>
        <w:tc>
          <w:tcPr>
            <w:tcW w:w="879"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(19 380)</w:t>
            </w:r>
          </w:p>
        </w:tc>
        <w:tc>
          <w:tcPr>
            <w:tcW w:w="879"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(19 742)</w:t>
            </w:r>
          </w:p>
        </w:tc>
        <w:tc>
          <w:tcPr>
            <w:tcW w:w="879"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(20 063)</w:t>
            </w:r>
          </w:p>
        </w:tc>
      </w:tr>
      <w:tr w:rsidR="002C39A3" w:rsidRPr="00114E35" w:rsidTr="00361FA9">
        <w:tc>
          <w:tcPr>
            <w:tcW w:w="4252" w:type="dxa"/>
            <w:tcBorders>
              <w:top w:val="single" w:sz="6" w:space="0" w:color="auto"/>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Net liability/(asset)</w:t>
            </w:r>
          </w:p>
        </w:tc>
        <w:tc>
          <w:tcPr>
            <w:tcW w:w="879" w:type="dxa"/>
            <w:tcBorders>
              <w:top w:val="single" w:sz="6" w:space="0" w:color="auto"/>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26 001</w:t>
            </w:r>
          </w:p>
        </w:tc>
        <w:tc>
          <w:tcPr>
            <w:tcW w:w="879" w:type="dxa"/>
            <w:tcBorders>
              <w:top w:val="single" w:sz="6" w:space="0" w:color="auto"/>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25 086</w:t>
            </w:r>
          </w:p>
        </w:tc>
        <w:tc>
          <w:tcPr>
            <w:tcW w:w="879" w:type="dxa"/>
            <w:tcBorders>
              <w:top w:val="single" w:sz="6" w:space="0" w:color="auto"/>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24 085</w:t>
            </w:r>
          </w:p>
        </w:tc>
        <w:tc>
          <w:tcPr>
            <w:tcW w:w="879" w:type="dxa"/>
            <w:tcBorders>
              <w:top w:val="single" w:sz="6" w:space="0" w:color="auto"/>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23 039</w:t>
            </w:r>
          </w:p>
        </w:tc>
      </w:tr>
      <w:tr w:rsidR="002C39A3" w:rsidRPr="00114E35" w:rsidTr="00361FA9">
        <w:tc>
          <w:tcPr>
            <w:tcW w:w="7768" w:type="dxa"/>
            <w:gridSpan w:val="5"/>
            <w:tcBorders>
              <w:top w:val="single" w:sz="6" w:space="0" w:color="auto"/>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b/>
                <w:bCs/>
                <w:color w:val="000000"/>
                <w:sz w:val="19"/>
                <w:lang w:eastAsia="en-AU"/>
              </w:rPr>
              <w:t xml:space="preserve">Other funds </w:t>
            </w:r>
            <w:r w:rsidRPr="00114E35">
              <w:rPr>
                <w:rFonts w:ascii="Calibri" w:eastAsiaTheme="minorEastAsia" w:hAnsi="Calibri" w:cs="Calibri"/>
                <w:b/>
                <w:bCs/>
                <w:color w:val="000000"/>
                <w:sz w:val="19"/>
                <w:vertAlign w:val="superscript"/>
                <w:lang w:eastAsia="en-AU"/>
              </w:rPr>
              <w:t>(b)</w:t>
            </w:r>
          </w:p>
        </w:tc>
      </w:tr>
      <w:tr w:rsidR="002C39A3" w:rsidRPr="00114E35" w:rsidTr="00361FA9">
        <w:tc>
          <w:tcPr>
            <w:tcW w:w="4252"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Defined benefit obligation</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2 024</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2 033</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2 041</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2 056</w:t>
            </w:r>
          </w:p>
        </w:tc>
      </w:tr>
      <w:tr w:rsidR="002C39A3" w:rsidRPr="00114E35" w:rsidTr="00361FA9">
        <w:tc>
          <w:tcPr>
            <w:tcW w:w="4252"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114E35">
              <w:rPr>
                <w:rFonts w:ascii="Calibri" w:eastAsiaTheme="minorEastAsia" w:hAnsi="Calibri" w:cs="Calibri"/>
                <w:color w:val="000000"/>
                <w:sz w:val="19"/>
                <w:lang w:eastAsia="en-AU"/>
              </w:rPr>
              <w:t xml:space="preserve">Tax liability </w:t>
            </w:r>
            <w:r w:rsidRPr="00114E35">
              <w:rPr>
                <w:rFonts w:ascii="Calibri" w:eastAsiaTheme="minorEastAsia" w:hAnsi="Calibri" w:cs="Calibri"/>
                <w:color w:val="000000"/>
                <w:sz w:val="19"/>
                <w:vertAlign w:val="superscript"/>
                <w:lang w:eastAsia="en-AU"/>
              </w:rPr>
              <w:t>(a)</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w:t>
            </w:r>
          </w:p>
        </w:tc>
      </w:tr>
      <w:tr w:rsidR="002C39A3" w:rsidRPr="00114E35" w:rsidTr="00361FA9">
        <w:tc>
          <w:tcPr>
            <w:tcW w:w="4252"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Plan assets</w:t>
            </w:r>
          </w:p>
        </w:tc>
        <w:tc>
          <w:tcPr>
            <w:tcW w:w="879"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(975)</w:t>
            </w:r>
          </w:p>
        </w:tc>
        <w:tc>
          <w:tcPr>
            <w:tcW w:w="879"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(954)</w:t>
            </w:r>
          </w:p>
        </w:tc>
        <w:tc>
          <w:tcPr>
            <w:tcW w:w="879"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(932)</w:t>
            </w:r>
          </w:p>
        </w:tc>
        <w:tc>
          <w:tcPr>
            <w:tcW w:w="879"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(907)</w:t>
            </w:r>
          </w:p>
        </w:tc>
      </w:tr>
      <w:tr w:rsidR="002C39A3" w:rsidRPr="00114E35" w:rsidTr="00361FA9">
        <w:tc>
          <w:tcPr>
            <w:tcW w:w="4252" w:type="dxa"/>
            <w:tcBorders>
              <w:top w:val="single" w:sz="6" w:space="0" w:color="auto"/>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Net liability/(asset)</w:t>
            </w:r>
          </w:p>
        </w:tc>
        <w:tc>
          <w:tcPr>
            <w:tcW w:w="879" w:type="dxa"/>
            <w:tcBorders>
              <w:top w:val="single" w:sz="6" w:space="0" w:color="auto"/>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1 048</w:t>
            </w:r>
          </w:p>
        </w:tc>
        <w:tc>
          <w:tcPr>
            <w:tcW w:w="879" w:type="dxa"/>
            <w:tcBorders>
              <w:top w:val="single" w:sz="6" w:space="0" w:color="auto"/>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1 078</w:t>
            </w:r>
          </w:p>
        </w:tc>
        <w:tc>
          <w:tcPr>
            <w:tcW w:w="879" w:type="dxa"/>
            <w:tcBorders>
              <w:top w:val="single" w:sz="6" w:space="0" w:color="auto"/>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1 109</w:t>
            </w:r>
          </w:p>
        </w:tc>
        <w:tc>
          <w:tcPr>
            <w:tcW w:w="879" w:type="dxa"/>
            <w:tcBorders>
              <w:top w:val="single" w:sz="6" w:space="0" w:color="auto"/>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1 149</w:t>
            </w:r>
          </w:p>
        </w:tc>
      </w:tr>
      <w:tr w:rsidR="002C39A3" w:rsidRPr="00114E35" w:rsidTr="00361FA9">
        <w:tc>
          <w:tcPr>
            <w:tcW w:w="7768" w:type="dxa"/>
            <w:gridSpan w:val="5"/>
            <w:tcBorders>
              <w:top w:val="single" w:sz="6" w:space="0" w:color="auto"/>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b/>
                <w:bCs/>
                <w:color w:val="000000"/>
                <w:sz w:val="19"/>
                <w:lang w:eastAsia="en-AU"/>
              </w:rPr>
              <w:t>Total superannuation</w:t>
            </w:r>
          </w:p>
        </w:tc>
      </w:tr>
      <w:tr w:rsidR="002C39A3" w:rsidRPr="00114E35" w:rsidTr="00361FA9">
        <w:tc>
          <w:tcPr>
            <w:tcW w:w="4252"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Defined benefit obligation</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44 364</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43 910</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43 363</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42 743</w:t>
            </w:r>
          </w:p>
        </w:tc>
      </w:tr>
      <w:tr w:rsidR="002C39A3" w:rsidRPr="00114E35" w:rsidTr="00361FA9">
        <w:tc>
          <w:tcPr>
            <w:tcW w:w="4252"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114E35">
              <w:rPr>
                <w:rFonts w:ascii="Calibri" w:eastAsiaTheme="minorEastAsia" w:hAnsi="Calibri" w:cs="Calibri"/>
                <w:color w:val="000000"/>
                <w:sz w:val="19"/>
                <w:lang w:eastAsia="en-AU"/>
              </w:rPr>
              <w:t xml:space="preserve">Tax liability </w:t>
            </w:r>
            <w:r w:rsidRPr="00114E35">
              <w:rPr>
                <w:rFonts w:ascii="Calibri" w:eastAsiaTheme="minorEastAsia" w:hAnsi="Calibri" w:cs="Calibri"/>
                <w:color w:val="000000"/>
                <w:sz w:val="19"/>
                <w:vertAlign w:val="superscript"/>
                <w:lang w:eastAsia="en-AU"/>
              </w:rPr>
              <w:t>(a)</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2 667</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2 590</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2 504</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2 414</w:t>
            </w:r>
          </w:p>
        </w:tc>
      </w:tr>
      <w:tr w:rsidR="002C39A3" w:rsidRPr="00114E35" w:rsidTr="00361FA9">
        <w:tc>
          <w:tcPr>
            <w:tcW w:w="4252"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Plan assets</w:t>
            </w:r>
          </w:p>
        </w:tc>
        <w:tc>
          <w:tcPr>
            <w:tcW w:w="879"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(19 981)</w:t>
            </w:r>
          </w:p>
        </w:tc>
        <w:tc>
          <w:tcPr>
            <w:tcW w:w="879"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(20 334)</w:t>
            </w:r>
          </w:p>
        </w:tc>
        <w:tc>
          <w:tcPr>
            <w:tcW w:w="879"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(20 673)</w:t>
            </w:r>
          </w:p>
        </w:tc>
        <w:tc>
          <w:tcPr>
            <w:tcW w:w="879"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(20 970)</w:t>
            </w:r>
          </w:p>
        </w:tc>
      </w:tr>
      <w:tr w:rsidR="002C39A3" w:rsidRPr="00114E35" w:rsidTr="00361FA9">
        <w:tc>
          <w:tcPr>
            <w:tcW w:w="4252" w:type="dxa"/>
            <w:tcBorders>
              <w:top w:val="single" w:sz="6" w:space="0" w:color="auto"/>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Superannuation liability</w:t>
            </w:r>
          </w:p>
        </w:tc>
        <w:tc>
          <w:tcPr>
            <w:tcW w:w="879" w:type="dxa"/>
            <w:tcBorders>
              <w:top w:val="single" w:sz="6" w:space="0" w:color="auto"/>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27 049</w:t>
            </w:r>
          </w:p>
        </w:tc>
        <w:tc>
          <w:tcPr>
            <w:tcW w:w="879" w:type="dxa"/>
            <w:tcBorders>
              <w:top w:val="single" w:sz="6" w:space="0" w:color="auto"/>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26 165</w:t>
            </w:r>
          </w:p>
        </w:tc>
        <w:tc>
          <w:tcPr>
            <w:tcW w:w="879" w:type="dxa"/>
            <w:tcBorders>
              <w:top w:val="single" w:sz="6" w:space="0" w:color="auto"/>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25 194</w:t>
            </w:r>
          </w:p>
        </w:tc>
        <w:tc>
          <w:tcPr>
            <w:tcW w:w="879" w:type="dxa"/>
            <w:tcBorders>
              <w:top w:val="single" w:sz="6" w:space="0" w:color="auto"/>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24 187</w:t>
            </w:r>
          </w:p>
        </w:tc>
      </w:tr>
      <w:tr w:rsidR="002C39A3" w:rsidRPr="00114E35" w:rsidTr="00361FA9">
        <w:tc>
          <w:tcPr>
            <w:tcW w:w="7768" w:type="dxa"/>
            <w:gridSpan w:val="5"/>
            <w:tcBorders>
              <w:top w:val="single" w:sz="6" w:space="0" w:color="auto"/>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b/>
                <w:bCs/>
                <w:color w:val="000000"/>
                <w:sz w:val="19"/>
                <w:lang w:eastAsia="en-AU"/>
              </w:rPr>
              <w:t>Represented by:</w:t>
            </w:r>
          </w:p>
        </w:tc>
      </w:tr>
      <w:tr w:rsidR="002C39A3" w:rsidRPr="00114E35" w:rsidTr="00361FA9">
        <w:tc>
          <w:tcPr>
            <w:tcW w:w="4252"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Current liability</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1 036</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1 078</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1 082</w:t>
            </w:r>
          </w:p>
        </w:tc>
        <w:tc>
          <w:tcPr>
            <w:tcW w:w="879"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1 109</w:t>
            </w:r>
          </w:p>
        </w:tc>
      </w:tr>
      <w:tr w:rsidR="002C39A3" w:rsidRPr="00114E35" w:rsidTr="00361FA9">
        <w:tc>
          <w:tcPr>
            <w:tcW w:w="4252" w:type="dxa"/>
            <w:tcBorders>
              <w:top w:val="nil"/>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Non-current liability</w:t>
            </w:r>
          </w:p>
        </w:tc>
        <w:tc>
          <w:tcPr>
            <w:tcW w:w="879" w:type="dxa"/>
            <w:tcBorders>
              <w:top w:val="nil"/>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26 013</w:t>
            </w:r>
          </w:p>
        </w:tc>
        <w:tc>
          <w:tcPr>
            <w:tcW w:w="879" w:type="dxa"/>
            <w:tcBorders>
              <w:top w:val="nil"/>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25 086</w:t>
            </w:r>
          </w:p>
        </w:tc>
        <w:tc>
          <w:tcPr>
            <w:tcW w:w="879" w:type="dxa"/>
            <w:tcBorders>
              <w:top w:val="nil"/>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24 112</w:t>
            </w:r>
          </w:p>
        </w:tc>
        <w:tc>
          <w:tcPr>
            <w:tcW w:w="879" w:type="dxa"/>
            <w:tcBorders>
              <w:top w:val="nil"/>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23 079</w:t>
            </w:r>
          </w:p>
        </w:tc>
      </w:tr>
      <w:tr w:rsidR="002C39A3" w:rsidRPr="00114E35" w:rsidTr="00361FA9">
        <w:tc>
          <w:tcPr>
            <w:tcW w:w="4252" w:type="dxa"/>
            <w:tcBorders>
              <w:top w:val="single" w:sz="12" w:space="0" w:color="auto"/>
              <w:left w:val="nil"/>
              <w:bottom w:val="single" w:sz="12" w:space="0" w:color="auto"/>
              <w:right w:val="nil"/>
            </w:tcBorders>
            <w:shd w:val="solid" w:color="FFFFFF"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Total superannuation liability</w:t>
            </w:r>
          </w:p>
        </w:tc>
        <w:tc>
          <w:tcPr>
            <w:tcW w:w="879" w:type="dxa"/>
            <w:tcBorders>
              <w:top w:val="single" w:sz="12" w:space="0" w:color="auto"/>
              <w:left w:val="nil"/>
              <w:bottom w:val="single" w:sz="12" w:space="0" w:color="auto"/>
              <w:right w:val="nil"/>
            </w:tcBorders>
            <w:shd w:val="solid" w:color="FFFFFF"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27 049</w:t>
            </w:r>
          </w:p>
        </w:tc>
        <w:tc>
          <w:tcPr>
            <w:tcW w:w="879" w:type="dxa"/>
            <w:tcBorders>
              <w:top w:val="single" w:sz="12" w:space="0" w:color="auto"/>
              <w:left w:val="nil"/>
              <w:bottom w:val="single" w:sz="12" w:space="0" w:color="auto"/>
              <w:right w:val="nil"/>
            </w:tcBorders>
            <w:shd w:val="solid" w:color="FFFFFF"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26 165</w:t>
            </w:r>
          </w:p>
        </w:tc>
        <w:tc>
          <w:tcPr>
            <w:tcW w:w="879" w:type="dxa"/>
            <w:tcBorders>
              <w:top w:val="single" w:sz="12" w:space="0" w:color="auto"/>
              <w:left w:val="nil"/>
              <w:bottom w:val="single" w:sz="12" w:space="0" w:color="auto"/>
              <w:right w:val="nil"/>
            </w:tcBorders>
            <w:shd w:val="solid" w:color="FFFFFF"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25 194</w:t>
            </w:r>
          </w:p>
        </w:tc>
        <w:tc>
          <w:tcPr>
            <w:tcW w:w="879" w:type="dxa"/>
            <w:tcBorders>
              <w:top w:val="single" w:sz="12" w:space="0" w:color="auto"/>
              <w:left w:val="nil"/>
              <w:bottom w:val="single" w:sz="12" w:space="0" w:color="auto"/>
              <w:right w:val="nil"/>
            </w:tcBorders>
            <w:shd w:val="solid" w:color="FFFFFF"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24 187</w:t>
            </w:r>
          </w:p>
        </w:tc>
      </w:tr>
    </w:tbl>
    <w:p w:rsidR="002C39A3" w:rsidRDefault="002C39A3" w:rsidP="00361FA9">
      <w:pPr>
        <w:pStyle w:val="Notes"/>
      </w:pPr>
      <w:r>
        <w:t>Notes:</w:t>
      </w:r>
    </w:p>
    <w:p w:rsidR="002C39A3" w:rsidRDefault="002C39A3" w:rsidP="00361FA9">
      <w:pPr>
        <w:pStyle w:val="Notes"/>
      </w:pPr>
      <w:r>
        <w:t>(a)</w:t>
      </w:r>
      <w:r>
        <w:tab/>
        <w:t>Tax liability represents the present value of tax payments on contributions that are expected to be required to fund accrued benefits.</w:t>
      </w:r>
    </w:p>
    <w:p w:rsidR="002C39A3" w:rsidRPr="0093263E" w:rsidRDefault="002C39A3" w:rsidP="00361FA9">
      <w:pPr>
        <w:pStyle w:val="Notes"/>
      </w:pPr>
      <w:r>
        <w:t>(b)</w:t>
      </w:r>
      <w:r>
        <w:tab/>
        <w:t>Other funds include constitutionally protected schemes and the State</w:t>
      </w:r>
      <w:r w:rsidR="0097550F">
        <w:t>’</w:t>
      </w:r>
      <w:r>
        <w:t>s share of liabilities of the Defined Benefit Scheme of the Health Super Fund.</w:t>
      </w:r>
    </w:p>
    <w:p w:rsidR="002C39A3" w:rsidRDefault="002C39A3" w:rsidP="00361FA9"/>
    <w:p w:rsidR="002C39A3" w:rsidRDefault="002C39A3" w:rsidP="00361FA9">
      <w:r>
        <w:br w:type="page"/>
      </w:r>
    </w:p>
    <w:p w:rsidR="002C39A3" w:rsidRDefault="002C39A3" w:rsidP="00361FA9">
      <w:pPr>
        <w:pStyle w:val="Heading2Notes"/>
      </w:pPr>
      <w:bookmarkStart w:id="13" w:name="_Toc448928303"/>
      <w:r>
        <w:t>Note 8:</w:t>
      </w:r>
      <w:r>
        <w:tab/>
        <w:t>Depreciation</w:t>
      </w:r>
      <w:bookmarkEnd w:id="13"/>
    </w:p>
    <w:p w:rsidR="002C39A3" w:rsidRPr="00114E35" w:rsidRDefault="002C39A3" w:rsidP="00361FA9">
      <w:pPr>
        <w:pStyle w:val="million"/>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2C39A3" w:rsidRPr="00114E35" w:rsidTr="00361FA9">
        <w:trPr>
          <w:trHeight w:val="464"/>
          <w:tblHeader/>
        </w:trPr>
        <w:tc>
          <w:tcPr>
            <w:tcW w:w="4365"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2016-17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2017-18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2018-19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2019-20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114E35">
              <w:rPr>
                <w:rFonts w:ascii="Calibri" w:eastAsiaTheme="minorEastAsia" w:hAnsi="Calibri" w:cs="Calibri"/>
                <w:color w:val="000000"/>
                <w:sz w:val="19"/>
                <w:szCs w:val="19"/>
                <w:lang w:eastAsia="en-AU"/>
              </w:rPr>
              <w:t xml:space="preserve">Buildings </w:t>
            </w:r>
            <w:r w:rsidRPr="00114E35">
              <w:rPr>
                <w:rFonts w:ascii="Calibri" w:eastAsiaTheme="minorEastAsia" w:hAnsi="Calibri" w:cs="Calibri"/>
                <w:color w:val="000000"/>
                <w:sz w:val="19"/>
                <w:szCs w:val="19"/>
                <w:vertAlign w:val="superscript"/>
                <w:lang w:eastAsia="en-AU"/>
              </w:rPr>
              <w:t>(a)</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1 141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1 173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1 225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1 339</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Leasehold buildings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108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139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156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154</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Infrastructure systems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31</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114E35">
              <w:rPr>
                <w:rFonts w:ascii="Calibri" w:eastAsiaTheme="minorEastAsia" w:hAnsi="Calibri" w:cs="Calibri"/>
                <w:color w:val="000000"/>
                <w:sz w:val="19"/>
                <w:szCs w:val="19"/>
                <w:lang w:eastAsia="en-AU"/>
              </w:rPr>
              <w:t xml:space="preserve">Plant, equipment and vehicles </w:t>
            </w:r>
            <w:r w:rsidRPr="00114E35">
              <w:rPr>
                <w:rFonts w:ascii="Calibri" w:eastAsiaTheme="minorEastAsia" w:hAnsi="Calibri" w:cs="Calibri"/>
                <w:color w:val="000000"/>
                <w:sz w:val="19"/>
                <w:szCs w:val="19"/>
                <w:vertAlign w:val="superscript"/>
                <w:lang w:eastAsia="en-AU"/>
              </w:rPr>
              <w:t>(a)</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571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621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685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639</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114E35">
              <w:rPr>
                <w:rFonts w:ascii="Calibri" w:eastAsiaTheme="minorEastAsia" w:hAnsi="Calibri" w:cs="Calibri"/>
                <w:color w:val="000000"/>
                <w:sz w:val="19"/>
                <w:szCs w:val="19"/>
                <w:lang w:eastAsia="en-AU"/>
              </w:rPr>
              <w:t xml:space="preserve">Roads and road networks </w:t>
            </w:r>
            <w:r w:rsidRPr="00114E35">
              <w:rPr>
                <w:rFonts w:ascii="Calibri" w:eastAsiaTheme="minorEastAsia" w:hAnsi="Calibri" w:cs="Calibri"/>
                <w:color w:val="000000"/>
                <w:sz w:val="19"/>
                <w:szCs w:val="19"/>
                <w:vertAlign w:val="superscript"/>
                <w:lang w:eastAsia="en-AU"/>
              </w:rPr>
              <w:t>(a)</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630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664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801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903</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Cultural assets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28</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114E35">
              <w:rPr>
                <w:rFonts w:ascii="Calibri" w:eastAsiaTheme="minorEastAsia" w:hAnsi="Calibri" w:cs="Calibri"/>
                <w:color w:val="000000"/>
                <w:sz w:val="19"/>
                <w:szCs w:val="19"/>
                <w:lang w:eastAsia="en-AU"/>
              </w:rPr>
              <w:t xml:space="preserve">Intangible produced assets </w:t>
            </w:r>
            <w:r w:rsidRPr="00114E35">
              <w:rPr>
                <w:rFonts w:ascii="Calibri" w:eastAsiaTheme="minorEastAsia" w:hAnsi="Calibri" w:cs="Calibri"/>
                <w:color w:val="000000"/>
                <w:sz w:val="19"/>
                <w:szCs w:val="19"/>
                <w:vertAlign w:val="superscript"/>
                <w:lang w:eastAsia="en-AU"/>
              </w:rPr>
              <w:t>(b)</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121</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129</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115</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123</w:t>
            </w:r>
          </w:p>
        </w:tc>
      </w:tr>
      <w:tr w:rsidR="002C39A3" w:rsidRPr="00114E35" w:rsidTr="00361FA9">
        <w:tc>
          <w:tcPr>
            <w:tcW w:w="4365"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depreciation</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2 620</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2 780</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3 039</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3 216</w:t>
            </w:r>
          </w:p>
        </w:tc>
      </w:tr>
    </w:tbl>
    <w:p w:rsidR="002C39A3" w:rsidRDefault="002C39A3" w:rsidP="00361FA9">
      <w:pPr>
        <w:pStyle w:val="Notes"/>
      </w:pPr>
      <w:r>
        <w:t>Notes:</w:t>
      </w:r>
    </w:p>
    <w:p w:rsidR="002C39A3" w:rsidRDefault="002C39A3" w:rsidP="00361FA9">
      <w:pPr>
        <w:pStyle w:val="Notes"/>
      </w:pPr>
      <w:r>
        <w:t>(a)</w:t>
      </w:r>
      <w:r>
        <w:tab/>
        <w:t>Includes estimated depreciation on amounts not yet allocated to projects in 2016-17 to 2019-20.</w:t>
      </w:r>
    </w:p>
    <w:p w:rsidR="002C39A3" w:rsidRPr="004F678F" w:rsidRDefault="002C39A3" w:rsidP="00361FA9">
      <w:pPr>
        <w:pStyle w:val="Notes"/>
      </w:pPr>
      <w:r>
        <w:t>(b)</w:t>
      </w:r>
      <w:r>
        <w:tab/>
        <w:t>Amortisation of intangible non-produced assets is included under other gains/(losses) from other economic flows.</w:t>
      </w:r>
    </w:p>
    <w:p w:rsidR="002C39A3" w:rsidRDefault="002C39A3" w:rsidP="00361FA9"/>
    <w:p w:rsidR="002C39A3" w:rsidRDefault="002C39A3" w:rsidP="00361FA9"/>
    <w:p w:rsidR="002C39A3" w:rsidRDefault="002C39A3" w:rsidP="00361FA9">
      <w:pPr>
        <w:pStyle w:val="Heading2Notes"/>
      </w:pPr>
      <w:bookmarkStart w:id="14" w:name="_Toc448928304"/>
      <w:r>
        <w:t>Note 9:</w:t>
      </w:r>
      <w:r>
        <w:tab/>
        <w:t>Interest expense</w:t>
      </w:r>
      <w:bookmarkEnd w:id="14"/>
    </w:p>
    <w:p w:rsidR="002C39A3" w:rsidRPr="00114E35" w:rsidRDefault="002C39A3" w:rsidP="00361FA9">
      <w:pPr>
        <w:pStyle w:val="million"/>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2C39A3" w:rsidRPr="00114E35" w:rsidTr="00361FA9">
        <w:trPr>
          <w:trHeight w:val="464"/>
          <w:tblHeader/>
        </w:trPr>
        <w:tc>
          <w:tcPr>
            <w:tcW w:w="4365"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2016-17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2017-18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2018-19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2019-20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Interest on long-term interest-bearing liabilities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1 528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1 269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1 291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1 267</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Interest on short-term interest-bearing liabilities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44</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Finance charges on finance leases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821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881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882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866</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Discount interest on payables</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37</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37</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37</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37</w:t>
            </w:r>
          </w:p>
        </w:tc>
      </w:tr>
      <w:tr w:rsidR="002C39A3" w:rsidRPr="00114E35" w:rsidTr="00361FA9">
        <w:tc>
          <w:tcPr>
            <w:tcW w:w="4365"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interest expense</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2 433</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2 231</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2 254</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2 214</w:t>
            </w:r>
          </w:p>
        </w:tc>
      </w:tr>
    </w:tbl>
    <w:p w:rsidR="002C39A3" w:rsidRDefault="002C39A3" w:rsidP="00361FA9"/>
    <w:p w:rsidR="002C39A3" w:rsidRDefault="002C39A3" w:rsidP="00361FA9"/>
    <w:p w:rsidR="002C39A3" w:rsidRDefault="002C39A3">
      <w:pPr>
        <w:spacing w:after="0"/>
        <w:rPr>
          <w:rFonts w:ascii="Calibri" w:hAnsi="Calibri"/>
          <w:b/>
          <w:kern w:val="28"/>
          <w:sz w:val="26"/>
          <w:szCs w:val="22"/>
        </w:rPr>
      </w:pPr>
      <w:r>
        <w:br w:type="page"/>
      </w:r>
    </w:p>
    <w:p w:rsidR="002C39A3" w:rsidRDefault="002C39A3" w:rsidP="00361FA9">
      <w:pPr>
        <w:pStyle w:val="Heading2Notes"/>
      </w:pPr>
      <w:bookmarkStart w:id="15" w:name="_Toc448928305"/>
      <w:r>
        <w:t>Note 10:</w:t>
      </w:r>
      <w:r>
        <w:tab/>
        <w:t>Grant expense</w:t>
      </w:r>
      <w:bookmarkEnd w:id="15"/>
    </w:p>
    <w:p w:rsidR="002C39A3" w:rsidRPr="00114E35" w:rsidRDefault="002C39A3" w:rsidP="00361FA9">
      <w:pPr>
        <w:pStyle w:val="million"/>
        <w:rPr>
          <w:rFonts w:ascii="Garamond" w:hAnsi="Garamond"/>
          <w:b/>
          <w:bCs/>
          <w:sz w:val="22"/>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2C39A3" w:rsidRPr="00114E35" w:rsidTr="00361FA9">
        <w:trPr>
          <w:trHeight w:val="464"/>
          <w:tblHeader/>
        </w:trPr>
        <w:tc>
          <w:tcPr>
            <w:tcW w:w="4365"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2016-17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2017-18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2018-19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2019-20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r>
      <w:tr w:rsidR="002C39A3" w:rsidRPr="00114E35" w:rsidTr="00361FA9">
        <w:tc>
          <w:tcPr>
            <w:tcW w:w="7765" w:type="dxa"/>
            <w:gridSpan w:val="5"/>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Current grant expense</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Commonwealth Government</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213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193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188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189</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Local government (including grants for on-passing)</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861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783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802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729</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Private sector and not-for-profit for on-passing</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3 037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3 206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3 350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3 501</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Other private sector and not-for-profit</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2 011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2 098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2 201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2 277</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Grants within the Victorian Government</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3 147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3 285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3 252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3 261</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Grants to other state governments</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12</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w:t>
            </w:r>
          </w:p>
        </w:tc>
      </w:tr>
      <w:tr w:rsidR="002C39A3" w:rsidRPr="00114E35" w:rsidTr="00361FA9">
        <w:tc>
          <w:tcPr>
            <w:tcW w:w="4365"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current grant expense</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9 281</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9 576</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9 806</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9 968</w:t>
            </w:r>
          </w:p>
        </w:tc>
      </w:tr>
      <w:tr w:rsidR="002C39A3" w:rsidRPr="00114E35" w:rsidTr="00361FA9">
        <w:tc>
          <w:tcPr>
            <w:tcW w:w="7765" w:type="dxa"/>
            <w:gridSpan w:val="5"/>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Capital grant expense</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Local government (including grants for on-passing)</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Private sector and not-for-profit on-passing</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21</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Other private sector and not-for-profit</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Grants within the Victorian Government</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Other grants</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40</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44</w:t>
            </w:r>
          </w:p>
        </w:tc>
      </w:tr>
      <w:tr w:rsidR="002C39A3" w:rsidRPr="00114E35" w:rsidTr="00361FA9">
        <w:tc>
          <w:tcPr>
            <w:tcW w:w="4365"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capital grant expense</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170</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121</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137</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68</w:t>
            </w:r>
          </w:p>
        </w:tc>
      </w:tr>
      <w:tr w:rsidR="002C39A3" w:rsidRPr="00114E35" w:rsidTr="00361FA9">
        <w:tc>
          <w:tcPr>
            <w:tcW w:w="4365"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grant expense</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9 451</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9 697</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9 942</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10 036</w:t>
            </w:r>
          </w:p>
        </w:tc>
      </w:tr>
    </w:tbl>
    <w:p w:rsidR="002C39A3" w:rsidRDefault="002C39A3" w:rsidP="00361FA9"/>
    <w:p w:rsidR="002C39A3" w:rsidRPr="007D07A6" w:rsidRDefault="002C39A3" w:rsidP="00361FA9"/>
    <w:p w:rsidR="002C39A3" w:rsidRDefault="002C39A3" w:rsidP="00361FA9">
      <w:pPr>
        <w:pStyle w:val="Heading2Notes"/>
      </w:pPr>
      <w:bookmarkStart w:id="16" w:name="_Toc448928306"/>
      <w:r>
        <w:t>Note 11:</w:t>
      </w:r>
      <w:r>
        <w:tab/>
        <w:t>Other operating expenses</w:t>
      </w:r>
      <w:bookmarkEnd w:id="16"/>
    </w:p>
    <w:p w:rsidR="002C39A3" w:rsidRPr="00114E35" w:rsidRDefault="002C39A3" w:rsidP="00361FA9">
      <w:pPr>
        <w:pStyle w:val="million"/>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2C39A3" w:rsidRPr="00114E35" w:rsidTr="00361FA9">
        <w:trPr>
          <w:trHeight w:val="464"/>
          <w:tblHeader/>
        </w:trPr>
        <w:tc>
          <w:tcPr>
            <w:tcW w:w="4365" w:type="dxa"/>
            <w:tcBorders>
              <w:right w:val="nil"/>
            </w:tcBorders>
            <w:shd w:val="solid" w:color="000000" w:fill="auto"/>
            <w:vAlign w:val="bottom"/>
          </w:tcPr>
          <w:p w:rsidR="002C39A3" w:rsidRPr="00114E35" w:rsidRDefault="002C39A3"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850"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2016-17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budget</w:t>
            </w:r>
          </w:p>
        </w:tc>
        <w:tc>
          <w:tcPr>
            <w:tcW w:w="850"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2017-18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2018-19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lef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2019-20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r>
      <w:tr w:rsidR="002C39A3" w:rsidRPr="00114E35" w:rsidTr="00361FA9">
        <w:tc>
          <w:tcPr>
            <w:tcW w:w="4365" w:type="dxa"/>
            <w:tcBorders>
              <w:top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114E35">
              <w:rPr>
                <w:rFonts w:ascii="Calibri" w:eastAsiaTheme="minorEastAsia" w:hAnsi="Calibri" w:cs="Calibri"/>
                <w:color w:val="000000"/>
                <w:sz w:val="19"/>
                <w:szCs w:val="19"/>
                <w:lang w:eastAsia="en-AU"/>
              </w:rPr>
              <w:t>Purchase of supplies and consumables</w:t>
            </w:r>
            <w:r w:rsidRPr="00114E35">
              <w:rPr>
                <w:rFonts w:ascii="Calibri" w:eastAsiaTheme="minorEastAsia" w:hAnsi="Calibri" w:cs="Calibri"/>
                <w:color w:val="000000"/>
                <w:sz w:val="19"/>
                <w:szCs w:val="19"/>
                <w:vertAlign w:val="superscript"/>
                <w:lang w:eastAsia="en-AU"/>
              </w:rPr>
              <w:t xml:space="preserve"> (a)</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4 781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5 466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5 415</w:t>
            </w:r>
          </w:p>
        </w:tc>
        <w:tc>
          <w:tcPr>
            <w:tcW w:w="850" w:type="dxa"/>
            <w:tcBorders>
              <w:top w:val="nil"/>
              <w:lef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5 852</w:t>
            </w:r>
          </w:p>
        </w:tc>
      </w:tr>
      <w:tr w:rsidR="002C39A3" w:rsidRPr="00114E35" w:rsidTr="00361FA9">
        <w:tc>
          <w:tcPr>
            <w:tcW w:w="4365" w:type="dxa"/>
            <w:tcBorders>
              <w:top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Cost of goods sold</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24</w:t>
            </w:r>
          </w:p>
        </w:tc>
        <w:tc>
          <w:tcPr>
            <w:tcW w:w="850" w:type="dxa"/>
            <w:tcBorders>
              <w:top w:val="nil"/>
              <w:lef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24</w:t>
            </w:r>
          </w:p>
        </w:tc>
      </w:tr>
      <w:tr w:rsidR="002C39A3" w:rsidRPr="00114E35" w:rsidTr="00361FA9">
        <w:tc>
          <w:tcPr>
            <w:tcW w:w="4365" w:type="dxa"/>
            <w:tcBorders>
              <w:top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Finance expenses and fees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26</w:t>
            </w:r>
          </w:p>
        </w:tc>
        <w:tc>
          <w:tcPr>
            <w:tcW w:w="850" w:type="dxa"/>
            <w:tcBorders>
              <w:top w:val="nil"/>
              <w:lef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26</w:t>
            </w:r>
          </w:p>
        </w:tc>
      </w:tr>
      <w:tr w:rsidR="002C39A3" w:rsidRPr="00114E35" w:rsidTr="00361FA9">
        <w:tc>
          <w:tcPr>
            <w:tcW w:w="4365" w:type="dxa"/>
            <w:tcBorders>
              <w:top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114E35">
              <w:rPr>
                <w:rFonts w:ascii="Calibri" w:eastAsiaTheme="minorEastAsia" w:hAnsi="Calibri" w:cs="Calibri"/>
                <w:color w:val="000000"/>
                <w:sz w:val="19"/>
                <w:szCs w:val="19"/>
                <w:lang w:eastAsia="en-AU"/>
              </w:rPr>
              <w:t>Purchase of services</w:t>
            </w:r>
            <w:r w:rsidRPr="00114E35">
              <w:rPr>
                <w:rFonts w:ascii="Calibri" w:eastAsiaTheme="minorEastAsia" w:hAnsi="Calibri" w:cs="Calibri"/>
                <w:color w:val="000000"/>
                <w:sz w:val="19"/>
                <w:szCs w:val="19"/>
                <w:vertAlign w:val="superscript"/>
                <w:lang w:eastAsia="en-AU"/>
              </w:rPr>
              <w:t xml:space="preserve"> (a)</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11 910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11 890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11 764</w:t>
            </w:r>
          </w:p>
        </w:tc>
        <w:tc>
          <w:tcPr>
            <w:tcW w:w="850" w:type="dxa"/>
            <w:tcBorders>
              <w:top w:val="nil"/>
              <w:lef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11 981</w:t>
            </w:r>
          </w:p>
        </w:tc>
      </w:tr>
      <w:tr w:rsidR="002C39A3" w:rsidRPr="00114E35" w:rsidTr="00361FA9">
        <w:tc>
          <w:tcPr>
            <w:tcW w:w="4365" w:type="dxa"/>
            <w:tcBorders>
              <w:top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Insurance claims expense</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188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191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191</w:t>
            </w:r>
          </w:p>
        </w:tc>
        <w:tc>
          <w:tcPr>
            <w:tcW w:w="850" w:type="dxa"/>
            <w:tcBorders>
              <w:top w:val="nil"/>
              <w:lef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191</w:t>
            </w:r>
          </w:p>
        </w:tc>
      </w:tr>
      <w:tr w:rsidR="002C39A3" w:rsidRPr="00114E35" w:rsidTr="00361FA9">
        <w:tc>
          <w:tcPr>
            <w:tcW w:w="4365" w:type="dxa"/>
            <w:tcBorders>
              <w:top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Maintenance</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770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766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782</w:t>
            </w:r>
          </w:p>
        </w:tc>
        <w:tc>
          <w:tcPr>
            <w:tcW w:w="850" w:type="dxa"/>
            <w:tcBorders>
              <w:top w:val="nil"/>
              <w:lef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793</w:t>
            </w:r>
          </w:p>
        </w:tc>
      </w:tr>
      <w:tr w:rsidR="002C39A3" w:rsidRPr="00114E35" w:rsidTr="00361FA9">
        <w:tc>
          <w:tcPr>
            <w:tcW w:w="4365" w:type="dxa"/>
            <w:tcBorders>
              <w:top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Operating lease payments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292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296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296</w:t>
            </w:r>
          </w:p>
        </w:tc>
        <w:tc>
          <w:tcPr>
            <w:tcW w:w="850" w:type="dxa"/>
            <w:tcBorders>
              <w:top w:val="nil"/>
              <w:lef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299</w:t>
            </w:r>
          </w:p>
        </w:tc>
      </w:tr>
      <w:tr w:rsidR="002C39A3" w:rsidRPr="00114E35" w:rsidTr="00361FA9">
        <w:tc>
          <w:tcPr>
            <w:tcW w:w="4365" w:type="dxa"/>
            <w:tcBorders>
              <w:top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Other</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677</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699</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725</w:t>
            </w:r>
          </w:p>
        </w:tc>
        <w:tc>
          <w:tcPr>
            <w:tcW w:w="850" w:type="dxa"/>
            <w:tcBorders>
              <w:top w:val="nil"/>
              <w:left w:val="nil"/>
              <w:bottom w:val="single" w:sz="6" w:space="0" w:color="000000"/>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757</w:t>
            </w:r>
          </w:p>
        </w:tc>
      </w:tr>
      <w:tr w:rsidR="002C39A3" w:rsidRPr="00114E35" w:rsidTr="00361FA9">
        <w:tc>
          <w:tcPr>
            <w:tcW w:w="4365" w:type="dxa"/>
            <w:tcBorders>
              <w:top w:val="single" w:sz="6" w:space="0" w:color="000000"/>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other operating expenses</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18 669</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19 358</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19 223</w:t>
            </w:r>
          </w:p>
        </w:tc>
        <w:tc>
          <w:tcPr>
            <w:tcW w:w="850" w:type="dxa"/>
            <w:tcBorders>
              <w:top w:val="single" w:sz="6" w:space="0" w:color="000000"/>
              <w:left w:val="nil"/>
              <w:bottom w:val="single" w:sz="12" w:space="0" w:color="auto"/>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19 923</w:t>
            </w:r>
          </w:p>
        </w:tc>
      </w:tr>
    </w:tbl>
    <w:p w:rsidR="002C39A3" w:rsidRDefault="002C39A3" w:rsidP="00361FA9">
      <w:pPr>
        <w:pStyle w:val="Notes"/>
      </w:pPr>
      <w:r>
        <w:t>Note:</w:t>
      </w:r>
    </w:p>
    <w:p w:rsidR="002C39A3" w:rsidRDefault="002C39A3" w:rsidP="00361FA9">
      <w:pPr>
        <w:pStyle w:val="Notes"/>
      </w:pPr>
      <w:r>
        <w:t>(a)</w:t>
      </w:r>
      <w:r>
        <w:tab/>
        <w:t>Further disclosure on provision of services by department is available on the Department of Treasury and Finance</w:t>
      </w:r>
      <w:r w:rsidR="0097550F">
        <w:t>’</w:t>
      </w:r>
      <w:r>
        <w:t>s website. This further disclosure is not subject to review by the Victorian Auditor</w:t>
      </w:r>
      <w:r>
        <w:noBreakHyphen/>
        <w:t>General</w:t>
      </w:r>
      <w:r w:rsidR="0097550F">
        <w:t>’</w:t>
      </w:r>
      <w:r>
        <w:t>s Office.</w:t>
      </w:r>
    </w:p>
    <w:p w:rsidR="002C39A3" w:rsidRDefault="002C39A3" w:rsidP="00361FA9">
      <w:pPr>
        <w:pStyle w:val="Notes"/>
      </w:pPr>
    </w:p>
    <w:p w:rsidR="002C39A3" w:rsidRDefault="002C39A3" w:rsidP="00361FA9">
      <w:pPr>
        <w:pStyle w:val="Notes"/>
      </w:pPr>
    </w:p>
    <w:p w:rsidR="002C39A3" w:rsidRDefault="002C39A3" w:rsidP="00361FA9"/>
    <w:p w:rsidR="002C39A3" w:rsidRDefault="002C39A3">
      <w:pPr>
        <w:spacing w:after="0"/>
        <w:rPr>
          <w:rFonts w:ascii="Calibri" w:hAnsi="Calibri"/>
          <w:b/>
          <w:kern w:val="28"/>
          <w:sz w:val="26"/>
          <w:szCs w:val="22"/>
        </w:rPr>
      </w:pPr>
      <w:r>
        <w:br w:type="page"/>
      </w:r>
    </w:p>
    <w:p w:rsidR="002C39A3" w:rsidRDefault="002C39A3" w:rsidP="00361FA9">
      <w:pPr>
        <w:pStyle w:val="Heading2Notes"/>
      </w:pPr>
      <w:bookmarkStart w:id="17" w:name="_Toc448928307"/>
      <w:r>
        <w:t>Note 12:</w:t>
      </w:r>
      <w:r>
        <w:tab/>
        <w:t>Total expenses by government purpose and by department</w:t>
      </w:r>
      <w:bookmarkEnd w:id="17"/>
    </w:p>
    <w:p w:rsidR="002C39A3" w:rsidRDefault="002C39A3" w:rsidP="00361FA9">
      <w:pPr>
        <w:pStyle w:val="Tableheading"/>
      </w:pPr>
      <w:r>
        <w:t>(a)</w:t>
      </w:r>
      <w:r>
        <w:tab/>
        <w:t xml:space="preserve">Expenses by government purpose classification </w:t>
      </w:r>
      <w:r w:rsidRPr="00C87C6F">
        <w:rPr>
          <w:vertAlign w:val="superscript"/>
        </w:rPr>
        <w:t>(a)</w:t>
      </w:r>
    </w:p>
    <w:p w:rsidR="002C39A3" w:rsidRPr="00384D35" w:rsidRDefault="002C39A3" w:rsidP="00361FA9">
      <w:pPr>
        <w:pStyle w:val="million"/>
        <w:rPr>
          <w:rFonts w:eastAsiaTheme="minorEastAsia"/>
          <w:b/>
          <w:bCs/>
          <w:lang w:val="en-US" w:eastAsia="en-AU"/>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2C39A3" w:rsidRPr="00384D35" w:rsidTr="00361FA9">
        <w:trPr>
          <w:trHeight w:val="464"/>
          <w:tblHeader/>
        </w:trPr>
        <w:tc>
          <w:tcPr>
            <w:tcW w:w="4365" w:type="dxa"/>
            <w:tcBorders>
              <w:left w:val="nil"/>
              <w:right w:val="nil"/>
            </w:tcBorders>
            <w:shd w:val="solid" w:color="000000" w:fill="auto"/>
            <w:vAlign w:val="bottom"/>
          </w:tcPr>
          <w:p w:rsidR="002C39A3" w:rsidRPr="00384D35" w:rsidRDefault="002C39A3" w:rsidP="00361FA9">
            <w:pPr>
              <w:pStyle w:val="Notes"/>
              <w:rPr>
                <w:rFonts w:eastAsiaTheme="minorEastAsia" w:cs="Calibri"/>
                <w:iCs/>
                <w:color w:val="FFFFFF"/>
                <w:sz w:val="19"/>
                <w:lang w:eastAsia="en-AU"/>
              </w:rPr>
            </w:pPr>
          </w:p>
        </w:tc>
        <w:tc>
          <w:tcPr>
            <w:tcW w:w="850" w:type="dxa"/>
            <w:tcBorders>
              <w:left w:val="nil"/>
              <w:right w:val="nil"/>
            </w:tcBorders>
            <w:shd w:val="solid" w:color="000000" w:fill="auto"/>
            <w:vAlign w:val="bottom"/>
          </w:tcPr>
          <w:p w:rsidR="002C39A3" w:rsidRPr="00384D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384D35">
              <w:rPr>
                <w:rFonts w:ascii="Calibri" w:eastAsiaTheme="minorEastAsia" w:hAnsi="Calibri" w:cs="Calibri"/>
                <w:i/>
                <w:iCs/>
                <w:color w:val="FFFFFF"/>
                <w:sz w:val="19"/>
                <w:lang w:eastAsia="en-AU"/>
              </w:rPr>
              <w:t>2016-17</w:t>
            </w:r>
          </w:p>
          <w:p w:rsidR="002C39A3" w:rsidRPr="00384D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384D35">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2C39A3" w:rsidRPr="00384D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384D35">
              <w:rPr>
                <w:rFonts w:ascii="Calibri" w:eastAsiaTheme="minorEastAsia" w:hAnsi="Calibri" w:cs="Calibri"/>
                <w:i/>
                <w:iCs/>
                <w:color w:val="FFFFFF"/>
                <w:sz w:val="19"/>
                <w:lang w:eastAsia="en-AU"/>
              </w:rPr>
              <w:t>2017-18</w:t>
            </w:r>
          </w:p>
          <w:p w:rsidR="002C39A3" w:rsidRPr="00384D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384D35">
              <w:rPr>
                <w:rFonts w:ascii="Calibri" w:eastAsiaTheme="minorEastAsia" w:hAnsi="Calibri" w:cs="Calibri"/>
                <w:i/>
                <w:iCs/>
                <w:color w:val="FFFFFF"/>
                <w:sz w:val="19"/>
                <w:lang w:eastAsia="en-AU"/>
              </w:rPr>
              <w:t>estimate</w:t>
            </w:r>
          </w:p>
        </w:tc>
        <w:tc>
          <w:tcPr>
            <w:tcW w:w="850" w:type="dxa"/>
            <w:tcBorders>
              <w:left w:val="nil"/>
              <w:right w:val="nil"/>
            </w:tcBorders>
            <w:shd w:val="solid" w:color="000000" w:fill="auto"/>
            <w:vAlign w:val="bottom"/>
          </w:tcPr>
          <w:p w:rsidR="002C39A3" w:rsidRPr="00384D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384D35">
              <w:rPr>
                <w:rFonts w:ascii="Calibri" w:eastAsiaTheme="minorEastAsia" w:hAnsi="Calibri" w:cs="Calibri"/>
                <w:i/>
                <w:iCs/>
                <w:color w:val="FFFFFF"/>
                <w:sz w:val="19"/>
                <w:lang w:eastAsia="en-AU"/>
              </w:rPr>
              <w:t>2018-19</w:t>
            </w:r>
          </w:p>
          <w:p w:rsidR="002C39A3" w:rsidRPr="00384D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384D35">
              <w:rPr>
                <w:rFonts w:ascii="Calibri" w:eastAsiaTheme="minorEastAsia" w:hAnsi="Calibri" w:cs="Calibri"/>
                <w:i/>
                <w:iCs/>
                <w:color w:val="FFFFFF"/>
                <w:sz w:val="19"/>
                <w:lang w:eastAsia="en-AU"/>
              </w:rPr>
              <w:t>estimate</w:t>
            </w:r>
          </w:p>
        </w:tc>
        <w:tc>
          <w:tcPr>
            <w:tcW w:w="850" w:type="dxa"/>
            <w:tcBorders>
              <w:left w:val="nil"/>
              <w:right w:val="nil"/>
            </w:tcBorders>
            <w:shd w:val="solid" w:color="000000" w:fill="auto"/>
            <w:vAlign w:val="bottom"/>
          </w:tcPr>
          <w:p w:rsidR="002C39A3" w:rsidRPr="00384D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384D35">
              <w:rPr>
                <w:rFonts w:ascii="Calibri" w:eastAsiaTheme="minorEastAsia" w:hAnsi="Calibri" w:cs="Calibri"/>
                <w:i/>
                <w:iCs/>
                <w:color w:val="FFFFFF"/>
                <w:sz w:val="19"/>
                <w:lang w:eastAsia="en-AU"/>
              </w:rPr>
              <w:t>2019-20</w:t>
            </w:r>
          </w:p>
          <w:p w:rsidR="002C39A3" w:rsidRPr="00384D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384D35">
              <w:rPr>
                <w:rFonts w:ascii="Calibri" w:eastAsiaTheme="minorEastAsia" w:hAnsi="Calibri" w:cs="Calibri"/>
                <w:i/>
                <w:iCs/>
                <w:color w:val="FFFFFF"/>
                <w:sz w:val="19"/>
                <w:lang w:eastAsia="en-AU"/>
              </w:rPr>
              <w:t>estimate</w:t>
            </w:r>
          </w:p>
        </w:tc>
      </w:tr>
      <w:tr w:rsidR="002C39A3" w:rsidRPr="00384D35" w:rsidTr="00361FA9">
        <w:tc>
          <w:tcPr>
            <w:tcW w:w="7765" w:type="dxa"/>
            <w:gridSpan w:val="5"/>
            <w:tcBorders>
              <w:top w:val="single" w:sz="6" w:space="0" w:color="auto"/>
              <w:left w:val="nil"/>
              <w:right w:val="nil"/>
            </w:tcBorders>
            <w:shd w:val="clear" w:color="auto" w:fill="FFFFFF"/>
          </w:tcPr>
          <w:p w:rsidR="002C39A3" w:rsidRPr="00384D35" w:rsidRDefault="002C39A3" w:rsidP="00361FA9">
            <w:pPr>
              <w:autoSpaceDE w:val="0"/>
              <w:autoSpaceDN w:val="0"/>
              <w:adjustRightInd w:val="0"/>
              <w:spacing w:after="0"/>
              <w:ind w:left="227" w:hanging="227"/>
              <w:rPr>
                <w:rFonts w:ascii="Calibri" w:eastAsiaTheme="minorEastAsia" w:hAnsi="Calibri" w:cs="Calibri"/>
                <w:i/>
                <w:iCs/>
                <w:color w:val="000000"/>
                <w:sz w:val="19"/>
                <w:lang w:eastAsia="en-AU"/>
              </w:rPr>
            </w:pPr>
            <w:r w:rsidRPr="00384D35">
              <w:rPr>
                <w:rFonts w:ascii="Calibri" w:eastAsiaTheme="minorEastAsia" w:hAnsi="Calibri" w:cs="Calibri"/>
                <w:b/>
                <w:bCs/>
                <w:color w:val="000000"/>
                <w:sz w:val="19"/>
                <w:lang w:eastAsia="en-AU"/>
              </w:rPr>
              <w:t>Expenses</w:t>
            </w:r>
          </w:p>
        </w:tc>
      </w:tr>
      <w:tr w:rsidR="002C39A3" w:rsidRPr="00384D35" w:rsidTr="00361FA9">
        <w:tc>
          <w:tcPr>
            <w:tcW w:w="4365" w:type="dxa"/>
            <w:tcBorders>
              <w:top w:val="nil"/>
              <w:left w:val="nil"/>
              <w:right w:val="nil"/>
            </w:tcBorders>
            <w:shd w:val="clear" w:color="auto" w:fill="FFFFFF"/>
          </w:tcPr>
          <w:p w:rsidR="002C39A3" w:rsidRPr="00384D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General public services</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2 296</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2 087</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2 083</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2 094</w:t>
            </w:r>
          </w:p>
        </w:tc>
      </w:tr>
      <w:tr w:rsidR="002C39A3" w:rsidRPr="00384D35" w:rsidTr="00361FA9">
        <w:tc>
          <w:tcPr>
            <w:tcW w:w="4365" w:type="dxa"/>
            <w:tcBorders>
              <w:top w:val="nil"/>
              <w:left w:val="nil"/>
              <w:right w:val="nil"/>
            </w:tcBorders>
            <w:shd w:val="clear" w:color="auto" w:fill="FFFFFF"/>
          </w:tcPr>
          <w:p w:rsidR="002C39A3" w:rsidRPr="00384D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Public order and safety</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6 645</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6 909</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7 143</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7 391</w:t>
            </w:r>
          </w:p>
        </w:tc>
      </w:tr>
      <w:tr w:rsidR="002C39A3" w:rsidRPr="00384D35" w:rsidTr="00361FA9">
        <w:tc>
          <w:tcPr>
            <w:tcW w:w="4365" w:type="dxa"/>
            <w:tcBorders>
              <w:top w:val="nil"/>
              <w:left w:val="nil"/>
              <w:right w:val="nil"/>
            </w:tcBorders>
            <w:shd w:val="clear" w:color="auto" w:fill="FFFFFF"/>
          </w:tcPr>
          <w:p w:rsidR="002C39A3" w:rsidRPr="00384D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Education</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14 801</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15 331</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15 743</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16 235</w:t>
            </w:r>
          </w:p>
        </w:tc>
      </w:tr>
      <w:tr w:rsidR="002C39A3" w:rsidRPr="00384D35" w:rsidTr="00361FA9">
        <w:tc>
          <w:tcPr>
            <w:tcW w:w="4365" w:type="dxa"/>
            <w:tcBorders>
              <w:top w:val="nil"/>
              <w:left w:val="nil"/>
              <w:right w:val="nil"/>
            </w:tcBorders>
            <w:shd w:val="clear" w:color="auto" w:fill="FFFFFF"/>
          </w:tcPr>
          <w:p w:rsidR="002C39A3" w:rsidRPr="00384D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Health</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16 374</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16 979</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17 727</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18 429</w:t>
            </w:r>
          </w:p>
        </w:tc>
      </w:tr>
      <w:tr w:rsidR="002C39A3" w:rsidRPr="00384D35" w:rsidTr="00361FA9">
        <w:tc>
          <w:tcPr>
            <w:tcW w:w="4365" w:type="dxa"/>
            <w:tcBorders>
              <w:top w:val="nil"/>
              <w:left w:val="nil"/>
              <w:right w:val="nil"/>
            </w:tcBorders>
            <w:shd w:val="clear" w:color="auto" w:fill="FFFFFF"/>
          </w:tcPr>
          <w:p w:rsidR="002C39A3" w:rsidRPr="00384D35"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384D35">
              <w:rPr>
                <w:rFonts w:ascii="Calibri" w:eastAsiaTheme="minorEastAsia" w:hAnsi="Calibri" w:cs="Calibri"/>
                <w:color w:val="000000"/>
                <w:sz w:val="19"/>
                <w:lang w:eastAsia="en-AU"/>
              </w:rPr>
              <w:t>Social security and welfare</w:t>
            </w:r>
            <w:r>
              <w:rPr>
                <w:rFonts w:ascii="Calibri" w:eastAsiaTheme="minorEastAsia" w:hAnsi="Calibri" w:cs="Calibri"/>
                <w:color w:val="000000"/>
                <w:sz w:val="19"/>
                <w:lang w:eastAsia="en-AU"/>
              </w:rPr>
              <w:t xml:space="preserve"> </w:t>
            </w:r>
            <w:r w:rsidRPr="00384D35">
              <w:rPr>
                <w:rFonts w:ascii="Calibri" w:eastAsiaTheme="minorEastAsia" w:hAnsi="Calibri" w:cs="Calibri"/>
                <w:color w:val="000000"/>
                <w:sz w:val="19"/>
                <w:vertAlign w:val="superscript"/>
                <w:lang w:eastAsia="en-AU"/>
              </w:rPr>
              <w:t>(b)</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4 244</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4 550</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4 794</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4 699</w:t>
            </w:r>
          </w:p>
        </w:tc>
      </w:tr>
      <w:tr w:rsidR="002C39A3" w:rsidRPr="00384D35" w:rsidTr="00361FA9">
        <w:tc>
          <w:tcPr>
            <w:tcW w:w="4365" w:type="dxa"/>
            <w:tcBorders>
              <w:top w:val="nil"/>
              <w:left w:val="nil"/>
              <w:right w:val="nil"/>
            </w:tcBorders>
            <w:shd w:val="clear" w:color="auto" w:fill="FFFFFF"/>
          </w:tcPr>
          <w:p w:rsidR="002C39A3" w:rsidRPr="00384D35"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384D35">
              <w:rPr>
                <w:rFonts w:ascii="Calibri" w:eastAsiaTheme="minorEastAsia" w:hAnsi="Calibri" w:cs="Calibri"/>
                <w:color w:val="000000"/>
                <w:sz w:val="19"/>
                <w:lang w:eastAsia="en-AU"/>
              </w:rPr>
              <w:t>Housing and community amenities</w:t>
            </w:r>
            <w:r>
              <w:rPr>
                <w:rFonts w:ascii="Calibri" w:eastAsiaTheme="minorEastAsia" w:hAnsi="Calibri" w:cs="Calibri"/>
                <w:color w:val="000000"/>
                <w:sz w:val="19"/>
                <w:lang w:eastAsia="en-AU"/>
              </w:rPr>
              <w:t xml:space="preserve"> </w:t>
            </w:r>
            <w:r w:rsidRPr="00384D35">
              <w:rPr>
                <w:rFonts w:ascii="Calibri" w:eastAsiaTheme="minorEastAsia" w:hAnsi="Calibri" w:cs="Calibri"/>
                <w:color w:val="000000"/>
                <w:sz w:val="19"/>
                <w:vertAlign w:val="superscript"/>
                <w:lang w:eastAsia="en-AU"/>
              </w:rPr>
              <w:t>(c)</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3 226</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3 244</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2 865</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2 760</w:t>
            </w:r>
          </w:p>
        </w:tc>
      </w:tr>
      <w:tr w:rsidR="002C39A3" w:rsidRPr="00384D35" w:rsidTr="00361FA9">
        <w:tc>
          <w:tcPr>
            <w:tcW w:w="4365" w:type="dxa"/>
            <w:tcBorders>
              <w:top w:val="nil"/>
              <w:left w:val="nil"/>
              <w:right w:val="nil"/>
            </w:tcBorders>
            <w:shd w:val="clear" w:color="auto" w:fill="FFFFFF"/>
          </w:tcPr>
          <w:p w:rsidR="002C39A3" w:rsidRPr="00384D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Recreation and culture</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743</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773</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761</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722</w:t>
            </w:r>
          </w:p>
        </w:tc>
      </w:tr>
      <w:tr w:rsidR="002C39A3" w:rsidRPr="00384D35" w:rsidTr="00361FA9">
        <w:tc>
          <w:tcPr>
            <w:tcW w:w="4365" w:type="dxa"/>
            <w:tcBorders>
              <w:top w:val="nil"/>
              <w:left w:val="nil"/>
              <w:right w:val="nil"/>
            </w:tcBorders>
            <w:shd w:val="clear" w:color="auto" w:fill="FFFFFF"/>
          </w:tcPr>
          <w:p w:rsidR="002C39A3" w:rsidRPr="00384D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Fuel and energy</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201</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200</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153</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130</w:t>
            </w:r>
          </w:p>
        </w:tc>
      </w:tr>
      <w:tr w:rsidR="002C39A3" w:rsidRPr="00384D35" w:rsidTr="00361FA9">
        <w:tc>
          <w:tcPr>
            <w:tcW w:w="4365" w:type="dxa"/>
            <w:tcBorders>
              <w:top w:val="nil"/>
              <w:left w:val="nil"/>
              <w:right w:val="nil"/>
            </w:tcBorders>
            <w:shd w:val="clear" w:color="auto" w:fill="FFFFFF"/>
          </w:tcPr>
          <w:p w:rsidR="002C39A3" w:rsidRPr="00384D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Agriculture, forestry, fishing, and hunting</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388</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352</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347</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326</w:t>
            </w:r>
          </w:p>
        </w:tc>
      </w:tr>
      <w:tr w:rsidR="002C39A3" w:rsidRPr="00384D35" w:rsidTr="00361FA9">
        <w:tc>
          <w:tcPr>
            <w:tcW w:w="4365" w:type="dxa"/>
            <w:tcBorders>
              <w:top w:val="nil"/>
              <w:left w:val="nil"/>
              <w:right w:val="nil"/>
            </w:tcBorders>
            <w:shd w:val="clear" w:color="auto" w:fill="FFFFFF"/>
          </w:tcPr>
          <w:p w:rsidR="002C39A3" w:rsidRPr="00384D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Transport and communications</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6 751</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6 751</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6 913</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7 075</w:t>
            </w:r>
          </w:p>
        </w:tc>
      </w:tr>
      <w:tr w:rsidR="002C39A3" w:rsidRPr="00384D35" w:rsidTr="00361FA9">
        <w:tc>
          <w:tcPr>
            <w:tcW w:w="4365" w:type="dxa"/>
            <w:tcBorders>
              <w:top w:val="nil"/>
              <w:left w:val="nil"/>
              <w:right w:val="nil"/>
            </w:tcBorders>
            <w:shd w:val="clear" w:color="auto" w:fill="FFFFFF"/>
          </w:tcPr>
          <w:p w:rsidR="002C39A3" w:rsidRPr="00384D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Other economic affairs</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993</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914</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742</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554</w:t>
            </w:r>
          </w:p>
        </w:tc>
      </w:tr>
      <w:tr w:rsidR="002C39A3" w:rsidRPr="00384D35" w:rsidTr="00361FA9">
        <w:tc>
          <w:tcPr>
            <w:tcW w:w="4365" w:type="dxa"/>
            <w:tcBorders>
              <w:top w:val="nil"/>
              <w:left w:val="nil"/>
              <w:right w:val="nil"/>
            </w:tcBorders>
            <w:shd w:val="clear" w:color="auto" w:fill="FFFFFF"/>
          </w:tcPr>
          <w:p w:rsidR="002C39A3" w:rsidRPr="00384D35"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384D35">
              <w:rPr>
                <w:rFonts w:ascii="Calibri" w:eastAsiaTheme="minorEastAsia" w:hAnsi="Calibri" w:cs="Calibri"/>
                <w:color w:val="000000"/>
                <w:sz w:val="19"/>
                <w:lang w:eastAsia="en-AU"/>
              </w:rPr>
              <w:t>Other purposes</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1 515</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1 269</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1 305</w:t>
            </w:r>
          </w:p>
        </w:tc>
        <w:tc>
          <w:tcPr>
            <w:tcW w:w="850" w:type="dxa"/>
            <w:tcBorders>
              <w:top w:val="nil"/>
              <w:left w:val="nil"/>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1 327</w:t>
            </w:r>
          </w:p>
        </w:tc>
      </w:tr>
      <w:tr w:rsidR="002C39A3" w:rsidRPr="00384D35" w:rsidTr="00361FA9">
        <w:tc>
          <w:tcPr>
            <w:tcW w:w="4365" w:type="dxa"/>
            <w:tcBorders>
              <w:top w:val="nil"/>
              <w:left w:val="nil"/>
              <w:bottom w:val="single" w:sz="6" w:space="0" w:color="auto"/>
              <w:right w:val="nil"/>
            </w:tcBorders>
            <w:shd w:val="clear" w:color="auto" w:fill="FFFFFF"/>
          </w:tcPr>
          <w:p w:rsidR="002C39A3" w:rsidRPr="00384D35"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384D35">
              <w:rPr>
                <w:rFonts w:ascii="Calibri" w:eastAsiaTheme="minorEastAsia" w:hAnsi="Calibri" w:cs="Calibri"/>
                <w:color w:val="000000"/>
                <w:sz w:val="19"/>
                <w:lang w:eastAsia="en-AU"/>
              </w:rPr>
              <w:t>Not allocated by purpose</w:t>
            </w:r>
            <w:r>
              <w:rPr>
                <w:rFonts w:ascii="Calibri" w:eastAsiaTheme="minorEastAsia" w:hAnsi="Calibri" w:cs="Calibri"/>
                <w:color w:val="000000"/>
                <w:sz w:val="19"/>
                <w:lang w:eastAsia="en-AU"/>
              </w:rPr>
              <w:t xml:space="preserve"> </w:t>
            </w:r>
            <w:r w:rsidRPr="00384D35">
              <w:rPr>
                <w:rFonts w:ascii="Calibri" w:eastAsiaTheme="minorEastAsia" w:hAnsi="Calibri" w:cs="Calibri"/>
                <w:color w:val="000000"/>
                <w:sz w:val="19"/>
                <w:vertAlign w:val="superscript"/>
                <w:lang w:eastAsia="en-AU"/>
              </w:rPr>
              <w:t>(d)</w:t>
            </w:r>
          </w:p>
        </w:tc>
        <w:tc>
          <w:tcPr>
            <w:tcW w:w="850" w:type="dxa"/>
            <w:tcBorders>
              <w:top w:val="nil"/>
              <w:left w:val="nil"/>
              <w:bottom w:val="single" w:sz="6" w:space="0" w:color="auto"/>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(677)</w:t>
            </w:r>
          </w:p>
        </w:tc>
        <w:tc>
          <w:tcPr>
            <w:tcW w:w="850" w:type="dxa"/>
            <w:tcBorders>
              <w:top w:val="nil"/>
              <w:left w:val="nil"/>
              <w:bottom w:val="single" w:sz="6" w:space="0" w:color="auto"/>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(145)</w:t>
            </w:r>
          </w:p>
        </w:tc>
        <w:tc>
          <w:tcPr>
            <w:tcW w:w="850" w:type="dxa"/>
            <w:tcBorders>
              <w:top w:val="nil"/>
              <w:left w:val="nil"/>
              <w:bottom w:val="single" w:sz="6" w:space="0" w:color="auto"/>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(54)</w:t>
            </w:r>
          </w:p>
        </w:tc>
        <w:tc>
          <w:tcPr>
            <w:tcW w:w="850" w:type="dxa"/>
            <w:tcBorders>
              <w:top w:val="nil"/>
              <w:left w:val="nil"/>
              <w:bottom w:val="single" w:sz="6" w:space="0" w:color="auto"/>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4D35">
              <w:rPr>
                <w:rFonts w:ascii="Calibri" w:eastAsiaTheme="minorEastAsia" w:hAnsi="Calibri" w:cs="Calibri"/>
                <w:color w:val="000000"/>
                <w:sz w:val="19"/>
                <w:lang w:eastAsia="en-AU"/>
              </w:rPr>
              <w:t>405</w:t>
            </w:r>
          </w:p>
        </w:tc>
      </w:tr>
      <w:tr w:rsidR="002C39A3" w:rsidRPr="00384D35" w:rsidTr="00361FA9">
        <w:tc>
          <w:tcPr>
            <w:tcW w:w="4365" w:type="dxa"/>
            <w:tcBorders>
              <w:top w:val="single" w:sz="6" w:space="0" w:color="auto"/>
              <w:left w:val="nil"/>
              <w:bottom w:val="single" w:sz="12" w:space="0" w:color="auto"/>
              <w:right w:val="nil"/>
            </w:tcBorders>
            <w:shd w:val="clear" w:color="auto" w:fill="FFFFFF"/>
          </w:tcPr>
          <w:p w:rsidR="002C39A3" w:rsidRPr="00384D3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384D35">
              <w:rPr>
                <w:rFonts w:ascii="Calibri" w:eastAsiaTheme="minorEastAsia" w:hAnsi="Calibri" w:cs="Calibri"/>
                <w:b/>
                <w:bCs/>
                <w:color w:val="000000"/>
                <w:sz w:val="19"/>
                <w:lang w:eastAsia="en-AU"/>
              </w:rPr>
              <w:t xml:space="preserve">Total expenses by government purpose classification </w:t>
            </w:r>
          </w:p>
        </w:tc>
        <w:tc>
          <w:tcPr>
            <w:tcW w:w="850" w:type="dxa"/>
            <w:tcBorders>
              <w:top w:val="single" w:sz="6" w:space="0" w:color="auto"/>
              <w:left w:val="nil"/>
              <w:bottom w:val="single" w:sz="12" w:space="0" w:color="auto"/>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384D35">
              <w:rPr>
                <w:rFonts w:ascii="Calibri" w:eastAsiaTheme="minorEastAsia" w:hAnsi="Calibri" w:cs="Calibri"/>
                <w:b/>
                <w:bCs/>
                <w:color w:val="000000"/>
                <w:sz w:val="19"/>
                <w:lang w:eastAsia="en-AU"/>
              </w:rPr>
              <w:t>57 501</w:t>
            </w:r>
          </w:p>
        </w:tc>
        <w:tc>
          <w:tcPr>
            <w:tcW w:w="850" w:type="dxa"/>
            <w:tcBorders>
              <w:top w:val="single" w:sz="6" w:space="0" w:color="auto"/>
              <w:left w:val="nil"/>
              <w:bottom w:val="single" w:sz="12" w:space="0" w:color="auto"/>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384D35">
              <w:rPr>
                <w:rFonts w:ascii="Calibri" w:eastAsiaTheme="minorEastAsia" w:hAnsi="Calibri" w:cs="Calibri"/>
                <w:b/>
                <w:bCs/>
                <w:color w:val="000000"/>
                <w:sz w:val="19"/>
                <w:lang w:eastAsia="en-AU"/>
              </w:rPr>
              <w:t>59 212</w:t>
            </w:r>
          </w:p>
        </w:tc>
        <w:tc>
          <w:tcPr>
            <w:tcW w:w="850" w:type="dxa"/>
            <w:tcBorders>
              <w:top w:val="single" w:sz="6" w:space="0" w:color="auto"/>
              <w:left w:val="nil"/>
              <w:bottom w:val="single" w:sz="12" w:space="0" w:color="auto"/>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384D35">
              <w:rPr>
                <w:rFonts w:ascii="Calibri" w:eastAsiaTheme="minorEastAsia" w:hAnsi="Calibri" w:cs="Calibri"/>
                <w:b/>
                <w:bCs/>
                <w:color w:val="000000"/>
                <w:sz w:val="19"/>
                <w:lang w:eastAsia="en-AU"/>
              </w:rPr>
              <w:t>60 522</w:t>
            </w:r>
          </w:p>
        </w:tc>
        <w:tc>
          <w:tcPr>
            <w:tcW w:w="850" w:type="dxa"/>
            <w:tcBorders>
              <w:top w:val="single" w:sz="6" w:space="0" w:color="auto"/>
              <w:left w:val="nil"/>
              <w:bottom w:val="single" w:sz="12" w:space="0" w:color="auto"/>
              <w:right w:val="nil"/>
            </w:tcBorders>
            <w:shd w:val="clear" w:color="auto" w:fill="FFFFFF"/>
          </w:tcPr>
          <w:p w:rsidR="002C39A3" w:rsidRPr="00384D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384D35">
              <w:rPr>
                <w:rFonts w:ascii="Calibri" w:eastAsiaTheme="minorEastAsia" w:hAnsi="Calibri" w:cs="Calibri"/>
                <w:b/>
                <w:bCs/>
                <w:color w:val="000000"/>
                <w:sz w:val="19"/>
                <w:lang w:eastAsia="en-AU"/>
              </w:rPr>
              <w:t>62 147</w:t>
            </w:r>
          </w:p>
        </w:tc>
      </w:tr>
    </w:tbl>
    <w:p w:rsidR="002C39A3" w:rsidRDefault="002C39A3" w:rsidP="00361FA9">
      <w:pPr>
        <w:pStyle w:val="Notes"/>
      </w:pPr>
      <w:r>
        <w:t>Notes:</w:t>
      </w:r>
    </w:p>
    <w:p w:rsidR="002C39A3" w:rsidRDefault="002C39A3" w:rsidP="00361FA9">
      <w:pPr>
        <w:pStyle w:val="Notes"/>
      </w:pPr>
      <w:r>
        <w:t>(a)</w:t>
      </w:r>
      <w:r>
        <w:tab/>
        <w:t xml:space="preserve">Note 41 of the </w:t>
      </w:r>
      <w:r w:rsidRPr="006802CE">
        <w:rPr>
          <w:i w:val="0"/>
        </w:rPr>
        <w:t>2014-15</w:t>
      </w:r>
      <w:r>
        <w:rPr>
          <w:i w:val="0"/>
        </w:rPr>
        <w:t xml:space="preserve"> Financial Report</w:t>
      </w:r>
      <w:r>
        <w:t xml:space="preserve"> for the State of Victoria provides definitions and descriptions of government purpose classifications.</w:t>
      </w:r>
    </w:p>
    <w:p w:rsidR="002C39A3" w:rsidRDefault="002C39A3" w:rsidP="00361FA9">
      <w:pPr>
        <w:pStyle w:val="Notes"/>
      </w:pPr>
      <w:r>
        <w:t>(b)</w:t>
      </w:r>
      <w:r>
        <w:tab/>
        <w:t>The State</w:t>
      </w:r>
      <w:r w:rsidR="0097550F">
        <w:t>’</w:t>
      </w:r>
      <w:r>
        <w:t>s contribution to the National Disability Insurance Scheme transition commences from 2016-17 and increases thereafter as more clients transition into the Scheme.</w:t>
      </w:r>
    </w:p>
    <w:p w:rsidR="002C39A3" w:rsidRDefault="002C39A3" w:rsidP="00361FA9">
      <w:pPr>
        <w:pStyle w:val="Notes"/>
      </w:pPr>
      <w:r>
        <w:t>(c)</w:t>
      </w:r>
      <w:r>
        <w:tab/>
        <w:t>The downward movement from 2017-18 relates to sunsetting initiatives and movements in funding across years for various initiatives.</w:t>
      </w:r>
    </w:p>
    <w:p w:rsidR="002C39A3" w:rsidRPr="0093263E" w:rsidRDefault="002C39A3" w:rsidP="00361FA9">
      <w:pPr>
        <w:pStyle w:val="Notes"/>
      </w:pPr>
      <w:r>
        <w:t>(d)</w:t>
      </w:r>
      <w:r>
        <w:tab/>
      </w:r>
      <w:r w:rsidRPr="00214AB2">
        <w:t>Mainly comprising provision for future demand growth, departmental underspending, eliminated purchases of supplies and consumable between Government entities, and items not yet formalised at the time of publication.</w:t>
      </w:r>
    </w:p>
    <w:p w:rsidR="002C39A3" w:rsidRPr="00A66F04" w:rsidRDefault="002C39A3" w:rsidP="00361FA9"/>
    <w:p w:rsidR="002C39A3" w:rsidRDefault="002C39A3">
      <w:pPr>
        <w:spacing w:after="0"/>
        <w:rPr>
          <w:rFonts w:ascii="Calibri" w:hAnsi="Calibri"/>
          <w:b/>
        </w:rPr>
      </w:pPr>
      <w:r>
        <w:br w:type="page"/>
      </w:r>
    </w:p>
    <w:p w:rsidR="002C39A3" w:rsidRDefault="002C39A3" w:rsidP="00361FA9">
      <w:pPr>
        <w:pStyle w:val="Heading2NotesContd"/>
      </w:pPr>
      <w:r w:rsidRPr="00B80C17">
        <w:t>Note 12:</w:t>
      </w:r>
      <w:r w:rsidRPr="00B80C17">
        <w:tab/>
        <w:t>Total expenses by government purpose and by department</w:t>
      </w:r>
      <w:r>
        <w:t xml:space="preserve"> </w:t>
      </w:r>
      <w:r w:rsidRPr="00E64384">
        <w:rPr>
          <w:i/>
        </w:rPr>
        <w:t>(continued)</w:t>
      </w:r>
    </w:p>
    <w:p w:rsidR="002C39A3" w:rsidRDefault="002C39A3" w:rsidP="00361FA9">
      <w:pPr>
        <w:pStyle w:val="Tableheading"/>
      </w:pPr>
      <w:r>
        <w:t>(b)</w:t>
      </w:r>
      <w:r>
        <w:tab/>
        <w:t>Total expenses by department</w:t>
      </w:r>
    </w:p>
    <w:p w:rsidR="002C39A3" w:rsidRPr="009F1496" w:rsidRDefault="002C39A3" w:rsidP="00361FA9">
      <w:pPr>
        <w:pStyle w:val="million"/>
        <w:rPr>
          <w:rFonts w:eastAsiaTheme="minorEastAsia"/>
          <w:b/>
          <w:bCs/>
          <w:lang w:val="en-US" w:eastAsia="en-AU"/>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2C39A3" w:rsidRPr="009F1496" w:rsidTr="00361FA9">
        <w:trPr>
          <w:trHeight w:val="464"/>
          <w:tblHeader/>
        </w:trPr>
        <w:tc>
          <w:tcPr>
            <w:tcW w:w="4365" w:type="dxa"/>
            <w:tcBorders>
              <w:left w:val="nil"/>
              <w:right w:val="nil"/>
            </w:tcBorders>
            <w:shd w:val="solid" w:color="000000" w:fill="auto"/>
            <w:vAlign w:val="bottom"/>
          </w:tcPr>
          <w:p w:rsidR="002C39A3" w:rsidRPr="009F1496" w:rsidRDefault="002C39A3" w:rsidP="00361FA9">
            <w:pPr>
              <w:pStyle w:val="Notes"/>
              <w:rPr>
                <w:rFonts w:eastAsiaTheme="minorEastAsia" w:cs="Calibri"/>
                <w:iCs/>
                <w:color w:val="FFFFFF"/>
                <w:sz w:val="19"/>
                <w:lang w:eastAsia="en-AU"/>
              </w:rPr>
            </w:pPr>
          </w:p>
        </w:tc>
        <w:tc>
          <w:tcPr>
            <w:tcW w:w="850" w:type="dxa"/>
            <w:tcBorders>
              <w:left w:val="nil"/>
              <w:right w:val="nil"/>
            </w:tcBorders>
            <w:shd w:val="solid" w:color="000000" w:fill="auto"/>
            <w:vAlign w:val="bottom"/>
          </w:tcPr>
          <w:p w:rsidR="002C39A3" w:rsidRPr="009F1496"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9F1496">
              <w:rPr>
                <w:rFonts w:ascii="Calibri" w:eastAsiaTheme="minorEastAsia" w:hAnsi="Calibri" w:cs="Calibri"/>
                <w:i/>
                <w:iCs/>
                <w:color w:val="FFFFFF"/>
                <w:sz w:val="19"/>
                <w:lang w:eastAsia="en-AU"/>
              </w:rPr>
              <w:t>2016-17</w:t>
            </w:r>
          </w:p>
          <w:p w:rsidR="002C39A3" w:rsidRPr="009F1496"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9F1496">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2C39A3" w:rsidRPr="009F1496"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9F1496">
              <w:rPr>
                <w:rFonts w:ascii="Calibri" w:eastAsiaTheme="minorEastAsia" w:hAnsi="Calibri" w:cs="Calibri"/>
                <w:i/>
                <w:iCs/>
                <w:color w:val="FFFFFF"/>
                <w:sz w:val="19"/>
                <w:lang w:eastAsia="en-AU"/>
              </w:rPr>
              <w:t>2017-18</w:t>
            </w:r>
          </w:p>
          <w:p w:rsidR="002C39A3" w:rsidRPr="009F1496"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9F1496">
              <w:rPr>
                <w:rFonts w:ascii="Calibri" w:eastAsiaTheme="minorEastAsia" w:hAnsi="Calibri" w:cs="Calibri"/>
                <w:i/>
                <w:iCs/>
                <w:color w:val="FFFFFF"/>
                <w:sz w:val="19"/>
                <w:lang w:eastAsia="en-AU"/>
              </w:rPr>
              <w:t>estimate</w:t>
            </w:r>
          </w:p>
        </w:tc>
        <w:tc>
          <w:tcPr>
            <w:tcW w:w="850" w:type="dxa"/>
            <w:tcBorders>
              <w:left w:val="nil"/>
              <w:right w:val="nil"/>
            </w:tcBorders>
            <w:shd w:val="solid" w:color="000000" w:fill="auto"/>
            <w:vAlign w:val="bottom"/>
          </w:tcPr>
          <w:p w:rsidR="002C39A3" w:rsidRPr="009F1496"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9F1496">
              <w:rPr>
                <w:rFonts w:ascii="Calibri" w:eastAsiaTheme="minorEastAsia" w:hAnsi="Calibri" w:cs="Calibri"/>
                <w:i/>
                <w:iCs/>
                <w:color w:val="FFFFFF"/>
                <w:sz w:val="19"/>
                <w:lang w:eastAsia="en-AU"/>
              </w:rPr>
              <w:t>2018-19</w:t>
            </w:r>
          </w:p>
          <w:p w:rsidR="002C39A3" w:rsidRPr="009F1496"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9F1496">
              <w:rPr>
                <w:rFonts w:ascii="Calibri" w:eastAsiaTheme="minorEastAsia" w:hAnsi="Calibri" w:cs="Calibri"/>
                <w:i/>
                <w:iCs/>
                <w:color w:val="FFFFFF"/>
                <w:sz w:val="19"/>
                <w:lang w:eastAsia="en-AU"/>
              </w:rPr>
              <w:t>estimate</w:t>
            </w:r>
          </w:p>
        </w:tc>
        <w:tc>
          <w:tcPr>
            <w:tcW w:w="850" w:type="dxa"/>
            <w:tcBorders>
              <w:left w:val="nil"/>
              <w:right w:val="nil"/>
            </w:tcBorders>
            <w:shd w:val="solid" w:color="000000" w:fill="auto"/>
            <w:vAlign w:val="bottom"/>
          </w:tcPr>
          <w:p w:rsidR="002C39A3" w:rsidRPr="009F1496"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9F1496">
              <w:rPr>
                <w:rFonts w:ascii="Calibri" w:eastAsiaTheme="minorEastAsia" w:hAnsi="Calibri" w:cs="Calibri"/>
                <w:i/>
                <w:iCs/>
                <w:color w:val="FFFFFF"/>
                <w:sz w:val="19"/>
                <w:lang w:eastAsia="en-AU"/>
              </w:rPr>
              <w:t>2019-20</w:t>
            </w:r>
          </w:p>
          <w:p w:rsidR="002C39A3" w:rsidRPr="009F1496"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9F1496">
              <w:rPr>
                <w:rFonts w:ascii="Calibri" w:eastAsiaTheme="minorEastAsia" w:hAnsi="Calibri" w:cs="Calibri"/>
                <w:i/>
                <w:iCs/>
                <w:color w:val="FFFFFF"/>
                <w:sz w:val="19"/>
                <w:lang w:eastAsia="en-AU"/>
              </w:rPr>
              <w:t>estimate</w:t>
            </w:r>
          </w:p>
        </w:tc>
      </w:tr>
      <w:tr w:rsidR="002C39A3" w:rsidRPr="009F1496" w:rsidTr="00361FA9">
        <w:tc>
          <w:tcPr>
            <w:tcW w:w="7765" w:type="dxa"/>
            <w:gridSpan w:val="5"/>
            <w:tcBorders>
              <w:top w:val="single" w:sz="6" w:space="0" w:color="auto"/>
              <w:left w:val="nil"/>
              <w:right w:val="nil"/>
            </w:tcBorders>
            <w:shd w:val="clear" w:color="auto" w:fill="FFFFFF"/>
          </w:tcPr>
          <w:p w:rsidR="002C39A3" w:rsidRPr="009F1496" w:rsidRDefault="002C39A3" w:rsidP="00361FA9">
            <w:pPr>
              <w:autoSpaceDE w:val="0"/>
              <w:autoSpaceDN w:val="0"/>
              <w:adjustRightInd w:val="0"/>
              <w:spacing w:after="0"/>
              <w:ind w:left="227" w:hanging="227"/>
              <w:rPr>
                <w:rFonts w:ascii="Calibri" w:eastAsiaTheme="minorEastAsia" w:hAnsi="Calibri" w:cs="Calibri"/>
                <w:i/>
                <w:iCs/>
                <w:color w:val="000000"/>
                <w:sz w:val="19"/>
                <w:lang w:eastAsia="en-AU"/>
              </w:rPr>
            </w:pPr>
            <w:r w:rsidRPr="009F1496">
              <w:rPr>
                <w:rFonts w:ascii="Calibri" w:eastAsiaTheme="minorEastAsia" w:hAnsi="Calibri" w:cs="Calibri"/>
                <w:b/>
                <w:bCs/>
                <w:color w:val="000000"/>
                <w:sz w:val="19"/>
                <w:lang w:eastAsia="en-AU"/>
              </w:rPr>
              <w:t>Expenses from transactions</w:t>
            </w:r>
          </w:p>
        </w:tc>
      </w:tr>
      <w:tr w:rsidR="002C39A3" w:rsidRPr="009F1496" w:rsidTr="00361FA9">
        <w:tc>
          <w:tcPr>
            <w:tcW w:w="4365" w:type="dxa"/>
            <w:tcBorders>
              <w:top w:val="nil"/>
              <w:left w:val="nil"/>
              <w:right w:val="nil"/>
            </w:tcBorders>
            <w:shd w:val="clear" w:color="auto" w:fill="FFFFFF"/>
          </w:tcPr>
          <w:p w:rsidR="002C39A3" w:rsidRPr="009F1496"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Economic Development, Jobs, Transport and Resources</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8 726</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8 619</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8 561</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8 486</w:t>
            </w:r>
          </w:p>
        </w:tc>
      </w:tr>
      <w:tr w:rsidR="002C39A3" w:rsidRPr="009F1496" w:rsidTr="00361FA9">
        <w:tc>
          <w:tcPr>
            <w:tcW w:w="4365" w:type="dxa"/>
            <w:tcBorders>
              <w:top w:val="nil"/>
              <w:left w:val="nil"/>
              <w:right w:val="nil"/>
            </w:tcBorders>
            <w:shd w:val="clear" w:color="auto" w:fill="FFFFFF"/>
          </w:tcPr>
          <w:p w:rsidR="002C39A3" w:rsidRPr="009F1496"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Education and Training</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16 526</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16 738</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16 808</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17 049</w:t>
            </w:r>
          </w:p>
        </w:tc>
      </w:tr>
      <w:tr w:rsidR="002C39A3" w:rsidRPr="009F1496" w:rsidTr="00361FA9">
        <w:tc>
          <w:tcPr>
            <w:tcW w:w="4365" w:type="dxa"/>
            <w:tcBorders>
              <w:top w:val="nil"/>
              <w:left w:val="nil"/>
              <w:right w:val="nil"/>
            </w:tcBorders>
            <w:shd w:val="clear" w:color="auto" w:fill="FFFFFF"/>
          </w:tcPr>
          <w:p w:rsidR="002C39A3" w:rsidRPr="009F1496"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9F1496">
              <w:rPr>
                <w:rFonts w:ascii="Calibri" w:eastAsiaTheme="minorEastAsia" w:hAnsi="Calibri" w:cs="Calibri"/>
                <w:color w:val="000000"/>
                <w:sz w:val="19"/>
                <w:lang w:eastAsia="en-AU"/>
              </w:rPr>
              <w:t>Environment, Land, Water and Planning</w:t>
            </w:r>
            <w:r>
              <w:rPr>
                <w:rFonts w:ascii="Calibri" w:eastAsiaTheme="minorEastAsia" w:hAnsi="Calibri" w:cs="Calibri"/>
                <w:color w:val="000000"/>
                <w:sz w:val="19"/>
                <w:lang w:eastAsia="en-AU"/>
              </w:rPr>
              <w:t xml:space="preserve"> </w:t>
            </w:r>
            <w:r w:rsidRPr="009F1496">
              <w:rPr>
                <w:rFonts w:ascii="Calibri" w:eastAsiaTheme="minorEastAsia" w:hAnsi="Calibri" w:cs="Calibri"/>
                <w:color w:val="000000"/>
                <w:sz w:val="19"/>
                <w:vertAlign w:val="superscript"/>
                <w:lang w:eastAsia="en-AU"/>
              </w:rPr>
              <w:t>(a)</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2 892</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2 923</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2 512</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2 480</w:t>
            </w:r>
          </w:p>
        </w:tc>
      </w:tr>
      <w:tr w:rsidR="002C39A3" w:rsidRPr="009F1496" w:rsidTr="00361FA9">
        <w:tc>
          <w:tcPr>
            <w:tcW w:w="4365" w:type="dxa"/>
            <w:tcBorders>
              <w:top w:val="nil"/>
              <w:left w:val="nil"/>
              <w:right w:val="nil"/>
            </w:tcBorders>
            <w:shd w:val="clear" w:color="auto" w:fill="FFFFFF"/>
          </w:tcPr>
          <w:p w:rsidR="002C39A3" w:rsidRPr="009F1496"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Health and Human Services</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22 235</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22 385</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22 664</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23 031</w:t>
            </w:r>
          </w:p>
        </w:tc>
      </w:tr>
      <w:tr w:rsidR="002C39A3" w:rsidRPr="009F1496" w:rsidTr="00361FA9">
        <w:tc>
          <w:tcPr>
            <w:tcW w:w="4365" w:type="dxa"/>
            <w:tcBorders>
              <w:top w:val="nil"/>
              <w:left w:val="nil"/>
              <w:right w:val="nil"/>
            </w:tcBorders>
            <w:shd w:val="clear" w:color="auto" w:fill="FFFFFF"/>
          </w:tcPr>
          <w:p w:rsidR="002C39A3" w:rsidRPr="009F1496"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Justice and Regulation</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6 061</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6 227</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6 409</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6 529</w:t>
            </w:r>
          </w:p>
        </w:tc>
      </w:tr>
      <w:tr w:rsidR="002C39A3" w:rsidRPr="009F1496" w:rsidTr="00361FA9">
        <w:tc>
          <w:tcPr>
            <w:tcW w:w="4365" w:type="dxa"/>
            <w:tcBorders>
              <w:top w:val="nil"/>
              <w:left w:val="nil"/>
              <w:right w:val="nil"/>
            </w:tcBorders>
            <w:shd w:val="clear" w:color="auto" w:fill="FFFFFF"/>
          </w:tcPr>
          <w:p w:rsidR="002C39A3" w:rsidRPr="009F1496"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Premier and Cabinet</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613</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433</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407</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382</w:t>
            </w:r>
          </w:p>
        </w:tc>
      </w:tr>
      <w:tr w:rsidR="002C39A3" w:rsidRPr="009F1496" w:rsidTr="00361FA9">
        <w:tc>
          <w:tcPr>
            <w:tcW w:w="4365" w:type="dxa"/>
            <w:tcBorders>
              <w:top w:val="nil"/>
              <w:left w:val="nil"/>
              <w:right w:val="nil"/>
            </w:tcBorders>
            <w:shd w:val="clear" w:color="auto" w:fill="FFFFFF"/>
          </w:tcPr>
          <w:p w:rsidR="002C39A3" w:rsidRPr="009F1496"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 xml:space="preserve">Treasury and Finance </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7 132</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6 648</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6 772</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6 848</w:t>
            </w:r>
          </w:p>
        </w:tc>
      </w:tr>
      <w:tr w:rsidR="002C39A3" w:rsidRPr="009F1496" w:rsidTr="00361FA9">
        <w:tc>
          <w:tcPr>
            <w:tcW w:w="4365" w:type="dxa"/>
            <w:tcBorders>
              <w:top w:val="nil"/>
              <w:left w:val="nil"/>
              <w:right w:val="nil"/>
            </w:tcBorders>
            <w:shd w:val="clear" w:color="auto" w:fill="FFFFFF"/>
          </w:tcPr>
          <w:p w:rsidR="002C39A3" w:rsidRPr="009F1496"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Parliament</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200</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196</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197</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200</w:t>
            </w:r>
          </w:p>
        </w:tc>
      </w:tr>
      <w:tr w:rsidR="002C39A3" w:rsidRPr="009F1496" w:rsidTr="00361FA9">
        <w:tc>
          <w:tcPr>
            <w:tcW w:w="4365" w:type="dxa"/>
            <w:tcBorders>
              <w:top w:val="nil"/>
              <w:left w:val="nil"/>
              <w:right w:val="nil"/>
            </w:tcBorders>
            <w:shd w:val="clear" w:color="auto" w:fill="FFFFFF"/>
          </w:tcPr>
          <w:p w:rsidR="002C39A3" w:rsidRPr="009F1496"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Courts</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550</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567</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593</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615</w:t>
            </w:r>
          </w:p>
        </w:tc>
      </w:tr>
      <w:tr w:rsidR="002C39A3" w:rsidRPr="009F1496" w:rsidTr="00361FA9">
        <w:tc>
          <w:tcPr>
            <w:tcW w:w="4365" w:type="dxa"/>
            <w:tcBorders>
              <w:top w:val="nil"/>
              <w:left w:val="nil"/>
              <w:right w:val="nil"/>
            </w:tcBorders>
            <w:shd w:val="clear" w:color="auto" w:fill="FFFFFF"/>
          </w:tcPr>
          <w:p w:rsidR="002C39A3" w:rsidRPr="009F1496"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9F1496">
              <w:rPr>
                <w:rFonts w:ascii="Calibri" w:eastAsiaTheme="minorEastAsia" w:hAnsi="Calibri" w:cs="Calibri"/>
                <w:color w:val="000000"/>
                <w:sz w:val="19"/>
                <w:lang w:eastAsia="en-AU"/>
              </w:rPr>
              <w:t>Regulatory bodies and other part funded agencies</w:t>
            </w:r>
            <w:r>
              <w:rPr>
                <w:rFonts w:ascii="Calibri" w:eastAsiaTheme="minorEastAsia" w:hAnsi="Calibri" w:cs="Calibri"/>
                <w:color w:val="000000"/>
                <w:sz w:val="19"/>
                <w:lang w:eastAsia="en-AU"/>
              </w:rPr>
              <w:t xml:space="preserve"> </w:t>
            </w:r>
            <w:r w:rsidRPr="009F1496">
              <w:rPr>
                <w:rFonts w:ascii="Calibri" w:eastAsiaTheme="minorEastAsia" w:hAnsi="Calibri" w:cs="Calibri"/>
                <w:color w:val="000000"/>
                <w:sz w:val="19"/>
                <w:vertAlign w:val="superscript"/>
                <w:lang w:eastAsia="en-AU"/>
              </w:rPr>
              <w:t>(b)</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2 103</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2 098</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2 139</w:t>
            </w:r>
          </w:p>
        </w:tc>
        <w:tc>
          <w:tcPr>
            <w:tcW w:w="850" w:type="dxa"/>
            <w:tcBorders>
              <w:top w:val="nil"/>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2 190</w:t>
            </w:r>
          </w:p>
        </w:tc>
      </w:tr>
      <w:tr w:rsidR="002C39A3" w:rsidRPr="009F1496" w:rsidTr="00361FA9">
        <w:tc>
          <w:tcPr>
            <w:tcW w:w="4365" w:type="dxa"/>
            <w:tcBorders>
              <w:top w:val="nil"/>
              <w:left w:val="nil"/>
              <w:bottom w:val="single" w:sz="6" w:space="0" w:color="auto"/>
              <w:right w:val="nil"/>
            </w:tcBorders>
            <w:shd w:val="clear" w:color="auto" w:fill="FFFFFF"/>
          </w:tcPr>
          <w:p w:rsidR="002C39A3" w:rsidRPr="009F1496" w:rsidRDefault="002C39A3" w:rsidP="00361FA9">
            <w:pPr>
              <w:autoSpaceDE w:val="0"/>
              <w:autoSpaceDN w:val="0"/>
              <w:adjustRightInd w:val="0"/>
              <w:spacing w:after="0"/>
              <w:ind w:left="227" w:hanging="227"/>
              <w:rPr>
                <w:rFonts w:ascii="Calibri" w:eastAsiaTheme="minorEastAsia" w:hAnsi="Calibri" w:cs="Calibri"/>
                <w:sz w:val="19"/>
                <w:vertAlign w:val="superscript"/>
                <w:lang w:eastAsia="en-AU"/>
              </w:rPr>
            </w:pPr>
            <w:r w:rsidRPr="009F1496">
              <w:rPr>
                <w:rFonts w:ascii="Calibri" w:eastAsiaTheme="minorEastAsia" w:hAnsi="Calibri" w:cs="Calibri"/>
                <w:sz w:val="19"/>
                <w:lang w:eastAsia="en-AU"/>
              </w:rPr>
              <w:t>Output contingencies not allocated to departments</w:t>
            </w:r>
            <w:r>
              <w:rPr>
                <w:rFonts w:ascii="Calibri" w:eastAsiaTheme="minorEastAsia" w:hAnsi="Calibri" w:cs="Calibri"/>
                <w:sz w:val="19"/>
                <w:lang w:eastAsia="en-AU"/>
              </w:rPr>
              <w:t xml:space="preserve"> </w:t>
            </w:r>
            <w:r w:rsidRPr="009F1496">
              <w:rPr>
                <w:rFonts w:ascii="Calibri" w:eastAsiaTheme="minorEastAsia" w:hAnsi="Calibri" w:cs="Calibri"/>
                <w:sz w:val="19"/>
                <w:vertAlign w:val="superscript"/>
                <w:lang w:eastAsia="en-AU"/>
              </w:rPr>
              <w:t>(c)</w:t>
            </w:r>
          </w:p>
        </w:tc>
        <w:tc>
          <w:tcPr>
            <w:tcW w:w="850" w:type="dxa"/>
            <w:tcBorders>
              <w:top w:val="nil"/>
              <w:left w:val="nil"/>
              <w:bottom w:val="single" w:sz="6" w:space="0" w:color="auto"/>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FF0000"/>
                <w:sz w:val="19"/>
                <w:lang w:eastAsia="en-AU"/>
              </w:rPr>
            </w:pPr>
            <w:r w:rsidRPr="009F1496">
              <w:rPr>
                <w:rFonts w:ascii="Calibri" w:eastAsiaTheme="minorEastAsia" w:hAnsi="Calibri" w:cs="Calibri"/>
                <w:sz w:val="19"/>
                <w:lang w:eastAsia="en-AU"/>
              </w:rPr>
              <w:t>818</w:t>
            </w:r>
          </w:p>
        </w:tc>
        <w:tc>
          <w:tcPr>
            <w:tcW w:w="850" w:type="dxa"/>
            <w:tcBorders>
              <w:top w:val="nil"/>
              <w:left w:val="nil"/>
              <w:bottom w:val="single" w:sz="6" w:space="0" w:color="auto"/>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sz w:val="19"/>
                <w:lang w:eastAsia="en-AU"/>
              </w:rPr>
            </w:pPr>
            <w:r w:rsidRPr="009F1496">
              <w:rPr>
                <w:rFonts w:ascii="Calibri" w:eastAsiaTheme="minorEastAsia" w:hAnsi="Calibri" w:cs="Calibri"/>
                <w:sz w:val="19"/>
                <w:lang w:eastAsia="en-AU"/>
              </w:rPr>
              <w:t>1 948</w:t>
            </w:r>
          </w:p>
        </w:tc>
        <w:tc>
          <w:tcPr>
            <w:tcW w:w="850" w:type="dxa"/>
            <w:tcBorders>
              <w:top w:val="nil"/>
              <w:left w:val="nil"/>
              <w:bottom w:val="single" w:sz="6" w:space="0" w:color="auto"/>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sz w:val="19"/>
                <w:lang w:eastAsia="en-AU"/>
              </w:rPr>
            </w:pPr>
            <w:r w:rsidRPr="009F1496">
              <w:rPr>
                <w:rFonts w:ascii="Calibri" w:eastAsiaTheme="minorEastAsia" w:hAnsi="Calibri" w:cs="Calibri"/>
                <w:sz w:val="19"/>
                <w:lang w:eastAsia="en-AU"/>
              </w:rPr>
              <w:t>3 240</w:t>
            </w:r>
          </w:p>
        </w:tc>
        <w:tc>
          <w:tcPr>
            <w:tcW w:w="850" w:type="dxa"/>
            <w:tcBorders>
              <w:top w:val="nil"/>
              <w:left w:val="nil"/>
              <w:bottom w:val="single" w:sz="6" w:space="0" w:color="auto"/>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sz w:val="19"/>
                <w:lang w:eastAsia="en-AU"/>
              </w:rPr>
            </w:pPr>
            <w:r w:rsidRPr="009F1496">
              <w:rPr>
                <w:rFonts w:ascii="Calibri" w:eastAsiaTheme="minorEastAsia" w:hAnsi="Calibri" w:cs="Calibri"/>
                <w:sz w:val="19"/>
                <w:lang w:eastAsia="en-AU"/>
              </w:rPr>
              <w:t>4 134</w:t>
            </w:r>
          </w:p>
        </w:tc>
      </w:tr>
      <w:tr w:rsidR="002C39A3" w:rsidRPr="009F1496" w:rsidTr="00361FA9">
        <w:tc>
          <w:tcPr>
            <w:tcW w:w="4365" w:type="dxa"/>
            <w:tcBorders>
              <w:top w:val="single" w:sz="6" w:space="0" w:color="auto"/>
              <w:left w:val="nil"/>
              <w:right w:val="nil"/>
            </w:tcBorders>
            <w:shd w:val="clear" w:color="auto" w:fill="FFFFFF"/>
          </w:tcPr>
          <w:p w:rsidR="002C39A3" w:rsidRPr="009F1496" w:rsidRDefault="002C39A3" w:rsidP="00361FA9">
            <w:pPr>
              <w:pStyle w:val="Heading6"/>
              <w:pageBreakBefore w:val="0"/>
              <w:rPr>
                <w:szCs w:val="20"/>
              </w:rPr>
            </w:pPr>
            <w:r w:rsidRPr="009F1496">
              <w:rPr>
                <w:szCs w:val="20"/>
              </w:rPr>
              <w:t xml:space="preserve">Total expenses by department </w:t>
            </w:r>
          </w:p>
        </w:tc>
        <w:tc>
          <w:tcPr>
            <w:tcW w:w="850" w:type="dxa"/>
            <w:tcBorders>
              <w:top w:val="single" w:sz="6" w:space="0" w:color="auto"/>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F1496">
              <w:rPr>
                <w:rFonts w:ascii="Calibri" w:eastAsiaTheme="minorEastAsia" w:hAnsi="Calibri" w:cs="Calibri"/>
                <w:b/>
                <w:bCs/>
                <w:color w:val="000000"/>
                <w:sz w:val="19"/>
                <w:lang w:eastAsia="en-AU"/>
              </w:rPr>
              <w:t>67 857</w:t>
            </w:r>
          </w:p>
        </w:tc>
        <w:tc>
          <w:tcPr>
            <w:tcW w:w="850" w:type="dxa"/>
            <w:tcBorders>
              <w:top w:val="single" w:sz="6" w:space="0" w:color="auto"/>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F1496">
              <w:rPr>
                <w:rFonts w:ascii="Calibri" w:eastAsiaTheme="minorEastAsia" w:hAnsi="Calibri" w:cs="Calibri"/>
                <w:b/>
                <w:bCs/>
                <w:color w:val="000000"/>
                <w:sz w:val="19"/>
                <w:lang w:eastAsia="en-AU"/>
              </w:rPr>
              <w:t>68 780</w:t>
            </w:r>
          </w:p>
        </w:tc>
        <w:tc>
          <w:tcPr>
            <w:tcW w:w="850" w:type="dxa"/>
            <w:tcBorders>
              <w:top w:val="single" w:sz="6" w:space="0" w:color="auto"/>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F1496">
              <w:rPr>
                <w:rFonts w:ascii="Calibri" w:eastAsiaTheme="minorEastAsia" w:hAnsi="Calibri" w:cs="Calibri"/>
                <w:b/>
                <w:bCs/>
                <w:color w:val="000000"/>
                <w:sz w:val="19"/>
                <w:lang w:eastAsia="en-AU"/>
              </w:rPr>
              <w:t>70 301</w:t>
            </w:r>
          </w:p>
        </w:tc>
        <w:tc>
          <w:tcPr>
            <w:tcW w:w="850" w:type="dxa"/>
            <w:tcBorders>
              <w:top w:val="single" w:sz="6" w:space="0" w:color="auto"/>
              <w:left w:val="nil"/>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F1496">
              <w:rPr>
                <w:rFonts w:ascii="Calibri" w:eastAsiaTheme="minorEastAsia" w:hAnsi="Calibri" w:cs="Calibri"/>
                <w:b/>
                <w:bCs/>
                <w:color w:val="000000"/>
                <w:sz w:val="19"/>
                <w:lang w:eastAsia="en-AU"/>
              </w:rPr>
              <w:t>71 945</w:t>
            </w:r>
          </w:p>
        </w:tc>
      </w:tr>
      <w:tr w:rsidR="002C39A3" w:rsidRPr="009F1496" w:rsidTr="00361FA9">
        <w:tc>
          <w:tcPr>
            <w:tcW w:w="4365" w:type="dxa"/>
            <w:tcBorders>
              <w:top w:val="nil"/>
              <w:left w:val="nil"/>
              <w:bottom w:val="single" w:sz="6" w:space="0" w:color="auto"/>
              <w:right w:val="nil"/>
            </w:tcBorders>
            <w:shd w:val="clear" w:color="auto" w:fill="FFFFFF"/>
          </w:tcPr>
          <w:p w:rsidR="002C39A3" w:rsidRPr="009F1496" w:rsidRDefault="002C39A3" w:rsidP="00361FA9">
            <w:pPr>
              <w:autoSpaceDE w:val="0"/>
              <w:autoSpaceDN w:val="0"/>
              <w:adjustRightInd w:val="0"/>
              <w:spacing w:after="0"/>
              <w:ind w:left="227" w:hanging="227"/>
              <w:rPr>
                <w:rFonts w:ascii="Calibri" w:eastAsiaTheme="minorEastAsia" w:hAnsi="Calibri" w:cs="Calibri"/>
                <w:i/>
                <w:iCs/>
                <w:color w:val="000000"/>
                <w:sz w:val="19"/>
                <w:vertAlign w:val="superscript"/>
                <w:lang w:eastAsia="en-AU"/>
              </w:rPr>
            </w:pPr>
            <w:r w:rsidRPr="009F1496">
              <w:rPr>
                <w:rFonts w:ascii="Calibri" w:eastAsiaTheme="minorEastAsia" w:hAnsi="Calibri" w:cs="Calibri"/>
                <w:i/>
                <w:iCs/>
                <w:color w:val="000000"/>
                <w:sz w:val="19"/>
                <w:lang w:eastAsia="en-AU"/>
              </w:rPr>
              <w:t>Less eliminations and adjustments</w:t>
            </w:r>
            <w:r>
              <w:rPr>
                <w:rFonts w:ascii="Calibri" w:eastAsiaTheme="minorEastAsia" w:hAnsi="Calibri" w:cs="Calibri"/>
                <w:i/>
                <w:iCs/>
                <w:color w:val="000000"/>
                <w:sz w:val="19"/>
                <w:lang w:eastAsia="en-AU"/>
              </w:rPr>
              <w:t xml:space="preserve"> </w:t>
            </w:r>
            <w:r w:rsidRPr="009F1496">
              <w:rPr>
                <w:rFonts w:ascii="Calibri" w:eastAsiaTheme="minorEastAsia" w:hAnsi="Calibri" w:cs="Calibri"/>
                <w:i/>
                <w:iCs/>
                <w:color w:val="000000"/>
                <w:sz w:val="19"/>
                <w:vertAlign w:val="superscript"/>
                <w:lang w:eastAsia="en-AU"/>
              </w:rPr>
              <w:t>(d)</w:t>
            </w:r>
          </w:p>
        </w:tc>
        <w:tc>
          <w:tcPr>
            <w:tcW w:w="850" w:type="dxa"/>
            <w:tcBorders>
              <w:top w:val="nil"/>
              <w:left w:val="nil"/>
              <w:bottom w:val="single" w:sz="6" w:space="0" w:color="auto"/>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(10 357)</w:t>
            </w:r>
          </w:p>
        </w:tc>
        <w:tc>
          <w:tcPr>
            <w:tcW w:w="850" w:type="dxa"/>
            <w:tcBorders>
              <w:top w:val="nil"/>
              <w:left w:val="nil"/>
              <w:bottom w:val="single" w:sz="6" w:space="0" w:color="auto"/>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(9 569)</w:t>
            </w:r>
          </w:p>
        </w:tc>
        <w:tc>
          <w:tcPr>
            <w:tcW w:w="850" w:type="dxa"/>
            <w:tcBorders>
              <w:top w:val="nil"/>
              <w:left w:val="nil"/>
              <w:bottom w:val="single" w:sz="6" w:space="0" w:color="auto"/>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(9 779)</w:t>
            </w:r>
          </w:p>
        </w:tc>
        <w:tc>
          <w:tcPr>
            <w:tcW w:w="850" w:type="dxa"/>
            <w:tcBorders>
              <w:top w:val="nil"/>
              <w:left w:val="nil"/>
              <w:bottom w:val="single" w:sz="6" w:space="0" w:color="auto"/>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F1496">
              <w:rPr>
                <w:rFonts w:ascii="Calibri" w:eastAsiaTheme="minorEastAsia" w:hAnsi="Calibri" w:cs="Calibri"/>
                <w:color w:val="000000"/>
                <w:sz w:val="19"/>
                <w:lang w:eastAsia="en-AU"/>
              </w:rPr>
              <w:t>(9 797)</w:t>
            </w:r>
          </w:p>
        </w:tc>
      </w:tr>
      <w:tr w:rsidR="002C39A3" w:rsidRPr="009F1496" w:rsidTr="00361FA9">
        <w:tc>
          <w:tcPr>
            <w:tcW w:w="4365" w:type="dxa"/>
            <w:tcBorders>
              <w:top w:val="single" w:sz="6" w:space="0" w:color="auto"/>
              <w:left w:val="nil"/>
              <w:bottom w:val="single" w:sz="12" w:space="0" w:color="auto"/>
              <w:right w:val="nil"/>
            </w:tcBorders>
            <w:shd w:val="clear" w:color="auto" w:fill="FFFFFF"/>
          </w:tcPr>
          <w:p w:rsidR="002C39A3" w:rsidRPr="009F1496"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F1496">
              <w:rPr>
                <w:rFonts w:ascii="Calibri" w:eastAsiaTheme="minorEastAsia" w:hAnsi="Calibri" w:cs="Calibri"/>
                <w:b/>
                <w:bCs/>
                <w:color w:val="000000"/>
                <w:sz w:val="19"/>
                <w:lang w:eastAsia="en-AU"/>
              </w:rPr>
              <w:t xml:space="preserve">Total expenses </w:t>
            </w:r>
          </w:p>
        </w:tc>
        <w:tc>
          <w:tcPr>
            <w:tcW w:w="850" w:type="dxa"/>
            <w:tcBorders>
              <w:top w:val="single" w:sz="6" w:space="0" w:color="auto"/>
              <w:left w:val="nil"/>
              <w:bottom w:val="single" w:sz="12" w:space="0" w:color="auto"/>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F1496">
              <w:rPr>
                <w:rFonts w:ascii="Calibri" w:eastAsiaTheme="minorEastAsia" w:hAnsi="Calibri" w:cs="Calibri"/>
                <w:b/>
                <w:bCs/>
                <w:color w:val="000000"/>
                <w:sz w:val="19"/>
                <w:lang w:eastAsia="en-AU"/>
              </w:rPr>
              <w:t>57 501</w:t>
            </w:r>
          </w:p>
        </w:tc>
        <w:tc>
          <w:tcPr>
            <w:tcW w:w="850" w:type="dxa"/>
            <w:tcBorders>
              <w:top w:val="single" w:sz="6" w:space="0" w:color="auto"/>
              <w:left w:val="nil"/>
              <w:bottom w:val="single" w:sz="12" w:space="0" w:color="auto"/>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F1496">
              <w:rPr>
                <w:rFonts w:ascii="Calibri" w:eastAsiaTheme="minorEastAsia" w:hAnsi="Calibri" w:cs="Calibri"/>
                <w:b/>
                <w:bCs/>
                <w:color w:val="000000"/>
                <w:sz w:val="19"/>
                <w:lang w:eastAsia="en-AU"/>
              </w:rPr>
              <w:t>59 212</w:t>
            </w:r>
          </w:p>
        </w:tc>
        <w:tc>
          <w:tcPr>
            <w:tcW w:w="850" w:type="dxa"/>
            <w:tcBorders>
              <w:top w:val="single" w:sz="6" w:space="0" w:color="auto"/>
              <w:left w:val="nil"/>
              <w:bottom w:val="single" w:sz="12" w:space="0" w:color="auto"/>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F1496">
              <w:rPr>
                <w:rFonts w:ascii="Calibri" w:eastAsiaTheme="minorEastAsia" w:hAnsi="Calibri" w:cs="Calibri"/>
                <w:b/>
                <w:bCs/>
                <w:color w:val="000000"/>
                <w:sz w:val="19"/>
                <w:lang w:eastAsia="en-AU"/>
              </w:rPr>
              <w:t>60 522</w:t>
            </w:r>
          </w:p>
        </w:tc>
        <w:tc>
          <w:tcPr>
            <w:tcW w:w="850" w:type="dxa"/>
            <w:tcBorders>
              <w:top w:val="single" w:sz="6" w:space="0" w:color="auto"/>
              <w:left w:val="nil"/>
              <w:bottom w:val="single" w:sz="12" w:space="0" w:color="auto"/>
              <w:right w:val="nil"/>
            </w:tcBorders>
            <w:shd w:val="clear" w:color="auto" w:fill="FFFFFF"/>
          </w:tcPr>
          <w:p w:rsidR="002C39A3" w:rsidRPr="009F149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F1496">
              <w:rPr>
                <w:rFonts w:ascii="Calibri" w:eastAsiaTheme="minorEastAsia" w:hAnsi="Calibri" w:cs="Calibri"/>
                <w:b/>
                <w:bCs/>
                <w:color w:val="000000"/>
                <w:sz w:val="19"/>
                <w:lang w:eastAsia="en-AU"/>
              </w:rPr>
              <w:t>62 147</w:t>
            </w:r>
          </w:p>
        </w:tc>
      </w:tr>
    </w:tbl>
    <w:p w:rsidR="002C39A3" w:rsidRDefault="002C39A3" w:rsidP="00361FA9">
      <w:pPr>
        <w:pStyle w:val="Notes"/>
      </w:pPr>
      <w:r>
        <w:t>Notes:</w:t>
      </w:r>
    </w:p>
    <w:p w:rsidR="002C39A3" w:rsidRDefault="002C39A3" w:rsidP="00361FA9">
      <w:pPr>
        <w:pStyle w:val="Notes"/>
      </w:pPr>
      <w:r>
        <w:t>(a)</w:t>
      </w:r>
      <w:r>
        <w:tab/>
        <w:t xml:space="preserve">The downward movement from 2017-18 relates to sunsetting initiatives and movements in funding across years for various initiatives. </w:t>
      </w:r>
    </w:p>
    <w:p w:rsidR="002C39A3" w:rsidRDefault="002C39A3" w:rsidP="00361FA9">
      <w:pPr>
        <w:pStyle w:val="Notes"/>
      </w:pPr>
      <w:r>
        <w:t>(b)</w:t>
      </w:r>
      <w:r>
        <w:tab/>
        <w:t>Other general government sector agencies not allocated to departmental portfolios.</w:t>
      </w:r>
    </w:p>
    <w:p w:rsidR="002C39A3" w:rsidRDefault="002C39A3" w:rsidP="00361FA9">
      <w:pPr>
        <w:pStyle w:val="Notes"/>
      </w:pPr>
      <w:r>
        <w:t>(c)</w:t>
      </w:r>
      <w:r>
        <w:tab/>
        <w:t>Note 12(c) provides a breakdown of the general government output contingencies not allocated to departments.</w:t>
      </w:r>
    </w:p>
    <w:p w:rsidR="002C39A3" w:rsidRDefault="002C39A3" w:rsidP="00361FA9">
      <w:pPr>
        <w:pStyle w:val="Notes"/>
      </w:pPr>
      <w:r>
        <w:t>(d)</w:t>
      </w:r>
      <w:r>
        <w:tab/>
        <w:t>Mainly comprising payroll tax, capital asset charge, departmental underspend estimates and inter-departmental transfers.</w:t>
      </w:r>
    </w:p>
    <w:p w:rsidR="002C39A3" w:rsidRPr="00A66F04" w:rsidRDefault="002C39A3" w:rsidP="00361FA9"/>
    <w:p w:rsidR="002C39A3" w:rsidRDefault="002C39A3" w:rsidP="00361FA9">
      <w:pPr>
        <w:pStyle w:val="Tableheading"/>
      </w:pPr>
      <w:r>
        <w:t>(c)</w:t>
      </w:r>
      <w:r>
        <w:tab/>
        <w:t>General government output contingencies not allocated to departments</w:t>
      </w:r>
    </w:p>
    <w:p w:rsidR="002C39A3" w:rsidRPr="00595290" w:rsidRDefault="002C39A3" w:rsidP="00361FA9">
      <w:pPr>
        <w:pStyle w:val="million"/>
        <w:rPr>
          <w:b/>
          <w:bCs/>
          <w:sz w:val="15"/>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2C39A3" w:rsidRPr="00595290" w:rsidTr="00361FA9">
        <w:trPr>
          <w:cantSplit/>
          <w:trHeight w:val="464"/>
          <w:tblHeader/>
        </w:trPr>
        <w:tc>
          <w:tcPr>
            <w:tcW w:w="4365" w:type="dxa"/>
            <w:tcBorders>
              <w:left w:val="nil"/>
              <w:right w:val="nil"/>
            </w:tcBorders>
            <w:shd w:val="solid" w:color="000000" w:fill="auto"/>
            <w:vAlign w:val="bottom"/>
          </w:tcPr>
          <w:p w:rsidR="002C39A3" w:rsidRPr="00595290" w:rsidRDefault="002C39A3" w:rsidP="00361FA9">
            <w:pPr>
              <w:pStyle w:val="Notes"/>
              <w:rPr>
                <w:rFonts w:eastAsiaTheme="minorEastAsia" w:cs="Calibri"/>
                <w:iCs/>
                <w:color w:val="FFFFFF"/>
                <w:sz w:val="19"/>
                <w:lang w:eastAsia="en-AU"/>
              </w:rPr>
            </w:pPr>
          </w:p>
        </w:tc>
        <w:tc>
          <w:tcPr>
            <w:tcW w:w="850" w:type="dxa"/>
            <w:tcBorders>
              <w:left w:val="nil"/>
              <w:right w:val="nil"/>
            </w:tcBorders>
            <w:shd w:val="solid" w:color="000000" w:fill="auto"/>
            <w:vAlign w:val="bottom"/>
          </w:tcPr>
          <w:p w:rsidR="002C39A3" w:rsidRPr="00595290"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595290">
              <w:rPr>
                <w:rFonts w:ascii="Calibri" w:eastAsiaTheme="minorEastAsia" w:hAnsi="Calibri" w:cs="Calibri"/>
                <w:i/>
                <w:iCs/>
                <w:color w:val="FFFFFF"/>
                <w:sz w:val="19"/>
                <w:lang w:eastAsia="en-AU"/>
              </w:rPr>
              <w:t>2016-17</w:t>
            </w:r>
          </w:p>
          <w:p w:rsidR="002C39A3" w:rsidRPr="00595290"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595290">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2C39A3" w:rsidRPr="00595290"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595290">
              <w:rPr>
                <w:rFonts w:ascii="Calibri" w:eastAsiaTheme="minorEastAsia" w:hAnsi="Calibri" w:cs="Calibri"/>
                <w:i/>
                <w:iCs/>
                <w:color w:val="FFFFFF"/>
                <w:sz w:val="19"/>
                <w:lang w:eastAsia="en-AU"/>
              </w:rPr>
              <w:t>2017-18</w:t>
            </w:r>
          </w:p>
          <w:p w:rsidR="002C39A3" w:rsidRPr="00595290"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595290">
              <w:rPr>
                <w:rFonts w:ascii="Calibri" w:eastAsiaTheme="minorEastAsia" w:hAnsi="Calibri" w:cs="Calibri"/>
                <w:i/>
                <w:iCs/>
                <w:color w:val="FFFFFF"/>
                <w:sz w:val="19"/>
                <w:lang w:eastAsia="en-AU"/>
              </w:rPr>
              <w:t>estimate</w:t>
            </w:r>
          </w:p>
        </w:tc>
        <w:tc>
          <w:tcPr>
            <w:tcW w:w="850" w:type="dxa"/>
            <w:tcBorders>
              <w:left w:val="nil"/>
              <w:right w:val="nil"/>
            </w:tcBorders>
            <w:shd w:val="solid" w:color="000000" w:fill="auto"/>
            <w:vAlign w:val="bottom"/>
          </w:tcPr>
          <w:p w:rsidR="002C39A3" w:rsidRPr="00595290"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595290">
              <w:rPr>
                <w:rFonts w:ascii="Calibri" w:eastAsiaTheme="minorEastAsia" w:hAnsi="Calibri" w:cs="Calibri"/>
                <w:i/>
                <w:iCs/>
                <w:color w:val="FFFFFF"/>
                <w:sz w:val="19"/>
                <w:lang w:eastAsia="en-AU"/>
              </w:rPr>
              <w:t>2018-19</w:t>
            </w:r>
          </w:p>
          <w:p w:rsidR="002C39A3" w:rsidRPr="00595290"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595290">
              <w:rPr>
                <w:rFonts w:ascii="Calibri" w:eastAsiaTheme="minorEastAsia" w:hAnsi="Calibri" w:cs="Calibri"/>
                <w:i/>
                <w:iCs/>
                <w:color w:val="FFFFFF"/>
                <w:sz w:val="19"/>
                <w:lang w:eastAsia="en-AU"/>
              </w:rPr>
              <w:t>estimate</w:t>
            </w:r>
          </w:p>
        </w:tc>
        <w:tc>
          <w:tcPr>
            <w:tcW w:w="850" w:type="dxa"/>
            <w:tcBorders>
              <w:left w:val="nil"/>
              <w:right w:val="nil"/>
            </w:tcBorders>
            <w:shd w:val="solid" w:color="000000" w:fill="auto"/>
            <w:vAlign w:val="bottom"/>
          </w:tcPr>
          <w:p w:rsidR="002C39A3" w:rsidRPr="00595290"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595290">
              <w:rPr>
                <w:rFonts w:ascii="Calibri" w:eastAsiaTheme="minorEastAsia" w:hAnsi="Calibri" w:cs="Calibri"/>
                <w:i/>
                <w:iCs/>
                <w:color w:val="FFFFFF"/>
                <w:sz w:val="19"/>
                <w:lang w:eastAsia="en-AU"/>
              </w:rPr>
              <w:t>2019-20</w:t>
            </w:r>
          </w:p>
          <w:p w:rsidR="002C39A3" w:rsidRPr="00595290"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595290">
              <w:rPr>
                <w:rFonts w:ascii="Calibri" w:eastAsiaTheme="minorEastAsia" w:hAnsi="Calibri" w:cs="Calibri"/>
                <w:i/>
                <w:iCs/>
                <w:color w:val="FFFFFF"/>
                <w:sz w:val="19"/>
                <w:lang w:eastAsia="en-AU"/>
              </w:rPr>
              <w:t>estimate</w:t>
            </w:r>
          </w:p>
        </w:tc>
      </w:tr>
      <w:tr w:rsidR="002C39A3" w:rsidRPr="00595290" w:rsidTr="00361FA9">
        <w:trPr>
          <w:cantSplit/>
        </w:trPr>
        <w:tc>
          <w:tcPr>
            <w:tcW w:w="4365" w:type="dxa"/>
            <w:tcBorders>
              <w:top w:val="single" w:sz="6" w:space="0" w:color="auto"/>
              <w:left w:val="nil"/>
              <w:right w:val="nil"/>
            </w:tcBorders>
            <w:shd w:val="clear" w:color="auto" w:fill="FFFFFF"/>
          </w:tcPr>
          <w:p w:rsidR="002C39A3" w:rsidRPr="00595290"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595290">
              <w:rPr>
                <w:rFonts w:ascii="Calibri" w:eastAsiaTheme="minorEastAsia" w:hAnsi="Calibri" w:cs="Calibri"/>
                <w:color w:val="000000"/>
                <w:sz w:val="19"/>
                <w:lang w:eastAsia="en-AU"/>
              </w:rPr>
              <w:t>Decisions made but not yet allocated</w:t>
            </w:r>
            <w:r>
              <w:rPr>
                <w:rFonts w:ascii="Calibri" w:eastAsiaTheme="minorEastAsia" w:hAnsi="Calibri" w:cs="Calibri"/>
                <w:color w:val="000000"/>
                <w:sz w:val="19"/>
                <w:lang w:eastAsia="en-AU"/>
              </w:rPr>
              <w:t xml:space="preserve"> </w:t>
            </w:r>
            <w:r w:rsidRPr="00595290">
              <w:rPr>
                <w:rFonts w:ascii="Calibri" w:eastAsiaTheme="minorEastAsia" w:hAnsi="Calibri" w:cs="Calibri"/>
                <w:color w:val="000000"/>
                <w:sz w:val="19"/>
                <w:vertAlign w:val="superscript"/>
                <w:lang w:eastAsia="en-AU"/>
              </w:rPr>
              <w:t>(a)</w:t>
            </w:r>
          </w:p>
        </w:tc>
        <w:tc>
          <w:tcPr>
            <w:tcW w:w="850" w:type="dxa"/>
            <w:tcBorders>
              <w:top w:val="single" w:sz="6" w:space="0" w:color="auto"/>
              <w:left w:val="nil"/>
              <w:right w:val="nil"/>
            </w:tcBorders>
            <w:shd w:val="clear" w:color="auto" w:fill="FFFFFF"/>
          </w:tcPr>
          <w:p w:rsidR="002C39A3" w:rsidRPr="00595290"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518</w:t>
            </w:r>
          </w:p>
        </w:tc>
        <w:tc>
          <w:tcPr>
            <w:tcW w:w="850" w:type="dxa"/>
            <w:tcBorders>
              <w:top w:val="single" w:sz="6" w:space="0" w:color="auto"/>
              <w:left w:val="nil"/>
              <w:right w:val="nil"/>
            </w:tcBorders>
            <w:shd w:val="clear" w:color="auto" w:fill="FFFFFF"/>
          </w:tcPr>
          <w:p w:rsidR="002C39A3" w:rsidRPr="00595290"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95290">
              <w:rPr>
                <w:rFonts w:ascii="Calibri" w:eastAsiaTheme="minorEastAsia" w:hAnsi="Calibri" w:cs="Calibri"/>
                <w:color w:val="000000"/>
                <w:sz w:val="19"/>
                <w:lang w:eastAsia="en-AU"/>
              </w:rPr>
              <w:t>1 648</w:t>
            </w:r>
          </w:p>
        </w:tc>
        <w:tc>
          <w:tcPr>
            <w:tcW w:w="850" w:type="dxa"/>
            <w:tcBorders>
              <w:top w:val="single" w:sz="6" w:space="0" w:color="auto"/>
              <w:left w:val="nil"/>
              <w:right w:val="nil"/>
            </w:tcBorders>
            <w:shd w:val="clear" w:color="auto" w:fill="FFFFFF"/>
          </w:tcPr>
          <w:p w:rsidR="002C39A3" w:rsidRPr="00595290"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95290">
              <w:rPr>
                <w:rFonts w:ascii="Calibri" w:eastAsiaTheme="minorEastAsia" w:hAnsi="Calibri" w:cs="Calibri"/>
                <w:color w:val="000000"/>
                <w:sz w:val="19"/>
                <w:lang w:eastAsia="en-AU"/>
              </w:rPr>
              <w:t>2 740</w:t>
            </w:r>
          </w:p>
        </w:tc>
        <w:tc>
          <w:tcPr>
            <w:tcW w:w="850" w:type="dxa"/>
            <w:tcBorders>
              <w:top w:val="single" w:sz="6" w:space="0" w:color="auto"/>
              <w:left w:val="nil"/>
              <w:right w:val="nil"/>
            </w:tcBorders>
            <w:shd w:val="clear" w:color="auto" w:fill="FFFFFF"/>
          </w:tcPr>
          <w:p w:rsidR="002C39A3" w:rsidRPr="00595290"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95290">
              <w:rPr>
                <w:rFonts w:ascii="Calibri" w:eastAsiaTheme="minorEastAsia" w:hAnsi="Calibri" w:cs="Calibri"/>
                <w:color w:val="000000"/>
                <w:sz w:val="19"/>
                <w:lang w:eastAsia="en-AU"/>
              </w:rPr>
              <w:t>3 434</w:t>
            </w:r>
          </w:p>
        </w:tc>
      </w:tr>
      <w:tr w:rsidR="002C39A3" w:rsidRPr="00595290" w:rsidTr="00361FA9">
        <w:trPr>
          <w:cantSplit/>
        </w:trPr>
        <w:tc>
          <w:tcPr>
            <w:tcW w:w="4365" w:type="dxa"/>
            <w:tcBorders>
              <w:top w:val="nil"/>
              <w:left w:val="nil"/>
              <w:bottom w:val="single" w:sz="6" w:space="0" w:color="auto"/>
              <w:right w:val="nil"/>
            </w:tcBorders>
            <w:shd w:val="clear" w:color="auto" w:fill="FFFFFF"/>
          </w:tcPr>
          <w:p w:rsidR="002C39A3" w:rsidRPr="00595290"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595290">
              <w:rPr>
                <w:rFonts w:ascii="Calibri" w:eastAsiaTheme="minorEastAsia" w:hAnsi="Calibri" w:cs="Calibri"/>
                <w:color w:val="000000"/>
                <w:sz w:val="19"/>
                <w:lang w:eastAsia="en-AU"/>
              </w:rPr>
              <w:t>Funding not allocated to specific purposes</w:t>
            </w:r>
            <w:r>
              <w:rPr>
                <w:rFonts w:ascii="Calibri" w:eastAsiaTheme="minorEastAsia" w:hAnsi="Calibri" w:cs="Calibri"/>
                <w:color w:val="000000"/>
                <w:sz w:val="19"/>
                <w:lang w:eastAsia="en-AU"/>
              </w:rPr>
              <w:t xml:space="preserve"> </w:t>
            </w:r>
            <w:r w:rsidRPr="00595290">
              <w:rPr>
                <w:rFonts w:ascii="Calibri" w:eastAsiaTheme="minorEastAsia" w:hAnsi="Calibri" w:cs="Calibri"/>
                <w:color w:val="000000"/>
                <w:sz w:val="19"/>
                <w:vertAlign w:val="superscript"/>
                <w:lang w:eastAsia="en-AU"/>
              </w:rPr>
              <w:t>(b)</w:t>
            </w:r>
          </w:p>
        </w:tc>
        <w:tc>
          <w:tcPr>
            <w:tcW w:w="850" w:type="dxa"/>
            <w:tcBorders>
              <w:top w:val="nil"/>
              <w:left w:val="nil"/>
              <w:bottom w:val="single" w:sz="6" w:space="0" w:color="auto"/>
              <w:right w:val="nil"/>
            </w:tcBorders>
            <w:shd w:val="clear" w:color="auto" w:fill="FFFFFF"/>
          </w:tcPr>
          <w:p w:rsidR="002C39A3" w:rsidRPr="00595290"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300</w:t>
            </w:r>
          </w:p>
        </w:tc>
        <w:tc>
          <w:tcPr>
            <w:tcW w:w="850" w:type="dxa"/>
            <w:tcBorders>
              <w:top w:val="nil"/>
              <w:left w:val="nil"/>
              <w:bottom w:val="single" w:sz="6" w:space="0" w:color="auto"/>
              <w:right w:val="nil"/>
            </w:tcBorders>
            <w:shd w:val="clear" w:color="auto" w:fill="FFFFFF"/>
          </w:tcPr>
          <w:p w:rsidR="002C39A3" w:rsidRPr="00595290"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300</w:t>
            </w:r>
          </w:p>
        </w:tc>
        <w:tc>
          <w:tcPr>
            <w:tcW w:w="850" w:type="dxa"/>
            <w:tcBorders>
              <w:top w:val="nil"/>
              <w:left w:val="nil"/>
              <w:bottom w:val="single" w:sz="6" w:space="0" w:color="auto"/>
              <w:right w:val="nil"/>
            </w:tcBorders>
            <w:shd w:val="clear" w:color="auto" w:fill="FFFFFF"/>
          </w:tcPr>
          <w:p w:rsidR="002C39A3" w:rsidRPr="00595290"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500</w:t>
            </w:r>
          </w:p>
        </w:tc>
        <w:tc>
          <w:tcPr>
            <w:tcW w:w="850" w:type="dxa"/>
            <w:tcBorders>
              <w:top w:val="nil"/>
              <w:left w:val="nil"/>
              <w:bottom w:val="single" w:sz="6" w:space="0" w:color="auto"/>
              <w:right w:val="nil"/>
            </w:tcBorders>
            <w:shd w:val="clear" w:color="auto" w:fill="FFFFFF"/>
          </w:tcPr>
          <w:p w:rsidR="002C39A3" w:rsidRPr="00595290"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700</w:t>
            </w:r>
          </w:p>
        </w:tc>
      </w:tr>
      <w:tr w:rsidR="002C39A3" w:rsidRPr="00595290" w:rsidTr="00361FA9">
        <w:trPr>
          <w:cantSplit/>
        </w:trPr>
        <w:tc>
          <w:tcPr>
            <w:tcW w:w="4365" w:type="dxa"/>
            <w:tcBorders>
              <w:top w:val="single" w:sz="6" w:space="0" w:color="auto"/>
              <w:left w:val="nil"/>
              <w:bottom w:val="single" w:sz="12" w:space="0" w:color="auto"/>
              <w:right w:val="nil"/>
            </w:tcBorders>
            <w:shd w:val="clear" w:color="auto" w:fill="FFFFFF"/>
          </w:tcPr>
          <w:p w:rsidR="002C39A3" w:rsidRPr="00595290"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95290">
              <w:rPr>
                <w:rFonts w:ascii="Calibri" w:eastAsiaTheme="minorEastAsia" w:hAnsi="Calibri" w:cs="Calibri"/>
                <w:b/>
                <w:bCs/>
                <w:color w:val="000000"/>
                <w:sz w:val="19"/>
                <w:lang w:eastAsia="en-AU"/>
              </w:rPr>
              <w:t>Total general government output contingencies</w:t>
            </w:r>
          </w:p>
        </w:tc>
        <w:tc>
          <w:tcPr>
            <w:tcW w:w="850" w:type="dxa"/>
            <w:tcBorders>
              <w:top w:val="single" w:sz="6" w:space="0" w:color="auto"/>
              <w:left w:val="nil"/>
              <w:bottom w:val="single" w:sz="12" w:space="0" w:color="auto"/>
              <w:right w:val="nil"/>
            </w:tcBorders>
            <w:shd w:val="clear" w:color="auto" w:fill="FFFFFF"/>
          </w:tcPr>
          <w:p w:rsidR="002C39A3" w:rsidRPr="00595290"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818</w:t>
            </w:r>
          </w:p>
        </w:tc>
        <w:tc>
          <w:tcPr>
            <w:tcW w:w="850" w:type="dxa"/>
            <w:tcBorders>
              <w:top w:val="single" w:sz="6" w:space="0" w:color="auto"/>
              <w:left w:val="nil"/>
              <w:bottom w:val="single" w:sz="12" w:space="0" w:color="auto"/>
              <w:right w:val="nil"/>
            </w:tcBorders>
            <w:shd w:val="clear" w:color="auto" w:fill="FFFFFF"/>
          </w:tcPr>
          <w:p w:rsidR="002C39A3" w:rsidRPr="00595290"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95290">
              <w:rPr>
                <w:rFonts w:ascii="Calibri" w:eastAsiaTheme="minorEastAsia" w:hAnsi="Calibri" w:cs="Calibri"/>
                <w:b/>
                <w:bCs/>
                <w:color w:val="000000"/>
                <w:sz w:val="19"/>
                <w:lang w:eastAsia="en-AU"/>
              </w:rPr>
              <w:t>1 948</w:t>
            </w:r>
          </w:p>
        </w:tc>
        <w:tc>
          <w:tcPr>
            <w:tcW w:w="850" w:type="dxa"/>
            <w:tcBorders>
              <w:top w:val="single" w:sz="6" w:space="0" w:color="auto"/>
              <w:left w:val="nil"/>
              <w:bottom w:val="single" w:sz="12" w:space="0" w:color="auto"/>
              <w:right w:val="nil"/>
            </w:tcBorders>
            <w:shd w:val="clear" w:color="auto" w:fill="FFFFFF"/>
          </w:tcPr>
          <w:p w:rsidR="002C39A3" w:rsidRPr="00595290"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95290">
              <w:rPr>
                <w:rFonts w:ascii="Calibri" w:eastAsiaTheme="minorEastAsia" w:hAnsi="Calibri" w:cs="Calibri"/>
                <w:b/>
                <w:bCs/>
                <w:color w:val="000000"/>
                <w:sz w:val="19"/>
                <w:lang w:eastAsia="en-AU"/>
              </w:rPr>
              <w:t>3 240</w:t>
            </w:r>
          </w:p>
        </w:tc>
        <w:tc>
          <w:tcPr>
            <w:tcW w:w="850" w:type="dxa"/>
            <w:tcBorders>
              <w:top w:val="single" w:sz="6" w:space="0" w:color="auto"/>
              <w:left w:val="nil"/>
              <w:bottom w:val="single" w:sz="12" w:space="0" w:color="auto"/>
              <w:right w:val="nil"/>
            </w:tcBorders>
            <w:shd w:val="clear" w:color="auto" w:fill="FFFFFF"/>
          </w:tcPr>
          <w:p w:rsidR="002C39A3" w:rsidRPr="00595290"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95290">
              <w:rPr>
                <w:rFonts w:ascii="Calibri" w:eastAsiaTheme="minorEastAsia" w:hAnsi="Calibri" w:cs="Calibri"/>
                <w:b/>
                <w:bCs/>
                <w:color w:val="000000"/>
                <w:sz w:val="19"/>
                <w:lang w:eastAsia="en-AU"/>
              </w:rPr>
              <w:t>4 134</w:t>
            </w:r>
          </w:p>
        </w:tc>
      </w:tr>
    </w:tbl>
    <w:p w:rsidR="002C39A3" w:rsidRDefault="002C39A3" w:rsidP="00361FA9">
      <w:pPr>
        <w:pStyle w:val="Notes"/>
      </w:pPr>
      <w:r>
        <w:t>Notes:</w:t>
      </w:r>
    </w:p>
    <w:p w:rsidR="002C39A3" w:rsidRDefault="002C39A3" w:rsidP="00361FA9">
      <w:pPr>
        <w:pStyle w:val="Notes"/>
      </w:pPr>
      <w:r>
        <w:t>(a)</w:t>
      </w:r>
      <w:r>
        <w:tab/>
        <w:t>Reflects existing government policy decisions for which funding has yet to be allocated to departments; provisions not yet allocated to meet additional price and demand growth for health, disability and education; and a provision for estimated depreciation expense associated with the general government unallocated asset contingency.</w:t>
      </w:r>
    </w:p>
    <w:p w:rsidR="002C39A3" w:rsidRDefault="002C39A3" w:rsidP="00361FA9">
      <w:pPr>
        <w:pStyle w:val="Notes"/>
      </w:pPr>
      <w:r>
        <w:t>(b)</w:t>
      </w:r>
      <w:r>
        <w:tab/>
        <w:t>An unallocated provision available to contribute to future government policy decisions and commitments, including for decisions to extend lapsing programs across the budget and forward estimates.</w:t>
      </w:r>
    </w:p>
    <w:p w:rsidR="002C39A3" w:rsidRPr="00A66F04" w:rsidRDefault="002C39A3" w:rsidP="00361FA9"/>
    <w:p w:rsidR="002C39A3" w:rsidRDefault="002C39A3" w:rsidP="00361FA9"/>
    <w:p w:rsidR="002C39A3" w:rsidRDefault="002C39A3">
      <w:pPr>
        <w:spacing w:after="0"/>
        <w:rPr>
          <w:rFonts w:ascii="Calibri" w:hAnsi="Calibri"/>
          <w:b/>
          <w:kern w:val="28"/>
          <w:sz w:val="26"/>
          <w:szCs w:val="22"/>
        </w:rPr>
      </w:pPr>
      <w:r>
        <w:br w:type="page"/>
      </w:r>
    </w:p>
    <w:p w:rsidR="002C39A3" w:rsidRDefault="002C39A3" w:rsidP="00361FA9">
      <w:pPr>
        <w:pStyle w:val="Heading2Notes"/>
      </w:pPr>
      <w:bookmarkStart w:id="18" w:name="_Toc448928308"/>
      <w:r>
        <w:t>Note 13:</w:t>
      </w:r>
      <w:r>
        <w:tab/>
        <w:t>Other gains/(losses) from other economic flows</w:t>
      </w:r>
      <w:bookmarkEnd w:id="18"/>
    </w:p>
    <w:p w:rsidR="002C39A3" w:rsidRPr="00114E35" w:rsidRDefault="002C39A3" w:rsidP="00361FA9">
      <w:pPr>
        <w:pStyle w:val="million"/>
      </w:pPr>
      <w:r w:rsidRPr="007C1078">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2C39A3" w:rsidRPr="00114E35" w:rsidTr="00361FA9">
        <w:trPr>
          <w:trHeight w:val="464"/>
          <w:tblHeader/>
        </w:trPr>
        <w:tc>
          <w:tcPr>
            <w:tcW w:w="4365"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2016-17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2017-18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2018-19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2019-20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Net gain/(loss) from revaluation of biological assets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Net (increase) in provision for doubtful receivables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(159)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(169)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(176)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(180)</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Bad debts written off</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(154)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(154)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(154)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(164)</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Amortisation of intangible non-produced assets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 xml:space="preserve">Other gains/(losses) </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w:t>
            </w:r>
          </w:p>
        </w:tc>
      </w:tr>
      <w:tr w:rsidR="002C39A3" w:rsidRPr="00114E35" w:rsidTr="00361FA9">
        <w:tc>
          <w:tcPr>
            <w:tcW w:w="4365"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other gains/(losses) from other economic flows</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(318)</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(328)</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(335)</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(349)</w:t>
            </w:r>
          </w:p>
        </w:tc>
      </w:tr>
    </w:tbl>
    <w:p w:rsidR="002C39A3" w:rsidRDefault="002C39A3" w:rsidP="00361FA9"/>
    <w:p w:rsidR="002C39A3" w:rsidRPr="007D07A6" w:rsidRDefault="002C39A3" w:rsidP="00361FA9"/>
    <w:p w:rsidR="002C39A3" w:rsidRDefault="002C39A3" w:rsidP="00361FA9">
      <w:pPr>
        <w:pStyle w:val="Heading2Notes"/>
      </w:pPr>
      <w:bookmarkStart w:id="19" w:name="_Toc448928309"/>
      <w:r>
        <w:t>Note 14:</w:t>
      </w:r>
      <w:r>
        <w:tab/>
        <w:t>Reconciliation of net gain/(loss) on equity investments in other sector entities at proportional share of net assets</w:t>
      </w:r>
      <w:bookmarkEnd w:id="19"/>
    </w:p>
    <w:p w:rsidR="002C39A3" w:rsidRPr="00114E35" w:rsidRDefault="002C39A3" w:rsidP="00361FA9">
      <w:pPr>
        <w:pStyle w:val="million"/>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2C39A3" w:rsidRPr="00114E35" w:rsidTr="00361FA9">
        <w:trPr>
          <w:trHeight w:val="464"/>
          <w:tblHeader/>
        </w:trPr>
        <w:tc>
          <w:tcPr>
            <w:tcW w:w="4365"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2017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2018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2019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2020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Balance of investment in PNFC and PFC sectors at beginning of period</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85 347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85 878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88 499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92 032</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Net contributions to other sectors by owner</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(2 175)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2 739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2 668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2 263</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Revaluation gain/(loss) for period</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2 707</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(118)</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866</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(85)</w:t>
            </w:r>
          </w:p>
        </w:tc>
      </w:tr>
      <w:tr w:rsidR="002C39A3" w:rsidRPr="00114E35" w:rsidTr="00361FA9">
        <w:tc>
          <w:tcPr>
            <w:tcW w:w="4365"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Investment in other sector entities at end of period</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85 878</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88 499</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92 032</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94 210</w:t>
            </w:r>
          </w:p>
        </w:tc>
      </w:tr>
    </w:tbl>
    <w:p w:rsidR="002C39A3" w:rsidRDefault="002C39A3" w:rsidP="00361FA9"/>
    <w:p w:rsidR="002C39A3" w:rsidRDefault="002C39A3" w:rsidP="00361FA9"/>
    <w:p w:rsidR="002C39A3" w:rsidRDefault="002C39A3" w:rsidP="00361FA9">
      <w:pPr>
        <w:pStyle w:val="Heading2Notes"/>
      </w:pPr>
      <w:bookmarkStart w:id="20" w:name="_Toc448928310"/>
      <w:r>
        <w:t>Note 15:</w:t>
      </w:r>
      <w:r>
        <w:tab/>
        <w:t>Net acquisition of non</w:t>
      </w:r>
      <w:r>
        <w:noBreakHyphen/>
        <w:t>financial assets from transactions</w:t>
      </w:r>
      <w:bookmarkEnd w:id="20"/>
    </w:p>
    <w:p w:rsidR="002C39A3" w:rsidRPr="00114E35" w:rsidRDefault="002C39A3" w:rsidP="00361FA9">
      <w:pPr>
        <w:pStyle w:val="million"/>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2C39A3" w:rsidRPr="00114E35" w:rsidTr="00361FA9">
        <w:trPr>
          <w:trHeight w:val="464"/>
          <w:tblHeader/>
        </w:trPr>
        <w:tc>
          <w:tcPr>
            <w:tcW w:w="4365"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2016-17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2017-18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2018-19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2019-20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 xml:space="preserve">Purchases of non-financial assets </w:t>
            </w:r>
            <w:r>
              <w:rPr>
                <w:rFonts w:ascii="Calibri" w:eastAsiaTheme="minorEastAsia" w:hAnsi="Calibri" w:cs="Calibri"/>
                <w:color w:val="000000"/>
                <w:sz w:val="19"/>
                <w:szCs w:val="19"/>
                <w:lang w:eastAsia="en-AU"/>
              </w:rPr>
              <w:br/>
            </w:r>
            <w:r w:rsidRPr="00114E35">
              <w:rPr>
                <w:rFonts w:ascii="Calibri" w:eastAsiaTheme="minorEastAsia" w:hAnsi="Calibri" w:cs="Calibri"/>
                <w:color w:val="000000"/>
                <w:sz w:val="19"/>
                <w:szCs w:val="19"/>
                <w:lang w:eastAsia="en-AU"/>
              </w:rPr>
              <w:t>(including change in inventories)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7 206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7 079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6 542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5 489</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Less: Sale of non-financial assets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(487)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(746)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(440)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(237)</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Less: Depreciation</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(2 620)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(2 780)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(3 039)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(3 216)</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114E35">
              <w:rPr>
                <w:rFonts w:ascii="Calibri" w:eastAsiaTheme="minorEastAsia" w:hAnsi="Calibri" w:cs="Calibri"/>
                <w:color w:val="000000"/>
                <w:sz w:val="19"/>
                <w:szCs w:val="19"/>
                <w:lang w:eastAsia="en-AU"/>
              </w:rPr>
              <w:t xml:space="preserve">Plus: Other movements in non-financial assets </w:t>
            </w:r>
            <w:r w:rsidRPr="00114E35">
              <w:rPr>
                <w:rFonts w:ascii="Calibri" w:eastAsiaTheme="minorEastAsia" w:hAnsi="Calibri" w:cs="Calibri"/>
                <w:color w:val="000000"/>
                <w:sz w:val="19"/>
                <w:szCs w:val="19"/>
                <w:vertAlign w:val="superscript"/>
                <w:lang w:eastAsia="en-AU"/>
              </w:rPr>
              <w:t>(a)</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(3 037)</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(2 407)</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(2 808)</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(2 451)</w:t>
            </w:r>
          </w:p>
        </w:tc>
      </w:tr>
      <w:tr w:rsidR="002C39A3" w:rsidRPr="00114E35" w:rsidTr="00361FA9">
        <w:tc>
          <w:tcPr>
            <w:tcW w:w="4365"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net acquisition of non-financial assets from transactions</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1 063</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1 146</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255</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(415)</w:t>
            </w:r>
          </w:p>
        </w:tc>
      </w:tr>
    </w:tbl>
    <w:p w:rsidR="002C39A3" w:rsidRDefault="002C39A3" w:rsidP="00361FA9">
      <w:pPr>
        <w:pStyle w:val="Notes"/>
      </w:pPr>
      <w:r>
        <w:t>Note:</w:t>
      </w:r>
    </w:p>
    <w:p w:rsidR="002C39A3" w:rsidRPr="00E61CA9" w:rsidRDefault="002C39A3" w:rsidP="00361FA9">
      <w:pPr>
        <w:pStyle w:val="Notes"/>
      </w:pPr>
      <w:r>
        <w:t>(a)</w:t>
      </w:r>
      <w:r>
        <w:tab/>
        <w:t>The other movements in non-financial assets includes the transfer of fixed assets to other sectors of government and the recognition of finance lease arrangements.</w:t>
      </w:r>
    </w:p>
    <w:p w:rsidR="002C39A3" w:rsidRDefault="002C39A3" w:rsidP="00361FA9"/>
    <w:p w:rsidR="002C39A3" w:rsidRPr="007D07A6" w:rsidRDefault="002C39A3" w:rsidP="00361FA9"/>
    <w:p w:rsidR="002C39A3" w:rsidRDefault="002C39A3">
      <w:pPr>
        <w:spacing w:after="0"/>
        <w:rPr>
          <w:rFonts w:ascii="Calibri" w:hAnsi="Calibri"/>
          <w:b/>
          <w:kern w:val="28"/>
          <w:sz w:val="26"/>
          <w:szCs w:val="22"/>
        </w:rPr>
      </w:pPr>
      <w:r>
        <w:br w:type="page"/>
      </w:r>
    </w:p>
    <w:p w:rsidR="002C39A3" w:rsidRDefault="002C39A3" w:rsidP="00361FA9">
      <w:pPr>
        <w:pStyle w:val="Heading2Notes"/>
      </w:pPr>
      <w:bookmarkStart w:id="21" w:name="_Toc448928311"/>
      <w:r>
        <w:t>Note 16:</w:t>
      </w:r>
      <w:r>
        <w:tab/>
        <w:t>Advances paid and investments, loans and placements</w:t>
      </w:r>
      <w:bookmarkEnd w:id="21"/>
    </w:p>
    <w:p w:rsidR="002C39A3" w:rsidRPr="00114E35" w:rsidRDefault="002C39A3" w:rsidP="00361FA9">
      <w:pPr>
        <w:pStyle w:val="million"/>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3"/>
        <w:gridCol w:w="850"/>
        <w:gridCol w:w="850"/>
        <w:gridCol w:w="850"/>
        <w:gridCol w:w="852"/>
        <w:gridCol w:w="850"/>
      </w:tblGrid>
      <w:tr w:rsidR="002C39A3" w:rsidRPr="00114E35" w:rsidTr="00361FA9">
        <w:trPr>
          <w:trHeight w:val="345"/>
          <w:tblHeader/>
        </w:trPr>
        <w:tc>
          <w:tcPr>
            <w:tcW w:w="3513"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2016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revised</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2017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2018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2"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2019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2020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r>
      <w:tr w:rsidR="002C39A3" w:rsidRPr="00114E35" w:rsidTr="00361FA9">
        <w:tc>
          <w:tcPr>
            <w:tcW w:w="7765" w:type="dxa"/>
            <w:gridSpan w:val="6"/>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Current advances paid and investments, loans and placements</w:t>
            </w:r>
          </w:p>
        </w:tc>
      </w:tr>
      <w:tr w:rsidR="002C39A3" w:rsidRPr="00114E35" w:rsidTr="00361FA9">
        <w:tc>
          <w:tcPr>
            <w:tcW w:w="3513"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Loans and advances paid</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1 230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911</w:t>
            </w:r>
          </w:p>
        </w:tc>
        <w:tc>
          <w:tcPr>
            <w:tcW w:w="852"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1 092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897</w:t>
            </w:r>
          </w:p>
        </w:tc>
      </w:tr>
      <w:tr w:rsidR="002C39A3" w:rsidRPr="00114E35" w:rsidTr="00361FA9">
        <w:tc>
          <w:tcPr>
            <w:tcW w:w="3513"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 xml:space="preserve">Equities and managed investment schemes </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974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991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1 009</w:t>
            </w:r>
          </w:p>
        </w:tc>
        <w:tc>
          <w:tcPr>
            <w:tcW w:w="852"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1 026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1 043</w:t>
            </w:r>
          </w:p>
        </w:tc>
      </w:tr>
      <w:tr w:rsidR="002C39A3" w:rsidRPr="00114E35" w:rsidTr="00361FA9">
        <w:tc>
          <w:tcPr>
            <w:tcW w:w="3513"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Australian dollar term deposits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2 011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2 072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2 129</w:t>
            </w:r>
          </w:p>
        </w:tc>
        <w:tc>
          <w:tcPr>
            <w:tcW w:w="852"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2 196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2 275</w:t>
            </w:r>
          </w:p>
        </w:tc>
      </w:tr>
      <w:tr w:rsidR="002C39A3" w:rsidRPr="00114E35" w:rsidTr="00361FA9">
        <w:tc>
          <w:tcPr>
            <w:tcW w:w="3513"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Debt securities</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w:t>
            </w:r>
          </w:p>
        </w:tc>
        <w:tc>
          <w:tcPr>
            <w:tcW w:w="852"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w:t>
            </w:r>
          </w:p>
        </w:tc>
      </w:tr>
      <w:tr w:rsidR="002C39A3" w:rsidRPr="00114E35" w:rsidTr="00361FA9">
        <w:tc>
          <w:tcPr>
            <w:tcW w:w="3513"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current advances paid and investments, loans and placements</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3 037</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4 299</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4 055</w:t>
            </w:r>
          </w:p>
        </w:tc>
        <w:tc>
          <w:tcPr>
            <w:tcW w:w="852"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4 321</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4 222</w:t>
            </w:r>
          </w:p>
        </w:tc>
      </w:tr>
      <w:tr w:rsidR="002C39A3" w:rsidRPr="00114E35" w:rsidTr="00361FA9">
        <w:tc>
          <w:tcPr>
            <w:tcW w:w="7765" w:type="dxa"/>
            <w:gridSpan w:val="6"/>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Non-current advances paid and investments, loans and placements</w:t>
            </w:r>
          </w:p>
        </w:tc>
      </w:tr>
      <w:tr w:rsidR="002C39A3" w:rsidRPr="00114E35" w:rsidTr="00361FA9">
        <w:tc>
          <w:tcPr>
            <w:tcW w:w="3513"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Loans and advances paid</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4 476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8 827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7 912</w:t>
            </w:r>
          </w:p>
        </w:tc>
        <w:tc>
          <w:tcPr>
            <w:tcW w:w="852"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6 815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5 911</w:t>
            </w:r>
          </w:p>
        </w:tc>
      </w:tr>
      <w:tr w:rsidR="002C39A3" w:rsidRPr="00114E35" w:rsidTr="00361FA9">
        <w:tc>
          <w:tcPr>
            <w:tcW w:w="3513"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 xml:space="preserve">Equities and managed investment schemes </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322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328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327</w:t>
            </w:r>
          </w:p>
        </w:tc>
        <w:tc>
          <w:tcPr>
            <w:tcW w:w="852"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318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316</w:t>
            </w:r>
          </w:p>
        </w:tc>
      </w:tr>
      <w:tr w:rsidR="002C39A3" w:rsidRPr="00114E35" w:rsidTr="00361FA9">
        <w:tc>
          <w:tcPr>
            <w:tcW w:w="3513"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Australian dollar term deposits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204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209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215</w:t>
            </w:r>
          </w:p>
        </w:tc>
        <w:tc>
          <w:tcPr>
            <w:tcW w:w="852"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221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227</w:t>
            </w:r>
          </w:p>
        </w:tc>
      </w:tr>
      <w:tr w:rsidR="002C39A3" w:rsidRPr="00114E35" w:rsidTr="00361FA9">
        <w:tc>
          <w:tcPr>
            <w:tcW w:w="3513"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Debt securities</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34</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34</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34</w:t>
            </w:r>
          </w:p>
        </w:tc>
        <w:tc>
          <w:tcPr>
            <w:tcW w:w="852"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34</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34</w:t>
            </w:r>
          </w:p>
        </w:tc>
      </w:tr>
      <w:tr w:rsidR="002C39A3" w:rsidRPr="00114E35" w:rsidTr="00361FA9">
        <w:tc>
          <w:tcPr>
            <w:tcW w:w="3513"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non-current advances paid and investments, loans and placements</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5 036</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9 399</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8 489</w:t>
            </w:r>
          </w:p>
        </w:tc>
        <w:tc>
          <w:tcPr>
            <w:tcW w:w="852"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7 389</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6 488</w:t>
            </w:r>
          </w:p>
        </w:tc>
      </w:tr>
      <w:tr w:rsidR="002C39A3" w:rsidRPr="00114E35" w:rsidTr="00361FA9">
        <w:tc>
          <w:tcPr>
            <w:tcW w:w="3513"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advances paid and investments, loans and placements</w:t>
            </w:r>
          </w:p>
        </w:tc>
        <w:tc>
          <w:tcPr>
            <w:tcW w:w="850"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8 072</w:t>
            </w:r>
          </w:p>
        </w:tc>
        <w:tc>
          <w:tcPr>
            <w:tcW w:w="850"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13 698</w:t>
            </w:r>
          </w:p>
        </w:tc>
        <w:tc>
          <w:tcPr>
            <w:tcW w:w="850"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12 543</w:t>
            </w:r>
          </w:p>
        </w:tc>
        <w:tc>
          <w:tcPr>
            <w:tcW w:w="852"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11 710</w:t>
            </w:r>
          </w:p>
        </w:tc>
        <w:tc>
          <w:tcPr>
            <w:tcW w:w="850" w:type="dxa"/>
            <w:tcBorders>
              <w:top w:val="single" w:sz="6" w:space="0" w:color="000000"/>
              <w:left w:val="nil"/>
              <w:bottom w:val="single" w:sz="12"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10 710</w:t>
            </w:r>
          </w:p>
        </w:tc>
      </w:tr>
      <w:tr w:rsidR="002C39A3" w:rsidRPr="00114E35" w:rsidTr="00361FA9">
        <w:tc>
          <w:tcPr>
            <w:tcW w:w="7765" w:type="dxa"/>
            <w:gridSpan w:val="6"/>
            <w:tcBorders>
              <w:top w:val="single" w:sz="12" w:space="0" w:color="000000"/>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Represented by:</w:t>
            </w:r>
          </w:p>
        </w:tc>
      </w:tr>
      <w:tr w:rsidR="002C39A3" w:rsidRPr="00114E35" w:rsidTr="00361FA9">
        <w:tc>
          <w:tcPr>
            <w:tcW w:w="3513"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Advances paid</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4 521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10 057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8 823</w:t>
            </w:r>
          </w:p>
        </w:tc>
        <w:tc>
          <w:tcPr>
            <w:tcW w:w="852"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7 908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6 808</w:t>
            </w:r>
          </w:p>
        </w:tc>
      </w:tr>
      <w:tr w:rsidR="002C39A3" w:rsidRPr="00114E35" w:rsidTr="00361FA9">
        <w:tc>
          <w:tcPr>
            <w:tcW w:w="3513" w:type="dxa"/>
            <w:tcBorders>
              <w:top w:val="nil"/>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Investments, loans and placements</w:t>
            </w:r>
          </w:p>
        </w:tc>
        <w:tc>
          <w:tcPr>
            <w:tcW w:w="850" w:type="dxa"/>
            <w:tcBorders>
              <w:top w:val="nil"/>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3 552</w:t>
            </w:r>
          </w:p>
        </w:tc>
        <w:tc>
          <w:tcPr>
            <w:tcW w:w="850" w:type="dxa"/>
            <w:tcBorders>
              <w:top w:val="nil"/>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3 642</w:t>
            </w:r>
          </w:p>
        </w:tc>
        <w:tc>
          <w:tcPr>
            <w:tcW w:w="850" w:type="dxa"/>
            <w:tcBorders>
              <w:top w:val="nil"/>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3 721</w:t>
            </w:r>
          </w:p>
        </w:tc>
        <w:tc>
          <w:tcPr>
            <w:tcW w:w="852" w:type="dxa"/>
            <w:tcBorders>
              <w:top w:val="nil"/>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3 802</w:t>
            </w:r>
          </w:p>
        </w:tc>
        <w:tc>
          <w:tcPr>
            <w:tcW w:w="850" w:type="dxa"/>
            <w:tcBorders>
              <w:top w:val="nil"/>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3 902</w:t>
            </w:r>
          </w:p>
        </w:tc>
      </w:tr>
    </w:tbl>
    <w:p w:rsidR="002C39A3" w:rsidRDefault="002C39A3" w:rsidP="00361FA9"/>
    <w:p w:rsidR="002C39A3" w:rsidRDefault="002C39A3" w:rsidP="00361FA9"/>
    <w:p w:rsidR="002C39A3" w:rsidRDefault="002C39A3" w:rsidP="00361FA9">
      <w:pPr>
        <w:pStyle w:val="Heading2Notes"/>
      </w:pPr>
      <w:bookmarkStart w:id="22" w:name="_Toc448928312"/>
      <w:r>
        <w:t>Note 17:</w:t>
      </w:r>
      <w:r>
        <w:tab/>
        <w:t>Land, buildings, infrastructure, plant and equipment</w:t>
      </w:r>
      <w:bookmarkEnd w:id="22"/>
    </w:p>
    <w:p w:rsidR="002C39A3" w:rsidRPr="00114E35" w:rsidRDefault="002C39A3" w:rsidP="00361FA9">
      <w:pPr>
        <w:pStyle w:val="million"/>
      </w:pPr>
      <w:r w:rsidRPr="00552830">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2C39A3" w:rsidRPr="00114E35" w:rsidTr="00361FA9">
        <w:trPr>
          <w:trHeight w:val="464"/>
          <w:tblHeader/>
        </w:trPr>
        <w:tc>
          <w:tcPr>
            <w:tcW w:w="3515"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2016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revised</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2017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2018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2019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2020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Buildings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25 502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25 061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26 397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27 715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28 240</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Buildings leasehold</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3 453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4 375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5 243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5 091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4 942</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Land and national parks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41 074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40 996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43 495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43 621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46 241</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Infrastructure systems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1 321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1 355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1 346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1 330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1 315</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Plant, equipment and vehicles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2 221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2 318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2 214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2 005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1 732</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Leased plant, equipment and vehicles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143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127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79</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Roads and roads infrastructure</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20 865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21 435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24 265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25 315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28 131</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Leased roads and roads infrastructure</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575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565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628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618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663</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Earthworks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7 919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8 154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9 362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9 538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10 508</w:t>
            </w:r>
          </w:p>
        </w:tc>
      </w:tr>
      <w:tr w:rsidR="002C39A3" w:rsidRPr="00114E35" w:rsidTr="00361FA9">
        <w:tc>
          <w:tcPr>
            <w:tcW w:w="351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Cultural assets</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5 526</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5 531</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5 519</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5 503</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6 161</w:t>
            </w:r>
          </w:p>
        </w:tc>
      </w:tr>
      <w:tr w:rsidR="002C39A3" w:rsidRPr="00114E35" w:rsidTr="00361FA9">
        <w:tc>
          <w:tcPr>
            <w:tcW w:w="3515"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land, buildings, infrastructure, plant and equipment</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108 600</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109 917</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118 580</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120 832</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128 012</w:t>
            </w:r>
          </w:p>
        </w:tc>
      </w:tr>
    </w:tbl>
    <w:p w:rsidR="002C39A3" w:rsidRDefault="002C39A3" w:rsidP="00361FA9"/>
    <w:p w:rsidR="002C39A3" w:rsidRDefault="002C39A3" w:rsidP="00361FA9"/>
    <w:p w:rsidR="002C39A3" w:rsidRDefault="002C39A3">
      <w:pPr>
        <w:spacing w:after="0"/>
        <w:rPr>
          <w:rFonts w:ascii="Calibri" w:hAnsi="Calibri"/>
          <w:b/>
          <w:kern w:val="28"/>
          <w:sz w:val="26"/>
          <w:szCs w:val="22"/>
        </w:rPr>
      </w:pPr>
      <w:r>
        <w:br w:type="page"/>
      </w:r>
    </w:p>
    <w:p w:rsidR="002C39A3" w:rsidRDefault="002C39A3" w:rsidP="00361FA9">
      <w:pPr>
        <w:pStyle w:val="Heading2Notes"/>
      </w:pPr>
      <w:bookmarkStart w:id="23" w:name="_Toc448928313"/>
      <w:r>
        <w:t>Note 18:</w:t>
      </w:r>
      <w:r>
        <w:tab/>
        <w:t xml:space="preserve">Reconciliation of movements in land, buildings, infrastructure, plant and equipment </w:t>
      </w:r>
      <w:r w:rsidRPr="00C87C6F">
        <w:rPr>
          <w:vertAlign w:val="superscript"/>
        </w:rPr>
        <w:t>(a)</w:t>
      </w:r>
      <w:bookmarkEnd w:id="23"/>
    </w:p>
    <w:p w:rsidR="002C39A3" w:rsidRPr="00114E35" w:rsidRDefault="002C39A3" w:rsidP="00361FA9">
      <w:pPr>
        <w:pStyle w:val="million"/>
        <w:rPr>
          <w:rFonts w:eastAsiaTheme="minorEastAsia"/>
        </w:rPr>
      </w:pPr>
      <w:r>
        <w:t xml:space="preserve">($ </w:t>
      </w:r>
      <w:r w:rsidRPr="007C1078">
        <w:t>million</w:t>
      </w:r>
      <w:r>
        <w:t>)</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2C39A3" w:rsidRPr="00114E35" w:rsidTr="00361FA9">
        <w:trPr>
          <w:trHeight w:val="464"/>
          <w:tblHeader/>
        </w:trPr>
        <w:tc>
          <w:tcPr>
            <w:tcW w:w="4365" w:type="dxa"/>
            <w:tcBorders>
              <w:top w:val="nil"/>
              <w:left w:val="nil"/>
              <w:right w:val="nil"/>
            </w:tcBorders>
            <w:shd w:val="solid" w:color="000000" w:fill="auto"/>
            <w:vAlign w:val="bottom"/>
          </w:tcPr>
          <w:p w:rsidR="002C39A3" w:rsidRPr="00114E35" w:rsidRDefault="002C39A3" w:rsidP="00361FA9">
            <w:pPr>
              <w:pStyle w:val="Notes"/>
              <w:rPr>
                <w:rFonts w:eastAsiaTheme="minorEastAsia" w:cs="Calibri"/>
                <w:iCs/>
                <w:color w:val="FFFFFF"/>
                <w:sz w:val="19"/>
                <w:szCs w:val="19"/>
                <w:lang w:eastAsia="en-AU"/>
              </w:rPr>
            </w:pP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2016-17</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budget</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2017-18</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2018-19</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2019-20</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estimate</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Carrying amount at the start of the year</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108 600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109 917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118 580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120 832</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114E35">
              <w:rPr>
                <w:rFonts w:ascii="Calibri" w:eastAsiaTheme="minorEastAsia" w:hAnsi="Calibri" w:cs="Calibri"/>
                <w:color w:val="000000"/>
                <w:sz w:val="19"/>
                <w:szCs w:val="19"/>
                <w:lang w:eastAsia="en-AU"/>
              </w:rPr>
              <w:t xml:space="preserve">Additions </w:t>
            </w:r>
            <w:r w:rsidRPr="00114E35">
              <w:rPr>
                <w:rFonts w:ascii="Calibri" w:eastAsiaTheme="minorEastAsia" w:hAnsi="Calibri" w:cs="Calibri"/>
                <w:color w:val="000000"/>
                <w:sz w:val="19"/>
                <w:szCs w:val="19"/>
                <w:vertAlign w:val="superscript"/>
                <w:lang w:eastAsia="en-AU"/>
              </w:rPr>
              <w:t>(b)</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7 868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7 674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7 291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5 798</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Disposals at written-down value</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(414)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(409)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(363)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(214)</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Revaluations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109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7 101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1 653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7 445</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114E35">
              <w:rPr>
                <w:rFonts w:ascii="Calibri" w:eastAsiaTheme="minorEastAsia" w:hAnsi="Calibri" w:cs="Calibri"/>
                <w:color w:val="000000"/>
                <w:sz w:val="19"/>
                <w:szCs w:val="19"/>
                <w:lang w:eastAsia="en-AU"/>
              </w:rPr>
              <w:t xml:space="preserve">Asset transfers </w:t>
            </w:r>
            <w:r w:rsidRPr="00114E35">
              <w:rPr>
                <w:rFonts w:ascii="Calibri" w:eastAsiaTheme="minorEastAsia" w:hAnsi="Calibri" w:cs="Calibri"/>
                <w:color w:val="000000"/>
                <w:sz w:val="19"/>
                <w:szCs w:val="19"/>
                <w:vertAlign w:val="superscript"/>
                <w:lang w:eastAsia="en-AU"/>
              </w:rPr>
              <w:t>(c)</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(3 747)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(3 053)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(3 404)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(2 756)</w:t>
            </w:r>
          </w:p>
        </w:tc>
      </w:tr>
      <w:tr w:rsidR="002C39A3" w:rsidRPr="00114E35" w:rsidTr="00361FA9">
        <w:tc>
          <w:tcPr>
            <w:tcW w:w="4365"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Depreciation expense</w:t>
            </w:r>
          </w:p>
        </w:tc>
        <w:tc>
          <w:tcPr>
            <w:tcW w:w="850"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(2 499)</w:t>
            </w:r>
          </w:p>
        </w:tc>
        <w:tc>
          <w:tcPr>
            <w:tcW w:w="850"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(2 651)</w:t>
            </w:r>
          </w:p>
        </w:tc>
        <w:tc>
          <w:tcPr>
            <w:tcW w:w="850"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(2 925)</w:t>
            </w:r>
          </w:p>
        </w:tc>
        <w:tc>
          <w:tcPr>
            <w:tcW w:w="850"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(3 094)</w:t>
            </w:r>
          </w:p>
        </w:tc>
      </w:tr>
      <w:tr w:rsidR="002C39A3" w:rsidRPr="00114E35" w:rsidTr="00361FA9">
        <w:tc>
          <w:tcPr>
            <w:tcW w:w="4365"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Carrying amount at the end of the year</w:t>
            </w:r>
          </w:p>
        </w:tc>
        <w:tc>
          <w:tcPr>
            <w:tcW w:w="850"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109 917</w:t>
            </w:r>
          </w:p>
        </w:tc>
        <w:tc>
          <w:tcPr>
            <w:tcW w:w="850"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118 580</w:t>
            </w:r>
          </w:p>
        </w:tc>
        <w:tc>
          <w:tcPr>
            <w:tcW w:w="850"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120 832</w:t>
            </w:r>
          </w:p>
        </w:tc>
        <w:tc>
          <w:tcPr>
            <w:tcW w:w="850"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128 012</w:t>
            </w:r>
          </w:p>
        </w:tc>
      </w:tr>
    </w:tbl>
    <w:p w:rsidR="002C39A3" w:rsidRDefault="002C39A3" w:rsidP="00361FA9">
      <w:pPr>
        <w:pStyle w:val="Notes"/>
      </w:pPr>
      <w:r>
        <w:t>Notes:</w:t>
      </w:r>
    </w:p>
    <w:p w:rsidR="002C39A3" w:rsidRDefault="002C39A3" w:rsidP="00361FA9">
      <w:pPr>
        <w:pStyle w:val="Notes"/>
      </w:pPr>
      <w:r>
        <w:t>(a)</w:t>
      </w:r>
      <w:r>
        <w:tab/>
        <w:t>The reconciliation of movements comprises land and buildings, infrastructure systems, plant, equipment, vehicles, roads, road infrastructure and cultural assets and excludes intangible assets, investment properties and other non</w:t>
      </w:r>
      <w:r>
        <w:noBreakHyphen/>
        <w:t>financial assets.</w:t>
      </w:r>
    </w:p>
    <w:p w:rsidR="002C39A3" w:rsidRDefault="002C39A3" w:rsidP="00361FA9">
      <w:pPr>
        <w:pStyle w:val="Notes"/>
      </w:pPr>
      <w:r>
        <w:t>(b)</w:t>
      </w:r>
      <w:r>
        <w:tab/>
        <w:t>Includes assets acquired under finance lease arrangements.</w:t>
      </w:r>
    </w:p>
    <w:p w:rsidR="002C39A3" w:rsidRPr="00E1099D" w:rsidRDefault="002C39A3" w:rsidP="00361FA9">
      <w:pPr>
        <w:pStyle w:val="Notes"/>
      </w:pPr>
      <w:r>
        <w:t>(c)</w:t>
      </w:r>
      <w:r>
        <w:tab/>
        <w:t>Represents the transfer of assets to the public non-financial corporations sector.</w:t>
      </w:r>
    </w:p>
    <w:p w:rsidR="002C39A3" w:rsidRDefault="002C39A3" w:rsidP="00361FA9"/>
    <w:p w:rsidR="002C39A3" w:rsidRDefault="002C39A3" w:rsidP="00361FA9"/>
    <w:p w:rsidR="002C39A3" w:rsidRDefault="002C39A3" w:rsidP="00361FA9">
      <w:pPr>
        <w:pStyle w:val="Heading2Notes"/>
      </w:pPr>
      <w:bookmarkStart w:id="24" w:name="_Toc448928314"/>
      <w:r>
        <w:t>Note 19:</w:t>
      </w:r>
      <w:r>
        <w:tab/>
        <w:t>Other non</w:t>
      </w:r>
      <w:r>
        <w:noBreakHyphen/>
        <w:t>financial assets</w:t>
      </w:r>
      <w:bookmarkEnd w:id="24"/>
    </w:p>
    <w:p w:rsidR="002C39A3" w:rsidRPr="00114E35" w:rsidRDefault="002C39A3" w:rsidP="00361FA9">
      <w:pPr>
        <w:pStyle w:val="million"/>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2C39A3" w:rsidRPr="00114E35" w:rsidTr="00361FA9">
        <w:trPr>
          <w:trHeight w:val="464"/>
          <w:tblHeader/>
        </w:trPr>
        <w:tc>
          <w:tcPr>
            <w:tcW w:w="3515"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2016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revised</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2017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2018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2019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2020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Intangible produced assets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1 409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1 455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1 481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1 524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1 535</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Accumulated depreciation</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(837)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(930)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(1 033)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(1 125)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(1 223)</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Intangible non-produced assets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121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121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121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121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121</w:t>
            </w:r>
          </w:p>
        </w:tc>
      </w:tr>
      <w:tr w:rsidR="002C39A3" w:rsidRPr="00114E35" w:rsidTr="00361FA9">
        <w:tc>
          <w:tcPr>
            <w:tcW w:w="351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Accumulated amortisation</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(41)</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(42)</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(43)</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(44)</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(45)</w:t>
            </w:r>
          </w:p>
        </w:tc>
      </w:tr>
      <w:tr w:rsidR="002C39A3" w:rsidRPr="00114E35" w:rsidTr="00361FA9">
        <w:tc>
          <w:tcPr>
            <w:tcW w:w="3515"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intangibles</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652</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604</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526</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476</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387</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Investment properties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55</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Biological assets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w:t>
            </w:r>
          </w:p>
        </w:tc>
      </w:tr>
      <w:tr w:rsidR="002C39A3" w:rsidRPr="00114E35" w:rsidTr="00361FA9">
        <w:tc>
          <w:tcPr>
            <w:tcW w:w="351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Other assets</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304</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380</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279</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286</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286</w:t>
            </w:r>
          </w:p>
        </w:tc>
      </w:tr>
      <w:tr w:rsidR="002C39A3" w:rsidRPr="00114E35" w:rsidTr="00361FA9">
        <w:tc>
          <w:tcPr>
            <w:tcW w:w="3515"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other non-financial assets</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1 024</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1 047</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869</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827</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739</w:t>
            </w:r>
          </w:p>
        </w:tc>
      </w:tr>
    </w:tbl>
    <w:p w:rsidR="002C39A3" w:rsidRDefault="002C39A3" w:rsidP="00361FA9"/>
    <w:p w:rsidR="002C39A3" w:rsidRDefault="002C39A3">
      <w:pPr>
        <w:spacing w:after="0"/>
        <w:rPr>
          <w:rFonts w:ascii="Calibri" w:hAnsi="Calibri"/>
          <w:b/>
          <w:kern w:val="28"/>
          <w:sz w:val="26"/>
          <w:szCs w:val="22"/>
        </w:rPr>
      </w:pPr>
      <w:r>
        <w:br w:type="page"/>
      </w:r>
    </w:p>
    <w:p w:rsidR="002C39A3" w:rsidRDefault="002C39A3" w:rsidP="00361FA9">
      <w:pPr>
        <w:pStyle w:val="Heading2Notes"/>
      </w:pPr>
      <w:bookmarkStart w:id="25" w:name="_Toc448928315"/>
      <w:r>
        <w:t>Note 20:</w:t>
      </w:r>
      <w:r>
        <w:tab/>
        <w:t>Assets classified by government purpose and by department</w:t>
      </w:r>
      <w:bookmarkEnd w:id="25"/>
    </w:p>
    <w:p w:rsidR="002C39A3" w:rsidRDefault="002C39A3" w:rsidP="00890415">
      <w:pPr>
        <w:pStyle w:val="Tableheading"/>
        <w:ind w:right="-127"/>
      </w:pPr>
      <w:r>
        <w:t>(a)</w:t>
      </w:r>
      <w:r>
        <w:tab/>
        <w:t>Purchases of non</w:t>
      </w:r>
      <w:r>
        <w:noBreakHyphen/>
        <w:t xml:space="preserve">financial assets by government purpose classification </w:t>
      </w:r>
      <w:r w:rsidRPr="00C87C6F">
        <w:rPr>
          <w:vertAlign w:val="superscript"/>
        </w:rPr>
        <w:t>(a)</w:t>
      </w:r>
    </w:p>
    <w:p w:rsidR="002C39A3" w:rsidRPr="00114E35" w:rsidRDefault="002C39A3" w:rsidP="00361FA9">
      <w:pPr>
        <w:pStyle w:val="million"/>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2C39A3" w:rsidRPr="00114E35" w:rsidTr="00361FA9">
        <w:trPr>
          <w:trHeight w:val="464"/>
          <w:tblHeader/>
        </w:trPr>
        <w:tc>
          <w:tcPr>
            <w:tcW w:w="4365" w:type="dxa"/>
            <w:tcBorders>
              <w:left w:val="nil"/>
              <w:right w:val="nil"/>
            </w:tcBorders>
            <w:shd w:val="solid" w:color="000000" w:fill="auto"/>
            <w:vAlign w:val="bottom"/>
          </w:tcPr>
          <w:p w:rsidR="002C39A3" w:rsidRPr="00114E35" w:rsidRDefault="002C39A3" w:rsidP="00361FA9">
            <w:pPr>
              <w:pStyle w:val="million"/>
              <w:jc w:val="left"/>
              <w:rPr>
                <w:rFonts w:eastAsiaTheme="minorEastAsia" w:cs="Calibri"/>
                <w:color w:val="FFFFFF"/>
                <w:sz w:val="19"/>
                <w:lang w:eastAsia="en-AU"/>
              </w:rPr>
            </w:pPr>
          </w:p>
        </w:tc>
        <w:tc>
          <w:tcPr>
            <w:tcW w:w="850"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2016-17</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2017-18</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estimate</w:t>
            </w:r>
          </w:p>
        </w:tc>
        <w:tc>
          <w:tcPr>
            <w:tcW w:w="850"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2018-19</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estimate</w:t>
            </w:r>
          </w:p>
        </w:tc>
        <w:tc>
          <w:tcPr>
            <w:tcW w:w="850"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2019-20</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estimate</w:t>
            </w:r>
          </w:p>
        </w:tc>
      </w:tr>
      <w:tr w:rsidR="002C39A3" w:rsidRPr="00114E35" w:rsidTr="00361FA9">
        <w:tc>
          <w:tcPr>
            <w:tcW w:w="4365" w:type="dxa"/>
            <w:tcBorders>
              <w:top w:val="single" w:sz="6" w:space="0" w:color="auto"/>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General public services</w:t>
            </w:r>
          </w:p>
        </w:tc>
        <w:tc>
          <w:tcPr>
            <w:tcW w:w="850" w:type="dxa"/>
            <w:tcBorders>
              <w:top w:val="single" w:sz="6" w:space="0" w:color="auto"/>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208</w:t>
            </w:r>
          </w:p>
        </w:tc>
        <w:tc>
          <w:tcPr>
            <w:tcW w:w="850" w:type="dxa"/>
            <w:tcBorders>
              <w:top w:val="single" w:sz="6" w:space="0" w:color="auto"/>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210</w:t>
            </w:r>
          </w:p>
        </w:tc>
        <w:tc>
          <w:tcPr>
            <w:tcW w:w="850" w:type="dxa"/>
            <w:tcBorders>
              <w:top w:val="single" w:sz="6" w:space="0" w:color="auto"/>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212</w:t>
            </w:r>
          </w:p>
        </w:tc>
        <w:tc>
          <w:tcPr>
            <w:tcW w:w="850" w:type="dxa"/>
            <w:tcBorders>
              <w:top w:val="single" w:sz="6" w:space="0" w:color="auto"/>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117</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Public order and safety</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701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762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293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210</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Education</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802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691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317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149</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Health</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1 240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723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470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242</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Social security and welfare</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108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81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72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71</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Housing and community amenities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161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112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113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112</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Recreation and culture</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107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56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66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22</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Fuel and energy</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3</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Agriculture, forestry, fishing, and hunting</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51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45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43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6</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Transport and communications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5 094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4 927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4 143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3 140</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Other economic affairs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142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105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11</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 xml:space="preserve">Other purposes </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w:t>
            </w:r>
          </w:p>
        </w:tc>
      </w:tr>
      <w:tr w:rsidR="002C39A3" w:rsidRPr="00114E35" w:rsidTr="00361FA9">
        <w:tc>
          <w:tcPr>
            <w:tcW w:w="4365"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114E35">
              <w:rPr>
                <w:rFonts w:ascii="Calibri" w:eastAsiaTheme="minorEastAsia" w:hAnsi="Calibri" w:cs="Calibri"/>
                <w:color w:val="000000"/>
                <w:sz w:val="19"/>
                <w:lang w:eastAsia="en-AU"/>
              </w:rPr>
              <w:t>Not allocated by purpose</w:t>
            </w:r>
            <w:r>
              <w:rPr>
                <w:rFonts w:ascii="Calibri" w:eastAsiaTheme="minorEastAsia" w:hAnsi="Calibri" w:cs="Calibri"/>
                <w:color w:val="000000"/>
                <w:sz w:val="19"/>
                <w:lang w:eastAsia="en-AU"/>
              </w:rPr>
              <w:t xml:space="preserve"> </w:t>
            </w:r>
            <w:r w:rsidRPr="00114E35">
              <w:rPr>
                <w:rFonts w:ascii="Calibri" w:eastAsiaTheme="minorEastAsia" w:hAnsi="Calibri" w:cs="Calibri"/>
                <w:color w:val="000000"/>
                <w:sz w:val="19"/>
                <w:vertAlign w:val="superscript"/>
                <w:lang w:eastAsia="en-AU"/>
              </w:rPr>
              <w:t>(b)</w:t>
            </w:r>
          </w:p>
        </w:tc>
        <w:tc>
          <w:tcPr>
            <w:tcW w:w="850"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(1 414)</w:t>
            </w:r>
          </w:p>
        </w:tc>
        <w:tc>
          <w:tcPr>
            <w:tcW w:w="850"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(637)</w:t>
            </w:r>
          </w:p>
        </w:tc>
        <w:tc>
          <w:tcPr>
            <w:tcW w:w="850"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794</w:t>
            </w:r>
          </w:p>
        </w:tc>
        <w:tc>
          <w:tcPr>
            <w:tcW w:w="850"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1 406</w:t>
            </w:r>
          </w:p>
        </w:tc>
      </w:tr>
      <w:tr w:rsidR="002C39A3" w:rsidRPr="00114E35" w:rsidTr="00361FA9">
        <w:tc>
          <w:tcPr>
            <w:tcW w:w="4365"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Total purchases of non-financial assets</w:t>
            </w:r>
          </w:p>
        </w:tc>
        <w:tc>
          <w:tcPr>
            <w:tcW w:w="850"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7 206</w:t>
            </w:r>
          </w:p>
        </w:tc>
        <w:tc>
          <w:tcPr>
            <w:tcW w:w="850"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7 079</w:t>
            </w:r>
          </w:p>
        </w:tc>
        <w:tc>
          <w:tcPr>
            <w:tcW w:w="850"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6 542</w:t>
            </w:r>
          </w:p>
        </w:tc>
        <w:tc>
          <w:tcPr>
            <w:tcW w:w="850"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5 489</w:t>
            </w:r>
          </w:p>
        </w:tc>
      </w:tr>
    </w:tbl>
    <w:p w:rsidR="002C39A3" w:rsidRDefault="002C39A3" w:rsidP="00361FA9">
      <w:pPr>
        <w:pStyle w:val="Notes"/>
      </w:pPr>
      <w:r>
        <w:t>Notes:</w:t>
      </w:r>
    </w:p>
    <w:p w:rsidR="002C39A3" w:rsidRDefault="002C39A3" w:rsidP="00361FA9">
      <w:pPr>
        <w:pStyle w:val="Notes"/>
      </w:pPr>
      <w:r>
        <w:t>(a)</w:t>
      </w:r>
      <w:r>
        <w:tab/>
        <w:t xml:space="preserve">Note 41 of the </w:t>
      </w:r>
      <w:r w:rsidRPr="006802CE">
        <w:rPr>
          <w:i w:val="0"/>
        </w:rPr>
        <w:t>2014-15</w:t>
      </w:r>
      <w:r>
        <w:rPr>
          <w:i w:val="0"/>
        </w:rPr>
        <w:t xml:space="preserve"> Financial Report</w:t>
      </w:r>
      <w:r>
        <w:t xml:space="preserve"> for the State of Victoria provides definitions and descriptions of government purpose classifications.</w:t>
      </w:r>
    </w:p>
    <w:p w:rsidR="002C39A3" w:rsidRDefault="002C39A3" w:rsidP="00361FA9">
      <w:pPr>
        <w:pStyle w:val="Notes"/>
      </w:pPr>
      <w:r>
        <w:t>(b)</w:t>
      </w:r>
      <w:r>
        <w:tab/>
        <w:t>Estimated amount available to be allocated to departments and projects in future budgets, including for major capital investment. This includes departmental spending, which may be subject to carryover.</w:t>
      </w:r>
    </w:p>
    <w:p w:rsidR="002C39A3" w:rsidRPr="00A66F04" w:rsidRDefault="002C39A3" w:rsidP="00361FA9"/>
    <w:p w:rsidR="002C39A3" w:rsidRDefault="002C39A3">
      <w:pPr>
        <w:spacing w:after="0"/>
        <w:rPr>
          <w:rFonts w:ascii="Calibri" w:hAnsi="Calibri"/>
          <w:b/>
        </w:rPr>
      </w:pPr>
      <w:r>
        <w:br w:type="page"/>
      </w:r>
    </w:p>
    <w:p w:rsidR="002C39A3" w:rsidRDefault="002C39A3" w:rsidP="00361FA9">
      <w:pPr>
        <w:pStyle w:val="Heading2NotesContd"/>
      </w:pPr>
      <w:r>
        <w:t>Note 20:</w:t>
      </w:r>
      <w:r>
        <w:tab/>
        <w:t xml:space="preserve">Assets classified by government purpose and by department </w:t>
      </w:r>
      <w:r w:rsidRPr="007841C9">
        <w:rPr>
          <w:i/>
        </w:rPr>
        <w:t>(continued)</w:t>
      </w:r>
    </w:p>
    <w:p w:rsidR="002C39A3" w:rsidRDefault="002C39A3" w:rsidP="00361FA9">
      <w:pPr>
        <w:pStyle w:val="Tableheading"/>
      </w:pPr>
      <w:r>
        <w:t>(b)</w:t>
      </w:r>
      <w:r>
        <w:tab/>
        <w:t>Purchase of non</w:t>
      </w:r>
      <w:r>
        <w:noBreakHyphen/>
        <w:t>financial assets by department</w:t>
      </w:r>
    </w:p>
    <w:p w:rsidR="002C39A3" w:rsidRPr="0081410B" w:rsidRDefault="002C39A3" w:rsidP="00361FA9">
      <w:pPr>
        <w:pStyle w:val="million"/>
        <w:rPr>
          <w:b/>
          <w:bCs/>
          <w:sz w:val="15"/>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2C39A3" w:rsidRPr="0081410B" w:rsidTr="00361FA9">
        <w:trPr>
          <w:cantSplit/>
          <w:trHeight w:val="464"/>
          <w:tblHeader/>
        </w:trPr>
        <w:tc>
          <w:tcPr>
            <w:tcW w:w="4365" w:type="dxa"/>
            <w:tcBorders>
              <w:left w:val="nil"/>
              <w:right w:val="nil"/>
            </w:tcBorders>
            <w:shd w:val="solid" w:color="000000" w:fill="auto"/>
            <w:vAlign w:val="bottom"/>
          </w:tcPr>
          <w:p w:rsidR="002C39A3" w:rsidRPr="0081410B" w:rsidRDefault="002C39A3" w:rsidP="00361FA9">
            <w:pPr>
              <w:pStyle w:val="Notes"/>
              <w:rPr>
                <w:rFonts w:eastAsiaTheme="minorEastAsia" w:cs="Calibri"/>
                <w:iCs/>
                <w:color w:val="FFFFFF"/>
                <w:sz w:val="19"/>
                <w:lang w:eastAsia="en-AU"/>
              </w:rPr>
            </w:pPr>
          </w:p>
        </w:tc>
        <w:tc>
          <w:tcPr>
            <w:tcW w:w="850" w:type="dxa"/>
            <w:tcBorders>
              <w:left w:val="nil"/>
              <w:right w:val="nil"/>
            </w:tcBorders>
            <w:shd w:val="solid" w:color="000000" w:fill="auto"/>
            <w:vAlign w:val="bottom"/>
          </w:tcPr>
          <w:p w:rsidR="002C39A3" w:rsidRPr="0081410B"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81410B">
              <w:rPr>
                <w:rFonts w:ascii="Calibri" w:eastAsiaTheme="minorEastAsia" w:hAnsi="Calibri" w:cs="Calibri"/>
                <w:i/>
                <w:iCs/>
                <w:color w:val="FFFFFF"/>
                <w:sz w:val="19"/>
                <w:lang w:eastAsia="en-AU"/>
              </w:rPr>
              <w:t>2016-17</w:t>
            </w:r>
          </w:p>
          <w:p w:rsidR="002C39A3" w:rsidRPr="0081410B"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81410B">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2C39A3" w:rsidRPr="0081410B"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81410B">
              <w:rPr>
                <w:rFonts w:ascii="Calibri" w:eastAsiaTheme="minorEastAsia" w:hAnsi="Calibri" w:cs="Calibri"/>
                <w:i/>
                <w:iCs/>
                <w:color w:val="FFFFFF"/>
                <w:sz w:val="19"/>
                <w:lang w:eastAsia="en-AU"/>
              </w:rPr>
              <w:t>2017-18</w:t>
            </w:r>
          </w:p>
          <w:p w:rsidR="002C39A3" w:rsidRPr="0081410B"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81410B">
              <w:rPr>
                <w:rFonts w:ascii="Calibri" w:eastAsiaTheme="minorEastAsia" w:hAnsi="Calibri" w:cs="Calibri"/>
                <w:i/>
                <w:iCs/>
                <w:color w:val="FFFFFF"/>
                <w:sz w:val="19"/>
                <w:lang w:eastAsia="en-AU"/>
              </w:rPr>
              <w:t>estimate</w:t>
            </w:r>
          </w:p>
        </w:tc>
        <w:tc>
          <w:tcPr>
            <w:tcW w:w="850" w:type="dxa"/>
            <w:tcBorders>
              <w:left w:val="nil"/>
              <w:right w:val="nil"/>
            </w:tcBorders>
            <w:shd w:val="solid" w:color="000000" w:fill="auto"/>
            <w:vAlign w:val="bottom"/>
          </w:tcPr>
          <w:p w:rsidR="002C39A3" w:rsidRPr="0081410B"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81410B">
              <w:rPr>
                <w:rFonts w:ascii="Calibri" w:eastAsiaTheme="minorEastAsia" w:hAnsi="Calibri" w:cs="Calibri"/>
                <w:i/>
                <w:iCs/>
                <w:color w:val="FFFFFF"/>
                <w:sz w:val="19"/>
                <w:lang w:eastAsia="en-AU"/>
              </w:rPr>
              <w:t>2018-19</w:t>
            </w:r>
          </w:p>
          <w:p w:rsidR="002C39A3" w:rsidRPr="0081410B"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81410B">
              <w:rPr>
                <w:rFonts w:ascii="Calibri" w:eastAsiaTheme="minorEastAsia" w:hAnsi="Calibri" w:cs="Calibri"/>
                <w:i/>
                <w:iCs/>
                <w:color w:val="FFFFFF"/>
                <w:sz w:val="19"/>
                <w:lang w:eastAsia="en-AU"/>
              </w:rPr>
              <w:t>estimate</w:t>
            </w:r>
          </w:p>
        </w:tc>
        <w:tc>
          <w:tcPr>
            <w:tcW w:w="850" w:type="dxa"/>
            <w:tcBorders>
              <w:left w:val="nil"/>
              <w:right w:val="nil"/>
            </w:tcBorders>
            <w:shd w:val="solid" w:color="000000" w:fill="auto"/>
            <w:vAlign w:val="bottom"/>
          </w:tcPr>
          <w:p w:rsidR="002C39A3" w:rsidRPr="0081410B"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81410B">
              <w:rPr>
                <w:rFonts w:ascii="Calibri" w:eastAsiaTheme="minorEastAsia" w:hAnsi="Calibri" w:cs="Calibri"/>
                <w:i/>
                <w:iCs/>
                <w:color w:val="FFFFFF"/>
                <w:sz w:val="19"/>
                <w:lang w:eastAsia="en-AU"/>
              </w:rPr>
              <w:t>2019-20</w:t>
            </w:r>
          </w:p>
          <w:p w:rsidR="002C39A3" w:rsidRPr="0081410B"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81410B">
              <w:rPr>
                <w:rFonts w:ascii="Calibri" w:eastAsiaTheme="minorEastAsia" w:hAnsi="Calibri" w:cs="Calibri"/>
                <w:i/>
                <w:iCs/>
                <w:color w:val="FFFFFF"/>
                <w:sz w:val="19"/>
                <w:lang w:eastAsia="en-AU"/>
              </w:rPr>
              <w:t>estimate</w:t>
            </w:r>
          </w:p>
        </w:tc>
      </w:tr>
      <w:tr w:rsidR="002C39A3" w:rsidRPr="0081410B" w:rsidTr="00361FA9">
        <w:trPr>
          <w:cantSplit/>
        </w:trPr>
        <w:tc>
          <w:tcPr>
            <w:tcW w:w="4365" w:type="dxa"/>
            <w:tcBorders>
              <w:top w:val="single" w:sz="6" w:space="0" w:color="auto"/>
              <w:left w:val="nil"/>
              <w:right w:val="nil"/>
            </w:tcBorders>
            <w:shd w:val="clear" w:color="auto" w:fill="FFFFFF"/>
          </w:tcPr>
          <w:p w:rsidR="002C39A3" w:rsidRPr="0081410B"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1410B">
              <w:rPr>
                <w:rFonts w:ascii="Calibri" w:eastAsiaTheme="minorEastAsia" w:hAnsi="Calibri" w:cs="Calibri"/>
                <w:color w:val="000000"/>
                <w:sz w:val="19"/>
                <w:lang w:eastAsia="en-AU"/>
              </w:rPr>
              <w:t>Economic Development, Jobs, Transport and Resources</w:t>
            </w:r>
          </w:p>
        </w:tc>
        <w:tc>
          <w:tcPr>
            <w:tcW w:w="850" w:type="dxa"/>
            <w:tcBorders>
              <w:top w:val="single" w:sz="6" w:space="0" w:color="auto"/>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1410B">
              <w:rPr>
                <w:rFonts w:ascii="Calibri" w:eastAsiaTheme="minorEastAsia" w:hAnsi="Calibri" w:cs="Calibri"/>
                <w:color w:val="000000"/>
                <w:sz w:val="19"/>
                <w:lang w:eastAsia="en-AU"/>
              </w:rPr>
              <w:t>3 488</w:t>
            </w:r>
          </w:p>
        </w:tc>
        <w:tc>
          <w:tcPr>
            <w:tcW w:w="850" w:type="dxa"/>
            <w:tcBorders>
              <w:top w:val="single" w:sz="6" w:space="0" w:color="auto"/>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1410B">
              <w:rPr>
                <w:rFonts w:ascii="Calibri" w:eastAsiaTheme="minorEastAsia" w:hAnsi="Calibri" w:cs="Calibri"/>
                <w:color w:val="000000"/>
                <w:sz w:val="19"/>
                <w:lang w:eastAsia="en-AU"/>
              </w:rPr>
              <w:t>2 425</w:t>
            </w:r>
          </w:p>
        </w:tc>
        <w:tc>
          <w:tcPr>
            <w:tcW w:w="850" w:type="dxa"/>
            <w:tcBorders>
              <w:top w:val="single" w:sz="6" w:space="0" w:color="auto"/>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1410B">
              <w:rPr>
                <w:rFonts w:ascii="Calibri" w:eastAsiaTheme="minorEastAsia" w:hAnsi="Calibri" w:cs="Calibri"/>
                <w:color w:val="000000"/>
                <w:sz w:val="19"/>
                <w:lang w:eastAsia="en-AU"/>
              </w:rPr>
              <w:t>1 861</w:t>
            </w:r>
          </w:p>
        </w:tc>
        <w:tc>
          <w:tcPr>
            <w:tcW w:w="850" w:type="dxa"/>
            <w:tcBorders>
              <w:top w:val="single" w:sz="6" w:space="0" w:color="auto"/>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698</w:t>
            </w:r>
          </w:p>
        </w:tc>
      </w:tr>
      <w:tr w:rsidR="002C39A3" w:rsidRPr="0081410B" w:rsidTr="00361FA9">
        <w:trPr>
          <w:cantSplit/>
        </w:trPr>
        <w:tc>
          <w:tcPr>
            <w:tcW w:w="4365" w:type="dxa"/>
            <w:tcBorders>
              <w:top w:val="nil"/>
              <w:left w:val="nil"/>
              <w:right w:val="nil"/>
            </w:tcBorders>
            <w:shd w:val="clear" w:color="auto" w:fill="FFFFFF"/>
          </w:tcPr>
          <w:p w:rsidR="002C39A3" w:rsidRPr="0081410B"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1410B">
              <w:rPr>
                <w:rFonts w:ascii="Calibri" w:eastAsiaTheme="minorEastAsia" w:hAnsi="Calibri" w:cs="Calibri"/>
                <w:color w:val="000000"/>
                <w:sz w:val="19"/>
                <w:lang w:eastAsia="en-AU"/>
              </w:rPr>
              <w:t>Education and Training</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850</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742</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370</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205</w:t>
            </w:r>
          </w:p>
        </w:tc>
      </w:tr>
      <w:tr w:rsidR="002C39A3" w:rsidRPr="0081410B" w:rsidTr="00361FA9">
        <w:trPr>
          <w:cantSplit/>
        </w:trPr>
        <w:tc>
          <w:tcPr>
            <w:tcW w:w="4365" w:type="dxa"/>
            <w:tcBorders>
              <w:top w:val="nil"/>
              <w:left w:val="nil"/>
              <w:right w:val="nil"/>
            </w:tcBorders>
            <w:shd w:val="clear" w:color="auto" w:fill="FFFFFF"/>
          </w:tcPr>
          <w:p w:rsidR="002C39A3" w:rsidRPr="0081410B"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1410B">
              <w:rPr>
                <w:rFonts w:ascii="Calibri" w:eastAsiaTheme="minorEastAsia" w:hAnsi="Calibri" w:cs="Calibri"/>
                <w:color w:val="000000"/>
                <w:sz w:val="19"/>
                <w:lang w:eastAsia="en-AU"/>
              </w:rPr>
              <w:t>Environment, Land, Water and Planning</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116</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61</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62</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59</w:t>
            </w:r>
          </w:p>
        </w:tc>
      </w:tr>
      <w:tr w:rsidR="002C39A3" w:rsidRPr="0081410B" w:rsidTr="00361FA9">
        <w:trPr>
          <w:cantSplit/>
        </w:trPr>
        <w:tc>
          <w:tcPr>
            <w:tcW w:w="4365" w:type="dxa"/>
            <w:tcBorders>
              <w:top w:val="nil"/>
              <w:left w:val="nil"/>
              <w:right w:val="nil"/>
            </w:tcBorders>
            <w:shd w:val="clear" w:color="auto" w:fill="FFFFFF"/>
          </w:tcPr>
          <w:p w:rsidR="002C39A3" w:rsidRPr="0081410B"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1410B">
              <w:rPr>
                <w:rFonts w:ascii="Calibri" w:eastAsiaTheme="minorEastAsia" w:hAnsi="Calibri" w:cs="Calibri"/>
                <w:color w:val="000000"/>
                <w:sz w:val="19"/>
                <w:lang w:eastAsia="en-AU"/>
              </w:rPr>
              <w:t>Health and Human Services</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1410B">
              <w:rPr>
                <w:rFonts w:ascii="Calibri" w:eastAsiaTheme="minorEastAsia" w:hAnsi="Calibri" w:cs="Calibri"/>
                <w:color w:val="000000"/>
                <w:sz w:val="19"/>
                <w:lang w:eastAsia="en-AU"/>
              </w:rPr>
              <w:t>1 367</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670</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424</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234</w:t>
            </w:r>
          </w:p>
        </w:tc>
      </w:tr>
      <w:tr w:rsidR="002C39A3" w:rsidRPr="0081410B" w:rsidTr="00361FA9">
        <w:trPr>
          <w:cantSplit/>
        </w:trPr>
        <w:tc>
          <w:tcPr>
            <w:tcW w:w="4365" w:type="dxa"/>
            <w:tcBorders>
              <w:top w:val="nil"/>
              <w:left w:val="nil"/>
              <w:right w:val="nil"/>
            </w:tcBorders>
            <w:shd w:val="clear" w:color="auto" w:fill="FFFFFF"/>
          </w:tcPr>
          <w:p w:rsidR="002C39A3" w:rsidRPr="0081410B"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1410B">
              <w:rPr>
                <w:rFonts w:ascii="Calibri" w:eastAsiaTheme="minorEastAsia" w:hAnsi="Calibri" w:cs="Calibri"/>
                <w:color w:val="000000"/>
                <w:sz w:val="19"/>
                <w:lang w:eastAsia="en-AU"/>
              </w:rPr>
              <w:t>Justice and Regulation</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475</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561</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145</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102</w:t>
            </w:r>
          </w:p>
        </w:tc>
      </w:tr>
      <w:tr w:rsidR="002C39A3" w:rsidRPr="0081410B" w:rsidTr="00361FA9">
        <w:trPr>
          <w:cantSplit/>
        </w:trPr>
        <w:tc>
          <w:tcPr>
            <w:tcW w:w="4365" w:type="dxa"/>
            <w:tcBorders>
              <w:top w:val="nil"/>
              <w:left w:val="nil"/>
              <w:right w:val="nil"/>
            </w:tcBorders>
            <w:shd w:val="clear" w:color="auto" w:fill="FFFFFF"/>
          </w:tcPr>
          <w:p w:rsidR="002C39A3" w:rsidRPr="0081410B"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1410B">
              <w:rPr>
                <w:rFonts w:ascii="Calibri" w:eastAsiaTheme="minorEastAsia" w:hAnsi="Calibri" w:cs="Calibri"/>
                <w:color w:val="000000"/>
                <w:sz w:val="19"/>
                <w:lang w:eastAsia="en-AU"/>
              </w:rPr>
              <w:t>Premier and Cabinet</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17</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14</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13</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w:t>
            </w:r>
          </w:p>
        </w:tc>
      </w:tr>
      <w:tr w:rsidR="002C39A3" w:rsidRPr="0081410B" w:rsidTr="00361FA9">
        <w:trPr>
          <w:cantSplit/>
        </w:trPr>
        <w:tc>
          <w:tcPr>
            <w:tcW w:w="4365" w:type="dxa"/>
            <w:tcBorders>
              <w:top w:val="nil"/>
              <w:left w:val="nil"/>
              <w:right w:val="nil"/>
            </w:tcBorders>
            <w:shd w:val="clear" w:color="auto" w:fill="FFFFFF"/>
          </w:tcPr>
          <w:p w:rsidR="002C39A3" w:rsidRPr="0081410B"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1410B">
              <w:rPr>
                <w:rFonts w:ascii="Calibri" w:eastAsiaTheme="minorEastAsia" w:hAnsi="Calibri" w:cs="Calibri"/>
                <w:color w:val="000000"/>
                <w:sz w:val="19"/>
                <w:lang w:eastAsia="en-AU"/>
              </w:rPr>
              <w:t>Treasury and Finance</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63</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45</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66</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40</w:t>
            </w:r>
          </w:p>
        </w:tc>
      </w:tr>
      <w:tr w:rsidR="002C39A3" w:rsidRPr="0081410B" w:rsidTr="00361FA9">
        <w:trPr>
          <w:cantSplit/>
        </w:trPr>
        <w:tc>
          <w:tcPr>
            <w:tcW w:w="4365" w:type="dxa"/>
            <w:tcBorders>
              <w:top w:val="nil"/>
              <w:left w:val="nil"/>
              <w:right w:val="nil"/>
            </w:tcBorders>
            <w:shd w:val="clear" w:color="auto" w:fill="FFFFFF"/>
          </w:tcPr>
          <w:p w:rsidR="002C39A3" w:rsidRPr="0081410B"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1410B">
              <w:rPr>
                <w:rFonts w:ascii="Calibri" w:eastAsiaTheme="minorEastAsia" w:hAnsi="Calibri" w:cs="Calibri"/>
                <w:color w:val="000000"/>
                <w:sz w:val="19"/>
                <w:lang w:eastAsia="en-AU"/>
              </w:rPr>
              <w:t>Parliament</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29</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17</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r>
      <w:tr w:rsidR="002C39A3" w:rsidRPr="0081410B" w:rsidTr="00361FA9">
        <w:trPr>
          <w:cantSplit/>
        </w:trPr>
        <w:tc>
          <w:tcPr>
            <w:tcW w:w="4365" w:type="dxa"/>
            <w:tcBorders>
              <w:top w:val="nil"/>
              <w:left w:val="nil"/>
              <w:right w:val="nil"/>
            </w:tcBorders>
            <w:shd w:val="clear" w:color="auto" w:fill="FFFFFF"/>
          </w:tcPr>
          <w:p w:rsidR="002C39A3" w:rsidRPr="0081410B"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1410B">
              <w:rPr>
                <w:rFonts w:ascii="Calibri" w:eastAsiaTheme="minorEastAsia" w:hAnsi="Calibri" w:cs="Calibri"/>
                <w:color w:val="000000"/>
                <w:sz w:val="19"/>
                <w:lang w:eastAsia="en-AU"/>
              </w:rPr>
              <w:t>Courts</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49</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27</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w:t>
            </w:r>
          </w:p>
        </w:tc>
      </w:tr>
      <w:tr w:rsidR="002C39A3" w:rsidRPr="0081410B" w:rsidTr="00361FA9">
        <w:trPr>
          <w:cantSplit/>
        </w:trPr>
        <w:tc>
          <w:tcPr>
            <w:tcW w:w="4365" w:type="dxa"/>
            <w:tcBorders>
              <w:top w:val="nil"/>
              <w:left w:val="nil"/>
              <w:right w:val="nil"/>
            </w:tcBorders>
            <w:shd w:val="clear" w:color="auto" w:fill="FFFFFF"/>
          </w:tcPr>
          <w:p w:rsidR="002C39A3" w:rsidRPr="0081410B"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81410B">
              <w:rPr>
                <w:rFonts w:ascii="Calibri" w:eastAsiaTheme="minorEastAsia" w:hAnsi="Calibri" w:cs="Calibri"/>
                <w:color w:val="000000"/>
                <w:sz w:val="19"/>
                <w:lang w:eastAsia="en-AU"/>
              </w:rPr>
              <w:t>Regulatory bodies and other part funded agencies</w:t>
            </w:r>
            <w:r>
              <w:rPr>
                <w:rFonts w:ascii="Calibri" w:eastAsiaTheme="minorEastAsia" w:hAnsi="Calibri" w:cs="Calibri"/>
                <w:color w:val="000000"/>
                <w:sz w:val="19"/>
                <w:lang w:eastAsia="en-AU"/>
              </w:rPr>
              <w:t xml:space="preserve"> </w:t>
            </w:r>
            <w:r w:rsidRPr="0081410B">
              <w:rPr>
                <w:rFonts w:ascii="Calibri" w:eastAsiaTheme="minorEastAsia" w:hAnsi="Calibri" w:cs="Calibri"/>
                <w:color w:val="000000"/>
                <w:sz w:val="19"/>
                <w:vertAlign w:val="superscript"/>
                <w:lang w:eastAsia="en-AU"/>
              </w:rPr>
              <w:t>(a)</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166</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180</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155</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115</w:t>
            </w:r>
          </w:p>
        </w:tc>
      </w:tr>
      <w:tr w:rsidR="002C39A3" w:rsidRPr="0081410B" w:rsidTr="00361FA9">
        <w:trPr>
          <w:cantSplit/>
        </w:trPr>
        <w:tc>
          <w:tcPr>
            <w:tcW w:w="4365" w:type="dxa"/>
            <w:tcBorders>
              <w:top w:val="nil"/>
              <w:left w:val="nil"/>
              <w:right w:val="nil"/>
            </w:tcBorders>
            <w:shd w:val="clear" w:color="auto" w:fill="FFFFFF"/>
          </w:tcPr>
          <w:p w:rsidR="002C39A3" w:rsidRPr="0081410B"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81410B">
              <w:rPr>
                <w:rFonts w:ascii="Calibri" w:eastAsiaTheme="minorEastAsia" w:hAnsi="Calibri" w:cs="Calibri"/>
                <w:color w:val="000000"/>
                <w:sz w:val="19"/>
                <w:lang w:eastAsia="en-AU"/>
              </w:rPr>
              <w:t>Asset contingencies not allocated to departments</w:t>
            </w:r>
            <w:r>
              <w:rPr>
                <w:rFonts w:ascii="Calibri" w:eastAsiaTheme="minorEastAsia" w:hAnsi="Calibri" w:cs="Calibri"/>
                <w:color w:val="000000"/>
                <w:sz w:val="19"/>
                <w:lang w:eastAsia="en-AU"/>
              </w:rPr>
              <w:t xml:space="preserve"> </w:t>
            </w:r>
            <w:r w:rsidRPr="0081410B">
              <w:rPr>
                <w:rFonts w:ascii="Calibri" w:eastAsiaTheme="minorEastAsia" w:hAnsi="Calibri" w:cs="Calibri"/>
                <w:color w:val="000000"/>
                <w:sz w:val="19"/>
                <w:vertAlign w:val="superscript"/>
                <w:lang w:eastAsia="en-AU"/>
              </w:rPr>
              <w:t>(b)</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1 992</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3 346</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1410B">
              <w:rPr>
                <w:rFonts w:ascii="Calibri" w:eastAsiaTheme="minorEastAsia" w:hAnsi="Calibri" w:cs="Calibri"/>
                <w:color w:val="000000"/>
                <w:sz w:val="19"/>
                <w:lang w:eastAsia="en-AU"/>
              </w:rPr>
              <w:t>3 570</w:t>
            </w:r>
          </w:p>
        </w:tc>
        <w:tc>
          <w:tcPr>
            <w:tcW w:w="850" w:type="dxa"/>
            <w:tcBorders>
              <w:top w:val="nil"/>
              <w:left w:val="nil"/>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1410B">
              <w:rPr>
                <w:rFonts w:ascii="Calibri" w:eastAsiaTheme="minorEastAsia" w:hAnsi="Calibri" w:cs="Calibri"/>
                <w:color w:val="000000"/>
                <w:sz w:val="19"/>
                <w:lang w:eastAsia="en-AU"/>
              </w:rPr>
              <w:t>3 625</w:t>
            </w:r>
          </w:p>
        </w:tc>
      </w:tr>
      <w:tr w:rsidR="002C39A3" w:rsidRPr="0081410B" w:rsidTr="00361FA9">
        <w:trPr>
          <w:cantSplit/>
        </w:trPr>
        <w:tc>
          <w:tcPr>
            <w:tcW w:w="4365" w:type="dxa"/>
            <w:tcBorders>
              <w:top w:val="nil"/>
              <w:left w:val="nil"/>
              <w:bottom w:val="single" w:sz="6" w:space="0" w:color="auto"/>
              <w:right w:val="nil"/>
            </w:tcBorders>
            <w:shd w:val="clear" w:color="auto" w:fill="FFFFFF"/>
          </w:tcPr>
          <w:p w:rsidR="002C39A3" w:rsidRPr="0081410B"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81410B">
              <w:rPr>
                <w:rFonts w:ascii="Calibri" w:eastAsiaTheme="minorEastAsia" w:hAnsi="Calibri" w:cs="Calibri"/>
                <w:color w:val="000000"/>
                <w:sz w:val="19"/>
                <w:lang w:eastAsia="en-AU"/>
              </w:rPr>
              <w:t>Adjustments</w:t>
            </w:r>
            <w:r>
              <w:rPr>
                <w:rFonts w:ascii="Calibri" w:eastAsiaTheme="minorEastAsia" w:hAnsi="Calibri" w:cs="Calibri"/>
                <w:color w:val="000000"/>
                <w:sz w:val="19"/>
                <w:lang w:eastAsia="en-AU"/>
              </w:rPr>
              <w:t xml:space="preserve"> </w:t>
            </w:r>
            <w:r w:rsidRPr="0081410B">
              <w:rPr>
                <w:rFonts w:ascii="Calibri" w:eastAsiaTheme="minorEastAsia" w:hAnsi="Calibri" w:cs="Calibri"/>
                <w:color w:val="000000"/>
                <w:sz w:val="19"/>
                <w:vertAlign w:val="superscript"/>
                <w:lang w:eastAsia="en-AU"/>
              </w:rPr>
              <w:t>(c)</w:t>
            </w:r>
          </w:p>
        </w:tc>
        <w:tc>
          <w:tcPr>
            <w:tcW w:w="850" w:type="dxa"/>
            <w:tcBorders>
              <w:top w:val="nil"/>
              <w:left w:val="nil"/>
              <w:bottom w:val="single" w:sz="6" w:space="0" w:color="auto"/>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1410B">
              <w:rPr>
                <w:rFonts w:ascii="Calibri" w:eastAsiaTheme="minorEastAsia" w:hAnsi="Calibri" w:cs="Calibri"/>
                <w:color w:val="000000"/>
                <w:sz w:val="19"/>
                <w:lang w:eastAsia="en-AU"/>
              </w:rPr>
              <w:t>(1 408)</w:t>
            </w:r>
          </w:p>
        </w:tc>
        <w:tc>
          <w:tcPr>
            <w:tcW w:w="850" w:type="dxa"/>
            <w:tcBorders>
              <w:top w:val="nil"/>
              <w:left w:val="nil"/>
              <w:bottom w:val="single" w:sz="6" w:space="0" w:color="auto"/>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1410B">
              <w:rPr>
                <w:rFonts w:ascii="Calibri" w:eastAsiaTheme="minorEastAsia" w:hAnsi="Calibri" w:cs="Calibri"/>
                <w:color w:val="000000"/>
                <w:sz w:val="19"/>
                <w:lang w:eastAsia="en-AU"/>
              </w:rPr>
              <w:t>(1 008)</w:t>
            </w:r>
          </w:p>
        </w:tc>
        <w:tc>
          <w:tcPr>
            <w:tcW w:w="850" w:type="dxa"/>
            <w:tcBorders>
              <w:top w:val="nil"/>
              <w:left w:val="nil"/>
              <w:bottom w:val="single" w:sz="6" w:space="0" w:color="auto"/>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(130)</w:t>
            </w:r>
          </w:p>
        </w:tc>
        <w:tc>
          <w:tcPr>
            <w:tcW w:w="850" w:type="dxa"/>
            <w:tcBorders>
              <w:top w:val="nil"/>
              <w:left w:val="nil"/>
              <w:bottom w:val="single" w:sz="6" w:space="0" w:color="auto"/>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393</w:t>
            </w:r>
          </w:p>
        </w:tc>
      </w:tr>
      <w:tr w:rsidR="002C39A3" w:rsidRPr="0081410B" w:rsidTr="00361FA9">
        <w:trPr>
          <w:cantSplit/>
        </w:trPr>
        <w:tc>
          <w:tcPr>
            <w:tcW w:w="4365" w:type="dxa"/>
            <w:tcBorders>
              <w:top w:val="single" w:sz="6" w:space="0" w:color="auto"/>
              <w:left w:val="nil"/>
              <w:bottom w:val="single" w:sz="12" w:space="0" w:color="auto"/>
              <w:right w:val="nil"/>
            </w:tcBorders>
            <w:shd w:val="clear" w:color="auto" w:fill="FFFFFF"/>
          </w:tcPr>
          <w:p w:rsidR="002C39A3" w:rsidRPr="0081410B"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81410B">
              <w:rPr>
                <w:rFonts w:ascii="Calibri" w:eastAsiaTheme="minorEastAsia" w:hAnsi="Calibri" w:cs="Calibri"/>
                <w:b/>
                <w:bCs/>
                <w:color w:val="000000"/>
                <w:sz w:val="19"/>
                <w:lang w:eastAsia="en-AU"/>
              </w:rPr>
              <w:t>Total purchases of non-financial assets</w:t>
            </w:r>
          </w:p>
        </w:tc>
        <w:tc>
          <w:tcPr>
            <w:tcW w:w="850" w:type="dxa"/>
            <w:tcBorders>
              <w:top w:val="single" w:sz="6" w:space="0" w:color="auto"/>
              <w:left w:val="nil"/>
              <w:bottom w:val="single" w:sz="12" w:space="0" w:color="auto"/>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81410B">
              <w:rPr>
                <w:rFonts w:ascii="Calibri" w:eastAsiaTheme="minorEastAsia" w:hAnsi="Calibri" w:cs="Calibri"/>
                <w:b/>
                <w:bCs/>
                <w:color w:val="000000"/>
                <w:sz w:val="19"/>
                <w:lang w:eastAsia="en-AU"/>
              </w:rPr>
              <w:t>7 206</w:t>
            </w:r>
          </w:p>
        </w:tc>
        <w:tc>
          <w:tcPr>
            <w:tcW w:w="850" w:type="dxa"/>
            <w:tcBorders>
              <w:top w:val="single" w:sz="6" w:space="0" w:color="auto"/>
              <w:left w:val="nil"/>
              <w:bottom w:val="single" w:sz="12" w:space="0" w:color="auto"/>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81410B">
              <w:rPr>
                <w:rFonts w:ascii="Calibri" w:eastAsiaTheme="minorEastAsia" w:hAnsi="Calibri" w:cs="Calibri"/>
                <w:b/>
                <w:bCs/>
                <w:color w:val="000000"/>
                <w:sz w:val="19"/>
                <w:lang w:eastAsia="en-AU"/>
              </w:rPr>
              <w:t>7 079</w:t>
            </w:r>
          </w:p>
        </w:tc>
        <w:tc>
          <w:tcPr>
            <w:tcW w:w="850" w:type="dxa"/>
            <w:tcBorders>
              <w:top w:val="single" w:sz="6" w:space="0" w:color="auto"/>
              <w:left w:val="nil"/>
              <w:bottom w:val="single" w:sz="12" w:space="0" w:color="auto"/>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81410B">
              <w:rPr>
                <w:rFonts w:ascii="Calibri" w:eastAsiaTheme="minorEastAsia" w:hAnsi="Calibri" w:cs="Calibri"/>
                <w:b/>
                <w:bCs/>
                <w:color w:val="000000"/>
                <w:sz w:val="19"/>
                <w:lang w:eastAsia="en-AU"/>
              </w:rPr>
              <w:t>6 542</w:t>
            </w:r>
          </w:p>
        </w:tc>
        <w:tc>
          <w:tcPr>
            <w:tcW w:w="850" w:type="dxa"/>
            <w:tcBorders>
              <w:top w:val="single" w:sz="6" w:space="0" w:color="auto"/>
              <w:left w:val="nil"/>
              <w:bottom w:val="single" w:sz="12" w:space="0" w:color="auto"/>
              <w:right w:val="nil"/>
            </w:tcBorders>
            <w:shd w:val="clear" w:color="auto" w:fill="FFFFFF"/>
          </w:tcPr>
          <w:p w:rsidR="002C39A3" w:rsidRPr="0081410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81410B">
              <w:rPr>
                <w:rFonts w:ascii="Calibri" w:eastAsiaTheme="minorEastAsia" w:hAnsi="Calibri" w:cs="Calibri"/>
                <w:b/>
                <w:bCs/>
                <w:color w:val="000000"/>
                <w:sz w:val="19"/>
                <w:lang w:eastAsia="en-AU"/>
              </w:rPr>
              <w:t>5 489</w:t>
            </w:r>
          </w:p>
        </w:tc>
      </w:tr>
    </w:tbl>
    <w:p w:rsidR="002C39A3" w:rsidRDefault="002C39A3" w:rsidP="00361FA9">
      <w:pPr>
        <w:pStyle w:val="Notes"/>
      </w:pPr>
      <w:r>
        <w:t>Notes:</w:t>
      </w:r>
    </w:p>
    <w:p w:rsidR="002C39A3" w:rsidRDefault="002C39A3" w:rsidP="00361FA9">
      <w:pPr>
        <w:pStyle w:val="Notes"/>
      </w:pPr>
      <w:r>
        <w:t>(a)</w:t>
      </w:r>
      <w:r>
        <w:tab/>
        <w:t>Other general government sector agencies not allocated to departmental portfolios.</w:t>
      </w:r>
    </w:p>
    <w:p w:rsidR="002C39A3" w:rsidRDefault="002C39A3" w:rsidP="00361FA9">
      <w:pPr>
        <w:pStyle w:val="Notes"/>
      </w:pPr>
      <w:r>
        <w:t>(b)</w:t>
      </w:r>
      <w:r>
        <w:tab/>
        <w:t>Note 20(c) provides a breakdown of the general government sector asset contingencies not allocated to departments.</w:t>
      </w:r>
    </w:p>
    <w:p w:rsidR="002C39A3" w:rsidRDefault="002C39A3" w:rsidP="00361FA9">
      <w:pPr>
        <w:pStyle w:val="Notes"/>
      </w:pPr>
      <w:r>
        <w:t>(c)</w:t>
      </w:r>
      <w:r>
        <w:tab/>
        <w:t>Mainly comprises estimated departmental underspend which may be subject to carryover and estimated outer budget agency underspend.</w:t>
      </w:r>
    </w:p>
    <w:p w:rsidR="002C39A3" w:rsidRDefault="002C39A3" w:rsidP="00361FA9"/>
    <w:p w:rsidR="002C39A3" w:rsidRDefault="002C39A3" w:rsidP="00361FA9">
      <w:pPr>
        <w:pStyle w:val="Tableheading"/>
      </w:pPr>
      <w:r>
        <w:t>(c)</w:t>
      </w:r>
      <w:r>
        <w:tab/>
        <w:t>General government asset contingencies not allocated to departments</w:t>
      </w:r>
    </w:p>
    <w:p w:rsidR="002C39A3" w:rsidRPr="00114E35" w:rsidRDefault="002C39A3" w:rsidP="00361FA9">
      <w:pPr>
        <w:pStyle w:val="million"/>
        <w:rPr>
          <w:b/>
          <w:bCs/>
          <w:sz w:val="15"/>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2C39A3" w:rsidRPr="00114E35" w:rsidTr="00361FA9">
        <w:trPr>
          <w:trHeight w:val="464"/>
          <w:tblHeader/>
        </w:trPr>
        <w:tc>
          <w:tcPr>
            <w:tcW w:w="4365" w:type="dxa"/>
            <w:tcBorders>
              <w:left w:val="nil"/>
              <w:right w:val="nil"/>
            </w:tcBorders>
            <w:shd w:val="solid" w:color="000000" w:fill="auto"/>
            <w:vAlign w:val="bottom"/>
          </w:tcPr>
          <w:p w:rsidR="002C39A3" w:rsidRPr="00114E35" w:rsidRDefault="002C39A3" w:rsidP="00361FA9">
            <w:pPr>
              <w:pStyle w:val="Notes"/>
              <w:ind w:left="0" w:firstLine="0"/>
              <w:rPr>
                <w:rFonts w:eastAsiaTheme="minorEastAsia" w:cs="Calibri"/>
                <w:iCs/>
                <w:color w:val="FFFFFF"/>
                <w:sz w:val="19"/>
                <w:lang w:eastAsia="en-AU"/>
              </w:rPr>
            </w:pPr>
          </w:p>
        </w:tc>
        <w:tc>
          <w:tcPr>
            <w:tcW w:w="850"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2016-17</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2017-18</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estimate</w:t>
            </w:r>
          </w:p>
        </w:tc>
        <w:tc>
          <w:tcPr>
            <w:tcW w:w="850"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2018-19</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estimate</w:t>
            </w:r>
          </w:p>
        </w:tc>
        <w:tc>
          <w:tcPr>
            <w:tcW w:w="850"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2019-20</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estimate</w:t>
            </w:r>
          </w:p>
        </w:tc>
      </w:tr>
      <w:tr w:rsidR="002C39A3" w:rsidRPr="00114E35" w:rsidTr="00361FA9">
        <w:tc>
          <w:tcPr>
            <w:tcW w:w="4365" w:type="dxa"/>
            <w:tcBorders>
              <w:top w:val="single" w:sz="6" w:space="0" w:color="auto"/>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114E35">
              <w:rPr>
                <w:rFonts w:ascii="Calibri" w:eastAsiaTheme="minorEastAsia" w:hAnsi="Calibri" w:cs="Calibri"/>
                <w:color w:val="000000"/>
                <w:sz w:val="19"/>
                <w:lang w:eastAsia="en-AU"/>
              </w:rPr>
              <w:t>Decisions made but not yet allocated</w:t>
            </w:r>
            <w:r>
              <w:rPr>
                <w:rFonts w:ascii="Calibri" w:eastAsiaTheme="minorEastAsia" w:hAnsi="Calibri" w:cs="Calibri"/>
                <w:color w:val="000000"/>
                <w:sz w:val="19"/>
                <w:lang w:eastAsia="en-AU"/>
              </w:rPr>
              <w:t xml:space="preserve"> </w:t>
            </w:r>
            <w:r w:rsidRPr="00114E35">
              <w:rPr>
                <w:rFonts w:ascii="Calibri" w:eastAsiaTheme="minorEastAsia" w:hAnsi="Calibri" w:cs="Calibri"/>
                <w:color w:val="000000"/>
                <w:sz w:val="19"/>
                <w:vertAlign w:val="superscript"/>
                <w:lang w:eastAsia="en-AU"/>
              </w:rPr>
              <w:t>(a)</w:t>
            </w:r>
          </w:p>
        </w:tc>
        <w:tc>
          <w:tcPr>
            <w:tcW w:w="850" w:type="dxa"/>
            <w:tcBorders>
              <w:top w:val="single" w:sz="6" w:space="0" w:color="auto"/>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1 992</w:t>
            </w:r>
          </w:p>
        </w:tc>
        <w:tc>
          <w:tcPr>
            <w:tcW w:w="850" w:type="dxa"/>
            <w:tcBorders>
              <w:top w:val="single" w:sz="6" w:space="0" w:color="auto"/>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2 946</w:t>
            </w:r>
          </w:p>
        </w:tc>
        <w:tc>
          <w:tcPr>
            <w:tcW w:w="850" w:type="dxa"/>
            <w:tcBorders>
              <w:top w:val="single" w:sz="6" w:space="0" w:color="auto"/>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2 870</w:t>
            </w:r>
          </w:p>
        </w:tc>
        <w:tc>
          <w:tcPr>
            <w:tcW w:w="850" w:type="dxa"/>
            <w:tcBorders>
              <w:top w:val="single" w:sz="6" w:space="0" w:color="auto"/>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2 625</w:t>
            </w:r>
          </w:p>
        </w:tc>
      </w:tr>
      <w:tr w:rsidR="002C39A3" w:rsidRPr="00114E35" w:rsidTr="00361FA9">
        <w:tc>
          <w:tcPr>
            <w:tcW w:w="4365"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114E35">
              <w:rPr>
                <w:rFonts w:ascii="Calibri" w:eastAsiaTheme="minorEastAsia" w:hAnsi="Calibri" w:cs="Calibri"/>
                <w:color w:val="000000"/>
                <w:sz w:val="19"/>
                <w:lang w:eastAsia="en-AU"/>
              </w:rPr>
              <w:t>Funding not allocated to specific purposes</w:t>
            </w:r>
            <w:r>
              <w:rPr>
                <w:rFonts w:ascii="Calibri" w:eastAsiaTheme="minorEastAsia" w:hAnsi="Calibri" w:cs="Calibri"/>
                <w:color w:val="000000"/>
                <w:sz w:val="19"/>
                <w:lang w:eastAsia="en-AU"/>
              </w:rPr>
              <w:t xml:space="preserve"> </w:t>
            </w:r>
            <w:r w:rsidRPr="00114E35">
              <w:rPr>
                <w:rFonts w:ascii="Calibri" w:eastAsiaTheme="minorEastAsia" w:hAnsi="Calibri" w:cs="Calibri"/>
                <w:color w:val="000000"/>
                <w:sz w:val="19"/>
                <w:vertAlign w:val="superscript"/>
                <w:lang w:eastAsia="en-AU"/>
              </w:rPr>
              <w:t>(b)</w:t>
            </w:r>
          </w:p>
        </w:tc>
        <w:tc>
          <w:tcPr>
            <w:tcW w:w="850"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400</w:t>
            </w:r>
          </w:p>
        </w:tc>
        <w:tc>
          <w:tcPr>
            <w:tcW w:w="850"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700</w:t>
            </w:r>
          </w:p>
        </w:tc>
        <w:tc>
          <w:tcPr>
            <w:tcW w:w="850" w:type="dxa"/>
            <w:tcBorders>
              <w:top w:val="nil"/>
              <w:left w:val="nil"/>
              <w:bottom w:val="single" w:sz="6"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1 000</w:t>
            </w:r>
          </w:p>
        </w:tc>
      </w:tr>
      <w:tr w:rsidR="002C39A3" w:rsidRPr="00114E35" w:rsidTr="00361FA9">
        <w:tc>
          <w:tcPr>
            <w:tcW w:w="4365"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Total general government asset contingencies</w:t>
            </w:r>
          </w:p>
        </w:tc>
        <w:tc>
          <w:tcPr>
            <w:tcW w:w="850"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color w:val="000000"/>
                <w:sz w:val="19"/>
                <w:lang w:eastAsia="en-AU"/>
              </w:rPr>
            </w:pPr>
            <w:r>
              <w:rPr>
                <w:rFonts w:ascii="Calibri" w:eastAsiaTheme="minorEastAsia" w:hAnsi="Calibri" w:cs="Calibri"/>
                <w:b/>
                <w:color w:val="000000"/>
                <w:sz w:val="19"/>
                <w:lang w:eastAsia="en-AU"/>
              </w:rPr>
              <w:t>1 992</w:t>
            </w:r>
          </w:p>
        </w:tc>
        <w:tc>
          <w:tcPr>
            <w:tcW w:w="850"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color w:val="000000"/>
                <w:sz w:val="19"/>
                <w:lang w:eastAsia="en-AU"/>
              </w:rPr>
            </w:pPr>
            <w:r>
              <w:rPr>
                <w:rFonts w:ascii="Calibri" w:eastAsiaTheme="minorEastAsia" w:hAnsi="Calibri" w:cs="Calibri"/>
                <w:b/>
                <w:color w:val="000000"/>
                <w:sz w:val="19"/>
                <w:lang w:eastAsia="en-AU"/>
              </w:rPr>
              <w:t>3 346</w:t>
            </w:r>
          </w:p>
        </w:tc>
        <w:tc>
          <w:tcPr>
            <w:tcW w:w="850"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color w:val="000000"/>
                <w:sz w:val="19"/>
                <w:lang w:eastAsia="en-AU"/>
              </w:rPr>
            </w:pPr>
            <w:r w:rsidRPr="00114E35">
              <w:rPr>
                <w:rFonts w:ascii="Calibri" w:eastAsiaTheme="minorEastAsia" w:hAnsi="Calibri" w:cs="Calibri"/>
                <w:b/>
                <w:color w:val="000000"/>
                <w:sz w:val="19"/>
                <w:lang w:eastAsia="en-AU"/>
              </w:rPr>
              <w:t>3 570</w:t>
            </w:r>
          </w:p>
        </w:tc>
        <w:tc>
          <w:tcPr>
            <w:tcW w:w="850" w:type="dxa"/>
            <w:tcBorders>
              <w:top w:val="single" w:sz="6" w:space="0" w:color="auto"/>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color w:val="000000"/>
                <w:sz w:val="19"/>
                <w:lang w:eastAsia="en-AU"/>
              </w:rPr>
            </w:pPr>
            <w:r w:rsidRPr="00114E35">
              <w:rPr>
                <w:rFonts w:ascii="Calibri" w:eastAsiaTheme="minorEastAsia" w:hAnsi="Calibri" w:cs="Calibri"/>
                <w:b/>
                <w:color w:val="000000"/>
                <w:sz w:val="19"/>
                <w:lang w:eastAsia="en-AU"/>
              </w:rPr>
              <w:t>3 625</w:t>
            </w:r>
          </w:p>
        </w:tc>
      </w:tr>
    </w:tbl>
    <w:p w:rsidR="002C39A3" w:rsidRDefault="002C39A3" w:rsidP="00361FA9">
      <w:pPr>
        <w:pStyle w:val="Notes"/>
      </w:pPr>
      <w:r>
        <w:t>Notes:</w:t>
      </w:r>
    </w:p>
    <w:p w:rsidR="002C39A3" w:rsidRDefault="002C39A3" w:rsidP="00361FA9">
      <w:pPr>
        <w:pStyle w:val="Notes"/>
      </w:pPr>
      <w:r>
        <w:t>(a)</w:t>
      </w:r>
      <w:r>
        <w:tab/>
        <w:t>A provision to account for asset policy decisions for which the funding has yet to be allocated to departments.</w:t>
      </w:r>
    </w:p>
    <w:p w:rsidR="002C39A3" w:rsidRDefault="002C39A3" w:rsidP="00361FA9">
      <w:pPr>
        <w:pStyle w:val="Notes"/>
      </w:pPr>
      <w:r>
        <w:t>(b)</w:t>
      </w:r>
      <w:r>
        <w:tab/>
        <w:t>An unallocated provision available for future government asset investment decisions.</w:t>
      </w:r>
    </w:p>
    <w:p w:rsidR="002C39A3" w:rsidRDefault="002C39A3" w:rsidP="00361FA9">
      <w:pPr>
        <w:pStyle w:val="Chartpara"/>
        <w:spacing w:after="120"/>
      </w:pPr>
    </w:p>
    <w:p w:rsidR="002C39A3" w:rsidRPr="00A66F04" w:rsidRDefault="002C39A3" w:rsidP="00361FA9"/>
    <w:p w:rsidR="002C39A3" w:rsidRDefault="002C39A3">
      <w:pPr>
        <w:spacing w:after="0"/>
        <w:rPr>
          <w:rFonts w:ascii="Calibri" w:hAnsi="Calibri"/>
          <w:b/>
        </w:rPr>
      </w:pPr>
      <w:r>
        <w:br w:type="page"/>
      </w:r>
    </w:p>
    <w:p w:rsidR="002C39A3" w:rsidRDefault="002C39A3" w:rsidP="00361FA9">
      <w:pPr>
        <w:pStyle w:val="Heading2NotesContd"/>
      </w:pPr>
      <w:r>
        <w:t>Note 20:</w:t>
      </w:r>
      <w:r>
        <w:tab/>
        <w:t xml:space="preserve">Assets classified by government purpose and by department </w:t>
      </w:r>
      <w:r w:rsidRPr="007841C9">
        <w:rPr>
          <w:i/>
        </w:rPr>
        <w:t>(continued)</w:t>
      </w:r>
    </w:p>
    <w:p w:rsidR="002C39A3" w:rsidRDefault="002C39A3" w:rsidP="00361FA9">
      <w:pPr>
        <w:pStyle w:val="Tableheading"/>
      </w:pPr>
      <w:r>
        <w:t>(d)</w:t>
      </w:r>
      <w:r>
        <w:tab/>
        <w:t xml:space="preserve">Total assets by government purpose classification </w:t>
      </w:r>
      <w:r w:rsidRPr="00C87C6F">
        <w:rPr>
          <w:vertAlign w:val="superscript"/>
        </w:rPr>
        <w:t>(a)</w:t>
      </w:r>
    </w:p>
    <w:p w:rsidR="002C39A3" w:rsidRPr="00114E35" w:rsidRDefault="002C39A3" w:rsidP="00361FA9">
      <w:pPr>
        <w:pStyle w:val="million"/>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2C39A3" w:rsidRPr="00114E35" w:rsidTr="00361FA9">
        <w:trPr>
          <w:trHeight w:val="464"/>
          <w:tblHeader/>
        </w:trPr>
        <w:tc>
          <w:tcPr>
            <w:tcW w:w="3515" w:type="dxa"/>
            <w:tcBorders>
              <w:left w:val="nil"/>
              <w:right w:val="nil"/>
            </w:tcBorders>
            <w:shd w:val="solid" w:color="000000" w:fill="auto"/>
            <w:vAlign w:val="bottom"/>
          </w:tcPr>
          <w:p w:rsidR="002C39A3" w:rsidRPr="00114E35" w:rsidRDefault="002C39A3" w:rsidP="00361FA9">
            <w:pPr>
              <w:autoSpaceDE w:val="0"/>
              <w:autoSpaceDN w:val="0"/>
              <w:adjustRightInd w:val="0"/>
              <w:spacing w:after="0"/>
              <w:rPr>
                <w:rFonts w:ascii="Calibri" w:eastAsiaTheme="minorEastAsia" w:hAnsi="Calibri" w:cs="Calibri"/>
                <w:color w:val="FFFFFF"/>
                <w:sz w:val="19"/>
                <w:lang w:eastAsia="en-AU"/>
              </w:rPr>
            </w:pPr>
          </w:p>
        </w:tc>
        <w:tc>
          <w:tcPr>
            <w:tcW w:w="850"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2016</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2017</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2018</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estimate</w:t>
            </w:r>
          </w:p>
        </w:tc>
        <w:tc>
          <w:tcPr>
            <w:tcW w:w="850"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2019</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estimate</w:t>
            </w:r>
          </w:p>
        </w:tc>
        <w:tc>
          <w:tcPr>
            <w:tcW w:w="850" w:type="dxa"/>
            <w:tcBorders>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2020</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114E35">
              <w:rPr>
                <w:rFonts w:ascii="Calibri" w:eastAsiaTheme="minorEastAsia" w:hAnsi="Calibri" w:cs="Calibri"/>
                <w:i/>
                <w:iCs/>
                <w:color w:val="FFFFFF"/>
                <w:sz w:val="19"/>
                <w:lang w:eastAsia="en-AU"/>
              </w:rPr>
              <w:t>estimate</w:t>
            </w:r>
          </w:p>
        </w:tc>
      </w:tr>
      <w:tr w:rsidR="002C39A3" w:rsidRPr="00114E35" w:rsidTr="00361FA9">
        <w:tc>
          <w:tcPr>
            <w:tcW w:w="3515" w:type="dxa"/>
            <w:tcBorders>
              <w:top w:val="single" w:sz="6" w:space="0" w:color="auto"/>
              <w:left w:val="nil"/>
              <w:right w:val="nil"/>
            </w:tcBorders>
            <w:shd w:val="clear" w:color="000000"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General public services</w:t>
            </w:r>
          </w:p>
        </w:tc>
        <w:tc>
          <w:tcPr>
            <w:tcW w:w="850" w:type="dxa"/>
            <w:tcBorders>
              <w:top w:val="single" w:sz="6" w:space="0" w:color="auto"/>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820</w:t>
            </w:r>
          </w:p>
        </w:tc>
        <w:tc>
          <w:tcPr>
            <w:tcW w:w="850" w:type="dxa"/>
            <w:tcBorders>
              <w:top w:val="single" w:sz="6" w:space="0" w:color="auto"/>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887</w:t>
            </w:r>
          </w:p>
        </w:tc>
        <w:tc>
          <w:tcPr>
            <w:tcW w:w="850" w:type="dxa"/>
            <w:tcBorders>
              <w:top w:val="single" w:sz="6" w:space="0" w:color="auto"/>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829</w:t>
            </w:r>
          </w:p>
        </w:tc>
        <w:tc>
          <w:tcPr>
            <w:tcW w:w="850" w:type="dxa"/>
            <w:tcBorders>
              <w:top w:val="single" w:sz="6" w:space="0" w:color="auto"/>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755</w:t>
            </w:r>
          </w:p>
        </w:tc>
        <w:tc>
          <w:tcPr>
            <w:tcW w:w="850" w:type="dxa"/>
            <w:tcBorders>
              <w:top w:val="single" w:sz="6" w:space="0" w:color="auto"/>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658</w:t>
            </w:r>
          </w:p>
        </w:tc>
      </w:tr>
      <w:tr w:rsidR="002C39A3" w:rsidRPr="00114E35" w:rsidTr="00361FA9">
        <w:tc>
          <w:tcPr>
            <w:tcW w:w="3515" w:type="dxa"/>
            <w:tcBorders>
              <w:top w:val="nil"/>
              <w:left w:val="nil"/>
              <w:right w:val="nil"/>
            </w:tcBorders>
            <w:shd w:val="clear" w:color="000000"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Public order and safety</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8 936</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9 250</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10 083</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9 945</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10 440</w:t>
            </w:r>
          </w:p>
        </w:tc>
      </w:tr>
      <w:tr w:rsidR="002C39A3" w:rsidRPr="00114E35" w:rsidTr="00361FA9">
        <w:tc>
          <w:tcPr>
            <w:tcW w:w="3515" w:type="dxa"/>
            <w:tcBorders>
              <w:top w:val="nil"/>
              <w:left w:val="nil"/>
              <w:right w:val="nil"/>
            </w:tcBorders>
            <w:shd w:val="clear" w:color="000000"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Education</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19 053</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19 660</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21 879</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21 772</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21 492</w:t>
            </w:r>
          </w:p>
        </w:tc>
      </w:tr>
      <w:tr w:rsidR="002C39A3" w:rsidRPr="00114E35" w:rsidTr="00361FA9">
        <w:tc>
          <w:tcPr>
            <w:tcW w:w="3515" w:type="dxa"/>
            <w:tcBorders>
              <w:top w:val="nil"/>
              <w:left w:val="nil"/>
              <w:right w:val="nil"/>
            </w:tcBorders>
            <w:shd w:val="clear" w:color="000000"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Health</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13 261</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13 851</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13 654</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14 773</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14 124</w:t>
            </w:r>
          </w:p>
        </w:tc>
      </w:tr>
      <w:tr w:rsidR="002C39A3" w:rsidRPr="00114E35" w:rsidTr="00361FA9">
        <w:tc>
          <w:tcPr>
            <w:tcW w:w="3515" w:type="dxa"/>
            <w:tcBorders>
              <w:top w:val="nil"/>
              <w:left w:val="nil"/>
              <w:right w:val="nil"/>
            </w:tcBorders>
            <w:shd w:val="clear" w:color="000000"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Social security and welfare</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1 899</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1 951</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1 976</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1 991</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2 005</w:t>
            </w:r>
          </w:p>
        </w:tc>
      </w:tr>
      <w:tr w:rsidR="002C39A3" w:rsidRPr="00114E35" w:rsidTr="00361FA9">
        <w:tc>
          <w:tcPr>
            <w:tcW w:w="3515" w:type="dxa"/>
            <w:tcBorders>
              <w:top w:val="nil"/>
              <w:left w:val="nil"/>
              <w:right w:val="nil"/>
            </w:tcBorders>
            <w:shd w:val="clear" w:color="000000"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Housing and community amenities</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7 445</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7 554</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7 608</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7 610</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9 362</w:t>
            </w:r>
          </w:p>
        </w:tc>
      </w:tr>
      <w:tr w:rsidR="002C39A3" w:rsidRPr="00114E35" w:rsidTr="00361FA9">
        <w:tc>
          <w:tcPr>
            <w:tcW w:w="3515" w:type="dxa"/>
            <w:tcBorders>
              <w:top w:val="nil"/>
              <w:left w:val="nil"/>
              <w:right w:val="nil"/>
            </w:tcBorders>
            <w:shd w:val="clear" w:color="000000"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Recreation and culture</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8 443</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8 486</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8 476</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8 476</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8 431</w:t>
            </w:r>
          </w:p>
        </w:tc>
      </w:tr>
      <w:tr w:rsidR="002C39A3" w:rsidRPr="00114E35" w:rsidTr="00361FA9">
        <w:tc>
          <w:tcPr>
            <w:tcW w:w="3515" w:type="dxa"/>
            <w:tcBorders>
              <w:top w:val="nil"/>
              <w:left w:val="nil"/>
              <w:right w:val="nil"/>
            </w:tcBorders>
            <w:shd w:val="clear" w:color="000000"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Fuel and energy</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11</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12</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14</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14</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14</w:t>
            </w:r>
          </w:p>
        </w:tc>
      </w:tr>
      <w:tr w:rsidR="002C39A3" w:rsidRPr="00114E35" w:rsidTr="00361FA9">
        <w:tc>
          <w:tcPr>
            <w:tcW w:w="3515" w:type="dxa"/>
            <w:tcBorders>
              <w:top w:val="nil"/>
              <w:left w:val="nil"/>
              <w:right w:val="nil"/>
            </w:tcBorders>
            <w:shd w:val="clear" w:color="000000"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Agriculture, forestry, fishing, and hunting</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692</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711</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724</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734</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706</w:t>
            </w:r>
          </w:p>
        </w:tc>
      </w:tr>
      <w:tr w:rsidR="002C39A3" w:rsidRPr="00114E35" w:rsidTr="00361FA9">
        <w:tc>
          <w:tcPr>
            <w:tcW w:w="3515" w:type="dxa"/>
            <w:tcBorders>
              <w:top w:val="nil"/>
              <w:left w:val="nil"/>
              <w:right w:val="nil"/>
            </w:tcBorders>
            <w:shd w:val="clear" w:color="000000"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Transport and communications</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49 313</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50 150</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55 913</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56 609</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61 566</w:t>
            </w:r>
          </w:p>
        </w:tc>
      </w:tr>
      <w:tr w:rsidR="002C39A3" w:rsidRPr="00114E35" w:rsidTr="00361FA9">
        <w:tc>
          <w:tcPr>
            <w:tcW w:w="3515" w:type="dxa"/>
            <w:tcBorders>
              <w:top w:val="nil"/>
              <w:left w:val="nil"/>
              <w:right w:val="nil"/>
            </w:tcBorders>
            <w:shd w:val="clear" w:color="000000"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Other economic affairs</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445</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586</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690</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698</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699</w:t>
            </w:r>
          </w:p>
        </w:tc>
      </w:tr>
      <w:tr w:rsidR="002C39A3" w:rsidRPr="00114E35" w:rsidTr="00361FA9">
        <w:tc>
          <w:tcPr>
            <w:tcW w:w="3515" w:type="dxa"/>
            <w:tcBorders>
              <w:top w:val="nil"/>
              <w:left w:val="nil"/>
              <w:right w:val="nil"/>
            </w:tcBorders>
            <w:shd w:val="clear" w:color="000000"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 xml:space="preserve">Other purposes </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w:t>
            </w:r>
          </w:p>
        </w:tc>
        <w:tc>
          <w:tcPr>
            <w:tcW w:w="850" w:type="dxa"/>
            <w:tcBorders>
              <w:top w:val="nil"/>
              <w:left w:val="nil"/>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w:t>
            </w:r>
          </w:p>
        </w:tc>
      </w:tr>
      <w:tr w:rsidR="002C39A3" w:rsidRPr="00114E35" w:rsidTr="00361FA9">
        <w:tc>
          <w:tcPr>
            <w:tcW w:w="3515" w:type="dxa"/>
            <w:tcBorders>
              <w:top w:val="nil"/>
              <w:left w:val="nil"/>
              <w:bottom w:val="single" w:sz="6" w:space="0" w:color="auto"/>
              <w:right w:val="nil"/>
            </w:tcBorders>
            <w:shd w:val="clear" w:color="000000"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114E35">
              <w:rPr>
                <w:rFonts w:ascii="Calibri" w:eastAsiaTheme="minorEastAsia" w:hAnsi="Calibri" w:cs="Calibri"/>
                <w:color w:val="000000"/>
                <w:sz w:val="19"/>
                <w:lang w:eastAsia="en-AU"/>
              </w:rPr>
              <w:t>Not allocated by purpose</w:t>
            </w:r>
            <w:r>
              <w:rPr>
                <w:rFonts w:ascii="Calibri" w:eastAsiaTheme="minorEastAsia" w:hAnsi="Calibri" w:cs="Calibri"/>
                <w:color w:val="000000"/>
                <w:sz w:val="19"/>
                <w:lang w:eastAsia="en-AU"/>
              </w:rPr>
              <w:t xml:space="preserve"> </w:t>
            </w:r>
            <w:r w:rsidRPr="00114E35">
              <w:rPr>
                <w:rFonts w:ascii="Calibri" w:eastAsiaTheme="minorEastAsia" w:hAnsi="Calibri" w:cs="Calibri"/>
                <w:color w:val="000000"/>
                <w:sz w:val="19"/>
                <w:vertAlign w:val="superscript"/>
                <w:lang w:eastAsia="en-AU"/>
              </w:rPr>
              <w:t>(b)</w:t>
            </w:r>
          </w:p>
        </w:tc>
        <w:tc>
          <w:tcPr>
            <w:tcW w:w="850" w:type="dxa"/>
            <w:tcBorders>
              <w:top w:val="nil"/>
              <w:left w:val="nil"/>
              <w:bottom w:val="single" w:sz="6" w:space="0" w:color="auto"/>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102 572</w:t>
            </w:r>
          </w:p>
        </w:tc>
        <w:tc>
          <w:tcPr>
            <w:tcW w:w="850" w:type="dxa"/>
            <w:tcBorders>
              <w:top w:val="nil"/>
              <w:left w:val="nil"/>
              <w:bottom w:val="single" w:sz="6" w:space="0" w:color="auto"/>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107 757</w:t>
            </w:r>
          </w:p>
        </w:tc>
        <w:tc>
          <w:tcPr>
            <w:tcW w:w="850" w:type="dxa"/>
            <w:tcBorders>
              <w:top w:val="nil"/>
              <w:left w:val="nil"/>
              <w:bottom w:val="single" w:sz="6" w:space="0" w:color="auto"/>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109 050</w:t>
            </w:r>
          </w:p>
        </w:tc>
        <w:tc>
          <w:tcPr>
            <w:tcW w:w="850" w:type="dxa"/>
            <w:tcBorders>
              <w:top w:val="nil"/>
              <w:left w:val="nil"/>
              <w:bottom w:val="single" w:sz="6" w:space="0" w:color="auto"/>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112 946</w:t>
            </w:r>
          </w:p>
        </w:tc>
        <w:tc>
          <w:tcPr>
            <w:tcW w:w="850" w:type="dxa"/>
            <w:tcBorders>
              <w:top w:val="nil"/>
              <w:left w:val="nil"/>
              <w:bottom w:val="single" w:sz="6" w:space="0" w:color="auto"/>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114E35">
              <w:rPr>
                <w:rFonts w:ascii="Calibri" w:eastAsiaTheme="minorEastAsia" w:hAnsi="Calibri" w:cs="Calibri"/>
                <w:color w:val="000000"/>
                <w:sz w:val="19"/>
                <w:lang w:eastAsia="en-AU"/>
              </w:rPr>
              <w:t>115 536</w:t>
            </w:r>
          </w:p>
        </w:tc>
      </w:tr>
      <w:tr w:rsidR="002C39A3" w:rsidRPr="00114E35" w:rsidTr="00361FA9">
        <w:tc>
          <w:tcPr>
            <w:tcW w:w="3515" w:type="dxa"/>
            <w:tcBorders>
              <w:top w:val="single" w:sz="6" w:space="0" w:color="auto"/>
              <w:left w:val="nil"/>
              <w:bottom w:val="single" w:sz="12" w:space="0" w:color="auto"/>
              <w:right w:val="nil"/>
            </w:tcBorders>
            <w:shd w:val="clear" w:color="000000"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Total assets</w:t>
            </w:r>
          </w:p>
        </w:tc>
        <w:tc>
          <w:tcPr>
            <w:tcW w:w="850" w:type="dxa"/>
            <w:tcBorders>
              <w:top w:val="single" w:sz="6" w:space="0" w:color="auto"/>
              <w:left w:val="nil"/>
              <w:bottom w:val="single" w:sz="12" w:space="0" w:color="auto"/>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212 893</w:t>
            </w:r>
          </w:p>
        </w:tc>
        <w:tc>
          <w:tcPr>
            <w:tcW w:w="850" w:type="dxa"/>
            <w:tcBorders>
              <w:top w:val="single" w:sz="6" w:space="0" w:color="auto"/>
              <w:left w:val="nil"/>
              <w:bottom w:val="single" w:sz="12" w:space="0" w:color="auto"/>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220 855</w:t>
            </w:r>
          </w:p>
        </w:tc>
        <w:tc>
          <w:tcPr>
            <w:tcW w:w="850" w:type="dxa"/>
            <w:tcBorders>
              <w:top w:val="single" w:sz="6" w:space="0" w:color="auto"/>
              <w:left w:val="nil"/>
              <w:bottom w:val="single" w:sz="12" w:space="0" w:color="auto"/>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230 898</w:t>
            </w:r>
          </w:p>
        </w:tc>
        <w:tc>
          <w:tcPr>
            <w:tcW w:w="850" w:type="dxa"/>
            <w:tcBorders>
              <w:top w:val="single" w:sz="6" w:space="0" w:color="auto"/>
              <w:left w:val="nil"/>
              <w:bottom w:val="single" w:sz="12" w:space="0" w:color="auto"/>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236 324</w:t>
            </w:r>
          </w:p>
        </w:tc>
        <w:tc>
          <w:tcPr>
            <w:tcW w:w="850" w:type="dxa"/>
            <w:tcBorders>
              <w:top w:val="single" w:sz="6" w:space="0" w:color="auto"/>
              <w:left w:val="nil"/>
              <w:bottom w:val="single" w:sz="12" w:space="0" w:color="auto"/>
              <w:right w:val="nil"/>
            </w:tcBorders>
            <w:shd w:val="clear" w:color="000000"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114E35">
              <w:rPr>
                <w:rFonts w:ascii="Calibri" w:eastAsiaTheme="minorEastAsia" w:hAnsi="Calibri" w:cs="Calibri"/>
                <w:b/>
                <w:bCs/>
                <w:color w:val="000000"/>
                <w:sz w:val="19"/>
                <w:lang w:eastAsia="en-AU"/>
              </w:rPr>
              <w:t>245 035</w:t>
            </w:r>
          </w:p>
        </w:tc>
      </w:tr>
    </w:tbl>
    <w:p w:rsidR="002C39A3" w:rsidRDefault="002C39A3" w:rsidP="00361FA9">
      <w:pPr>
        <w:pStyle w:val="Notes"/>
      </w:pPr>
      <w:r>
        <w:t>Notes:</w:t>
      </w:r>
    </w:p>
    <w:p w:rsidR="002C39A3" w:rsidRDefault="002C39A3" w:rsidP="00361FA9">
      <w:pPr>
        <w:pStyle w:val="Notes"/>
      </w:pPr>
      <w:r>
        <w:t>(a)</w:t>
      </w:r>
      <w:r>
        <w:tab/>
        <w:t xml:space="preserve">Note 41 of the </w:t>
      </w:r>
      <w:r w:rsidRPr="006802CE">
        <w:rPr>
          <w:i w:val="0"/>
        </w:rPr>
        <w:t>2014-15</w:t>
      </w:r>
      <w:r>
        <w:rPr>
          <w:i w:val="0"/>
        </w:rPr>
        <w:t xml:space="preserve"> Financial Report</w:t>
      </w:r>
      <w:r>
        <w:t xml:space="preserve"> for the State of Victoria provides definitions and descriptions of government purpose classifications.</w:t>
      </w:r>
    </w:p>
    <w:p w:rsidR="002C39A3" w:rsidRPr="00F55591" w:rsidRDefault="002C39A3" w:rsidP="00361FA9">
      <w:pPr>
        <w:pStyle w:val="Notes"/>
      </w:pPr>
      <w:r>
        <w:t>(b)</w:t>
      </w:r>
      <w:r>
        <w:tab/>
        <w:t>Represents financial assets which are not able to be allocated by purpose. This mainly includes balances relating to the general government sector</w:t>
      </w:r>
      <w:r w:rsidR="0097550F">
        <w:t>’</w:t>
      </w:r>
      <w:r>
        <w:t>s investment in other sector entities.</w:t>
      </w:r>
    </w:p>
    <w:p w:rsidR="002C39A3" w:rsidRDefault="002C39A3" w:rsidP="00361FA9"/>
    <w:p w:rsidR="002C39A3" w:rsidRDefault="002C39A3" w:rsidP="00361FA9"/>
    <w:p w:rsidR="002C39A3" w:rsidRDefault="002C39A3" w:rsidP="00361FA9">
      <w:pPr>
        <w:pStyle w:val="Heading2Notes"/>
      </w:pPr>
      <w:bookmarkStart w:id="26" w:name="_Toc448928316"/>
      <w:r>
        <w:t>Note 21:</w:t>
      </w:r>
      <w:r>
        <w:tab/>
        <w:t>Payables</w:t>
      </w:r>
      <w:bookmarkEnd w:id="26"/>
    </w:p>
    <w:p w:rsidR="002C39A3" w:rsidRPr="00114E35" w:rsidRDefault="002C39A3" w:rsidP="00361FA9">
      <w:pPr>
        <w:pStyle w:val="million"/>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2C39A3" w:rsidRPr="00114E35" w:rsidTr="00361FA9">
        <w:trPr>
          <w:trHeight w:val="464"/>
          <w:tblHeader/>
        </w:trPr>
        <w:tc>
          <w:tcPr>
            <w:tcW w:w="3515"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2016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revised</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2017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2018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2019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2020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r>
      <w:tr w:rsidR="002C39A3" w:rsidRPr="00114E35" w:rsidTr="00361FA9">
        <w:tc>
          <w:tcPr>
            <w:tcW w:w="7765" w:type="dxa"/>
            <w:gridSpan w:val="6"/>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Current payables</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Accounts payable and accrued expenses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2 827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2 784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2 709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2 652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2 634</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Accrued taxes payable</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46</w:t>
            </w:r>
          </w:p>
        </w:tc>
      </w:tr>
      <w:tr w:rsidR="002C39A3" w:rsidRPr="00114E35" w:rsidTr="00361FA9">
        <w:tc>
          <w:tcPr>
            <w:tcW w:w="351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Unearned income</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619</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619</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617</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609</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605</w:t>
            </w:r>
          </w:p>
        </w:tc>
      </w:tr>
      <w:tr w:rsidR="002C39A3" w:rsidRPr="00114E35" w:rsidTr="00361FA9">
        <w:tc>
          <w:tcPr>
            <w:tcW w:w="3515"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current payables</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3 489</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3 447</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3 371</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3 307</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3 285</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Non-current payables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 xml:space="preserve"> </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 xml:space="preserve"> </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 xml:space="preserve"> </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 xml:space="preserve"> </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 xml:space="preserve"> </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Accounts payable and accrued expenses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132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124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106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95</w:t>
            </w:r>
          </w:p>
        </w:tc>
      </w:tr>
      <w:tr w:rsidR="002C39A3" w:rsidRPr="00114E35" w:rsidTr="00361FA9">
        <w:tc>
          <w:tcPr>
            <w:tcW w:w="351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Unearned income</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1 646</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1 586</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1 525</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1 531</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1 340</w:t>
            </w:r>
          </w:p>
        </w:tc>
      </w:tr>
      <w:tr w:rsidR="002C39A3" w:rsidRPr="00114E35" w:rsidTr="00361FA9">
        <w:tc>
          <w:tcPr>
            <w:tcW w:w="3515"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non-current payables</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1 778</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1 710</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1 641</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1 637</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1 435</w:t>
            </w:r>
          </w:p>
        </w:tc>
      </w:tr>
      <w:tr w:rsidR="002C39A3" w:rsidRPr="00114E35" w:rsidTr="00361FA9">
        <w:tc>
          <w:tcPr>
            <w:tcW w:w="3515"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payables</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5 267</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5 157</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5 011</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4 943</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4 720</w:t>
            </w:r>
          </w:p>
        </w:tc>
      </w:tr>
    </w:tbl>
    <w:p w:rsidR="002C39A3" w:rsidRDefault="002C39A3" w:rsidP="00361FA9">
      <w:pPr>
        <w:pStyle w:val="Chartpara"/>
        <w:spacing w:after="120"/>
      </w:pPr>
    </w:p>
    <w:p w:rsidR="002C39A3" w:rsidRPr="007D07A6" w:rsidRDefault="002C39A3" w:rsidP="00361FA9"/>
    <w:p w:rsidR="002C39A3" w:rsidRDefault="002C39A3" w:rsidP="00361FA9">
      <w:pPr>
        <w:pStyle w:val="Heading2Notes"/>
      </w:pPr>
      <w:bookmarkStart w:id="27" w:name="_Toc448928317"/>
      <w:r>
        <w:t>Note 22:</w:t>
      </w:r>
      <w:r>
        <w:tab/>
        <w:t>Borrowings</w:t>
      </w:r>
      <w:bookmarkEnd w:id="27"/>
    </w:p>
    <w:p w:rsidR="002C39A3" w:rsidRPr="00114E35" w:rsidRDefault="002C39A3" w:rsidP="00361FA9">
      <w:pPr>
        <w:pStyle w:val="million"/>
        <w:rPr>
          <w:b/>
          <w:bCs/>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2C39A3" w:rsidRPr="00114E35" w:rsidTr="00361FA9">
        <w:trPr>
          <w:trHeight w:val="464"/>
          <w:tblHeader/>
        </w:trPr>
        <w:tc>
          <w:tcPr>
            <w:tcW w:w="3515" w:type="dxa"/>
            <w:tcBorders>
              <w:top w:val="nil"/>
              <w:left w:val="nil"/>
              <w:right w:val="nil"/>
            </w:tcBorders>
            <w:shd w:val="solid" w:color="000000" w:fill="auto"/>
            <w:vAlign w:val="bottom"/>
          </w:tcPr>
          <w:p w:rsidR="002C39A3" w:rsidRPr="00114E35" w:rsidRDefault="002C39A3" w:rsidP="00361FA9">
            <w:pPr>
              <w:pStyle w:val="Notes"/>
              <w:rPr>
                <w:rFonts w:eastAsiaTheme="minorEastAsia" w:cs="Calibri"/>
                <w:iCs/>
                <w:color w:val="FFFFFF"/>
                <w:sz w:val="19"/>
                <w:szCs w:val="19"/>
                <w:lang w:eastAsia="en-AU"/>
              </w:rPr>
            </w:pP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2016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revised</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2017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2018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2019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2020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r>
      <w:tr w:rsidR="002C39A3" w:rsidRPr="00114E35" w:rsidTr="00361FA9">
        <w:tc>
          <w:tcPr>
            <w:tcW w:w="7765" w:type="dxa"/>
            <w:gridSpan w:val="6"/>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 xml:space="preserve">Current borrowings </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Domestic borrowings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3 860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3 860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3 860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3 860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3 860</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Derivative financial instruments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w:t>
            </w:r>
          </w:p>
        </w:tc>
      </w:tr>
      <w:tr w:rsidR="002C39A3" w:rsidRPr="00114E35" w:rsidTr="00361FA9">
        <w:tc>
          <w:tcPr>
            <w:tcW w:w="351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114E35">
              <w:rPr>
                <w:rFonts w:ascii="Calibri" w:eastAsiaTheme="minorEastAsia" w:hAnsi="Calibri" w:cs="Calibri"/>
                <w:color w:val="000000"/>
                <w:sz w:val="19"/>
                <w:szCs w:val="19"/>
                <w:lang w:eastAsia="en-AU"/>
              </w:rPr>
              <w:t xml:space="preserve">Finance lease liabilities </w:t>
            </w:r>
            <w:r w:rsidRPr="00114E35">
              <w:rPr>
                <w:rFonts w:ascii="Calibri" w:eastAsiaTheme="minorEastAsia" w:hAnsi="Calibri" w:cs="Calibri"/>
                <w:color w:val="000000"/>
                <w:sz w:val="19"/>
                <w:szCs w:val="19"/>
                <w:vertAlign w:val="superscript"/>
                <w:lang w:eastAsia="en-AU"/>
              </w:rPr>
              <w:t>(a)</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118</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122</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134</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137</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134</w:t>
            </w:r>
          </w:p>
        </w:tc>
      </w:tr>
      <w:tr w:rsidR="002C39A3" w:rsidRPr="00114E35" w:rsidTr="00361FA9">
        <w:tc>
          <w:tcPr>
            <w:tcW w:w="3515"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current borrowings</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3 977</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3 982</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3 994</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3 996</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3 993</w:t>
            </w:r>
          </w:p>
        </w:tc>
      </w:tr>
      <w:tr w:rsidR="002C39A3" w:rsidRPr="00114E35" w:rsidTr="00361FA9">
        <w:tc>
          <w:tcPr>
            <w:tcW w:w="7765" w:type="dxa"/>
            <w:gridSpan w:val="6"/>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 xml:space="preserve">Non-current borrowings </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Domestic borrowings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21 484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17 678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19 543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20 895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21 010</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114E35">
              <w:rPr>
                <w:rFonts w:ascii="Calibri" w:eastAsiaTheme="minorEastAsia" w:hAnsi="Calibri" w:cs="Calibri"/>
                <w:color w:val="000000"/>
                <w:sz w:val="19"/>
                <w:szCs w:val="19"/>
                <w:lang w:eastAsia="en-AU"/>
              </w:rPr>
              <w:t xml:space="preserve">Finance lease liabilities </w:t>
            </w:r>
            <w:r w:rsidRPr="00114E35">
              <w:rPr>
                <w:rFonts w:ascii="Calibri" w:eastAsiaTheme="minorEastAsia" w:hAnsi="Calibri" w:cs="Calibri"/>
                <w:color w:val="000000"/>
                <w:sz w:val="19"/>
                <w:szCs w:val="19"/>
                <w:vertAlign w:val="superscript"/>
                <w:lang w:eastAsia="en-AU"/>
              </w:rPr>
              <w:t>(a)</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8 874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9 255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9 719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10 110</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10 245</w:t>
            </w:r>
          </w:p>
        </w:tc>
      </w:tr>
      <w:tr w:rsidR="002C39A3" w:rsidRPr="00114E35" w:rsidTr="00361FA9">
        <w:tc>
          <w:tcPr>
            <w:tcW w:w="351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Derivative financial instruments</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50</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50</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50</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50</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50</w:t>
            </w:r>
          </w:p>
        </w:tc>
      </w:tr>
      <w:tr w:rsidR="002C39A3" w:rsidRPr="00114E35" w:rsidTr="00361FA9">
        <w:tc>
          <w:tcPr>
            <w:tcW w:w="3515"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non-current borrowings</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30 408</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26 984</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29 312</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31 055</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31 305</w:t>
            </w:r>
          </w:p>
        </w:tc>
      </w:tr>
      <w:tr w:rsidR="002C39A3" w:rsidRPr="00114E35" w:rsidTr="00361FA9">
        <w:tc>
          <w:tcPr>
            <w:tcW w:w="3515"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borrowings</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34 386</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30 966</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33 306</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35 052</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35 299</w:t>
            </w:r>
          </w:p>
        </w:tc>
      </w:tr>
    </w:tbl>
    <w:p w:rsidR="002C39A3" w:rsidRDefault="002C39A3" w:rsidP="00361FA9">
      <w:pPr>
        <w:pStyle w:val="Notes"/>
      </w:pPr>
      <w:r>
        <w:t>Note:</w:t>
      </w:r>
    </w:p>
    <w:p w:rsidR="002C39A3" w:rsidRPr="000434B4" w:rsidRDefault="002C39A3" w:rsidP="00361FA9">
      <w:pPr>
        <w:pStyle w:val="Notes"/>
      </w:pPr>
      <w:r>
        <w:t>(a)</w:t>
      </w:r>
      <w:r>
        <w:tab/>
        <w:t xml:space="preserve">Further detailed disclosures on finance lease liabilities can be found in the </w:t>
      </w:r>
      <w:r w:rsidRPr="009330E9">
        <w:rPr>
          <w:i w:val="0"/>
        </w:rPr>
        <w:t>2014-15 Financial</w:t>
      </w:r>
      <w:r>
        <w:rPr>
          <w:i w:val="0"/>
        </w:rPr>
        <w:t xml:space="preserve"> Report</w:t>
      </w:r>
      <w:r>
        <w:t xml:space="preserve"> for the State of Victoria.</w:t>
      </w:r>
    </w:p>
    <w:p w:rsidR="002C39A3" w:rsidRDefault="002C39A3" w:rsidP="00361FA9"/>
    <w:p w:rsidR="002C39A3" w:rsidRPr="007D07A6" w:rsidRDefault="002C39A3" w:rsidP="00361FA9"/>
    <w:p w:rsidR="002C39A3" w:rsidRDefault="002C39A3" w:rsidP="00361FA9">
      <w:pPr>
        <w:pStyle w:val="Heading2Notes"/>
      </w:pPr>
      <w:bookmarkStart w:id="28" w:name="_Toc448928318"/>
      <w:r>
        <w:t>Note 23:</w:t>
      </w:r>
      <w:r>
        <w:tab/>
        <w:t>Employee benefits</w:t>
      </w:r>
      <w:bookmarkEnd w:id="28"/>
    </w:p>
    <w:p w:rsidR="002C39A3" w:rsidRPr="00114E35" w:rsidRDefault="002C39A3" w:rsidP="00361FA9">
      <w:pPr>
        <w:pStyle w:val="million"/>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2C39A3" w:rsidRPr="00114E35" w:rsidTr="00361FA9">
        <w:trPr>
          <w:trHeight w:val="464"/>
          <w:tblHeader/>
        </w:trPr>
        <w:tc>
          <w:tcPr>
            <w:tcW w:w="3515"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2016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revised</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2017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2018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2019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2020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r>
      <w:tr w:rsidR="002C39A3" w:rsidRPr="00114E35" w:rsidTr="00361FA9">
        <w:tc>
          <w:tcPr>
            <w:tcW w:w="7765" w:type="dxa"/>
            <w:gridSpan w:val="6"/>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Current</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114E35">
              <w:rPr>
                <w:rFonts w:ascii="Calibri" w:eastAsiaTheme="minorEastAsia" w:hAnsi="Calibri" w:cs="Calibri"/>
                <w:color w:val="000000"/>
                <w:sz w:val="19"/>
                <w:szCs w:val="19"/>
                <w:lang w:eastAsia="en-AU"/>
              </w:rPr>
              <w:t xml:space="preserve">Accrued salaries and wages </w:t>
            </w:r>
            <w:r w:rsidRPr="00114E35">
              <w:rPr>
                <w:rFonts w:ascii="Calibri" w:eastAsiaTheme="minorEastAsia" w:hAnsi="Calibri" w:cs="Calibri"/>
                <w:color w:val="000000"/>
                <w:sz w:val="19"/>
                <w:szCs w:val="19"/>
                <w:vertAlign w:val="superscript"/>
                <w:lang w:eastAsia="en-AU"/>
              </w:rPr>
              <w:t>(a)(b)</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1 672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1 767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1 811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1 864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1 900</w:t>
            </w:r>
          </w:p>
        </w:tc>
      </w:tr>
      <w:tr w:rsidR="002C39A3" w:rsidRPr="00114E35" w:rsidTr="00361FA9">
        <w:tc>
          <w:tcPr>
            <w:tcW w:w="351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114E35">
              <w:rPr>
                <w:rFonts w:ascii="Calibri" w:eastAsiaTheme="minorEastAsia" w:hAnsi="Calibri" w:cs="Calibri"/>
                <w:color w:val="000000"/>
                <w:sz w:val="19"/>
                <w:szCs w:val="19"/>
                <w:lang w:eastAsia="en-AU"/>
              </w:rPr>
              <w:t xml:space="preserve">Long service leave </w:t>
            </w:r>
            <w:r w:rsidRPr="00114E35">
              <w:rPr>
                <w:rFonts w:ascii="Calibri" w:eastAsiaTheme="minorEastAsia" w:hAnsi="Calibri" w:cs="Calibri"/>
                <w:color w:val="000000"/>
                <w:sz w:val="19"/>
                <w:szCs w:val="19"/>
                <w:vertAlign w:val="superscript"/>
                <w:lang w:eastAsia="en-AU"/>
              </w:rPr>
              <w:t>(b)</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3 399</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3 614</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3 731</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3 862</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3 957</w:t>
            </w:r>
          </w:p>
        </w:tc>
      </w:tr>
      <w:tr w:rsidR="002C39A3" w:rsidRPr="00114E35" w:rsidTr="00361FA9">
        <w:tc>
          <w:tcPr>
            <w:tcW w:w="3515"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current employee benefits</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5 071</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5 381</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5 542</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5 725</w:t>
            </w:r>
          </w:p>
        </w:tc>
        <w:tc>
          <w:tcPr>
            <w:tcW w:w="850" w:type="dxa"/>
            <w:tcBorders>
              <w:top w:val="single" w:sz="6" w:space="0" w:color="000000"/>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5 856</w:t>
            </w:r>
          </w:p>
        </w:tc>
      </w:tr>
      <w:tr w:rsidR="002C39A3" w:rsidRPr="00114E35" w:rsidTr="00361FA9">
        <w:tc>
          <w:tcPr>
            <w:tcW w:w="7765" w:type="dxa"/>
            <w:gridSpan w:val="6"/>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Non-current</w:t>
            </w:r>
          </w:p>
        </w:tc>
      </w:tr>
      <w:tr w:rsidR="002C39A3" w:rsidRPr="00114E35" w:rsidTr="00361FA9">
        <w:tc>
          <w:tcPr>
            <w:tcW w:w="351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Long service leave</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789</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876</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944</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1 015</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1 082</w:t>
            </w:r>
          </w:p>
        </w:tc>
      </w:tr>
      <w:tr w:rsidR="002C39A3" w:rsidRPr="00114E35" w:rsidTr="00361FA9">
        <w:tc>
          <w:tcPr>
            <w:tcW w:w="3515"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non-current employee benefits</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789</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876</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944</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1 015</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1 082</w:t>
            </w:r>
          </w:p>
        </w:tc>
      </w:tr>
      <w:tr w:rsidR="002C39A3" w:rsidRPr="00114E35" w:rsidTr="00361FA9">
        <w:tc>
          <w:tcPr>
            <w:tcW w:w="3515"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employee benefits</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5 860</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6 257</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6 486</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6 740</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6 938</w:t>
            </w:r>
          </w:p>
        </w:tc>
      </w:tr>
    </w:tbl>
    <w:p w:rsidR="002C39A3" w:rsidRDefault="002C39A3" w:rsidP="00361FA9">
      <w:pPr>
        <w:pStyle w:val="Notes"/>
      </w:pPr>
      <w:r>
        <w:t>Notes:</w:t>
      </w:r>
    </w:p>
    <w:p w:rsidR="002C39A3" w:rsidRDefault="002C39A3" w:rsidP="00361FA9">
      <w:pPr>
        <w:pStyle w:val="Notes"/>
      </w:pPr>
      <w:r>
        <w:t>(a)</w:t>
      </w:r>
      <w:r>
        <w:tab/>
        <w:t>Includes accrued annual leave and other similar on-costs.</w:t>
      </w:r>
    </w:p>
    <w:p w:rsidR="002C39A3" w:rsidRPr="00C10856" w:rsidRDefault="002C39A3" w:rsidP="00361FA9">
      <w:pPr>
        <w:pStyle w:val="Notes"/>
      </w:pPr>
      <w:r>
        <w:t>(b)</w:t>
      </w:r>
      <w:r>
        <w:tab/>
        <w:t xml:space="preserve">While employee related on-costs were allocated against accrued salaries and wages in the </w:t>
      </w:r>
      <w:r>
        <w:rPr>
          <w:i w:val="0"/>
        </w:rPr>
        <w:t>2015-16 Budget Update</w:t>
      </w:r>
      <w:r>
        <w:t xml:space="preserve">, for the </w:t>
      </w:r>
      <w:r>
        <w:rPr>
          <w:i w:val="0"/>
        </w:rPr>
        <w:t>2015-16 Budget</w:t>
      </w:r>
      <w:r>
        <w:t xml:space="preserve"> and the </w:t>
      </w:r>
      <w:r>
        <w:rPr>
          <w:i w:val="0"/>
        </w:rPr>
        <w:t>2016-17 Budget</w:t>
      </w:r>
      <w:r>
        <w:t>, more detailed data has been available for on-costs to be allocated between accrued salaries and wages and long service leave so that such on costs are better attributed to the respective components of the employee benefit provision.</w:t>
      </w:r>
    </w:p>
    <w:p w:rsidR="002C39A3" w:rsidRDefault="002C39A3" w:rsidP="00361FA9"/>
    <w:p w:rsidR="002C39A3" w:rsidRDefault="002C39A3">
      <w:pPr>
        <w:spacing w:after="0"/>
        <w:rPr>
          <w:rFonts w:ascii="Calibri" w:hAnsi="Calibri"/>
          <w:b/>
          <w:kern w:val="28"/>
          <w:sz w:val="26"/>
          <w:szCs w:val="22"/>
        </w:rPr>
      </w:pPr>
      <w:r>
        <w:br w:type="page"/>
      </w:r>
    </w:p>
    <w:p w:rsidR="002C39A3" w:rsidRDefault="002C39A3" w:rsidP="00361FA9">
      <w:pPr>
        <w:pStyle w:val="Heading2Notes"/>
      </w:pPr>
      <w:bookmarkStart w:id="29" w:name="_Toc448928319"/>
      <w:r>
        <w:t>Note 24:</w:t>
      </w:r>
      <w:r>
        <w:tab/>
        <w:t>Reserves</w:t>
      </w:r>
      <w:bookmarkEnd w:id="29"/>
    </w:p>
    <w:p w:rsidR="002C39A3" w:rsidRPr="00114E35" w:rsidRDefault="002C39A3" w:rsidP="00361FA9">
      <w:pPr>
        <w:pStyle w:val="million"/>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2C39A3" w:rsidRPr="00114E35" w:rsidTr="00361FA9">
        <w:trPr>
          <w:trHeight w:val="464"/>
          <w:tblHeader/>
        </w:trPr>
        <w:tc>
          <w:tcPr>
            <w:tcW w:w="3515"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2016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revised</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2017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2018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2019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2020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Land, buildings, infrastructure, plant and equipment revaluation surplus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43 826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43 935</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51 036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52 689</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60 135</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Available-for-sale investments revaluation surplus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46</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47</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50</w:t>
            </w:r>
          </w:p>
        </w:tc>
      </w:tr>
      <w:tr w:rsidR="002C39A3" w:rsidRPr="00114E35" w:rsidTr="00361FA9">
        <w:tc>
          <w:tcPr>
            <w:tcW w:w="351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 xml:space="preserve">Revaluation surplus for investments in </w:t>
            </w:r>
            <w:r>
              <w:rPr>
                <w:rFonts w:ascii="Calibri" w:eastAsiaTheme="minorEastAsia" w:hAnsi="Calibri" w:cs="Calibri"/>
                <w:color w:val="000000"/>
                <w:sz w:val="19"/>
                <w:szCs w:val="19"/>
                <w:lang w:eastAsia="en-AU"/>
              </w:rPr>
              <w:br/>
            </w:r>
            <w:r w:rsidRPr="00114E35">
              <w:rPr>
                <w:rFonts w:ascii="Calibri" w:eastAsiaTheme="minorEastAsia" w:hAnsi="Calibri" w:cs="Calibri"/>
                <w:color w:val="000000"/>
                <w:sz w:val="19"/>
                <w:szCs w:val="19"/>
                <w:lang w:eastAsia="en-AU"/>
              </w:rPr>
              <w:t>PFC and PNFC entities</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47 884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50 591</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50 473</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51 338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51 253</w:t>
            </w:r>
          </w:p>
        </w:tc>
      </w:tr>
      <w:tr w:rsidR="002C39A3" w:rsidRPr="00114E35" w:rsidTr="00361FA9">
        <w:tc>
          <w:tcPr>
            <w:tcW w:w="351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Other reserves</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647</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648</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651</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654</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656</w:t>
            </w:r>
          </w:p>
        </w:tc>
      </w:tr>
      <w:tr w:rsidR="002C39A3" w:rsidRPr="00114E35" w:rsidTr="00361FA9">
        <w:tc>
          <w:tcPr>
            <w:tcW w:w="3515"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Total reserves</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92 402</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95 220</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102 207</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104 729</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112 094</w:t>
            </w:r>
          </w:p>
        </w:tc>
      </w:tr>
    </w:tbl>
    <w:p w:rsidR="002C39A3" w:rsidRDefault="002C39A3" w:rsidP="00361FA9"/>
    <w:p w:rsidR="002C39A3" w:rsidRPr="007D07A6" w:rsidRDefault="002C39A3" w:rsidP="00361FA9"/>
    <w:p w:rsidR="002C39A3" w:rsidRDefault="002C39A3" w:rsidP="00361FA9">
      <w:pPr>
        <w:pStyle w:val="Heading2Notes"/>
      </w:pPr>
      <w:bookmarkStart w:id="30" w:name="_Toc448928320"/>
      <w:r>
        <w:t>Note 25:</w:t>
      </w:r>
      <w:r>
        <w:tab/>
        <w:t>Reconciliations to Government Finance Statistics – derivation of GFS cash surplus/(deficit)</w:t>
      </w:r>
      <w:bookmarkEnd w:id="30"/>
    </w:p>
    <w:p w:rsidR="002C39A3" w:rsidRPr="00114E35" w:rsidRDefault="002C39A3" w:rsidP="00361FA9">
      <w:pPr>
        <w:pStyle w:val="million"/>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2C39A3" w:rsidRPr="00114E35" w:rsidTr="00361FA9">
        <w:trPr>
          <w:trHeight w:val="464"/>
          <w:tblHeader/>
        </w:trPr>
        <w:tc>
          <w:tcPr>
            <w:tcW w:w="4365"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2016-17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2017-18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2018-19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2019-20 </w:t>
            </w:r>
          </w:p>
          <w:p w:rsidR="002C39A3" w:rsidRPr="00114E35"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14E35">
              <w:rPr>
                <w:rFonts w:ascii="Calibri" w:eastAsiaTheme="minorEastAsia" w:hAnsi="Calibri" w:cs="Calibri"/>
                <w:i/>
                <w:iCs/>
                <w:color w:val="FFFFFF"/>
                <w:sz w:val="19"/>
                <w:szCs w:val="19"/>
                <w:lang w:eastAsia="en-AU"/>
              </w:rPr>
              <w:t xml:space="preserve"> estimate</w:t>
            </w:r>
          </w:p>
        </w:tc>
      </w:tr>
      <w:tr w:rsidR="002C39A3" w:rsidRPr="00114E35" w:rsidTr="00361FA9">
        <w:tc>
          <w:tcPr>
            <w:tcW w:w="4365" w:type="dxa"/>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Cash surplus/(deficit)</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(1 518)</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(1 974)</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(1 582)</w:t>
            </w:r>
          </w:p>
        </w:tc>
        <w:tc>
          <w:tcPr>
            <w:tcW w:w="850" w:type="dxa"/>
            <w:tcBorders>
              <w:top w:val="nil"/>
              <w:left w:val="nil"/>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(71)</w:t>
            </w:r>
          </w:p>
        </w:tc>
      </w:tr>
      <w:tr w:rsidR="002C39A3" w:rsidRPr="00114E35" w:rsidTr="00361FA9">
        <w:tc>
          <w:tcPr>
            <w:tcW w:w="7765" w:type="dxa"/>
            <w:gridSpan w:val="5"/>
            <w:tcBorders>
              <w:top w:val="nil"/>
              <w:left w:val="nil"/>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Convergence differences:</w:t>
            </w:r>
          </w:p>
        </w:tc>
      </w:tr>
      <w:tr w:rsidR="002C39A3" w:rsidRPr="00114E35" w:rsidTr="00361FA9">
        <w:tc>
          <w:tcPr>
            <w:tcW w:w="4365"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114E35">
              <w:rPr>
                <w:rFonts w:ascii="Calibri" w:eastAsiaTheme="minorEastAsia" w:hAnsi="Calibri" w:cs="Calibri"/>
                <w:color w:val="000000"/>
                <w:sz w:val="19"/>
                <w:szCs w:val="19"/>
                <w:lang w:eastAsia="en-AU"/>
              </w:rPr>
              <w:t>Less: Acquisitions u</w:t>
            </w:r>
            <w:r>
              <w:rPr>
                <w:rFonts w:ascii="Calibri" w:eastAsiaTheme="minorEastAsia" w:hAnsi="Calibri" w:cs="Calibri"/>
                <w:color w:val="000000"/>
                <w:sz w:val="19"/>
                <w:szCs w:val="19"/>
                <w:lang w:eastAsia="en-AU"/>
              </w:rPr>
              <w:t>nder finance leases and similar </w:t>
            </w:r>
            <w:r w:rsidRPr="00114E35">
              <w:rPr>
                <w:rFonts w:ascii="Calibri" w:eastAsiaTheme="minorEastAsia" w:hAnsi="Calibri" w:cs="Calibri"/>
                <w:color w:val="000000"/>
                <w:sz w:val="19"/>
                <w:szCs w:val="19"/>
                <w:lang w:eastAsia="en-AU"/>
              </w:rPr>
              <w:t xml:space="preserve">arrangements </w:t>
            </w:r>
            <w:r w:rsidRPr="00114E35">
              <w:rPr>
                <w:rFonts w:ascii="Calibri" w:eastAsiaTheme="minorEastAsia" w:hAnsi="Calibri" w:cs="Calibri"/>
                <w:color w:val="000000"/>
                <w:sz w:val="19"/>
                <w:szCs w:val="19"/>
                <w:vertAlign w:val="superscript"/>
                <w:lang w:eastAsia="en-AU"/>
              </w:rPr>
              <w:t>(a)</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(517)</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(647)</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(596)</w:t>
            </w:r>
          </w:p>
        </w:tc>
        <w:tc>
          <w:tcPr>
            <w:tcW w:w="850" w:type="dxa"/>
            <w:tcBorders>
              <w:top w:val="nil"/>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(349)</w:t>
            </w:r>
          </w:p>
        </w:tc>
      </w:tr>
      <w:tr w:rsidR="002C39A3" w:rsidRPr="00114E35" w:rsidTr="00361FA9">
        <w:tc>
          <w:tcPr>
            <w:tcW w:w="4365"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 xml:space="preserve">Total convergence differences </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(517)</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(647)</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(596)</w:t>
            </w:r>
          </w:p>
        </w:tc>
        <w:tc>
          <w:tcPr>
            <w:tcW w:w="850" w:type="dxa"/>
            <w:tcBorders>
              <w:top w:val="single" w:sz="6" w:space="0" w:color="000000"/>
              <w:left w:val="nil"/>
              <w:bottom w:val="single" w:sz="6" w:space="0" w:color="000000"/>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14E35">
              <w:rPr>
                <w:rFonts w:ascii="Calibri" w:eastAsiaTheme="minorEastAsia" w:hAnsi="Calibri" w:cs="Calibri"/>
                <w:color w:val="000000"/>
                <w:sz w:val="19"/>
                <w:szCs w:val="19"/>
                <w:lang w:eastAsia="en-AU"/>
              </w:rPr>
              <w:t>(349)</w:t>
            </w:r>
          </w:p>
        </w:tc>
      </w:tr>
      <w:tr w:rsidR="002C39A3" w:rsidRPr="00114E35" w:rsidTr="00361FA9">
        <w:tc>
          <w:tcPr>
            <w:tcW w:w="4365"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ind w:left="227" w:hanging="227"/>
              <w:rPr>
                <w:rFonts w:ascii="Calibri" w:eastAsiaTheme="minorEastAsia" w:hAnsi="Calibri" w:cs="Calibri"/>
                <w:b/>
                <w:bCs/>
                <w:color w:val="000000"/>
                <w:sz w:val="19"/>
                <w:szCs w:val="19"/>
                <w:vertAlign w:val="superscript"/>
                <w:lang w:eastAsia="en-AU"/>
              </w:rPr>
            </w:pPr>
            <w:r w:rsidRPr="00114E35">
              <w:rPr>
                <w:rFonts w:ascii="Calibri" w:eastAsiaTheme="minorEastAsia" w:hAnsi="Calibri" w:cs="Calibri"/>
                <w:b/>
                <w:bCs/>
                <w:color w:val="000000"/>
                <w:sz w:val="19"/>
                <w:szCs w:val="19"/>
                <w:lang w:eastAsia="en-AU"/>
              </w:rPr>
              <w:t xml:space="preserve">GFS cash surplus/(deficit) </w:t>
            </w:r>
            <w:r w:rsidRPr="00114E35">
              <w:rPr>
                <w:rFonts w:ascii="Calibri" w:eastAsiaTheme="minorEastAsia" w:hAnsi="Calibri" w:cs="Calibri"/>
                <w:b/>
                <w:bCs/>
                <w:color w:val="000000"/>
                <w:sz w:val="19"/>
                <w:szCs w:val="19"/>
                <w:vertAlign w:val="superscript"/>
                <w:lang w:eastAsia="en-AU"/>
              </w:rPr>
              <w:t>(b)</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(2 035)</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(2 621)</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(2 178)</w:t>
            </w:r>
          </w:p>
        </w:tc>
        <w:tc>
          <w:tcPr>
            <w:tcW w:w="850" w:type="dxa"/>
            <w:tcBorders>
              <w:top w:val="single" w:sz="6" w:space="0" w:color="000000"/>
              <w:left w:val="nil"/>
              <w:bottom w:val="single" w:sz="12" w:space="0" w:color="auto"/>
              <w:right w:val="nil"/>
            </w:tcBorders>
            <w:shd w:val="clear" w:color="auto" w:fill="FFFFFF"/>
          </w:tcPr>
          <w:p w:rsidR="002C39A3" w:rsidRPr="00114E3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14E35">
              <w:rPr>
                <w:rFonts w:ascii="Calibri" w:eastAsiaTheme="minorEastAsia" w:hAnsi="Calibri" w:cs="Calibri"/>
                <w:b/>
                <w:bCs/>
                <w:color w:val="000000"/>
                <w:sz w:val="19"/>
                <w:szCs w:val="19"/>
                <w:lang w:eastAsia="en-AU"/>
              </w:rPr>
              <w:t>(420)</w:t>
            </w:r>
          </w:p>
        </w:tc>
      </w:tr>
    </w:tbl>
    <w:p w:rsidR="002C39A3" w:rsidRPr="00140089" w:rsidRDefault="002C39A3" w:rsidP="00361FA9">
      <w:pPr>
        <w:pStyle w:val="Notes"/>
      </w:pPr>
      <w:r w:rsidRPr="00140089">
        <w:t>Notes:</w:t>
      </w:r>
    </w:p>
    <w:p w:rsidR="002C39A3" w:rsidRPr="00140089" w:rsidRDefault="002C39A3" w:rsidP="00361FA9">
      <w:pPr>
        <w:pStyle w:val="Notes"/>
      </w:pPr>
      <w:r w:rsidRPr="00140089">
        <w:t>(a)</w:t>
      </w:r>
      <w:r w:rsidRPr="00140089">
        <w:tab/>
        <w:t>The finance lease acquisition in 2016-17 relates to the new Bendigo Hospital project, the New Schools PPP project and the metropolitan Melbourne bus</w:t>
      </w:r>
      <w:r>
        <w:t>es</w:t>
      </w:r>
      <w:r w:rsidRPr="00140089">
        <w:t xml:space="preserve"> contract. The 2017-18 estimate relates to the Ravenhall Prison project, the new Bendigo Hos</w:t>
      </w:r>
      <w:r>
        <w:t>pital project</w:t>
      </w:r>
      <w:r w:rsidRPr="00140089">
        <w:t xml:space="preserve"> and the New Schools PPP project.</w:t>
      </w:r>
      <w:r>
        <w:t xml:space="preserve"> The 2018-19 and 2019-20 estimates relate to the High Capacity Metro Trains Project. </w:t>
      </w:r>
    </w:p>
    <w:p w:rsidR="002C39A3" w:rsidRPr="00140089" w:rsidRDefault="002C39A3" w:rsidP="00361FA9">
      <w:pPr>
        <w:pStyle w:val="Notes"/>
      </w:pPr>
      <w:r w:rsidRPr="00140089">
        <w:t>(b)</w:t>
      </w:r>
      <w:r w:rsidRPr="00140089">
        <w:tab/>
        <w:t>Determined in accordance with the ABS GFS manual.</w:t>
      </w:r>
    </w:p>
    <w:p w:rsidR="002C39A3" w:rsidRDefault="002C39A3" w:rsidP="00361FA9">
      <w:pPr>
        <w:jc w:val="both"/>
      </w:pPr>
    </w:p>
    <w:p w:rsidR="002C39A3" w:rsidRDefault="002C39A3" w:rsidP="00361FA9"/>
    <w:p w:rsidR="002C39A3" w:rsidRDefault="002C39A3" w:rsidP="00361FA9">
      <w:pPr>
        <w:pStyle w:val="Heading2Notes"/>
      </w:pPr>
      <w:bookmarkStart w:id="31" w:name="_Toc448928321"/>
      <w:r>
        <w:t>Note 26:</w:t>
      </w:r>
      <w:r>
        <w:tab/>
        <w:t>Financial instruments</w:t>
      </w:r>
      <w:bookmarkEnd w:id="31"/>
    </w:p>
    <w:p w:rsidR="002C39A3" w:rsidRDefault="002C39A3" w:rsidP="00361FA9">
      <w:r>
        <w:t xml:space="preserve">Note 33 in Chapter 4 of the </w:t>
      </w:r>
      <w:r>
        <w:rPr>
          <w:i/>
        </w:rPr>
        <w:t>2014-15 Financial Report</w:t>
      </w:r>
      <w:r>
        <w:t xml:space="preserve"> for the State of Victoria contains comprehensive disclosures of the State</w:t>
      </w:r>
      <w:r w:rsidR="0097550F">
        <w:t>’</w:t>
      </w:r>
      <w:r>
        <w:t>s (including the general government sector</w:t>
      </w:r>
      <w:r w:rsidR="0097550F">
        <w:t>’</w:t>
      </w:r>
      <w:r>
        <w:t>s) financial instruments, including financial risk management objectives and policies.</w:t>
      </w:r>
    </w:p>
    <w:p w:rsidR="002C39A3" w:rsidRPr="00864F37" w:rsidRDefault="002C39A3" w:rsidP="00361FA9">
      <w:r>
        <w:t xml:space="preserve">There has been no substantive change to the accounting classification of financial assets and liabilities for the general government sector as reported in the </w:t>
      </w:r>
      <w:r>
        <w:rPr>
          <w:i/>
        </w:rPr>
        <w:t>2014-15 Financial Report</w:t>
      </w:r>
      <w:r>
        <w:t xml:space="preserve"> for the State of Victoria.</w:t>
      </w:r>
    </w:p>
    <w:p w:rsidR="002C39A3" w:rsidRDefault="002C39A3" w:rsidP="00361FA9"/>
    <w:p w:rsidR="002C39A3" w:rsidRDefault="002C39A3" w:rsidP="00361FA9">
      <w:pPr>
        <w:pStyle w:val="Heading2Notes"/>
      </w:pPr>
      <w:bookmarkStart w:id="32" w:name="_Toc448928322"/>
      <w:r>
        <w:t>Note 27:</w:t>
      </w:r>
      <w:r>
        <w:tab/>
        <w:t>Controlled entities</w:t>
      </w:r>
      <w:bookmarkEnd w:id="32"/>
    </w:p>
    <w:p w:rsidR="002C39A3" w:rsidRDefault="002C39A3" w:rsidP="00361FA9">
      <w:pPr>
        <w:spacing w:after="60"/>
      </w:pPr>
      <w:r>
        <w:t xml:space="preserve">Note 42 </w:t>
      </w:r>
      <w:r>
        <w:rPr>
          <w:i/>
        </w:rPr>
        <w:t xml:space="preserve">Controlled entities </w:t>
      </w:r>
      <w:r>
        <w:t xml:space="preserve">within the </w:t>
      </w:r>
      <w:r>
        <w:rPr>
          <w:i/>
        </w:rPr>
        <w:t>2014-15 Financial Report</w:t>
      </w:r>
      <w:r>
        <w:t xml:space="preserve"> for the State of Victoria contains a list of significant controlled entities which have been consolidated for the purposes of the financial report.</w:t>
      </w:r>
    </w:p>
    <w:p w:rsidR="002C39A3" w:rsidRDefault="002C39A3" w:rsidP="00361FA9">
      <w:pPr>
        <w:spacing w:after="60"/>
      </w:pPr>
      <w:r>
        <w:t xml:space="preserve">The principal activities of the controlled entities reflect the three sectors of government they are within as set out in Note 1(D) Basis of Consolidation. Further, Note 41 </w:t>
      </w:r>
      <w:r>
        <w:rPr>
          <w:i/>
        </w:rPr>
        <w:t xml:space="preserve">Government Purpose Classification </w:t>
      </w:r>
      <w:r>
        <w:t xml:space="preserve"> in the </w:t>
      </w:r>
      <w:r>
        <w:rPr>
          <w:i/>
        </w:rPr>
        <w:t>2014-15 Financial Report</w:t>
      </w:r>
      <w:r>
        <w:t xml:space="preserve"> for the State of Victoria reflects the broad objectives of these controlled entities.</w:t>
      </w:r>
    </w:p>
    <w:p w:rsidR="002C39A3" w:rsidRDefault="002C39A3" w:rsidP="00361FA9">
      <w:pPr>
        <w:spacing w:after="60"/>
      </w:pPr>
      <w:r>
        <w:t>The following is a list of general government sector entities and entities included as investments by the general government sector that have changed since 1 July 2015 or are expected to change for the budget year 2016-17. Unless otherwise noted below, all such entities are wholly owned.</w:t>
      </w:r>
    </w:p>
    <w:p w:rsidR="002C39A3" w:rsidRDefault="002C39A3" w:rsidP="00361FA9">
      <w:pPr>
        <w:pStyle w:val="ControlledEntitiesHeading1"/>
        <w:rPr>
          <w:b/>
        </w:rPr>
      </w:pPr>
      <w:r>
        <w:t>General government</w:t>
      </w:r>
    </w:p>
    <w:p w:rsidR="002C39A3" w:rsidRDefault="002C39A3" w:rsidP="00361FA9">
      <w:pPr>
        <w:pStyle w:val="Smallline"/>
        <w:rPr>
          <w:vertAlign w:val="superscript"/>
        </w:rPr>
        <w:sectPr w:rsidR="002C39A3" w:rsidSect="00890415">
          <w:footerReference w:type="even" r:id="rId20"/>
          <w:footerReference w:type="default" r:id="rId21"/>
          <w:type w:val="oddPage"/>
          <w:pgSz w:w="9979" w:h="14181" w:code="138"/>
          <w:pgMar w:top="1138" w:right="979" w:bottom="1138" w:left="1138" w:header="720" w:footer="432" w:gutter="0"/>
          <w:pgNumType w:start="1"/>
          <w:cols w:space="708"/>
          <w:docGrid w:linePitch="360"/>
        </w:sectPr>
      </w:pPr>
    </w:p>
    <w:p w:rsidR="002C39A3" w:rsidRPr="00E325BD" w:rsidRDefault="002C39A3" w:rsidP="00361FA9">
      <w:pPr>
        <w:pStyle w:val="Smallline"/>
        <w:rPr>
          <w:vertAlign w:val="superscript"/>
        </w:rPr>
      </w:pPr>
    </w:p>
    <w:p w:rsidR="002C39A3" w:rsidRPr="00697ACE" w:rsidRDefault="002C39A3" w:rsidP="00361FA9">
      <w:pPr>
        <w:pStyle w:val="ControlledEntitiesHeading2"/>
        <w:rPr>
          <w:sz w:val="16"/>
          <w:szCs w:val="16"/>
        </w:rPr>
      </w:pPr>
      <w:r w:rsidRPr="00697ACE">
        <w:rPr>
          <w:sz w:val="16"/>
          <w:szCs w:val="16"/>
        </w:rPr>
        <w:t>Department of Health and Human Services</w:t>
      </w:r>
    </w:p>
    <w:p w:rsidR="002C39A3" w:rsidRPr="00697ACE" w:rsidRDefault="002C39A3" w:rsidP="00361FA9">
      <w:pPr>
        <w:pStyle w:val="ControlledEntitiesDash"/>
        <w:numPr>
          <w:ilvl w:val="0"/>
          <w:numId w:val="0"/>
        </w:numPr>
        <w:ind w:left="216" w:hanging="216"/>
        <w:rPr>
          <w:sz w:val="16"/>
          <w:szCs w:val="16"/>
        </w:rPr>
      </w:pPr>
      <w:r w:rsidRPr="00697ACE">
        <w:rPr>
          <w:sz w:val="16"/>
          <w:szCs w:val="16"/>
        </w:rPr>
        <w:t xml:space="preserve">Alexandra District Health </w:t>
      </w:r>
      <w:r w:rsidRPr="00697ACE">
        <w:rPr>
          <w:sz w:val="16"/>
          <w:szCs w:val="16"/>
          <w:vertAlign w:val="superscript"/>
        </w:rPr>
        <w:t>(a)</w:t>
      </w:r>
    </w:p>
    <w:p w:rsidR="002C39A3" w:rsidRPr="00697ACE" w:rsidRDefault="002C39A3" w:rsidP="00361FA9">
      <w:pPr>
        <w:pStyle w:val="ControlledEntitiesHeading2"/>
        <w:rPr>
          <w:sz w:val="16"/>
          <w:szCs w:val="16"/>
        </w:rPr>
      </w:pPr>
      <w:r w:rsidRPr="00697ACE">
        <w:rPr>
          <w:sz w:val="16"/>
          <w:szCs w:val="16"/>
        </w:rPr>
        <w:t>Department of Premier and Cabinet</w:t>
      </w:r>
      <w:r>
        <w:rPr>
          <w:sz w:val="16"/>
          <w:szCs w:val="16"/>
        </w:rPr>
        <w:t xml:space="preserve"> </w:t>
      </w:r>
      <w:r>
        <w:rPr>
          <w:sz w:val="16"/>
          <w:szCs w:val="16"/>
          <w:vertAlign w:val="superscript"/>
        </w:rPr>
        <w:t>(b</w:t>
      </w:r>
      <w:r w:rsidRPr="00CE1D28">
        <w:rPr>
          <w:sz w:val="16"/>
          <w:szCs w:val="16"/>
          <w:vertAlign w:val="superscript"/>
        </w:rPr>
        <w:t>)</w:t>
      </w:r>
    </w:p>
    <w:p w:rsidR="002C39A3" w:rsidRPr="00697ACE" w:rsidRDefault="002C39A3" w:rsidP="00361FA9">
      <w:pPr>
        <w:pStyle w:val="ControlledEntitiesText"/>
        <w:rPr>
          <w:sz w:val="16"/>
          <w:szCs w:val="16"/>
          <w:vertAlign w:val="superscript"/>
        </w:rPr>
      </w:pPr>
      <w:r w:rsidRPr="00697ACE">
        <w:rPr>
          <w:sz w:val="16"/>
          <w:szCs w:val="16"/>
        </w:rPr>
        <w:t xml:space="preserve">Infrastructure Victoria </w:t>
      </w:r>
      <w:r>
        <w:rPr>
          <w:sz w:val="16"/>
          <w:szCs w:val="16"/>
          <w:vertAlign w:val="superscript"/>
        </w:rPr>
        <w:t>(c</w:t>
      </w:r>
      <w:r w:rsidRPr="00697ACE">
        <w:rPr>
          <w:sz w:val="16"/>
          <w:szCs w:val="16"/>
          <w:vertAlign w:val="superscript"/>
        </w:rPr>
        <w:t>)</w:t>
      </w:r>
    </w:p>
    <w:p w:rsidR="002C39A3" w:rsidRDefault="002C39A3" w:rsidP="00361FA9">
      <w:pPr>
        <w:pStyle w:val="Smallline"/>
      </w:pPr>
    </w:p>
    <w:p w:rsidR="002C39A3" w:rsidRDefault="002C39A3" w:rsidP="00361FA9">
      <w:pPr>
        <w:pStyle w:val="Smallline"/>
      </w:pPr>
    </w:p>
    <w:p w:rsidR="002C39A3" w:rsidRDefault="002C39A3" w:rsidP="00361FA9">
      <w:pPr>
        <w:pStyle w:val="Smallline"/>
      </w:pPr>
      <w:r>
        <w:br w:type="column"/>
      </w:r>
    </w:p>
    <w:p w:rsidR="002C39A3" w:rsidRPr="00697ACE" w:rsidRDefault="002C39A3" w:rsidP="00361FA9">
      <w:pPr>
        <w:pStyle w:val="ControlledEntitiesHeading2"/>
        <w:rPr>
          <w:sz w:val="16"/>
          <w:szCs w:val="16"/>
        </w:rPr>
      </w:pPr>
      <w:r w:rsidRPr="00697ACE">
        <w:rPr>
          <w:sz w:val="16"/>
          <w:szCs w:val="16"/>
        </w:rPr>
        <w:t>Department of Economic Development, Jobs, Transport and Resources</w:t>
      </w:r>
    </w:p>
    <w:p w:rsidR="002C39A3" w:rsidRDefault="002C39A3" w:rsidP="00361FA9">
      <w:pPr>
        <w:pStyle w:val="ControlledEntitiesText"/>
        <w:rPr>
          <w:sz w:val="16"/>
          <w:szCs w:val="16"/>
        </w:rPr>
      </w:pPr>
      <w:r>
        <w:rPr>
          <w:sz w:val="16"/>
          <w:szCs w:val="16"/>
        </w:rPr>
        <w:t xml:space="preserve">Australian Synchrotron Holding Company </w:t>
      </w:r>
      <w:r w:rsidRPr="00610CBC">
        <w:rPr>
          <w:sz w:val="16"/>
          <w:szCs w:val="16"/>
          <w:vertAlign w:val="superscript"/>
        </w:rPr>
        <w:t>(d)</w:t>
      </w:r>
    </w:p>
    <w:p w:rsidR="002C39A3" w:rsidRDefault="002C39A3" w:rsidP="00361FA9">
      <w:pPr>
        <w:pStyle w:val="ControlledEntitiesText"/>
        <w:rPr>
          <w:sz w:val="16"/>
          <w:szCs w:val="16"/>
          <w:vertAlign w:val="superscript"/>
        </w:rPr>
      </w:pPr>
      <w:r w:rsidRPr="00697ACE">
        <w:rPr>
          <w:sz w:val="16"/>
          <w:szCs w:val="16"/>
        </w:rPr>
        <w:t xml:space="preserve">Linking Melbourne Authority </w:t>
      </w:r>
      <w:r w:rsidRPr="00697ACE">
        <w:rPr>
          <w:sz w:val="16"/>
          <w:szCs w:val="16"/>
          <w:vertAlign w:val="superscript"/>
        </w:rPr>
        <w:t>(</w:t>
      </w:r>
      <w:r>
        <w:rPr>
          <w:sz w:val="16"/>
          <w:szCs w:val="16"/>
          <w:vertAlign w:val="superscript"/>
        </w:rPr>
        <w:t>e</w:t>
      </w:r>
      <w:r w:rsidRPr="00697ACE">
        <w:rPr>
          <w:sz w:val="16"/>
          <w:szCs w:val="16"/>
          <w:vertAlign w:val="superscript"/>
        </w:rPr>
        <w:t>)</w:t>
      </w:r>
    </w:p>
    <w:p w:rsidR="002C39A3" w:rsidRPr="00697ACE" w:rsidRDefault="002C39A3" w:rsidP="00361FA9">
      <w:pPr>
        <w:pStyle w:val="ControlledEntitiesText"/>
        <w:rPr>
          <w:sz w:val="16"/>
          <w:szCs w:val="16"/>
          <w:vertAlign w:val="superscript"/>
        </w:rPr>
      </w:pPr>
      <w:r>
        <w:rPr>
          <w:sz w:val="16"/>
          <w:szCs w:val="16"/>
        </w:rPr>
        <w:t>Visit Victoria</w:t>
      </w:r>
      <w:r w:rsidRPr="00697ACE">
        <w:rPr>
          <w:sz w:val="16"/>
          <w:szCs w:val="16"/>
        </w:rPr>
        <w:t xml:space="preserve"> </w:t>
      </w:r>
      <w:r w:rsidRPr="00697ACE">
        <w:rPr>
          <w:sz w:val="16"/>
          <w:szCs w:val="16"/>
          <w:vertAlign w:val="superscript"/>
        </w:rPr>
        <w:t>(</w:t>
      </w:r>
      <w:r>
        <w:rPr>
          <w:sz w:val="16"/>
          <w:szCs w:val="16"/>
          <w:vertAlign w:val="superscript"/>
        </w:rPr>
        <w:t>f</w:t>
      </w:r>
      <w:r w:rsidRPr="00697ACE">
        <w:rPr>
          <w:sz w:val="16"/>
          <w:szCs w:val="16"/>
          <w:vertAlign w:val="superscript"/>
        </w:rPr>
        <w:t>)</w:t>
      </w:r>
    </w:p>
    <w:p w:rsidR="002C39A3" w:rsidRPr="00697ACE" w:rsidRDefault="002C39A3" w:rsidP="00361FA9">
      <w:pPr>
        <w:pStyle w:val="ControlledEntitiesText"/>
        <w:rPr>
          <w:sz w:val="16"/>
          <w:szCs w:val="16"/>
          <w:vertAlign w:val="superscript"/>
        </w:rPr>
      </w:pPr>
      <w:r>
        <w:rPr>
          <w:sz w:val="16"/>
          <w:szCs w:val="16"/>
        </w:rPr>
        <w:t>Tourism Victoria</w:t>
      </w:r>
      <w:r w:rsidRPr="00697ACE">
        <w:rPr>
          <w:sz w:val="16"/>
          <w:szCs w:val="16"/>
        </w:rPr>
        <w:t xml:space="preserve"> </w:t>
      </w:r>
      <w:r w:rsidRPr="00697ACE">
        <w:rPr>
          <w:sz w:val="16"/>
          <w:szCs w:val="16"/>
          <w:vertAlign w:val="superscript"/>
        </w:rPr>
        <w:t>(</w:t>
      </w:r>
      <w:r>
        <w:rPr>
          <w:sz w:val="16"/>
          <w:szCs w:val="16"/>
          <w:vertAlign w:val="superscript"/>
        </w:rPr>
        <w:t>f</w:t>
      </w:r>
      <w:r w:rsidRPr="00697ACE">
        <w:rPr>
          <w:sz w:val="16"/>
          <w:szCs w:val="16"/>
          <w:vertAlign w:val="superscript"/>
        </w:rPr>
        <w:t>)</w:t>
      </w:r>
    </w:p>
    <w:p w:rsidR="002C39A3" w:rsidRPr="00612B22" w:rsidRDefault="002C39A3" w:rsidP="00361FA9">
      <w:pPr>
        <w:pStyle w:val="ControlledEntitiesHeading2"/>
        <w:rPr>
          <w:sz w:val="16"/>
          <w:szCs w:val="16"/>
          <w:vertAlign w:val="superscript"/>
        </w:rPr>
      </w:pPr>
      <w:r w:rsidRPr="00697ACE">
        <w:rPr>
          <w:sz w:val="16"/>
          <w:szCs w:val="16"/>
        </w:rPr>
        <w:t>Department of Treasury and Finance</w:t>
      </w:r>
      <w:r>
        <w:rPr>
          <w:sz w:val="16"/>
          <w:szCs w:val="16"/>
        </w:rPr>
        <w:t xml:space="preserve"> </w:t>
      </w:r>
      <w:r>
        <w:rPr>
          <w:sz w:val="16"/>
          <w:szCs w:val="16"/>
          <w:vertAlign w:val="superscript"/>
        </w:rPr>
        <w:t>(g)</w:t>
      </w:r>
    </w:p>
    <w:p w:rsidR="002C39A3" w:rsidRDefault="002C39A3" w:rsidP="00361FA9">
      <w:pPr>
        <w:pStyle w:val="ControlledEntitiesText"/>
        <w:sectPr w:rsidR="002C39A3" w:rsidSect="00361FA9">
          <w:type w:val="continuous"/>
          <w:pgSz w:w="9979" w:h="14181" w:code="138"/>
          <w:pgMar w:top="1138" w:right="1138" w:bottom="1138" w:left="1138" w:header="720" w:footer="432" w:gutter="0"/>
          <w:cols w:num="2" w:space="259"/>
          <w:docGrid w:linePitch="360"/>
        </w:sectPr>
      </w:pPr>
    </w:p>
    <w:p w:rsidR="002C39A3" w:rsidRDefault="002C39A3" w:rsidP="00361FA9">
      <w:pPr>
        <w:pStyle w:val="ControlledEntitiesHeading1"/>
      </w:pPr>
      <w:r w:rsidRPr="00DB3AE5">
        <w:t>Public non</w:t>
      </w:r>
      <w:r>
        <w:noBreakHyphen/>
        <w:t>financial corporations</w:t>
      </w:r>
    </w:p>
    <w:p w:rsidR="002C39A3" w:rsidRDefault="002C39A3" w:rsidP="00361FA9">
      <w:pPr>
        <w:pStyle w:val="ControlledEntitiesText"/>
        <w:sectPr w:rsidR="002C39A3" w:rsidSect="00361FA9">
          <w:type w:val="continuous"/>
          <w:pgSz w:w="9979" w:h="14181" w:code="138"/>
          <w:pgMar w:top="1138" w:right="1138" w:bottom="1138" w:left="1138" w:header="720" w:footer="432" w:gutter="0"/>
          <w:cols w:space="708"/>
          <w:docGrid w:linePitch="360"/>
        </w:sectPr>
      </w:pPr>
    </w:p>
    <w:p w:rsidR="002C39A3" w:rsidRDefault="002C39A3" w:rsidP="00361FA9">
      <w:pPr>
        <w:pStyle w:val="Smallline"/>
      </w:pPr>
    </w:p>
    <w:p w:rsidR="002C39A3" w:rsidRPr="00697ACE" w:rsidRDefault="002C39A3" w:rsidP="00361FA9">
      <w:pPr>
        <w:pStyle w:val="ControlledEntitiesHeading2"/>
        <w:rPr>
          <w:sz w:val="16"/>
          <w:szCs w:val="16"/>
        </w:rPr>
      </w:pPr>
      <w:r w:rsidRPr="00697ACE">
        <w:rPr>
          <w:sz w:val="16"/>
          <w:szCs w:val="16"/>
        </w:rPr>
        <w:t>Department of Health and Human Services</w:t>
      </w:r>
    </w:p>
    <w:p w:rsidR="002C39A3" w:rsidRPr="00697ACE" w:rsidRDefault="002C39A3" w:rsidP="00361FA9">
      <w:pPr>
        <w:pStyle w:val="ControlledEntitiesText"/>
        <w:ind w:right="-175"/>
        <w:rPr>
          <w:sz w:val="16"/>
          <w:szCs w:val="16"/>
        </w:rPr>
      </w:pPr>
      <w:r w:rsidRPr="00697ACE">
        <w:rPr>
          <w:sz w:val="16"/>
          <w:szCs w:val="16"/>
        </w:rPr>
        <w:t xml:space="preserve">Kardinia Park Trust </w:t>
      </w:r>
      <w:r>
        <w:rPr>
          <w:sz w:val="16"/>
          <w:szCs w:val="16"/>
          <w:vertAlign w:val="superscript"/>
        </w:rPr>
        <w:t>(h</w:t>
      </w:r>
      <w:r w:rsidRPr="00697ACE">
        <w:rPr>
          <w:sz w:val="16"/>
          <w:szCs w:val="16"/>
          <w:vertAlign w:val="superscript"/>
        </w:rPr>
        <w:t>)</w:t>
      </w:r>
    </w:p>
    <w:p w:rsidR="002C39A3" w:rsidRDefault="002C39A3" w:rsidP="00361FA9">
      <w:pPr>
        <w:pStyle w:val="Smallline"/>
      </w:pPr>
      <w:r>
        <w:br w:type="column"/>
      </w:r>
    </w:p>
    <w:p w:rsidR="002C39A3" w:rsidRPr="00697ACE" w:rsidRDefault="002C39A3" w:rsidP="00361FA9">
      <w:pPr>
        <w:pStyle w:val="ControlledEntitiesHeading2"/>
        <w:rPr>
          <w:sz w:val="16"/>
          <w:szCs w:val="16"/>
        </w:rPr>
      </w:pPr>
      <w:r w:rsidRPr="00697ACE">
        <w:rPr>
          <w:sz w:val="16"/>
          <w:szCs w:val="16"/>
        </w:rPr>
        <w:t xml:space="preserve">Department of Economic Development, Jobs, Transport and Resources </w:t>
      </w:r>
    </w:p>
    <w:p w:rsidR="002C39A3" w:rsidRDefault="002C39A3" w:rsidP="00361FA9">
      <w:pPr>
        <w:pStyle w:val="ControlledEntitiesText"/>
        <w:rPr>
          <w:sz w:val="16"/>
          <w:szCs w:val="16"/>
        </w:rPr>
      </w:pPr>
      <w:r>
        <w:rPr>
          <w:sz w:val="16"/>
          <w:szCs w:val="16"/>
        </w:rPr>
        <w:t xml:space="preserve">Victorian Major Events Company Limited </w:t>
      </w:r>
      <w:r>
        <w:rPr>
          <w:sz w:val="16"/>
          <w:szCs w:val="16"/>
          <w:vertAlign w:val="superscript"/>
        </w:rPr>
        <w:t>(f</w:t>
      </w:r>
      <w:r w:rsidRPr="005D2B5A">
        <w:rPr>
          <w:sz w:val="16"/>
          <w:szCs w:val="16"/>
          <w:vertAlign w:val="superscript"/>
        </w:rPr>
        <w:t>)</w:t>
      </w:r>
    </w:p>
    <w:p w:rsidR="002C39A3" w:rsidRDefault="002C39A3" w:rsidP="00361FA9">
      <w:pPr>
        <w:pStyle w:val="ControlledEntitiesText"/>
        <w:rPr>
          <w:sz w:val="16"/>
          <w:szCs w:val="16"/>
        </w:rPr>
      </w:pPr>
      <w:r>
        <w:rPr>
          <w:sz w:val="16"/>
          <w:szCs w:val="16"/>
        </w:rPr>
        <w:t xml:space="preserve">LaunchVic </w:t>
      </w:r>
      <w:r>
        <w:rPr>
          <w:sz w:val="16"/>
          <w:szCs w:val="16"/>
          <w:vertAlign w:val="superscript"/>
        </w:rPr>
        <w:t>(i</w:t>
      </w:r>
      <w:r w:rsidRPr="005D2B5A">
        <w:rPr>
          <w:sz w:val="16"/>
          <w:szCs w:val="16"/>
          <w:vertAlign w:val="superscript"/>
        </w:rPr>
        <w:t>)</w:t>
      </w:r>
    </w:p>
    <w:p w:rsidR="002C39A3" w:rsidRDefault="002C39A3" w:rsidP="00361FA9">
      <w:pPr>
        <w:pStyle w:val="ControlledEntitiesText"/>
        <w:rPr>
          <w:sz w:val="16"/>
          <w:szCs w:val="16"/>
        </w:rPr>
      </w:pPr>
      <w:r>
        <w:rPr>
          <w:sz w:val="16"/>
          <w:szCs w:val="16"/>
        </w:rPr>
        <w:t>Port of Melbourne Operations Pty Ltd</w:t>
      </w:r>
      <w:r w:rsidRPr="00697ACE">
        <w:rPr>
          <w:sz w:val="16"/>
          <w:szCs w:val="16"/>
        </w:rPr>
        <w:t xml:space="preserve"> </w:t>
      </w:r>
      <w:r w:rsidRPr="00697ACE">
        <w:rPr>
          <w:sz w:val="16"/>
          <w:szCs w:val="16"/>
          <w:vertAlign w:val="superscript"/>
        </w:rPr>
        <w:t>(</w:t>
      </w:r>
      <w:r>
        <w:rPr>
          <w:sz w:val="16"/>
          <w:szCs w:val="16"/>
          <w:vertAlign w:val="superscript"/>
        </w:rPr>
        <w:t>j)</w:t>
      </w:r>
    </w:p>
    <w:p w:rsidR="002C39A3" w:rsidRDefault="002C39A3" w:rsidP="00361FA9">
      <w:pPr>
        <w:pStyle w:val="ControlledEntitiesText"/>
        <w:rPr>
          <w:sz w:val="16"/>
          <w:szCs w:val="16"/>
          <w:vertAlign w:val="superscript"/>
        </w:rPr>
      </w:pPr>
      <w:r>
        <w:rPr>
          <w:sz w:val="16"/>
          <w:szCs w:val="16"/>
        </w:rPr>
        <w:t xml:space="preserve">Melbourne Port Lessor Pty Ltd </w:t>
      </w:r>
      <w:r w:rsidRPr="00697ACE">
        <w:rPr>
          <w:sz w:val="16"/>
          <w:szCs w:val="16"/>
          <w:vertAlign w:val="superscript"/>
        </w:rPr>
        <w:t>(</w:t>
      </w:r>
      <w:r>
        <w:rPr>
          <w:sz w:val="16"/>
          <w:szCs w:val="16"/>
          <w:vertAlign w:val="superscript"/>
        </w:rPr>
        <w:t>k</w:t>
      </w:r>
      <w:r w:rsidRPr="00697ACE">
        <w:rPr>
          <w:sz w:val="16"/>
          <w:szCs w:val="16"/>
          <w:vertAlign w:val="superscript"/>
        </w:rPr>
        <w:t>)</w:t>
      </w:r>
    </w:p>
    <w:p w:rsidR="002C39A3" w:rsidRDefault="002C39A3" w:rsidP="00361FA9">
      <w:pPr>
        <w:pStyle w:val="ControlledEntitiesText"/>
        <w:sectPr w:rsidR="002C39A3" w:rsidSect="00361FA9">
          <w:type w:val="continuous"/>
          <w:pgSz w:w="9979" w:h="14181" w:code="138"/>
          <w:pgMar w:top="1138" w:right="1138" w:bottom="1138" w:left="1138" w:header="720" w:footer="432" w:gutter="0"/>
          <w:cols w:num="2" w:space="229"/>
          <w:docGrid w:linePitch="360"/>
        </w:sectPr>
      </w:pPr>
    </w:p>
    <w:p w:rsidR="002C39A3" w:rsidRDefault="002C39A3" w:rsidP="00361FA9">
      <w:pPr>
        <w:pStyle w:val="ControlledEntitiesHeading1"/>
      </w:pPr>
      <w:r>
        <w:t>Public financial corporations</w:t>
      </w:r>
    </w:p>
    <w:p w:rsidR="002C39A3" w:rsidRDefault="002C39A3" w:rsidP="00361FA9">
      <w:pPr>
        <w:pStyle w:val="ControlledEntitiesText"/>
        <w:sectPr w:rsidR="002C39A3" w:rsidSect="00361FA9">
          <w:type w:val="continuous"/>
          <w:pgSz w:w="9979" w:h="14181" w:code="138"/>
          <w:pgMar w:top="1138" w:right="1138" w:bottom="1138" w:left="1138" w:header="720" w:footer="432" w:gutter="0"/>
          <w:cols w:space="708"/>
          <w:docGrid w:linePitch="360"/>
        </w:sectPr>
      </w:pPr>
    </w:p>
    <w:p w:rsidR="002C39A3" w:rsidRDefault="002C39A3" w:rsidP="00361FA9">
      <w:pPr>
        <w:pStyle w:val="Smallline"/>
      </w:pPr>
    </w:p>
    <w:p w:rsidR="002C39A3" w:rsidRPr="00697ACE" w:rsidRDefault="002C39A3" w:rsidP="00361FA9">
      <w:pPr>
        <w:pStyle w:val="ControlledEntitiesHeading2"/>
        <w:rPr>
          <w:sz w:val="16"/>
          <w:szCs w:val="16"/>
        </w:rPr>
      </w:pPr>
      <w:r w:rsidRPr="00697ACE">
        <w:rPr>
          <w:sz w:val="16"/>
          <w:szCs w:val="16"/>
        </w:rPr>
        <w:t>Department of</w:t>
      </w:r>
      <w:r>
        <w:rPr>
          <w:sz w:val="16"/>
          <w:szCs w:val="16"/>
        </w:rPr>
        <w:t xml:space="preserve"> Treasury and Finance</w:t>
      </w:r>
    </w:p>
    <w:p w:rsidR="002C39A3" w:rsidRPr="00697ACE" w:rsidRDefault="002C39A3" w:rsidP="00361FA9">
      <w:pPr>
        <w:pStyle w:val="ControlledEntitiesText"/>
        <w:ind w:right="-175"/>
        <w:rPr>
          <w:sz w:val="16"/>
          <w:szCs w:val="16"/>
        </w:rPr>
      </w:pPr>
      <w:r w:rsidRPr="00697ACE">
        <w:rPr>
          <w:sz w:val="16"/>
          <w:szCs w:val="16"/>
        </w:rPr>
        <w:t xml:space="preserve">Victorian Asbestos Eradication Agency </w:t>
      </w:r>
      <w:r>
        <w:rPr>
          <w:sz w:val="16"/>
          <w:szCs w:val="16"/>
          <w:vertAlign w:val="superscript"/>
        </w:rPr>
        <w:t>(l</w:t>
      </w:r>
      <w:r w:rsidRPr="00697ACE">
        <w:rPr>
          <w:sz w:val="16"/>
          <w:szCs w:val="16"/>
          <w:vertAlign w:val="superscript"/>
        </w:rPr>
        <w:t>)</w:t>
      </w:r>
    </w:p>
    <w:p w:rsidR="002C39A3" w:rsidRDefault="002C39A3" w:rsidP="00361FA9">
      <w:pPr>
        <w:pStyle w:val="Smallline"/>
      </w:pPr>
      <w:r>
        <w:br w:type="column"/>
      </w:r>
    </w:p>
    <w:p w:rsidR="002C39A3" w:rsidRDefault="002C39A3" w:rsidP="00361FA9">
      <w:pPr>
        <w:sectPr w:rsidR="002C39A3" w:rsidSect="00361FA9">
          <w:type w:val="continuous"/>
          <w:pgSz w:w="9979" w:h="14181" w:code="138"/>
          <w:pgMar w:top="1138" w:right="1138" w:bottom="1138" w:left="1138" w:header="720" w:footer="432" w:gutter="0"/>
          <w:cols w:num="2" w:space="259"/>
          <w:docGrid w:linePitch="360"/>
        </w:sectPr>
      </w:pPr>
    </w:p>
    <w:p w:rsidR="002C39A3" w:rsidRDefault="002C39A3" w:rsidP="00361FA9">
      <w:pPr>
        <w:pStyle w:val="Notes"/>
        <w:pBdr>
          <w:top w:val="single" w:sz="12" w:space="1" w:color="auto"/>
        </w:pBdr>
      </w:pPr>
      <w:r>
        <w:t>Notes:</w:t>
      </w:r>
    </w:p>
    <w:p w:rsidR="002C39A3" w:rsidRPr="00424F91" w:rsidRDefault="002C39A3" w:rsidP="00361FA9">
      <w:pPr>
        <w:pStyle w:val="Notes"/>
      </w:pPr>
      <w:r>
        <w:t>(a)</w:t>
      </w:r>
      <w:r>
        <w:tab/>
        <w:t>Alexandra District Hospital was renamed Alexandra District Health.</w:t>
      </w:r>
    </w:p>
    <w:p w:rsidR="002C39A3" w:rsidRDefault="002C39A3" w:rsidP="00361FA9">
      <w:pPr>
        <w:pStyle w:val="Notes"/>
      </w:pPr>
      <w:r>
        <w:t>(b)</w:t>
      </w:r>
      <w:r>
        <w:tab/>
        <w:t>Effective from 22 September 2015, the Victorian Competition and Efficiency Commission ceased to exist and operations were transferred to the Commissioner for Better Regulation established as a function of the Department of Treasury and Finance portfolio.</w:t>
      </w:r>
    </w:p>
    <w:p w:rsidR="002C39A3" w:rsidRDefault="002C39A3" w:rsidP="00361FA9">
      <w:pPr>
        <w:pStyle w:val="Notes"/>
        <w:ind w:left="0" w:firstLine="0"/>
      </w:pPr>
      <w:r>
        <w:t>(c)</w:t>
      </w:r>
      <w:r>
        <w:tab/>
        <w:t xml:space="preserve">Effective from 1 October 2015, Infrastructure Victoria was established by the </w:t>
      </w:r>
      <w:r w:rsidRPr="00FE5EE4">
        <w:rPr>
          <w:i w:val="0"/>
        </w:rPr>
        <w:t>Infrastructure Victoria Act 2015</w:t>
      </w:r>
      <w:r>
        <w:t xml:space="preserve">. </w:t>
      </w:r>
    </w:p>
    <w:p w:rsidR="002C39A3" w:rsidRDefault="002C39A3" w:rsidP="00361FA9">
      <w:pPr>
        <w:pStyle w:val="Notes"/>
        <w:ind w:left="450" w:hanging="450"/>
      </w:pPr>
      <w:r>
        <w:t>(d)</w:t>
      </w:r>
      <w:r>
        <w:tab/>
      </w:r>
      <w:r w:rsidRPr="00610CBC">
        <w:t>The Australian Synchrotron is expected to be transferred from the State of Victoria to the Australian Nuclear Science and Technology Organisation (ANSTO) in 2015-16.</w:t>
      </w:r>
    </w:p>
    <w:p w:rsidR="002C39A3" w:rsidRDefault="002C39A3" w:rsidP="00361FA9">
      <w:pPr>
        <w:pStyle w:val="Notes"/>
        <w:ind w:left="0" w:firstLine="0"/>
      </w:pPr>
      <w:r>
        <w:t>(e)</w:t>
      </w:r>
      <w:r>
        <w:tab/>
        <w:t>In the 2015</w:t>
      </w:r>
      <w:r>
        <w:noBreakHyphen/>
        <w:t>16 financial year</w:t>
      </w:r>
      <w:r w:rsidRPr="00424F91">
        <w:t xml:space="preserve">, Linking Melbourne Authority </w:t>
      </w:r>
      <w:r>
        <w:t>has ceased to exist</w:t>
      </w:r>
      <w:r w:rsidRPr="00424F91">
        <w:t>.</w:t>
      </w:r>
    </w:p>
    <w:p w:rsidR="002C39A3" w:rsidRDefault="002C39A3" w:rsidP="00361FA9">
      <w:pPr>
        <w:pStyle w:val="Notes"/>
      </w:pPr>
      <w:r>
        <w:t>(f)</w:t>
      </w:r>
      <w:r w:rsidRPr="003D0BDF">
        <w:tab/>
      </w:r>
      <w:r>
        <w:t>Effective 1 July 2016, Visit Victoria will commence operations and will take over the responsibilities of Tourism Victoria and the Victorian Major Events Company Limited. Tourism Victoria will cease to operate but will remain in existence until its legislation is repealed. Effective from 1 July 2016, Victorian Major Events Company will cease to exist.</w:t>
      </w:r>
    </w:p>
    <w:p w:rsidR="002C39A3" w:rsidRDefault="002C39A3" w:rsidP="00361FA9">
      <w:pPr>
        <w:pStyle w:val="Notes"/>
      </w:pPr>
      <w:r>
        <w:t>(g)</w:t>
      </w:r>
      <w:r w:rsidRPr="003D0BDF">
        <w:tab/>
      </w:r>
      <w:r>
        <w:t>Effective from 1 July 2015, the Domestic (HIH) Indemnity Fund and Housing Guarantee Claims ceased to exist.</w:t>
      </w:r>
    </w:p>
    <w:p w:rsidR="002C39A3" w:rsidRDefault="002C39A3" w:rsidP="00361FA9">
      <w:pPr>
        <w:pStyle w:val="Notes"/>
      </w:pPr>
      <w:r>
        <w:t>(h)</w:t>
      </w:r>
      <w:r>
        <w:tab/>
        <w:t xml:space="preserve">In the 2015-16 financial year, Kardinia Park Trust will be </w:t>
      </w:r>
      <w:r w:rsidRPr="00912CD7">
        <w:t xml:space="preserve">established under the </w:t>
      </w:r>
      <w:r w:rsidRPr="005D1944">
        <w:rPr>
          <w:i w:val="0"/>
        </w:rPr>
        <w:t>Kardinia Park Stadium Act 2016</w:t>
      </w:r>
      <w:r>
        <w:t>.</w:t>
      </w:r>
    </w:p>
    <w:p w:rsidR="002C39A3" w:rsidRDefault="002C39A3" w:rsidP="00361FA9">
      <w:pPr>
        <w:pStyle w:val="Notes"/>
      </w:pPr>
      <w:r>
        <w:t>(i)</w:t>
      </w:r>
      <w:r>
        <w:tab/>
        <w:t>Effective 27 November 2015, the Minister for Small Business, Innovation and Trade launched Victoria</w:t>
      </w:r>
      <w:r w:rsidR="0097550F">
        <w:t>’</w:t>
      </w:r>
      <w:r>
        <w:t xml:space="preserve">s independent company, LaunchVic, to support the ecosystem for local startup businesses and the rapidly growing startup sector in Victoria. </w:t>
      </w:r>
    </w:p>
    <w:p w:rsidR="002C39A3" w:rsidRDefault="002C39A3" w:rsidP="00361FA9">
      <w:pPr>
        <w:pStyle w:val="Notes"/>
      </w:pPr>
      <w:r>
        <w:t>(j)</w:t>
      </w:r>
      <w:r>
        <w:tab/>
        <w:t>Port of Melbourne Operations Pty Ltd (PortCo) was established as a Corporations Act entity on 21 March 2016. Effective from 1 July 2016, PortCo will commence operations.</w:t>
      </w:r>
    </w:p>
    <w:p w:rsidR="002C39A3" w:rsidRDefault="002C39A3" w:rsidP="00361FA9">
      <w:pPr>
        <w:pStyle w:val="Notes"/>
      </w:pPr>
      <w:r>
        <w:t>(k)</w:t>
      </w:r>
      <w:r>
        <w:tab/>
        <w:t>Melbourne Port Lessor Pty Ltd (Port Lessor) was established as a Corporations Act entity on 21 March 2016. Effective from 1 July 2016, Port Lessor will commence operations.</w:t>
      </w:r>
    </w:p>
    <w:p w:rsidR="002C39A3" w:rsidRPr="00D611E3" w:rsidRDefault="002C39A3" w:rsidP="00361FA9">
      <w:pPr>
        <w:pStyle w:val="Notes"/>
      </w:pPr>
      <w:r>
        <w:t>(l)</w:t>
      </w:r>
      <w:r>
        <w:tab/>
        <w:t>In the 2016-17 financial year, the Victorian Asbestos Eradication Agency (VAEA) will be established.</w:t>
      </w:r>
    </w:p>
    <w:p w:rsidR="002C39A3" w:rsidRDefault="002C39A3" w:rsidP="00273B20">
      <w:pPr>
        <w:rPr>
          <w:rFonts w:eastAsiaTheme="minorHAnsi"/>
        </w:rPr>
        <w:sectPr w:rsidR="002C39A3" w:rsidSect="00273B20">
          <w:headerReference w:type="even" r:id="rId22"/>
          <w:headerReference w:type="default" r:id="rId23"/>
          <w:footerReference w:type="even" r:id="rId24"/>
          <w:footerReference w:type="default" r:id="rId25"/>
          <w:headerReference w:type="first" r:id="rId26"/>
          <w:footerReference w:type="first" r:id="rId27"/>
          <w:type w:val="continuous"/>
          <w:pgSz w:w="9979" w:h="14181" w:code="138"/>
          <w:pgMar w:top="1138" w:right="1138" w:bottom="1138" w:left="1138" w:header="720" w:footer="432" w:gutter="0"/>
          <w:cols w:space="708"/>
          <w:docGrid w:linePitch="360"/>
        </w:sectPr>
      </w:pPr>
    </w:p>
    <w:p w:rsidR="002C39A3" w:rsidRPr="00A275EF" w:rsidRDefault="002C39A3" w:rsidP="00361FA9">
      <w:pPr>
        <w:pStyle w:val="ChapterHeading"/>
      </w:pPr>
      <w:bookmarkStart w:id="33" w:name="_Toc449116192"/>
      <w:r w:rsidRPr="00A275EF">
        <w:t>Chapter 2 – Supplementary uniform presentation framework tables</w:t>
      </w:r>
      <w:bookmarkEnd w:id="33"/>
    </w:p>
    <w:p w:rsidR="002C39A3" w:rsidRDefault="002C39A3" w:rsidP="00361FA9">
      <w:pPr>
        <w:pStyle w:val="Tableheading"/>
      </w:pPr>
      <w:r>
        <w:t>Table 2.1:</w:t>
      </w:r>
      <w:r>
        <w:tab/>
        <w:t>Public non</w:t>
      </w:r>
      <w:r>
        <w:noBreakHyphen/>
        <w:t>financial corporations sector comprehensive operating statement for the financial year ended 30 Jun</w:t>
      </w:r>
      <w:r w:rsidRPr="005A74ED">
        <w:t>e</w:t>
      </w:r>
      <w:r w:rsidRPr="005A74ED">
        <w:rPr>
          <w:vertAlign w:val="superscript"/>
        </w:rPr>
        <w:t>(a)</w:t>
      </w:r>
    </w:p>
    <w:p w:rsidR="002C39A3" w:rsidRPr="00422B32" w:rsidRDefault="002C39A3" w:rsidP="00361FA9">
      <w:pPr>
        <w:pStyle w:val="million"/>
        <w:rPr>
          <w:b/>
          <w:bCs/>
          <w:sz w:val="15"/>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4"/>
        <w:gridCol w:w="850"/>
        <w:gridCol w:w="850"/>
        <w:gridCol w:w="850"/>
        <w:gridCol w:w="851"/>
        <w:gridCol w:w="850"/>
      </w:tblGrid>
      <w:tr w:rsidR="00361FA9" w:rsidRPr="00422B32" w:rsidTr="00361FA9">
        <w:trPr>
          <w:trHeight w:val="464"/>
          <w:tblHeader/>
        </w:trPr>
        <w:tc>
          <w:tcPr>
            <w:tcW w:w="3514" w:type="dxa"/>
            <w:tcBorders>
              <w:top w:val="nil"/>
              <w:left w:val="nil"/>
              <w:right w:val="nil"/>
            </w:tcBorders>
            <w:shd w:val="solid" w:color="000000" w:fill="auto"/>
            <w:vAlign w:val="bottom"/>
          </w:tcPr>
          <w:p w:rsidR="00361FA9" w:rsidRPr="00422B32" w:rsidRDefault="00361FA9" w:rsidP="00361FA9">
            <w:pPr>
              <w:pStyle w:val="Source"/>
              <w:spacing w:after="0"/>
              <w:rPr>
                <w:rFonts w:eastAsiaTheme="minorEastAsia" w:cs="Calibri"/>
                <w:iCs/>
                <w:color w:val="FFFFFF"/>
                <w:sz w:val="19"/>
                <w:szCs w:val="19"/>
                <w:lang w:eastAsia="en-AU"/>
              </w:rPr>
            </w:pPr>
            <w:r w:rsidRPr="00422B32">
              <w:rPr>
                <w:rFonts w:eastAsiaTheme="minorEastAsia" w:cs="Calibri"/>
                <w:iCs/>
                <w:color w:val="FFFFFF"/>
                <w:sz w:val="19"/>
                <w:szCs w:val="19"/>
                <w:lang w:eastAsia="en-AU"/>
              </w:rPr>
              <w:t xml:space="preserve"> </w:t>
            </w:r>
          </w:p>
        </w:tc>
        <w:tc>
          <w:tcPr>
            <w:tcW w:w="850" w:type="dxa"/>
            <w:tcBorders>
              <w:top w:val="nil"/>
              <w:left w:val="nil"/>
              <w:right w:val="nil"/>
            </w:tcBorders>
            <w:shd w:val="solid" w:color="000000" w:fill="auto"/>
            <w:vAlign w:val="bottom"/>
          </w:tcPr>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2015-16 </w:t>
            </w:r>
          </w:p>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revised</w:t>
            </w:r>
          </w:p>
        </w:tc>
        <w:tc>
          <w:tcPr>
            <w:tcW w:w="850" w:type="dxa"/>
            <w:tcBorders>
              <w:top w:val="nil"/>
              <w:left w:val="nil"/>
              <w:right w:val="nil"/>
            </w:tcBorders>
            <w:shd w:val="solid" w:color="000000" w:fill="auto"/>
            <w:vAlign w:val="bottom"/>
          </w:tcPr>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2016-17 </w:t>
            </w:r>
          </w:p>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2017-18 </w:t>
            </w:r>
          </w:p>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1" w:type="dxa"/>
            <w:tcBorders>
              <w:top w:val="nil"/>
              <w:left w:val="nil"/>
              <w:right w:val="nil"/>
            </w:tcBorders>
            <w:shd w:val="solid" w:color="000000" w:fill="auto"/>
            <w:vAlign w:val="bottom"/>
          </w:tcPr>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2018-19 </w:t>
            </w:r>
          </w:p>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2019-20 </w:t>
            </w:r>
          </w:p>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r>
      <w:tr w:rsidR="00361FA9" w:rsidRPr="00422B32" w:rsidTr="00361FA9">
        <w:tc>
          <w:tcPr>
            <w:tcW w:w="7765" w:type="dxa"/>
            <w:gridSpan w:val="6"/>
            <w:tcBorders>
              <w:top w:val="nil"/>
              <w:left w:val="nil"/>
              <w:right w:val="nil"/>
            </w:tcBorders>
            <w:shd w:val="clear" w:color="auto" w:fill="FFFFFF"/>
          </w:tcPr>
          <w:p w:rsidR="00361FA9" w:rsidRPr="00422B32" w:rsidRDefault="00361FA9"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Revenue from transactions</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Interest revenue</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105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117</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101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102</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Dividend revenue</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18</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19</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Sales of goods and services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6 197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6 353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6 832</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6 664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6 755</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Grant revenue</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3 090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3 243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3 380</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3 355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3 249</w:t>
            </w:r>
          </w:p>
        </w:tc>
      </w:tr>
      <w:tr w:rsidR="002C39A3" w:rsidRPr="00422B32" w:rsidTr="00361FA9">
        <w:tc>
          <w:tcPr>
            <w:tcW w:w="3514"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revenue</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936</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481</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485</w:t>
            </w:r>
          </w:p>
        </w:tc>
        <w:tc>
          <w:tcPr>
            <w:tcW w:w="851"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493</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503</w:t>
            </w:r>
          </w:p>
        </w:tc>
      </w:tr>
      <w:tr w:rsidR="002C39A3" w:rsidRPr="00422B32" w:rsidTr="00361FA9">
        <w:tc>
          <w:tcPr>
            <w:tcW w:w="3514"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revenue from transactions</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10 272</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10 200</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10 832</w:t>
            </w:r>
          </w:p>
        </w:tc>
        <w:tc>
          <w:tcPr>
            <w:tcW w:w="851"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10 632</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10 628</w:t>
            </w:r>
          </w:p>
        </w:tc>
      </w:tr>
      <w:tr w:rsidR="00361FA9" w:rsidRPr="00422B32" w:rsidTr="00361FA9">
        <w:tc>
          <w:tcPr>
            <w:tcW w:w="7765" w:type="dxa"/>
            <w:gridSpan w:val="6"/>
            <w:tcBorders>
              <w:top w:val="nil"/>
              <w:left w:val="nil"/>
              <w:right w:val="nil"/>
            </w:tcBorders>
            <w:shd w:val="clear" w:color="auto" w:fill="FFFFFF"/>
          </w:tcPr>
          <w:p w:rsidR="00361FA9" w:rsidRPr="00422B32" w:rsidRDefault="00361FA9"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Expenses from transactions</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Employee expenses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1 145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1 157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1 167</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1 195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1 230</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superannuation</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99</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102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104</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Depreciation</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2 111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2 244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2 255</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2 358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2 386</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Interest expense</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1 069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1 139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1 132</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1 125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1 118</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Grant expense</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274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571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409</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483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373</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operating expenses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5 249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5 532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6 001</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5 708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5 635</w:t>
            </w:r>
          </w:p>
        </w:tc>
      </w:tr>
      <w:tr w:rsidR="002C39A3" w:rsidRPr="00422B32" w:rsidTr="00361FA9">
        <w:tc>
          <w:tcPr>
            <w:tcW w:w="3514"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property expenses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285</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127</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142</w:t>
            </w:r>
          </w:p>
        </w:tc>
        <w:tc>
          <w:tcPr>
            <w:tcW w:w="851"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156</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150</w:t>
            </w:r>
          </w:p>
        </w:tc>
      </w:tr>
      <w:tr w:rsidR="002C39A3" w:rsidRPr="00422B32" w:rsidTr="00361FA9">
        <w:tc>
          <w:tcPr>
            <w:tcW w:w="3514"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expenses from transactions</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10 228</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10 869</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11 206</w:t>
            </w:r>
          </w:p>
        </w:tc>
        <w:tc>
          <w:tcPr>
            <w:tcW w:w="851"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11 128</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10 997</w:t>
            </w:r>
          </w:p>
        </w:tc>
      </w:tr>
      <w:tr w:rsidR="002C39A3" w:rsidRPr="00422B32" w:rsidTr="00361FA9">
        <w:tc>
          <w:tcPr>
            <w:tcW w:w="3514"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Net</w:t>
            </w:r>
            <w:r w:rsidR="00361FA9">
              <w:rPr>
                <w:rFonts w:ascii="Calibri" w:eastAsiaTheme="minorEastAsia" w:hAnsi="Calibri" w:cs="Calibri"/>
                <w:b/>
                <w:bCs/>
                <w:color w:val="000000"/>
                <w:sz w:val="19"/>
                <w:szCs w:val="19"/>
                <w:lang w:eastAsia="en-AU"/>
              </w:rPr>
              <w:t xml:space="preserve"> result from transactions – net </w:t>
            </w:r>
            <w:r w:rsidRPr="00422B32">
              <w:rPr>
                <w:rFonts w:ascii="Calibri" w:eastAsiaTheme="minorEastAsia" w:hAnsi="Calibri" w:cs="Calibri"/>
                <w:b/>
                <w:bCs/>
                <w:color w:val="000000"/>
                <w:sz w:val="19"/>
                <w:szCs w:val="19"/>
                <w:lang w:eastAsia="en-AU"/>
              </w:rPr>
              <w:t>operating balance</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44</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(669)</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(374)</w:t>
            </w:r>
          </w:p>
        </w:tc>
        <w:tc>
          <w:tcPr>
            <w:tcW w:w="851"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(496)</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(370)</w:t>
            </w:r>
          </w:p>
        </w:tc>
      </w:tr>
      <w:tr w:rsidR="002C39A3" w:rsidRPr="00422B32" w:rsidTr="00361FA9">
        <w:tc>
          <w:tcPr>
            <w:tcW w:w="3514" w:type="dxa"/>
            <w:tcBorders>
              <w:top w:val="single" w:sz="12"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other economic flows included in net</w:t>
            </w:r>
            <w:r w:rsidR="00361FA9">
              <w:rPr>
                <w:rFonts w:ascii="Calibri" w:eastAsiaTheme="minorEastAsia" w:hAnsi="Calibri" w:cs="Calibri"/>
                <w:b/>
                <w:bCs/>
                <w:color w:val="000000"/>
                <w:sz w:val="19"/>
                <w:szCs w:val="19"/>
                <w:lang w:eastAsia="en-AU"/>
              </w:rPr>
              <w:t> </w:t>
            </w:r>
            <w:r w:rsidRPr="00422B32">
              <w:rPr>
                <w:rFonts w:ascii="Calibri" w:eastAsiaTheme="minorEastAsia" w:hAnsi="Calibri" w:cs="Calibri"/>
                <w:b/>
                <w:bCs/>
                <w:color w:val="000000"/>
                <w:sz w:val="19"/>
                <w:szCs w:val="19"/>
                <w:lang w:eastAsia="en-AU"/>
              </w:rPr>
              <w:t>result</w:t>
            </w:r>
          </w:p>
        </w:tc>
        <w:tc>
          <w:tcPr>
            <w:tcW w:w="850" w:type="dxa"/>
            <w:tcBorders>
              <w:top w:val="single" w:sz="12"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194</w:t>
            </w:r>
          </w:p>
        </w:tc>
        <w:tc>
          <w:tcPr>
            <w:tcW w:w="850" w:type="dxa"/>
            <w:tcBorders>
              <w:top w:val="single" w:sz="12"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(14)</w:t>
            </w:r>
          </w:p>
        </w:tc>
        <w:tc>
          <w:tcPr>
            <w:tcW w:w="850" w:type="dxa"/>
            <w:tcBorders>
              <w:top w:val="single" w:sz="12"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187</w:t>
            </w:r>
          </w:p>
        </w:tc>
        <w:tc>
          <w:tcPr>
            <w:tcW w:w="851" w:type="dxa"/>
            <w:tcBorders>
              <w:top w:val="single" w:sz="12"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187</w:t>
            </w:r>
          </w:p>
        </w:tc>
        <w:tc>
          <w:tcPr>
            <w:tcW w:w="850" w:type="dxa"/>
            <w:tcBorders>
              <w:top w:val="single" w:sz="12"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165</w:t>
            </w:r>
          </w:p>
        </w:tc>
      </w:tr>
      <w:tr w:rsidR="002C39A3" w:rsidRPr="00422B32" w:rsidTr="00361FA9">
        <w:tc>
          <w:tcPr>
            <w:tcW w:w="3514"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Net result</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237</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(683)</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(186)</w:t>
            </w:r>
          </w:p>
        </w:tc>
        <w:tc>
          <w:tcPr>
            <w:tcW w:w="851"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(309)</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(205)</w:t>
            </w:r>
          </w:p>
        </w:tc>
      </w:tr>
    </w:tbl>
    <w:p w:rsidR="002C39A3" w:rsidRDefault="002C39A3" w:rsidP="00361FA9">
      <w:pPr>
        <w:pStyle w:val="Tableheadingcontinued"/>
      </w:pPr>
    </w:p>
    <w:p w:rsidR="002C39A3" w:rsidRDefault="002C39A3" w:rsidP="00361FA9">
      <w:pPr>
        <w:pStyle w:val="Heading1"/>
      </w:pPr>
      <w:r>
        <w:br w:type="page"/>
      </w:r>
    </w:p>
    <w:p w:rsidR="002C39A3" w:rsidRDefault="002C39A3" w:rsidP="00361FA9">
      <w:pPr>
        <w:pStyle w:val="Tableheadingcontinued"/>
      </w:pPr>
      <w:r>
        <w:t>Table 2.1:</w:t>
      </w:r>
      <w:r>
        <w:tab/>
        <w:t>Public non</w:t>
      </w:r>
      <w:r>
        <w:noBreakHyphen/>
        <w:t>financial corporations sector comprehensive operating statement for the financial year ended 30 June</w:t>
      </w:r>
      <w:r w:rsidRPr="00722BBA">
        <w:rPr>
          <w:vertAlign w:val="superscript"/>
        </w:rPr>
        <w:t xml:space="preserve">(a) </w:t>
      </w:r>
      <w:r w:rsidRPr="00722BBA">
        <w:rPr>
          <w:i/>
        </w:rPr>
        <w:t>(continued)</w:t>
      </w:r>
    </w:p>
    <w:p w:rsidR="002C39A3" w:rsidRDefault="002C39A3" w:rsidP="00361FA9">
      <w:pPr>
        <w:pStyle w:val="million"/>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4"/>
        <w:gridCol w:w="172"/>
        <w:gridCol w:w="678"/>
        <w:gridCol w:w="850"/>
        <w:gridCol w:w="850"/>
        <w:gridCol w:w="851"/>
        <w:gridCol w:w="850"/>
      </w:tblGrid>
      <w:tr w:rsidR="00361FA9" w:rsidRPr="00422B32" w:rsidTr="00361FA9">
        <w:trPr>
          <w:trHeight w:val="464"/>
          <w:tblHeader/>
        </w:trPr>
        <w:tc>
          <w:tcPr>
            <w:tcW w:w="3514" w:type="dxa"/>
            <w:tcBorders>
              <w:top w:val="nil"/>
              <w:left w:val="nil"/>
              <w:right w:val="nil"/>
            </w:tcBorders>
            <w:shd w:val="solid" w:color="000000" w:fill="auto"/>
            <w:vAlign w:val="bottom"/>
          </w:tcPr>
          <w:p w:rsidR="00361FA9" w:rsidRPr="00422B32" w:rsidRDefault="00361FA9" w:rsidP="00361FA9">
            <w:pPr>
              <w:pStyle w:val="Source"/>
              <w:spacing w:after="0"/>
              <w:rPr>
                <w:rFonts w:eastAsiaTheme="minorEastAsia" w:cs="Calibri"/>
                <w:iCs/>
                <w:color w:val="FFFFFF"/>
                <w:sz w:val="19"/>
                <w:szCs w:val="19"/>
                <w:lang w:eastAsia="en-AU"/>
              </w:rPr>
            </w:pPr>
          </w:p>
        </w:tc>
        <w:tc>
          <w:tcPr>
            <w:tcW w:w="850" w:type="dxa"/>
            <w:gridSpan w:val="2"/>
            <w:tcBorders>
              <w:top w:val="nil"/>
              <w:left w:val="nil"/>
              <w:right w:val="nil"/>
            </w:tcBorders>
            <w:shd w:val="solid" w:color="000000" w:fill="auto"/>
            <w:vAlign w:val="bottom"/>
          </w:tcPr>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2015-16 </w:t>
            </w:r>
          </w:p>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revised</w:t>
            </w:r>
          </w:p>
        </w:tc>
        <w:tc>
          <w:tcPr>
            <w:tcW w:w="850" w:type="dxa"/>
            <w:tcBorders>
              <w:top w:val="nil"/>
              <w:left w:val="nil"/>
              <w:right w:val="nil"/>
            </w:tcBorders>
            <w:shd w:val="solid" w:color="000000" w:fill="auto"/>
            <w:vAlign w:val="bottom"/>
          </w:tcPr>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2016-17 </w:t>
            </w:r>
          </w:p>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2017-18 </w:t>
            </w:r>
          </w:p>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1" w:type="dxa"/>
            <w:tcBorders>
              <w:top w:val="nil"/>
              <w:left w:val="nil"/>
              <w:right w:val="nil"/>
            </w:tcBorders>
            <w:shd w:val="solid" w:color="000000" w:fill="auto"/>
            <w:vAlign w:val="bottom"/>
          </w:tcPr>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2018-19 </w:t>
            </w:r>
          </w:p>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2019-20 </w:t>
            </w:r>
          </w:p>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r>
      <w:tr w:rsidR="00361FA9" w:rsidRPr="00422B32" w:rsidTr="00361FA9">
        <w:tc>
          <w:tcPr>
            <w:tcW w:w="7765" w:type="dxa"/>
            <w:gridSpan w:val="7"/>
            <w:tcBorders>
              <w:top w:val="single" w:sz="12" w:space="0" w:color="000000"/>
              <w:left w:val="nil"/>
              <w:right w:val="nil"/>
            </w:tcBorders>
            <w:shd w:val="clear" w:color="auto" w:fill="FFFFFF"/>
          </w:tcPr>
          <w:p w:rsidR="00361FA9" w:rsidRPr="00422B32" w:rsidRDefault="00361FA9" w:rsidP="00361FA9">
            <w:pPr>
              <w:pStyle w:val="Heading6"/>
              <w:pageBreakBefore w:val="0"/>
              <w:rPr>
                <w:b w:val="0"/>
                <w:bCs w:val="0"/>
              </w:rPr>
            </w:pPr>
            <w:r w:rsidRPr="00422B32">
              <w:t>Other economic flows – other comprehensive income</w:t>
            </w:r>
          </w:p>
        </w:tc>
      </w:tr>
      <w:tr w:rsidR="00361FA9" w:rsidRPr="00422B32" w:rsidTr="00361FA9">
        <w:tc>
          <w:tcPr>
            <w:tcW w:w="7765" w:type="dxa"/>
            <w:gridSpan w:val="7"/>
            <w:tcBorders>
              <w:top w:val="nil"/>
              <w:left w:val="nil"/>
              <w:right w:val="nil"/>
            </w:tcBorders>
            <w:shd w:val="clear" w:color="auto" w:fill="FFFFFF"/>
          </w:tcPr>
          <w:p w:rsidR="00361FA9" w:rsidRPr="00422B32" w:rsidRDefault="00361FA9" w:rsidP="00361FA9">
            <w:pPr>
              <w:pStyle w:val="Heading6"/>
              <w:pageBreakBefore w:val="0"/>
              <w:rPr>
                <w:b w:val="0"/>
                <w:bCs w:val="0"/>
              </w:rPr>
            </w:pPr>
            <w:r w:rsidRPr="00422B32">
              <w:t>Items that will not be reclassified to net result</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Changes in non-financial assets revaluation surplus</w:t>
            </w:r>
          </w:p>
        </w:tc>
        <w:tc>
          <w:tcPr>
            <w:tcW w:w="850"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1 232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3 367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554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Remeasurement of superannuation defined benefit plans</w:t>
            </w:r>
          </w:p>
        </w:tc>
        <w:tc>
          <w:tcPr>
            <w:tcW w:w="850"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movements in equity</w:t>
            </w:r>
          </w:p>
        </w:tc>
        <w:tc>
          <w:tcPr>
            <w:tcW w:w="850"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122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14</w:t>
            </w:r>
          </w:p>
        </w:tc>
      </w:tr>
      <w:tr w:rsidR="00361FA9" w:rsidRPr="00422B32" w:rsidTr="00361FA9">
        <w:tc>
          <w:tcPr>
            <w:tcW w:w="7765" w:type="dxa"/>
            <w:gridSpan w:val="7"/>
            <w:tcBorders>
              <w:top w:val="nil"/>
              <w:left w:val="nil"/>
              <w:right w:val="nil"/>
            </w:tcBorders>
            <w:shd w:val="clear" w:color="auto" w:fill="FFFFFF"/>
          </w:tcPr>
          <w:p w:rsidR="00361FA9" w:rsidRPr="00422B32" w:rsidRDefault="00361FA9"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Items that may be reclassified subsequently to net result</w:t>
            </w:r>
          </w:p>
        </w:tc>
      </w:tr>
      <w:tr w:rsidR="002C39A3" w:rsidRPr="00422B32" w:rsidTr="00361FA9">
        <w:tc>
          <w:tcPr>
            <w:tcW w:w="3686" w:type="dxa"/>
            <w:gridSpan w:val="2"/>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gain/(loss) on financial assets at fair value</w:t>
            </w:r>
          </w:p>
        </w:tc>
        <w:tc>
          <w:tcPr>
            <w:tcW w:w="678"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w:t>
            </w:r>
          </w:p>
        </w:tc>
        <w:tc>
          <w:tcPr>
            <w:tcW w:w="851"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w:t>
            </w:r>
          </w:p>
        </w:tc>
      </w:tr>
      <w:tr w:rsidR="002C39A3" w:rsidRPr="00422B32" w:rsidTr="00361FA9">
        <w:tc>
          <w:tcPr>
            <w:tcW w:w="3514"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Total other economic flows – </w:t>
            </w:r>
            <w:r w:rsidR="00361FA9">
              <w:rPr>
                <w:rFonts w:ascii="Calibri" w:eastAsiaTheme="minorEastAsia" w:hAnsi="Calibri" w:cs="Calibri"/>
                <w:b/>
                <w:bCs/>
                <w:color w:val="000000"/>
                <w:sz w:val="19"/>
                <w:szCs w:val="19"/>
                <w:lang w:eastAsia="en-AU"/>
              </w:rPr>
              <w:br/>
            </w:r>
            <w:r w:rsidRPr="00422B32">
              <w:rPr>
                <w:rFonts w:ascii="Calibri" w:eastAsiaTheme="minorEastAsia" w:hAnsi="Calibri" w:cs="Calibri"/>
                <w:b/>
                <w:bCs/>
                <w:color w:val="000000"/>
                <w:sz w:val="19"/>
                <w:szCs w:val="19"/>
                <w:lang w:eastAsia="en-AU"/>
              </w:rPr>
              <w:t>other comprehensive income</w:t>
            </w:r>
          </w:p>
        </w:tc>
        <w:tc>
          <w:tcPr>
            <w:tcW w:w="850" w:type="dxa"/>
            <w:gridSpan w:val="2"/>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1 329</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3 489</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w:t>
            </w:r>
          </w:p>
        </w:tc>
        <w:tc>
          <w:tcPr>
            <w:tcW w:w="851"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565</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(4)</w:t>
            </w:r>
          </w:p>
        </w:tc>
      </w:tr>
      <w:tr w:rsidR="002C39A3" w:rsidRPr="00422B32" w:rsidTr="00361FA9">
        <w:tc>
          <w:tcPr>
            <w:tcW w:w="3514"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Comprehensive result – </w:t>
            </w:r>
            <w:r w:rsidR="00361FA9">
              <w:rPr>
                <w:rFonts w:ascii="Calibri" w:eastAsiaTheme="minorEastAsia" w:hAnsi="Calibri" w:cs="Calibri"/>
                <w:b/>
                <w:bCs/>
                <w:color w:val="000000"/>
                <w:sz w:val="19"/>
                <w:szCs w:val="19"/>
                <w:lang w:eastAsia="en-AU"/>
              </w:rPr>
              <w:br/>
            </w:r>
            <w:r w:rsidRPr="00422B32">
              <w:rPr>
                <w:rFonts w:ascii="Calibri" w:eastAsiaTheme="minorEastAsia" w:hAnsi="Calibri" w:cs="Calibri"/>
                <w:b/>
                <w:bCs/>
                <w:color w:val="000000"/>
                <w:sz w:val="19"/>
                <w:szCs w:val="19"/>
                <w:lang w:eastAsia="en-AU"/>
              </w:rPr>
              <w:t>total change in net worth</w:t>
            </w:r>
          </w:p>
        </w:tc>
        <w:tc>
          <w:tcPr>
            <w:tcW w:w="850" w:type="dxa"/>
            <w:gridSpan w:val="2"/>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1 567</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2 806</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(186)</w:t>
            </w:r>
          </w:p>
        </w:tc>
        <w:tc>
          <w:tcPr>
            <w:tcW w:w="851"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256</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(208)</w:t>
            </w:r>
          </w:p>
        </w:tc>
      </w:tr>
      <w:tr w:rsidR="00361FA9" w:rsidRPr="00422B32" w:rsidTr="00361FA9">
        <w:trPr>
          <w:trHeight w:hRule="exact" w:val="120"/>
        </w:trPr>
        <w:tc>
          <w:tcPr>
            <w:tcW w:w="7765" w:type="dxa"/>
            <w:gridSpan w:val="7"/>
            <w:tcBorders>
              <w:top w:val="single" w:sz="12" w:space="0" w:color="000000"/>
              <w:left w:val="nil"/>
              <w:right w:val="nil"/>
            </w:tcBorders>
            <w:shd w:val="clear" w:color="auto" w:fill="FFFFFF"/>
          </w:tcPr>
          <w:p w:rsidR="00361FA9" w:rsidRPr="00422B32" w:rsidRDefault="00361FA9" w:rsidP="00361FA9">
            <w:pPr>
              <w:autoSpaceDE w:val="0"/>
              <w:autoSpaceDN w:val="0"/>
              <w:adjustRightInd w:val="0"/>
              <w:spacing w:after="0"/>
              <w:jc w:val="right"/>
              <w:rPr>
                <w:rFonts w:ascii="Calibri" w:eastAsiaTheme="minorEastAsia" w:hAnsi="Calibri" w:cs="Calibri"/>
                <w:color w:val="000000"/>
                <w:sz w:val="19"/>
                <w:szCs w:val="19"/>
                <w:lang w:eastAsia="en-AU"/>
              </w:rPr>
            </w:pPr>
          </w:p>
        </w:tc>
      </w:tr>
      <w:tr w:rsidR="00361FA9" w:rsidRPr="00422B32" w:rsidTr="00361FA9">
        <w:tc>
          <w:tcPr>
            <w:tcW w:w="7765" w:type="dxa"/>
            <w:gridSpan w:val="7"/>
            <w:tcBorders>
              <w:top w:val="nil"/>
              <w:left w:val="nil"/>
              <w:right w:val="nil"/>
            </w:tcBorders>
            <w:shd w:val="clear" w:color="auto" w:fill="FFFFFF"/>
          </w:tcPr>
          <w:p w:rsidR="00361FA9" w:rsidRPr="00422B32" w:rsidRDefault="00361FA9"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KEY FISCAL AGGREGATES</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Net operating balance</w:t>
            </w:r>
          </w:p>
        </w:tc>
        <w:tc>
          <w:tcPr>
            <w:tcW w:w="850"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44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(669)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(374)</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(496)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(370)</w:t>
            </w:r>
          </w:p>
        </w:tc>
      </w:tr>
      <w:tr w:rsidR="002C39A3" w:rsidRPr="00422B32" w:rsidTr="00361FA9">
        <w:tc>
          <w:tcPr>
            <w:tcW w:w="3514"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Less: Net acquisition of non-financial assets from transactions</w:t>
            </w:r>
          </w:p>
        </w:tc>
        <w:tc>
          <w:tcPr>
            <w:tcW w:w="850" w:type="dxa"/>
            <w:gridSpan w:val="2"/>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2 165</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3 443</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3 161</w:t>
            </w:r>
          </w:p>
        </w:tc>
        <w:tc>
          <w:tcPr>
            <w:tcW w:w="851"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3 339</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2 663</w:t>
            </w:r>
          </w:p>
        </w:tc>
      </w:tr>
      <w:tr w:rsidR="002C39A3" w:rsidRPr="00422B32" w:rsidTr="00361FA9">
        <w:tc>
          <w:tcPr>
            <w:tcW w:w="3514"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Net lending/(borrowing)</w:t>
            </w:r>
          </w:p>
        </w:tc>
        <w:tc>
          <w:tcPr>
            <w:tcW w:w="850" w:type="dxa"/>
            <w:gridSpan w:val="2"/>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(2 122)</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(4 112)</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(3 535)</w:t>
            </w:r>
          </w:p>
        </w:tc>
        <w:tc>
          <w:tcPr>
            <w:tcW w:w="851"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(3 835)</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(3 032)</w:t>
            </w:r>
          </w:p>
        </w:tc>
      </w:tr>
    </w:tbl>
    <w:p w:rsidR="002C39A3" w:rsidRDefault="002C39A3" w:rsidP="00361FA9">
      <w:pPr>
        <w:pStyle w:val="Source"/>
      </w:pPr>
      <w:r>
        <w:t>Source: Department of Treasury and Finance</w:t>
      </w:r>
    </w:p>
    <w:p w:rsidR="002C39A3" w:rsidRDefault="002C39A3" w:rsidP="00361FA9">
      <w:pPr>
        <w:pStyle w:val="Notes"/>
      </w:pPr>
      <w:r>
        <w:t>Note:</w:t>
      </w:r>
    </w:p>
    <w:p w:rsidR="002C39A3" w:rsidRPr="00214E6C" w:rsidRDefault="002C39A3" w:rsidP="00361FA9">
      <w:pPr>
        <w:pStyle w:val="Notes"/>
      </w:pPr>
      <w:r>
        <w:t>(a)</w:t>
      </w:r>
      <w:r>
        <w:tab/>
        <w:t>Certain line items have been aggregated in the table above due to the  commercial sensitivities of certain balances.</w:t>
      </w:r>
    </w:p>
    <w:p w:rsidR="002C39A3" w:rsidRDefault="002C39A3">
      <w:pPr>
        <w:spacing w:after="0"/>
        <w:rPr>
          <w:rFonts w:ascii="Calibri" w:hAnsi="Calibri"/>
          <w:b/>
        </w:rPr>
      </w:pPr>
      <w:r>
        <w:br w:type="page"/>
      </w:r>
    </w:p>
    <w:p w:rsidR="002C39A3" w:rsidRDefault="002C39A3" w:rsidP="00361FA9">
      <w:pPr>
        <w:pStyle w:val="Tableheading"/>
      </w:pPr>
      <w:r>
        <w:t>Table 2.2:</w:t>
      </w:r>
      <w:r>
        <w:tab/>
        <w:t>Public non</w:t>
      </w:r>
      <w:r>
        <w:noBreakHyphen/>
        <w:t>financial corporations sector balance sheet as at 30 June</w:t>
      </w:r>
    </w:p>
    <w:p w:rsidR="002C39A3" w:rsidRPr="00422B32" w:rsidRDefault="002C39A3" w:rsidP="00361FA9">
      <w:pPr>
        <w:pStyle w:val="million"/>
        <w:rPr>
          <w:b/>
          <w:bCs/>
          <w:sz w:val="15"/>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361FA9" w:rsidRPr="00422B32" w:rsidTr="00361FA9">
        <w:trPr>
          <w:trHeight w:val="464"/>
          <w:tblHeader/>
        </w:trPr>
        <w:tc>
          <w:tcPr>
            <w:tcW w:w="3515" w:type="dxa"/>
            <w:tcBorders>
              <w:top w:val="nil"/>
              <w:left w:val="nil"/>
              <w:right w:val="nil"/>
            </w:tcBorders>
            <w:shd w:val="solid" w:color="000000" w:fill="auto"/>
            <w:vAlign w:val="bottom"/>
          </w:tcPr>
          <w:p w:rsidR="00361FA9" w:rsidRPr="00422B32" w:rsidRDefault="00361FA9" w:rsidP="00361FA9">
            <w:pPr>
              <w:pStyle w:val="Source"/>
              <w:spacing w:after="0"/>
              <w:rPr>
                <w:rFonts w:eastAsiaTheme="minorEastAsia" w:cs="Calibri"/>
                <w:iCs/>
                <w:color w:val="FFFFFF"/>
                <w:sz w:val="19"/>
                <w:szCs w:val="19"/>
                <w:lang w:eastAsia="en-AU"/>
              </w:rPr>
            </w:pPr>
          </w:p>
        </w:tc>
        <w:tc>
          <w:tcPr>
            <w:tcW w:w="850" w:type="dxa"/>
            <w:tcBorders>
              <w:top w:val="nil"/>
              <w:left w:val="nil"/>
              <w:right w:val="nil"/>
            </w:tcBorders>
            <w:shd w:val="solid" w:color="000000" w:fill="auto"/>
            <w:vAlign w:val="bottom"/>
          </w:tcPr>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2016 </w:t>
            </w:r>
          </w:p>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revised</w:t>
            </w:r>
          </w:p>
        </w:tc>
        <w:tc>
          <w:tcPr>
            <w:tcW w:w="850" w:type="dxa"/>
            <w:tcBorders>
              <w:top w:val="nil"/>
              <w:left w:val="nil"/>
              <w:right w:val="nil"/>
            </w:tcBorders>
            <w:shd w:val="solid" w:color="000000" w:fill="auto"/>
            <w:vAlign w:val="bottom"/>
          </w:tcPr>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2017 </w:t>
            </w:r>
          </w:p>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2018 </w:t>
            </w:r>
          </w:p>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2019 </w:t>
            </w:r>
          </w:p>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2020 </w:t>
            </w:r>
          </w:p>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r>
      <w:tr w:rsidR="00361FA9" w:rsidRPr="00422B32" w:rsidTr="00361FA9">
        <w:tc>
          <w:tcPr>
            <w:tcW w:w="7765" w:type="dxa"/>
            <w:gridSpan w:val="6"/>
            <w:tcBorders>
              <w:top w:val="nil"/>
              <w:left w:val="nil"/>
              <w:right w:val="nil"/>
            </w:tcBorders>
            <w:shd w:val="clear" w:color="auto" w:fill="FFFFFF"/>
          </w:tcPr>
          <w:p w:rsidR="00361FA9" w:rsidRPr="00422B32" w:rsidRDefault="00361FA9"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Assets</w:t>
            </w:r>
          </w:p>
        </w:tc>
      </w:tr>
      <w:tr w:rsidR="00361FA9" w:rsidRPr="00422B32" w:rsidTr="00361FA9">
        <w:tc>
          <w:tcPr>
            <w:tcW w:w="7765" w:type="dxa"/>
            <w:gridSpan w:val="6"/>
            <w:tcBorders>
              <w:top w:val="nil"/>
              <w:left w:val="nil"/>
              <w:right w:val="nil"/>
            </w:tcBorders>
            <w:shd w:val="clear" w:color="auto" w:fill="FFFFFF"/>
          </w:tcPr>
          <w:p w:rsidR="00361FA9" w:rsidRPr="00422B32" w:rsidRDefault="00361FA9"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Financial assets</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Cash and deposits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751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775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676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682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667</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Advances paid</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5 707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4 637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3 880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2 947</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Receivables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1 439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1 580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1 590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1 622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1 620</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Investments, loans and placements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945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712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687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703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720</w:t>
            </w:r>
          </w:p>
        </w:tc>
      </w:tr>
      <w:tr w:rsidR="002C39A3" w:rsidRPr="00422B32" w:rsidTr="00361FA9">
        <w:tc>
          <w:tcPr>
            <w:tcW w:w="3515"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Investments accounted for using equity method</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1 565</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1 568</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1 572</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1 578</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1 578</w:t>
            </w:r>
          </w:p>
        </w:tc>
      </w:tr>
      <w:tr w:rsidR="002C39A3" w:rsidRPr="00422B32" w:rsidTr="00361FA9">
        <w:tc>
          <w:tcPr>
            <w:tcW w:w="3515"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financial assets</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4 742</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10 343</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9 163</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8 465</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7 532</w:t>
            </w:r>
          </w:p>
        </w:tc>
      </w:tr>
      <w:tr w:rsidR="00361FA9" w:rsidRPr="00422B32" w:rsidTr="00361FA9">
        <w:tc>
          <w:tcPr>
            <w:tcW w:w="7765" w:type="dxa"/>
            <w:gridSpan w:val="6"/>
            <w:tcBorders>
              <w:top w:val="nil"/>
              <w:left w:val="nil"/>
              <w:right w:val="nil"/>
            </w:tcBorders>
            <w:shd w:val="clear" w:color="auto" w:fill="FFFFFF"/>
          </w:tcPr>
          <w:p w:rsidR="00361FA9" w:rsidRPr="00422B32" w:rsidRDefault="00361FA9"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Non-financial assets</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Inventories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447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610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695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791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763</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Non-financial assets held for sale</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Land, buildings, infrastructure, plant and equipment</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103 236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108 889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111 926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115 711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118 370</w:t>
            </w:r>
          </w:p>
        </w:tc>
      </w:tr>
      <w:tr w:rsidR="002C39A3" w:rsidRPr="00422B32" w:rsidTr="00361FA9">
        <w:tc>
          <w:tcPr>
            <w:tcW w:w="3515"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non-financial assets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1 397</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1 357</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1 352</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1 339</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1 335</w:t>
            </w:r>
          </w:p>
        </w:tc>
      </w:tr>
      <w:tr w:rsidR="002C39A3" w:rsidRPr="00422B32" w:rsidTr="00361FA9">
        <w:tc>
          <w:tcPr>
            <w:tcW w:w="3515"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non-financial assets</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105 086</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110 856</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113 973</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117 841</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120 468</w:t>
            </w:r>
          </w:p>
        </w:tc>
      </w:tr>
      <w:tr w:rsidR="002C39A3" w:rsidRPr="00422B32" w:rsidTr="00361FA9">
        <w:tc>
          <w:tcPr>
            <w:tcW w:w="3515"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assets</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109 828</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121 199</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123 136</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126 306</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128 000</w:t>
            </w:r>
          </w:p>
        </w:tc>
      </w:tr>
      <w:tr w:rsidR="00361FA9" w:rsidRPr="00422B32" w:rsidTr="00361FA9">
        <w:tc>
          <w:tcPr>
            <w:tcW w:w="7765" w:type="dxa"/>
            <w:gridSpan w:val="6"/>
            <w:tcBorders>
              <w:top w:val="nil"/>
              <w:left w:val="nil"/>
              <w:right w:val="nil"/>
            </w:tcBorders>
            <w:shd w:val="clear" w:color="auto" w:fill="FFFFFF"/>
          </w:tcPr>
          <w:p w:rsidR="00361FA9" w:rsidRPr="00422B32" w:rsidRDefault="00361FA9"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Liabilities</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Deposits held and advances received</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427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6 093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5 027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4 270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3 334</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Payables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1 213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6 737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6 561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6 454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6 361</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Borrowings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16 099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16 815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17 175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17 545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17 931</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Employee benefits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377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368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371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377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381</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Superannuation</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43</w:t>
            </w:r>
          </w:p>
        </w:tc>
      </w:tr>
      <w:tr w:rsidR="002C39A3" w:rsidRPr="00422B32" w:rsidTr="00361FA9">
        <w:tc>
          <w:tcPr>
            <w:tcW w:w="3515"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provisions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9 228</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8 337</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8 126</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7 928</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7 750</w:t>
            </w:r>
          </w:p>
        </w:tc>
      </w:tr>
      <w:tr w:rsidR="002C39A3" w:rsidRPr="00422B32" w:rsidTr="00361FA9">
        <w:tc>
          <w:tcPr>
            <w:tcW w:w="3515"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liabilities</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27 388</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38 394</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37 303</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36 618</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35 801</w:t>
            </w:r>
          </w:p>
        </w:tc>
      </w:tr>
      <w:tr w:rsidR="002C39A3" w:rsidRPr="00422B32" w:rsidTr="00361FA9">
        <w:tc>
          <w:tcPr>
            <w:tcW w:w="3515"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Net assets</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82 441</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82 805</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85 833</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89 689</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92 199</w:t>
            </w:r>
          </w:p>
        </w:tc>
      </w:tr>
      <w:tr w:rsidR="002C39A3" w:rsidRPr="00422B32" w:rsidTr="00361FA9">
        <w:tc>
          <w:tcPr>
            <w:tcW w:w="3515"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Accumulated surplus/(deficit)</w:t>
            </w:r>
          </w:p>
        </w:tc>
        <w:tc>
          <w:tcPr>
            <w:tcW w:w="850"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4 576</w:t>
            </w:r>
          </w:p>
        </w:tc>
        <w:tc>
          <w:tcPr>
            <w:tcW w:w="850"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3 344</w:t>
            </w:r>
          </w:p>
        </w:tc>
        <w:tc>
          <w:tcPr>
            <w:tcW w:w="850"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2 951</w:t>
            </w:r>
          </w:p>
        </w:tc>
        <w:tc>
          <w:tcPr>
            <w:tcW w:w="850"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2 456</w:t>
            </w:r>
          </w:p>
        </w:tc>
        <w:tc>
          <w:tcPr>
            <w:tcW w:w="850"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2 101</w:t>
            </w:r>
          </w:p>
        </w:tc>
      </w:tr>
      <w:tr w:rsidR="002C39A3" w:rsidRPr="00422B32" w:rsidTr="00361FA9">
        <w:tc>
          <w:tcPr>
            <w:tcW w:w="3515"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Reserves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77 865</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79 461</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82 882</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87 233</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90 098</w:t>
            </w:r>
          </w:p>
        </w:tc>
      </w:tr>
      <w:tr w:rsidR="002C39A3" w:rsidRPr="00422B32" w:rsidTr="00361FA9">
        <w:tc>
          <w:tcPr>
            <w:tcW w:w="3515"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Net worth</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82 441</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82 805</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85 833</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89 689</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92 199</w:t>
            </w:r>
          </w:p>
        </w:tc>
      </w:tr>
      <w:tr w:rsidR="00361FA9" w:rsidRPr="00422B32" w:rsidTr="00361FA9">
        <w:trPr>
          <w:trHeight w:hRule="exact" w:val="120"/>
        </w:trPr>
        <w:tc>
          <w:tcPr>
            <w:tcW w:w="7765" w:type="dxa"/>
            <w:gridSpan w:val="6"/>
            <w:tcBorders>
              <w:top w:val="single" w:sz="12" w:space="0" w:color="000000"/>
              <w:left w:val="nil"/>
              <w:right w:val="nil"/>
            </w:tcBorders>
            <w:shd w:val="clear" w:color="auto" w:fill="FFFFFF"/>
          </w:tcPr>
          <w:p w:rsidR="00361FA9" w:rsidRPr="00422B32" w:rsidRDefault="00361FA9" w:rsidP="00361FA9">
            <w:pPr>
              <w:autoSpaceDE w:val="0"/>
              <w:autoSpaceDN w:val="0"/>
              <w:adjustRightInd w:val="0"/>
              <w:spacing w:after="0"/>
              <w:jc w:val="right"/>
              <w:rPr>
                <w:rFonts w:ascii="Calibri" w:eastAsiaTheme="minorEastAsia" w:hAnsi="Calibri" w:cs="Calibri"/>
                <w:color w:val="000000"/>
                <w:sz w:val="19"/>
                <w:szCs w:val="19"/>
                <w:lang w:eastAsia="en-AU"/>
              </w:rPr>
            </w:pPr>
          </w:p>
        </w:tc>
      </w:tr>
      <w:tr w:rsidR="00361FA9" w:rsidRPr="00422B32" w:rsidTr="00361FA9">
        <w:tc>
          <w:tcPr>
            <w:tcW w:w="7765" w:type="dxa"/>
            <w:gridSpan w:val="6"/>
            <w:tcBorders>
              <w:top w:val="nil"/>
              <w:left w:val="nil"/>
              <w:right w:val="nil"/>
            </w:tcBorders>
            <w:shd w:val="clear" w:color="auto" w:fill="FFFFFF"/>
          </w:tcPr>
          <w:p w:rsidR="00361FA9" w:rsidRPr="00422B32" w:rsidRDefault="00361FA9"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FISCAL AGGREGATES</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financial worth</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(22 645)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(28 051)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(28 140)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(28 152)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(28 269)</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financial liabilities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22 645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28 051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28 140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28 152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28 269</w:t>
            </w:r>
          </w:p>
        </w:tc>
      </w:tr>
      <w:tr w:rsidR="002C39A3" w:rsidRPr="00422B32" w:rsidTr="00361FA9">
        <w:tc>
          <w:tcPr>
            <w:tcW w:w="3515" w:type="dxa"/>
            <w:tcBorders>
              <w:top w:val="nil"/>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debt</w:t>
            </w:r>
          </w:p>
        </w:tc>
        <w:tc>
          <w:tcPr>
            <w:tcW w:w="850" w:type="dxa"/>
            <w:tcBorders>
              <w:top w:val="nil"/>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14 788</w:t>
            </w:r>
          </w:p>
        </w:tc>
        <w:tc>
          <w:tcPr>
            <w:tcW w:w="850" w:type="dxa"/>
            <w:tcBorders>
              <w:top w:val="nil"/>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15 714</w:t>
            </w:r>
          </w:p>
        </w:tc>
        <w:tc>
          <w:tcPr>
            <w:tcW w:w="850" w:type="dxa"/>
            <w:tcBorders>
              <w:top w:val="nil"/>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16 201</w:t>
            </w:r>
          </w:p>
        </w:tc>
        <w:tc>
          <w:tcPr>
            <w:tcW w:w="850" w:type="dxa"/>
            <w:tcBorders>
              <w:top w:val="nil"/>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16 550</w:t>
            </w:r>
          </w:p>
        </w:tc>
        <w:tc>
          <w:tcPr>
            <w:tcW w:w="850" w:type="dxa"/>
            <w:tcBorders>
              <w:top w:val="nil"/>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16 932</w:t>
            </w:r>
          </w:p>
        </w:tc>
      </w:tr>
    </w:tbl>
    <w:p w:rsidR="002C39A3" w:rsidRPr="00FD123E" w:rsidRDefault="002C39A3" w:rsidP="00361FA9">
      <w:pPr>
        <w:pStyle w:val="Source"/>
      </w:pPr>
      <w:r w:rsidRPr="00FD123E">
        <w:t>Source: Department of T</w:t>
      </w:r>
      <w:r>
        <w:t>reasury and Finance</w:t>
      </w:r>
    </w:p>
    <w:p w:rsidR="002C39A3" w:rsidRDefault="002C39A3">
      <w:pPr>
        <w:spacing w:after="0"/>
        <w:rPr>
          <w:rFonts w:ascii="Calibri" w:hAnsi="Calibri"/>
          <w:b/>
        </w:rPr>
      </w:pPr>
      <w:r>
        <w:br w:type="page"/>
      </w:r>
    </w:p>
    <w:p w:rsidR="002C39A3" w:rsidRDefault="002C39A3" w:rsidP="00361FA9">
      <w:pPr>
        <w:pStyle w:val="Tableheading"/>
      </w:pPr>
      <w:r>
        <w:t>Table 2.3:</w:t>
      </w:r>
      <w:r>
        <w:tab/>
        <w:t>Public non</w:t>
      </w:r>
      <w:r>
        <w:noBreakHyphen/>
        <w:t>financial corporations sector cash flow statement for the financial year ended 30 June</w:t>
      </w:r>
      <w:r w:rsidRPr="005A74ED">
        <w:rPr>
          <w:vertAlign w:val="superscript"/>
        </w:rPr>
        <w:t>(a)</w:t>
      </w:r>
    </w:p>
    <w:p w:rsidR="002C39A3" w:rsidRPr="00422B32" w:rsidRDefault="002C39A3" w:rsidP="00361FA9">
      <w:pPr>
        <w:pStyle w:val="million"/>
        <w:rPr>
          <w:b/>
          <w:bCs/>
          <w:sz w:val="15"/>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119"/>
        <w:gridCol w:w="396"/>
        <w:gridCol w:w="171"/>
        <w:gridCol w:w="679"/>
        <w:gridCol w:w="850"/>
        <w:gridCol w:w="850"/>
        <w:gridCol w:w="850"/>
        <w:gridCol w:w="850"/>
      </w:tblGrid>
      <w:tr w:rsidR="00361FA9" w:rsidRPr="00422B32" w:rsidTr="00361FA9">
        <w:trPr>
          <w:trHeight w:val="464"/>
          <w:tblHeader/>
        </w:trPr>
        <w:tc>
          <w:tcPr>
            <w:tcW w:w="3515" w:type="dxa"/>
            <w:gridSpan w:val="2"/>
            <w:tcBorders>
              <w:top w:val="nil"/>
              <w:left w:val="nil"/>
              <w:right w:val="nil"/>
            </w:tcBorders>
            <w:shd w:val="solid" w:color="000000" w:fill="auto"/>
            <w:vAlign w:val="bottom"/>
          </w:tcPr>
          <w:p w:rsidR="00361FA9" w:rsidRPr="00422B32" w:rsidRDefault="00361FA9" w:rsidP="00361FA9">
            <w:pPr>
              <w:pStyle w:val="Source"/>
              <w:spacing w:after="0"/>
              <w:rPr>
                <w:rFonts w:eastAsiaTheme="minorEastAsia" w:cs="Calibri"/>
                <w:iCs/>
                <w:color w:val="FFFFFF"/>
                <w:sz w:val="19"/>
                <w:szCs w:val="19"/>
                <w:lang w:eastAsia="en-AU"/>
              </w:rPr>
            </w:pPr>
          </w:p>
        </w:tc>
        <w:tc>
          <w:tcPr>
            <w:tcW w:w="850" w:type="dxa"/>
            <w:gridSpan w:val="2"/>
            <w:tcBorders>
              <w:top w:val="nil"/>
              <w:left w:val="nil"/>
              <w:right w:val="nil"/>
            </w:tcBorders>
            <w:shd w:val="solid" w:color="000000" w:fill="auto"/>
            <w:vAlign w:val="bottom"/>
          </w:tcPr>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2015-16 </w:t>
            </w:r>
          </w:p>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revised</w:t>
            </w:r>
          </w:p>
        </w:tc>
        <w:tc>
          <w:tcPr>
            <w:tcW w:w="850" w:type="dxa"/>
            <w:tcBorders>
              <w:top w:val="nil"/>
              <w:left w:val="nil"/>
              <w:right w:val="nil"/>
            </w:tcBorders>
            <w:shd w:val="solid" w:color="000000" w:fill="auto"/>
            <w:vAlign w:val="bottom"/>
          </w:tcPr>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2016-17 </w:t>
            </w:r>
          </w:p>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budget</w:t>
            </w:r>
          </w:p>
        </w:tc>
        <w:tc>
          <w:tcPr>
            <w:tcW w:w="850" w:type="dxa"/>
            <w:tcBorders>
              <w:top w:val="nil"/>
              <w:left w:val="nil"/>
              <w:right w:val="nil"/>
            </w:tcBorders>
            <w:shd w:val="solid" w:color="000000" w:fill="auto"/>
            <w:vAlign w:val="bottom"/>
          </w:tcPr>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2017-18 </w:t>
            </w:r>
          </w:p>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2018-19 </w:t>
            </w:r>
          </w:p>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2019-20 </w:t>
            </w:r>
          </w:p>
          <w:p w:rsidR="00361FA9" w:rsidRPr="00422B32" w:rsidRDefault="00361FA9"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r>
      <w:tr w:rsidR="00AA19A0" w:rsidRPr="00422B32" w:rsidTr="006042B2">
        <w:tc>
          <w:tcPr>
            <w:tcW w:w="7765" w:type="dxa"/>
            <w:gridSpan w:val="8"/>
            <w:tcBorders>
              <w:top w:val="nil"/>
              <w:left w:val="nil"/>
              <w:right w:val="nil"/>
            </w:tcBorders>
            <w:shd w:val="clear" w:color="auto" w:fill="FFFFFF"/>
          </w:tcPr>
          <w:p w:rsidR="00AA19A0" w:rsidRPr="00422B32" w:rsidRDefault="00AA19A0" w:rsidP="00AA19A0">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Cash flows from operating activities</w:t>
            </w:r>
          </w:p>
        </w:tc>
      </w:tr>
      <w:tr w:rsidR="00AA19A0" w:rsidRPr="00422B32" w:rsidTr="006042B2">
        <w:tc>
          <w:tcPr>
            <w:tcW w:w="7765" w:type="dxa"/>
            <w:gridSpan w:val="8"/>
            <w:tcBorders>
              <w:top w:val="nil"/>
              <w:left w:val="nil"/>
              <w:right w:val="nil"/>
            </w:tcBorders>
            <w:shd w:val="clear" w:color="auto" w:fill="FFFFFF"/>
          </w:tcPr>
          <w:p w:rsidR="00AA19A0" w:rsidRPr="00422B32" w:rsidRDefault="00AA19A0" w:rsidP="00AA19A0">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Receipts </w:t>
            </w:r>
          </w:p>
        </w:tc>
      </w:tr>
      <w:tr w:rsidR="002C39A3" w:rsidRPr="00422B32" w:rsidTr="00361FA9">
        <w:tc>
          <w:tcPr>
            <w:tcW w:w="3515"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Grants</w:t>
            </w:r>
          </w:p>
        </w:tc>
        <w:tc>
          <w:tcPr>
            <w:tcW w:w="850"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3 150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3 315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3 369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3 321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3 249</w:t>
            </w:r>
          </w:p>
        </w:tc>
      </w:tr>
      <w:tr w:rsidR="002C39A3" w:rsidRPr="00422B32" w:rsidTr="00361FA9">
        <w:tc>
          <w:tcPr>
            <w:tcW w:w="3515"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422B32">
              <w:rPr>
                <w:rFonts w:ascii="Calibri" w:eastAsiaTheme="minorEastAsia" w:hAnsi="Calibri" w:cs="Calibri"/>
                <w:color w:val="000000"/>
                <w:sz w:val="19"/>
                <w:szCs w:val="19"/>
                <w:lang w:eastAsia="en-AU"/>
              </w:rPr>
              <w:t xml:space="preserve">Sales of goods and services </w:t>
            </w:r>
            <w:r w:rsidRPr="00422B32">
              <w:rPr>
                <w:rFonts w:ascii="Calibri" w:eastAsiaTheme="minorEastAsia" w:hAnsi="Calibri" w:cs="Calibri"/>
                <w:color w:val="000000"/>
                <w:sz w:val="19"/>
                <w:szCs w:val="19"/>
                <w:vertAlign w:val="superscript"/>
                <w:lang w:eastAsia="en-AU"/>
              </w:rPr>
              <w:t>(b)</w:t>
            </w:r>
          </w:p>
        </w:tc>
        <w:tc>
          <w:tcPr>
            <w:tcW w:w="850"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7 095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12 624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7 315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7 190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7 290</w:t>
            </w:r>
          </w:p>
        </w:tc>
      </w:tr>
      <w:tr w:rsidR="002C39A3" w:rsidRPr="00422B32" w:rsidTr="00361FA9">
        <w:tc>
          <w:tcPr>
            <w:tcW w:w="3515"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Interest received</w:t>
            </w:r>
          </w:p>
        </w:tc>
        <w:tc>
          <w:tcPr>
            <w:tcW w:w="850"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106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127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112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113</w:t>
            </w:r>
          </w:p>
        </w:tc>
      </w:tr>
      <w:tr w:rsidR="002C39A3" w:rsidRPr="00422B32" w:rsidTr="00361FA9">
        <w:tc>
          <w:tcPr>
            <w:tcW w:w="3515"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Dividend receipts</w:t>
            </w:r>
          </w:p>
        </w:tc>
        <w:tc>
          <w:tcPr>
            <w:tcW w:w="850"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19</w:t>
            </w:r>
          </w:p>
        </w:tc>
      </w:tr>
      <w:tr w:rsidR="002C39A3" w:rsidRPr="00422B32" w:rsidTr="00361FA9">
        <w:tc>
          <w:tcPr>
            <w:tcW w:w="3515" w:type="dxa"/>
            <w:gridSpan w:val="2"/>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receipts</w:t>
            </w:r>
          </w:p>
        </w:tc>
        <w:tc>
          <w:tcPr>
            <w:tcW w:w="850" w:type="dxa"/>
            <w:gridSpan w:val="2"/>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144</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124</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333</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274</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297</w:t>
            </w:r>
          </w:p>
        </w:tc>
      </w:tr>
      <w:tr w:rsidR="002C39A3" w:rsidRPr="00422B32" w:rsidTr="00361FA9">
        <w:tc>
          <w:tcPr>
            <w:tcW w:w="3515" w:type="dxa"/>
            <w:gridSpan w:val="2"/>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receipts</w:t>
            </w:r>
          </w:p>
        </w:tc>
        <w:tc>
          <w:tcPr>
            <w:tcW w:w="850" w:type="dxa"/>
            <w:gridSpan w:val="2"/>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10 436</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16 187</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11 162</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10 916</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10 969</w:t>
            </w:r>
          </w:p>
        </w:tc>
      </w:tr>
      <w:tr w:rsidR="002C39A3" w:rsidRPr="00422B32" w:rsidTr="00361FA9">
        <w:tc>
          <w:tcPr>
            <w:tcW w:w="3515"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Payments</w:t>
            </w:r>
          </w:p>
        </w:tc>
        <w:tc>
          <w:tcPr>
            <w:tcW w:w="850"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r>
      <w:tr w:rsidR="002C39A3" w:rsidRPr="00422B32" w:rsidTr="00361FA9">
        <w:tc>
          <w:tcPr>
            <w:tcW w:w="3515"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Payments for employees</w:t>
            </w:r>
          </w:p>
        </w:tc>
        <w:tc>
          <w:tcPr>
            <w:tcW w:w="850"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(1 148)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(1 167)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(1 167)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(1 194)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(1 229)</w:t>
            </w:r>
          </w:p>
        </w:tc>
      </w:tr>
      <w:tr w:rsidR="002C39A3" w:rsidRPr="00422B32" w:rsidTr="00361FA9">
        <w:tc>
          <w:tcPr>
            <w:tcW w:w="3515"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Superannuation</w:t>
            </w:r>
          </w:p>
        </w:tc>
        <w:tc>
          <w:tcPr>
            <w:tcW w:w="850"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(100)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(102)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(104)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(107)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(109)</w:t>
            </w:r>
          </w:p>
        </w:tc>
      </w:tr>
      <w:tr w:rsidR="002C39A3" w:rsidRPr="00422B32" w:rsidTr="00361FA9">
        <w:tc>
          <w:tcPr>
            <w:tcW w:w="3515"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Interest paid</w:t>
            </w:r>
          </w:p>
        </w:tc>
        <w:tc>
          <w:tcPr>
            <w:tcW w:w="850"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(1 063)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(1 135)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(1 130)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(1 123)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(1 116)</w:t>
            </w:r>
          </w:p>
        </w:tc>
      </w:tr>
      <w:tr w:rsidR="002C39A3" w:rsidRPr="00422B32" w:rsidTr="00361FA9">
        <w:tc>
          <w:tcPr>
            <w:tcW w:w="3515"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Grants and subsidies</w:t>
            </w:r>
          </w:p>
        </w:tc>
        <w:tc>
          <w:tcPr>
            <w:tcW w:w="850"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(104)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(46)</w:t>
            </w:r>
          </w:p>
        </w:tc>
      </w:tr>
      <w:tr w:rsidR="002C39A3" w:rsidRPr="00422B32" w:rsidTr="00361FA9">
        <w:tc>
          <w:tcPr>
            <w:tcW w:w="3515"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422B32">
              <w:rPr>
                <w:rFonts w:ascii="Calibri" w:eastAsiaTheme="minorEastAsia" w:hAnsi="Calibri" w:cs="Calibri"/>
                <w:color w:val="000000"/>
                <w:sz w:val="19"/>
                <w:szCs w:val="19"/>
                <w:lang w:eastAsia="en-AU"/>
              </w:rPr>
              <w:t xml:space="preserve">Goods and services </w:t>
            </w:r>
            <w:r w:rsidRPr="00422B32">
              <w:rPr>
                <w:rFonts w:ascii="Calibri" w:eastAsiaTheme="minorEastAsia" w:hAnsi="Calibri" w:cs="Calibri"/>
                <w:color w:val="000000"/>
                <w:sz w:val="19"/>
                <w:szCs w:val="19"/>
                <w:vertAlign w:val="superscript"/>
                <w:lang w:eastAsia="en-AU"/>
              </w:rPr>
              <w:t>(b)</w:t>
            </w:r>
          </w:p>
        </w:tc>
        <w:tc>
          <w:tcPr>
            <w:tcW w:w="850"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(4 485)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(4 138)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(4 602)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(4 140)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(4 070)</w:t>
            </w:r>
          </w:p>
        </w:tc>
      </w:tr>
      <w:tr w:rsidR="002C39A3" w:rsidRPr="00422B32" w:rsidTr="00361FA9">
        <w:tc>
          <w:tcPr>
            <w:tcW w:w="3515" w:type="dxa"/>
            <w:gridSpan w:val="2"/>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payments</w:t>
            </w:r>
          </w:p>
        </w:tc>
        <w:tc>
          <w:tcPr>
            <w:tcW w:w="850" w:type="dxa"/>
            <w:gridSpan w:val="2"/>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(2 065)</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(2 421)</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(2 527)</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(2 685)</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(2 683)</w:t>
            </w:r>
          </w:p>
        </w:tc>
      </w:tr>
      <w:tr w:rsidR="002C39A3" w:rsidRPr="00422B32" w:rsidTr="00361FA9">
        <w:tc>
          <w:tcPr>
            <w:tcW w:w="3515" w:type="dxa"/>
            <w:gridSpan w:val="2"/>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payments</w:t>
            </w:r>
          </w:p>
        </w:tc>
        <w:tc>
          <w:tcPr>
            <w:tcW w:w="850" w:type="dxa"/>
            <w:gridSpan w:val="2"/>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(8 952)</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(9 068)</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(9 582)</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(9 294)</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(9 253)</w:t>
            </w:r>
          </w:p>
        </w:tc>
      </w:tr>
      <w:tr w:rsidR="002C39A3" w:rsidRPr="00422B32" w:rsidTr="00361FA9">
        <w:tc>
          <w:tcPr>
            <w:tcW w:w="3515" w:type="dxa"/>
            <w:gridSpan w:val="2"/>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Net cash flows from operating activities</w:t>
            </w:r>
          </w:p>
        </w:tc>
        <w:tc>
          <w:tcPr>
            <w:tcW w:w="850" w:type="dxa"/>
            <w:gridSpan w:val="2"/>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1 484</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7 119</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1 580</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1 621</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1 716</w:t>
            </w:r>
          </w:p>
        </w:tc>
      </w:tr>
      <w:tr w:rsidR="00AA19A0" w:rsidRPr="00422B32" w:rsidTr="006042B2">
        <w:tc>
          <w:tcPr>
            <w:tcW w:w="7765" w:type="dxa"/>
            <w:gridSpan w:val="8"/>
            <w:tcBorders>
              <w:top w:val="nil"/>
              <w:left w:val="nil"/>
              <w:right w:val="nil"/>
            </w:tcBorders>
            <w:shd w:val="clear" w:color="auto" w:fill="FFFFFF"/>
          </w:tcPr>
          <w:p w:rsidR="00AA19A0" w:rsidRPr="00422B32" w:rsidRDefault="00AA19A0" w:rsidP="00AA19A0">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Cash flows from investing activities</w:t>
            </w:r>
          </w:p>
        </w:tc>
      </w:tr>
      <w:tr w:rsidR="002C39A3" w:rsidRPr="00422B32" w:rsidTr="00361FA9">
        <w:tc>
          <w:tcPr>
            <w:tcW w:w="3119"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cash flows from investments in non-financial assets</w:t>
            </w:r>
          </w:p>
        </w:tc>
        <w:tc>
          <w:tcPr>
            <w:tcW w:w="1246" w:type="dxa"/>
            <w:gridSpan w:val="3"/>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(2 351)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(2 000)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(2 295)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(2 237)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(2 121)</w:t>
            </w:r>
          </w:p>
        </w:tc>
      </w:tr>
      <w:tr w:rsidR="002C39A3" w:rsidRPr="00422B32" w:rsidTr="00361FA9">
        <w:tc>
          <w:tcPr>
            <w:tcW w:w="3515"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Net cash flows from investments in </w:t>
            </w:r>
            <w:r w:rsidR="00AA19A0">
              <w:rPr>
                <w:rFonts w:ascii="Calibri" w:eastAsiaTheme="minorEastAsia" w:hAnsi="Calibri" w:cs="Calibri"/>
                <w:color w:val="000000"/>
                <w:sz w:val="19"/>
                <w:szCs w:val="19"/>
                <w:lang w:eastAsia="en-AU"/>
              </w:rPr>
              <w:br/>
            </w:r>
            <w:r w:rsidRPr="00422B32">
              <w:rPr>
                <w:rFonts w:ascii="Calibri" w:eastAsiaTheme="minorEastAsia" w:hAnsi="Calibri" w:cs="Calibri"/>
                <w:color w:val="000000"/>
                <w:sz w:val="19"/>
                <w:szCs w:val="19"/>
                <w:lang w:eastAsia="en-AU"/>
              </w:rPr>
              <w:t>financial assets for policy purposes</w:t>
            </w:r>
          </w:p>
        </w:tc>
        <w:tc>
          <w:tcPr>
            <w:tcW w:w="850"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156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(5 526)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1 132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826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998</w:t>
            </w:r>
          </w:p>
        </w:tc>
      </w:tr>
      <w:tr w:rsidR="002C39A3" w:rsidRPr="00422B32" w:rsidTr="00361FA9">
        <w:tc>
          <w:tcPr>
            <w:tcW w:w="3686" w:type="dxa"/>
            <w:gridSpan w:val="3"/>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cash flows from investment in financial assets for liquidity management purposes</w:t>
            </w:r>
          </w:p>
        </w:tc>
        <w:tc>
          <w:tcPr>
            <w:tcW w:w="679"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40</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239</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30</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(15)</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(20)</w:t>
            </w:r>
          </w:p>
        </w:tc>
      </w:tr>
      <w:tr w:rsidR="002C39A3" w:rsidRPr="00422B32" w:rsidTr="00361FA9">
        <w:tc>
          <w:tcPr>
            <w:tcW w:w="3515" w:type="dxa"/>
            <w:gridSpan w:val="2"/>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Net cash flows from investing activities</w:t>
            </w:r>
          </w:p>
        </w:tc>
        <w:tc>
          <w:tcPr>
            <w:tcW w:w="850" w:type="dxa"/>
            <w:gridSpan w:val="2"/>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(2 155)</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(7 286)</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(1 133)</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(1 426)</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(1 143)</w:t>
            </w:r>
          </w:p>
        </w:tc>
      </w:tr>
      <w:tr w:rsidR="00AA19A0" w:rsidRPr="00422B32" w:rsidTr="006042B2">
        <w:tc>
          <w:tcPr>
            <w:tcW w:w="7765" w:type="dxa"/>
            <w:gridSpan w:val="8"/>
            <w:tcBorders>
              <w:top w:val="nil"/>
              <w:left w:val="nil"/>
              <w:right w:val="nil"/>
            </w:tcBorders>
            <w:shd w:val="clear" w:color="auto" w:fill="FFFFFF"/>
          </w:tcPr>
          <w:p w:rsidR="00AA19A0" w:rsidRPr="00422B32" w:rsidRDefault="00AA19A0" w:rsidP="00AA19A0">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Cash flows from financing activities</w:t>
            </w:r>
          </w:p>
        </w:tc>
      </w:tr>
      <w:tr w:rsidR="002C39A3" w:rsidRPr="00422B32" w:rsidTr="00361FA9">
        <w:tc>
          <w:tcPr>
            <w:tcW w:w="3515"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Advances received (net)</w:t>
            </w:r>
          </w:p>
        </w:tc>
        <w:tc>
          <w:tcPr>
            <w:tcW w:w="850"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5 665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(1 068)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(758)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(935)</w:t>
            </w:r>
          </w:p>
        </w:tc>
      </w:tr>
      <w:tr w:rsidR="002C39A3" w:rsidRPr="00422B32" w:rsidTr="00361FA9">
        <w:tc>
          <w:tcPr>
            <w:tcW w:w="3515"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borrowings</w:t>
            </w:r>
          </w:p>
        </w:tc>
        <w:tc>
          <w:tcPr>
            <w:tcW w:w="850"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166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716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359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370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386</w:t>
            </w:r>
          </w:p>
        </w:tc>
      </w:tr>
      <w:tr w:rsidR="002C39A3" w:rsidRPr="00422B32" w:rsidTr="00361FA9">
        <w:tc>
          <w:tcPr>
            <w:tcW w:w="3515"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Deposits received (net)</w:t>
            </w:r>
          </w:p>
        </w:tc>
        <w:tc>
          <w:tcPr>
            <w:tcW w:w="850"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w:t>
            </w:r>
          </w:p>
        </w:tc>
      </w:tr>
      <w:tr w:rsidR="002C39A3" w:rsidRPr="00422B32" w:rsidTr="00361FA9">
        <w:tc>
          <w:tcPr>
            <w:tcW w:w="3515" w:type="dxa"/>
            <w:gridSpan w:val="2"/>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financing (net)</w:t>
            </w:r>
          </w:p>
        </w:tc>
        <w:tc>
          <w:tcPr>
            <w:tcW w:w="850" w:type="dxa"/>
            <w:gridSpan w:val="2"/>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163</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(6 191)</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161</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196</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(37)</w:t>
            </w:r>
          </w:p>
        </w:tc>
      </w:tr>
      <w:tr w:rsidR="002C39A3" w:rsidRPr="00422B32" w:rsidTr="00361FA9">
        <w:tc>
          <w:tcPr>
            <w:tcW w:w="3515" w:type="dxa"/>
            <w:gridSpan w:val="2"/>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Net cash flows from financing activities</w:t>
            </w:r>
          </w:p>
        </w:tc>
        <w:tc>
          <w:tcPr>
            <w:tcW w:w="850" w:type="dxa"/>
            <w:gridSpan w:val="2"/>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331</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191</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(546)</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(190)</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(587)</w:t>
            </w:r>
          </w:p>
        </w:tc>
      </w:tr>
      <w:tr w:rsidR="002C39A3" w:rsidRPr="00422B32" w:rsidTr="00361FA9">
        <w:tc>
          <w:tcPr>
            <w:tcW w:w="3515" w:type="dxa"/>
            <w:gridSpan w:val="2"/>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Net increase/(decrease) in cash and cash equivalents</w:t>
            </w:r>
          </w:p>
        </w:tc>
        <w:tc>
          <w:tcPr>
            <w:tcW w:w="850" w:type="dxa"/>
            <w:gridSpan w:val="2"/>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(340)</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24</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(100)</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(15)</w:t>
            </w:r>
          </w:p>
        </w:tc>
      </w:tr>
      <w:tr w:rsidR="002C39A3" w:rsidRPr="00422B32" w:rsidTr="00361FA9">
        <w:tc>
          <w:tcPr>
            <w:tcW w:w="3515" w:type="dxa"/>
            <w:gridSpan w:val="2"/>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Cash and cash equivalents at beginning of reporting period</w:t>
            </w:r>
          </w:p>
        </w:tc>
        <w:tc>
          <w:tcPr>
            <w:tcW w:w="850" w:type="dxa"/>
            <w:gridSpan w:val="2"/>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1 092</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751</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775</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676</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682</w:t>
            </w:r>
          </w:p>
        </w:tc>
      </w:tr>
      <w:tr w:rsidR="002C39A3" w:rsidRPr="00422B32" w:rsidTr="00361FA9">
        <w:tc>
          <w:tcPr>
            <w:tcW w:w="3515" w:type="dxa"/>
            <w:gridSpan w:val="2"/>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Cash and cash equivalents at end of reporting period</w:t>
            </w:r>
          </w:p>
        </w:tc>
        <w:tc>
          <w:tcPr>
            <w:tcW w:w="850" w:type="dxa"/>
            <w:gridSpan w:val="2"/>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751</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775</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676</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682</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667</w:t>
            </w:r>
          </w:p>
        </w:tc>
      </w:tr>
    </w:tbl>
    <w:p w:rsidR="002C39A3" w:rsidRDefault="002C39A3" w:rsidP="00361FA9">
      <w:pPr>
        <w:pStyle w:val="Tableheadingcontinued"/>
      </w:pPr>
    </w:p>
    <w:p w:rsidR="002C39A3" w:rsidRDefault="002C39A3" w:rsidP="00361FA9">
      <w:pPr>
        <w:pStyle w:val="Heading1"/>
      </w:pPr>
      <w:r>
        <w:br w:type="page"/>
      </w:r>
    </w:p>
    <w:p w:rsidR="002C39A3" w:rsidRDefault="002C39A3" w:rsidP="00361FA9">
      <w:pPr>
        <w:pStyle w:val="Tableheadingcontinued"/>
      </w:pPr>
      <w:r>
        <w:t>Table 2.3:</w:t>
      </w:r>
      <w:r>
        <w:tab/>
        <w:t>Public non</w:t>
      </w:r>
      <w:r>
        <w:noBreakHyphen/>
        <w:t>financial corporations sector cash flow statement for the financial year ended 30 June</w:t>
      </w:r>
      <w:r w:rsidRPr="00722BBA">
        <w:rPr>
          <w:vertAlign w:val="superscript"/>
        </w:rPr>
        <w:t>(a)</w:t>
      </w:r>
      <w:r>
        <w:t xml:space="preserve"> </w:t>
      </w:r>
      <w:r w:rsidRPr="00722BBA">
        <w:rPr>
          <w:i/>
        </w:rPr>
        <w:t>(continued)</w:t>
      </w:r>
    </w:p>
    <w:p w:rsidR="002C39A3" w:rsidRDefault="002C39A3" w:rsidP="00361FA9">
      <w:pPr>
        <w:pStyle w:val="million"/>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2977"/>
        <w:gridCol w:w="538"/>
        <w:gridCol w:w="850"/>
        <w:gridCol w:w="850"/>
        <w:gridCol w:w="850"/>
        <w:gridCol w:w="850"/>
        <w:gridCol w:w="850"/>
      </w:tblGrid>
      <w:tr w:rsidR="00AA19A0" w:rsidRPr="00422B32" w:rsidTr="006042B2">
        <w:trPr>
          <w:trHeight w:val="464"/>
          <w:tblHeader/>
        </w:trPr>
        <w:tc>
          <w:tcPr>
            <w:tcW w:w="3515" w:type="dxa"/>
            <w:gridSpan w:val="2"/>
            <w:tcBorders>
              <w:top w:val="nil"/>
              <w:left w:val="nil"/>
              <w:right w:val="nil"/>
            </w:tcBorders>
            <w:shd w:val="solid" w:color="000000" w:fill="auto"/>
            <w:vAlign w:val="bottom"/>
          </w:tcPr>
          <w:p w:rsidR="00AA19A0" w:rsidRPr="00422B32" w:rsidRDefault="00AA19A0" w:rsidP="00361FA9">
            <w:pPr>
              <w:autoSpaceDE w:val="0"/>
              <w:autoSpaceDN w:val="0"/>
              <w:adjustRightInd w:val="0"/>
              <w:spacing w:after="0"/>
              <w:rPr>
                <w:rFonts w:eastAsiaTheme="minorEastAsia" w:cs="Calibri"/>
                <w:iCs/>
                <w:color w:val="FFFFFF"/>
                <w:sz w:val="19"/>
                <w:szCs w:val="19"/>
                <w:lang w:eastAsia="en-AU"/>
              </w:rPr>
            </w:pPr>
          </w:p>
        </w:tc>
        <w:tc>
          <w:tcPr>
            <w:tcW w:w="850" w:type="dxa"/>
            <w:tcBorders>
              <w:top w:val="nil"/>
              <w:left w:val="nil"/>
              <w:right w:val="nil"/>
            </w:tcBorders>
            <w:shd w:val="solid" w:color="000000" w:fill="auto"/>
            <w:vAlign w:val="bottom"/>
          </w:tcPr>
          <w:p w:rsidR="00AA19A0" w:rsidRPr="00422B32" w:rsidRDefault="00AA19A0"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2015-16 </w:t>
            </w:r>
          </w:p>
          <w:p w:rsidR="00AA19A0" w:rsidRPr="00422B32" w:rsidRDefault="00AA19A0"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revised</w:t>
            </w:r>
          </w:p>
        </w:tc>
        <w:tc>
          <w:tcPr>
            <w:tcW w:w="850" w:type="dxa"/>
            <w:tcBorders>
              <w:top w:val="nil"/>
              <w:left w:val="nil"/>
              <w:right w:val="nil"/>
            </w:tcBorders>
            <w:shd w:val="solid" w:color="000000" w:fill="auto"/>
            <w:vAlign w:val="bottom"/>
          </w:tcPr>
          <w:p w:rsidR="00AA19A0" w:rsidRPr="00422B32" w:rsidRDefault="00AA19A0"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2016-17 </w:t>
            </w:r>
          </w:p>
          <w:p w:rsidR="00AA19A0" w:rsidRPr="00422B32" w:rsidRDefault="00AA19A0"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budget</w:t>
            </w:r>
          </w:p>
        </w:tc>
        <w:tc>
          <w:tcPr>
            <w:tcW w:w="850" w:type="dxa"/>
            <w:tcBorders>
              <w:top w:val="nil"/>
              <w:left w:val="nil"/>
              <w:right w:val="nil"/>
            </w:tcBorders>
            <w:shd w:val="solid" w:color="000000" w:fill="auto"/>
            <w:vAlign w:val="bottom"/>
          </w:tcPr>
          <w:p w:rsidR="00AA19A0" w:rsidRPr="00422B32" w:rsidRDefault="00AA19A0"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2017-18 </w:t>
            </w:r>
          </w:p>
          <w:p w:rsidR="00AA19A0" w:rsidRPr="00422B32" w:rsidRDefault="00AA19A0"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AA19A0" w:rsidRPr="00422B32" w:rsidRDefault="00AA19A0"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2018-19 </w:t>
            </w:r>
          </w:p>
          <w:p w:rsidR="00AA19A0" w:rsidRPr="00422B32" w:rsidRDefault="00AA19A0"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AA19A0" w:rsidRPr="00422B32" w:rsidRDefault="00AA19A0"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2019-20 </w:t>
            </w:r>
          </w:p>
          <w:p w:rsidR="00AA19A0" w:rsidRPr="00422B32" w:rsidRDefault="00AA19A0"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r>
      <w:tr w:rsidR="00AA19A0" w:rsidRPr="00422B32" w:rsidTr="006042B2">
        <w:tc>
          <w:tcPr>
            <w:tcW w:w="7765" w:type="dxa"/>
            <w:gridSpan w:val="7"/>
            <w:tcBorders>
              <w:top w:val="nil"/>
              <w:left w:val="nil"/>
              <w:right w:val="nil"/>
            </w:tcBorders>
            <w:shd w:val="clear" w:color="auto" w:fill="FFFFFF"/>
          </w:tcPr>
          <w:p w:rsidR="00AA19A0" w:rsidRPr="00422B32" w:rsidRDefault="00AA19A0" w:rsidP="00AA19A0">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FISCAL AGGREGATES</w:t>
            </w:r>
          </w:p>
        </w:tc>
      </w:tr>
      <w:tr w:rsidR="002C39A3" w:rsidRPr="00422B32" w:rsidTr="00361FA9">
        <w:tc>
          <w:tcPr>
            <w:tcW w:w="3515"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cash flows from operating activities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1 484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7 119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1 580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1 621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1 716</w:t>
            </w:r>
          </w:p>
        </w:tc>
      </w:tr>
      <w:tr w:rsidR="002C39A3" w:rsidRPr="00422B32" w:rsidTr="00361FA9">
        <w:tc>
          <w:tcPr>
            <w:tcW w:w="3515"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Dividends paid</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(149)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(250)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(178)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(164)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(128)</w:t>
            </w:r>
          </w:p>
        </w:tc>
      </w:tr>
      <w:tr w:rsidR="002C39A3" w:rsidRPr="00422B32" w:rsidTr="00361FA9">
        <w:tc>
          <w:tcPr>
            <w:tcW w:w="2977"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cash flows from investments in non-financial assets</w:t>
            </w:r>
          </w:p>
        </w:tc>
        <w:tc>
          <w:tcPr>
            <w:tcW w:w="1388" w:type="dxa"/>
            <w:gridSpan w:val="2"/>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(2 351)</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(2 000)</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(2 295)</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(2 237)</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(2 121)</w:t>
            </w:r>
          </w:p>
        </w:tc>
      </w:tr>
      <w:tr w:rsidR="002C39A3" w:rsidRPr="00422B32" w:rsidTr="00361FA9">
        <w:tc>
          <w:tcPr>
            <w:tcW w:w="3515" w:type="dxa"/>
            <w:gridSpan w:val="2"/>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Cash surplus/(deficit)</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(1 016)</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4 869</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(893)</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(780)</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(533)</w:t>
            </w:r>
          </w:p>
        </w:tc>
      </w:tr>
    </w:tbl>
    <w:p w:rsidR="002C39A3" w:rsidRDefault="002C39A3" w:rsidP="00361FA9">
      <w:pPr>
        <w:pStyle w:val="Source"/>
      </w:pPr>
      <w:r w:rsidRPr="00FD123E">
        <w:t>Source: Department of T</w:t>
      </w:r>
      <w:r>
        <w:t>reasury and Finance</w:t>
      </w:r>
    </w:p>
    <w:p w:rsidR="002C39A3" w:rsidRDefault="002C39A3" w:rsidP="00361FA9">
      <w:pPr>
        <w:pStyle w:val="Notes"/>
      </w:pPr>
      <w:r>
        <w:t>Notes:</w:t>
      </w:r>
    </w:p>
    <w:p w:rsidR="002C39A3" w:rsidRDefault="002C39A3" w:rsidP="00361FA9">
      <w:pPr>
        <w:pStyle w:val="Notes"/>
      </w:pPr>
      <w:r>
        <w:t>(a)</w:t>
      </w:r>
      <w:r>
        <w:tab/>
        <w:t>Certain line items have been aggregated in the table above due to the commercial sensitivities of certain balances.</w:t>
      </w:r>
    </w:p>
    <w:p w:rsidR="002C39A3" w:rsidRPr="00FD123E" w:rsidRDefault="002C39A3" w:rsidP="00361FA9">
      <w:pPr>
        <w:pStyle w:val="Notes"/>
      </w:pPr>
      <w:r>
        <w:t>(b)</w:t>
      </w:r>
      <w:r>
        <w:tab/>
        <w:t>Inclusive of goods and services tax.</w:t>
      </w:r>
    </w:p>
    <w:p w:rsidR="002C39A3" w:rsidRDefault="002C39A3">
      <w:pPr>
        <w:spacing w:after="0"/>
        <w:rPr>
          <w:rFonts w:ascii="Calibri" w:hAnsi="Calibri"/>
          <w:b/>
        </w:rPr>
      </w:pPr>
      <w:r>
        <w:br w:type="page"/>
      </w:r>
    </w:p>
    <w:p w:rsidR="002C39A3" w:rsidRDefault="002C39A3" w:rsidP="00361FA9">
      <w:pPr>
        <w:pStyle w:val="Tableheading"/>
      </w:pPr>
      <w:r w:rsidRPr="00DC6DC5">
        <w:t>Table 2.4:</w:t>
      </w:r>
      <w:r w:rsidRPr="00DC6DC5">
        <w:tab/>
        <w:t>Public non</w:t>
      </w:r>
      <w:r w:rsidRPr="00DC6DC5">
        <w:noBreakHyphen/>
        <w:t>financial corporations sector statement of changes in equity for the financial year ending 30 June</w:t>
      </w:r>
    </w:p>
    <w:p w:rsidR="002C39A3" w:rsidRPr="00422B32" w:rsidRDefault="002C39A3" w:rsidP="00361FA9">
      <w:pPr>
        <w:pStyle w:val="million"/>
        <w:rPr>
          <w:lang w:val="en-US"/>
        </w:rPr>
      </w:pPr>
      <w:r>
        <w:t>($ million)</w:t>
      </w:r>
    </w:p>
    <w:tbl>
      <w:tblPr>
        <w:tblW w:w="7766" w:type="dxa"/>
        <w:tblInd w:w="45" w:type="dxa"/>
        <w:tblLayout w:type="fixed"/>
        <w:tblCellMar>
          <w:left w:w="45" w:type="dxa"/>
          <w:right w:w="45" w:type="dxa"/>
        </w:tblCellMar>
        <w:tblLook w:val="0000" w:firstRow="0" w:lastRow="0" w:firstColumn="0" w:lastColumn="0" w:noHBand="0" w:noVBand="0"/>
      </w:tblPr>
      <w:tblGrid>
        <w:gridCol w:w="4536"/>
        <w:gridCol w:w="1560"/>
        <w:gridCol w:w="1670"/>
      </w:tblGrid>
      <w:tr w:rsidR="002C39A3" w:rsidRPr="00422B32" w:rsidTr="00361FA9">
        <w:trPr>
          <w:tblHeader/>
        </w:trPr>
        <w:tc>
          <w:tcPr>
            <w:tcW w:w="4536" w:type="dxa"/>
            <w:tcBorders>
              <w:right w:val="nil"/>
            </w:tcBorders>
            <w:shd w:val="solid" w:color="000000" w:fill="auto"/>
            <w:vAlign w:val="bottom"/>
          </w:tcPr>
          <w:p w:rsidR="002C39A3" w:rsidRPr="00422B32" w:rsidRDefault="002C39A3" w:rsidP="00361FA9">
            <w:pPr>
              <w:pStyle w:val="million"/>
              <w:jc w:val="left"/>
              <w:rPr>
                <w:rFonts w:eastAsiaTheme="minorEastAsia" w:cs="Calibri"/>
                <w:iCs/>
                <w:color w:val="FFFFFF"/>
                <w:sz w:val="19"/>
                <w:szCs w:val="19"/>
                <w:lang w:eastAsia="en-AU"/>
              </w:rPr>
            </w:pPr>
            <w:r w:rsidRPr="00422B32">
              <w:rPr>
                <w:rFonts w:eastAsiaTheme="minorEastAsia" w:cs="Calibri"/>
                <w:iCs/>
                <w:color w:val="FFFFFF"/>
                <w:sz w:val="19"/>
                <w:szCs w:val="19"/>
                <w:lang w:eastAsia="en-AU"/>
              </w:rPr>
              <w:t xml:space="preserve"> </w:t>
            </w:r>
          </w:p>
        </w:tc>
        <w:tc>
          <w:tcPr>
            <w:tcW w:w="1560" w:type="dxa"/>
            <w:tcBorders>
              <w:left w:val="nil"/>
              <w:right w:val="nil"/>
            </w:tcBorders>
            <w:shd w:val="solid" w:color="000000" w:fill="auto"/>
            <w:vAlign w:val="bottom"/>
          </w:tcPr>
          <w:p w:rsidR="002C39A3" w:rsidRPr="00422B32"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Accumulated surplus/(deficit)</w:t>
            </w:r>
          </w:p>
        </w:tc>
        <w:tc>
          <w:tcPr>
            <w:tcW w:w="1670" w:type="dxa"/>
            <w:tcBorders>
              <w:left w:val="nil"/>
            </w:tcBorders>
            <w:shd w:val="solid" w:color="000000" w:fill="auto"/>
            <w:vAlign w:val="bottom"/>
          </w:tcPr>
          <w:p w:rsidR="002C39A3" w:rsidRPr="00422B32"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Contribution by owners</w:t>
            </w:r>
          </w:p>
        </w:tc>
      </w:tr>
      <w:tr w:rsidR="00AA19A0" w:rsidRPr="00422B32" w:rsidTr="006042B2">
        <w:tc>
          <w:tcPr>
            <w:tcW w:w="7766" w:type="dxa"/>
            <w:gridSpan w:val="3"/>
            <w:tcBorders>
              <w:top w:val="nil"/>
            </w:tcBorders>
            <w:shd w:val="clear" w:color="auto" w:fill="FFFFFF"/>
          </w:tcPr>
          <w:p w:rsidR="00AA19A0" w:rsidRPr="00422B32" w:rsidRDefault="00AA19A0" w:rsidP="00AA19A0">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2015-16 revised</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Balance at 1 July 2015</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4 430</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49 943</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result for the year</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237</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comprehensive income for the year</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58</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Dividends paid</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(149)</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Transfer to accumulated surplus </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6"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Transactions with owners in their capacity as owners</w:t>
            </w:r>
          </w:p>
        </w:tc>
        <w:tc>
          <w:tcPr>
            <w:tcW w:w="156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670"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2 051</w:t>
            </w:r>
          </w:p>
        </w:tc>
      </w:tr>
      <w:tr w:rsidR="002C39A3" w:rsidRPr="00422B32" w:rsidTr="00361FA9">
        <w:tc>
          <w:tcPr>
            <w:tcW w:w="4536"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equity as at 30 June 2016</w:t>
            </w:r>
          </w:p>
        </w:tc>
        <w:tc>
          <w:tcPr>
            <w:tcW w:w="156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4 576</w:t>
            </w:r>
          </w:p>
        </w:tc>
        <w:tc>
          <w:tcPr>
            <w:tcW w:w="1670"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51 994</w:t>
            </w:r>
          </w:p>
        </w:tc>
      </w:tr>
      <w:tr w:rsidR="00AA19A0" w:rsidRPr="00422B32" w:rsidTr="006042B2">
        <w:tc>
          <w:tcPr>
            <w:tcW w:w="7766" w:type="dxa"/>
            <w:gridSpan w:val="3"/>
            <w:tcBorders>
              <w:top w:val="single" w:sz="12" w:space="0" w:color="000000"/>
            </w:tcBorders>
            <w:shd w:val="clear" w:color="auto" w:fill="FFFFFF"/>
          </w:tcPr>
          <w:p w:rsidR="00AA19A0" w:rsidRPr="00422B32" w:rsidRDefault="00AA19A0" w:rsidP="00AA19A0">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2016-17 budget</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Balance at 1 July 2016</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4 576</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51 994</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result for the year</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(683)</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comprehensive income for the year</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88</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Dividends paid</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(250)</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Transfer to accumulated surplus </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(387)</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4 481</w:t>
            </w:r>
          </w:p>
        </w:tc>
      </w:tr>
      <w:tr w:rsidR="002C39A3" w:rsidRPr="00422B32" w:rsidTr="00361FA9">
        <w:tc>
          <w:tcPr>
            <w:tcW w:w="4536"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Transactions with owners in their capacity as owners</w:t>
            </w:r>
          </w:p>
        </w:tc>
        <w:tc>
          <w:tcPr>
            <w:tcW w:w="156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670"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(2 191)</w:t>
            </w:r>
          </w:p>
        </w:tc>
      </w:tr>
      <w:tr w:rsidR="002C39A3" w:rsidRPr="00422B32" w:rsidTr="00361FA9">
        <w:tc>
          <w:tcPr>
            <w:tcW w:w="4536"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equity as at 30 June 2017</w:t>
            </w:r>
          </w:p>
        </w:tc>
        <w:tc>
          <w:tcPr>
            <w:tcW w:w="156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3 344</w:t>
            </w:r>
          </w:p>
        </w:tc>
        <w:tc>
          <w:tcPr>
            <w:tcW w:w="1670"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54 284</w:t>
            </w:r>
          </w:p>
        </w:tc>
      </w:tr>
      <w:tr w:rsidR="00AA19A0" w:rsidRPr="00422B32" w:rsidTr="006042B2">
        <w:tc>
          <w:tcPr>
            <w:tcW w:w="7766" w:type="dxa"/>
            <w:gridSpan w:val="3"/>
            <w:tcBorders>
              <w:top w:val="single" w:sz="12" w:space="0" w:color="000000"/>
            </w:tcBorders>
            <w:shd w:val="clear" w:color="auto" w:fill="FFFFFF"/>
          </w:tcPr>
          <w:p w:rsidR="00AA19A0" w:rsidRPr="00422B32" w:rsidRDefault="00AA19A0" w:rsidP="00AA19A0">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2017-18 estimate</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Balance at 1 July 2017</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3 344</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54 284</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result for the year</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(186)</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comprehensive income for the year</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(28)</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Dividends paid</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(178)</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Transfer to accumulated surplus </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6"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Transactions with owners in their capacity as owners</w:t>
            </w:r>
          </w:p>
        </w:tc>
        <w:tc>
          <w:tcPr>
            <w:tcW w:w="156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670"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3 392</w:t>
            </w:r>
          </w:p>
        </w:tc>
      </w:tr>
      <w:tr w:rsidR="002C39A3" w:rsidRPr="00422B32" w:rsidTr="00361FA9">
        <w:tc>
          <w:tcPr>
            <w:tcW w:w="4536"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equity as at 30 June 2018</w:t>
            </w:r>
          </w:p>
        </w:tc>
        <w:tc>
          <w:tcPr>
            <w:tcW w:w="156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2 951</w:t>
            </w:r>
          </w:p>
        </w:tc>
        <w:tc>
          <w:tcPr>
            <w:tcW w:w="1670"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57 676</w:t>
            </w:r>
          </w:p>
        </w:tc>
      </w:tr>
      <w:tr w:rsidR="00AA19A0" w:rsidRPr="00422B32" w:rsidTr="006042B2">
        <w:tc>
          <w:tcPr>
            <w:tcW w:w="7766" w:type="dxa"/>
            <w:gridSpan w:val="3"/>
            <w:tcBorders>
              <w:top w:val="single" w:sz="12" w:space="0" w:color="000000"/>
            </w:tcBorders>
            <w:shd w:val="clear" w:color="auto" w:fill="FFFFFF"/>
          </w:tcPr>
          <w:p w:rsidR="00AA19A0" w:rsidRPr="00422B32" w:rsidRDefault="00AA19A0" w:rsidP="00AA19A0">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2018-19 estimate </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Balance at 1 July 2018</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2 951</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57 676</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result for the year</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(309)</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comprehensive income for the year</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(22)</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Dividends paid</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(164)</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Transfer to accumulated surplus </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6"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Transactions with owners in their capacity as owners</w:t>
            </w:r>
          </w:p>
        </w:tc>
        <w:tc>
          <w:tcPr>
            <w:tcW w:w="156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670"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3 764</w:t>
            </w:r>
          </w:p>
        </w:tc>
      </w:tr>
      <w:tr w:rsidR="002C39A3" w:rsidRPr="00422B32" w:rsidTr="00361FA9">
        <w:tc>
          <w:tcPr>
            <w:tcW w:w="4536"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equity as at 30 June 2019</w:t>
            </w:r>
          </w:p>
        </w:tc>
        <w:tc>
          <w:tcPr>
            <w:tcW w:w="156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2 456</w:t>
            </w:r>
          </w:p>
        </w:tc>
        <w:tc>
          <w:tcPr>
            <w:tcW w:w="1670"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61 440</w:t>
            </w:r>
          </w:p>
        </w:tc>
      </w:tr>
      <w:tr w:rsidR="00AA19A0" w:rsidRPr="00422B32" w:rsidTr="006042B2">
        <w:tc>
          <w:tcPr>
            <w:tcW w:w="7766" w:type="dxa"/>
            <w:gridSpan w:val="3"/>
            <w:tcBorders>
              <w:top w:val="single" w:sz="12" w:space="0" w:color="000000"/>
            </w:tcBorders>
            <w:shd w:val="clear" w:color="auto" w:fill="FFFFFF"/>
          </w:tcPr>
          <w:p w:rsidR="00AA19A0" w:rsidRPr="00422B32" w:rsidRDefault="00AA19A0" w:rsidP="00AA19A0">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2019-20 estimate</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Balance at 1 July 2019</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2 456</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61 440</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result for the year</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(205)</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comprehensive income for the year</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(23)</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Dividends paid</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(128)</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6"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Transfer to accumulated surplus </w:t>
            </w:r>
          </w:p>
        </w:tc>
        <w:tc>
          <w:tcPr>
            <w:tcW w:w="156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67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6"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Transactions with owners in their capacity as owners</w:t>
            </w:r>
          </w:p>
        </w:tc>
        <w:tc>
          <w:tcPr>
            <w:tcW w:w="156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670"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2 846</w:t>
            </w:r>
          </w:p>
        </w:tc>
      </w:tr>
      <w:tr w:rsidR="002C39A3" w:rsidRPr="00422B32" w:rsidTr="00361FA9">
        <w:tc>
          <w:tcPr>
            <w:tcW w:w="4536" w:type="dxa"/>
            <w:tcBorders>
              <w:top w:val="single" w:sz="6" w:space="0" w:color="000000"/>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equity as at 30 June 2020</w:t>
            </w:r>
          </w:p>
        </w:tc>
        <w:tc>
          <w:tcPr>
            <w:tcW w:w="156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2 101</w:t>
            </w:r>
          </w:p>
        </w:tc>
        <w:tc>
          <w:tcPr>
            <w:tcW w:w="1670" w:type="dxa"/>
            <w:tcBorders>
              <w:top w:val="single" w:sz="6" w:space="0" w:color="000000"/>
              <w:left w:val="nil"/>
              <w:bottom w:val="single" w:sz="12" w:space="0" w:color="auto"/>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64 286</w:t>
            </w:r>
          </w:p>
        </w:tc>
      </w:tr>
    </w:tbl>
    <w:p w:rsidR="002C39A3" w:rsidRDefault="002C39A3" w:rsidP="00361FA9">
      <w:pPr>
        <w:pStyle w:val="Source"/>
      </w:pPr>
      <w:r>
        <w:t>Source: Department of Treasury and Finance</w:t>
      </w:r>
    </w:p>
    <w:p w:rsidR="002C39A3" w:rsidRDefault="002C39A3" w:rsidP="00361FA9"/>
    <w:p w:rsidR="002C39A3" w:rsidRDefault="002C39A3">
      <w:pPr>
        <w:spacing w:after="0"/>
      </w:pPr>
      <w:r>
        <w:br w:type="page"/>
      </w:r>
    </w:p>
    <w:p w:rsidR="002C39A3" w:rsidRPr="00D22C71" w:rsidRDefault="002C39A3" w:rsidP="00361FA9">
      <w:pPr>
        <w:pStyle w:val="Tableheading"/>
      </w:pPr>
      <w:r w:rsidRPr="00D22C71">
        <w:br/>
      </w:r>
    </w:p>
    <w:p w:rsidR="002C39A3" w:rsidRPr="00422B32" w:rsidRDefault="002C39A3" w:rsidP="00361FA9">
      <w:pPr>
        <w:pStyle w:val="million"/>
        <w:rPr>
          <w:lang w:val="en-US"/>
        </w:rPr>
      </w:pPr>
    </w:p>
    <w:tbl>
      <w:tblPr>
        <w:tblW w:w="7767" w:type="dxa"/>
        <w:tblInd w:w="45" w:type="dxa"/>
        <w:tblLayout w:type="fixed"/>
        <w:tblCellMar>
          <w:left w:w="45" w:type="dxa"/>
          <w:right w:w="45" w:type="dxa"/>
        </w:tblCellMar>
        <w:tblLook w:val="0000" w:firstRow="0" w:lastRow="0" w:firstColumn="0" w:lastColumn="0" w:noHBand="0" w:noVBand="0"/>
      </w:tblPr>
      <w:tblGrid>
        <w:gridCol w:w="2589"/>
        <w:gridCol w:w="2589"/>
        <w:gridCol w:w="2589"/>
      </w:tblGrid>
      <w:tr w:rsidR="002C39A3" w:rsidRPr="00422B32" w:rsidTr="00361FA9">
        <w:trPr>
          <w:tblHeader/>
        </w:trPr>
        <w:tc>
          <w:tcPr>
            <w:tcW w:w="2589" w:type="dxa"/>
            <w:tcBorders>
              <w:right w:val="nil"/>
            </w:tcBorders>
            <w:shd w:val="solid" w:color="000000" w:fill="auto"/>
            <w:vAlign w:val="bottom"/>
          </w:tcPr>
          <w:p w:rsidR="002C39A3" w:rsidRPr="00422B32" w:rsidRDefault="002C39A3" w:rsidP="00361FA9">
            <w:pPr>
              <w:pStyle w:val="million"/>
              <w:jc w:val="right"/>
              <w:rPr>
                <w:rFonts w:eastAsiaTheme="minorEastAsia" w:cs="Calibri"/>
                <w:iCs/>
                <w:color w:val="FFFFFF"/>
                <w:sz w:val="19"/>
                <w:szCs w:val="19"/>
                <w:lang w:eastAsia="en-AU"/>
              </w:rPr>
            </w:pPr>
            <w:r w:rsidRPr="00422B32">
              <w:rPr>
                <w:rFonts w:eastAsiaTheme="minorEastAsia" w:cs="Calibri"/>
                <w:iCs/>
                <w:color w:val="FFFFFF"/>
                <w:sz w:val="19"/>
                <w:szCs w:val="19"/>
                <w:lang w:eastAsia="en-AU"/>
              </w:rPr>
              <w:t>Non-financial</w:t>
            </w:r>
            <w:r w:rsidRPr="00422B32">
              <w:rPr>
                <w:rFonts w:eastAsiaTheme="minorEastAsia" w:cs="Calibri"/>
                <w:iCs/>
                <w:color w:val="FFFFFF"/>
                <w:sz w:val="19"/>
                <w:szCs w:val="19"/>
                <w:lang w:eastAsia="en-AU"/>
              </w:rPr>
              <w:br/>
              <w:t xml:space="preserve"> assets revaluation surplus</w:t>
            </w:r>
          </w:p>
        </w:tc>
        <w:tc>
          <w:tcPr>
            <w:tcW w:w="2589" w:type="dxa"/>
            <w:tcBorders>
              <w:left w:val="nil"/>
              <w:right w:val="nil"/>
            </w:tcBorders>
            <w:shd w:val="solid" w:color="000000" w:fill="auto"/>
            <w:vAlign w:val="bottom"/>
          </w:tcPr>
          <w:p w:rsidR="002C39A3" w:rsidRPr="00422B32"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Other reserves</w:t>
            </w:r>
          </w:p>
        </w:tc>
        <w:tc>
          <w:tcPr>
            <w:tcW w:w="2589" w:type="dxa"/>
            <w:tcBorders>
              <w:left w:val="nil"/>
            </w:tcBorders>
            <w:shd w:val="solid" w:color="000000" w:fill="auto"/>
            <w:vAlign w:val="bottom"/>
          </w:tcPr>
          <w:p w:rsidR="002C39A3" w:rsidRPr="00422B32"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Total</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24 161</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437</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78 972</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237</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1 232</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40</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1 329</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(149)</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2589"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2 051</w:t>
            </w:r>
          </w:p>
        </w:tc>
      </w:tr>
      <w:tr w:rsidR="002C39A3" w:rsidRPr="00422B32" w:rsidTr="00361FA9">
        <w:tc>
          <w:tcPr>
            <w:tcW w:w="2589"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25 393</w:t>
            </w:r>
          </w:p>
        </w:tc>
        <w:tc>
          <w:tcPr>
            <w:tcW w:w="2589"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477</w:t>
            </w:r>
          </w:p>
        </w:tc>
        <w:tc>
          <w:tcPr>
            <w:tcW w:w="2589"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82 441</w:t>
            </w:r>
          </w:p>
        </w:tc>
      </w:tr>
      <w:tr w:rsidR="002C39A3" w:rsidRPr="00422B32" w:rsidTr="00361FA9">
        <w:tc>
          <w:tcPr>
            <w:tcW w:w="2589" w:type="dxa"/>
            <w:tcBorders>
              <w:top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89"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89" w:type="dxa"/>
            <w:tcBorders>
              <w:top w:val="single" w:sz="12"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25 393</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477</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82 441</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(683)</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3 367</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34</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3 489</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(250)</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(4 094)</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2589"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(2 191)</w:t>
            </w:r>
          </w:p>
        </w:tc>
      </w:tr>
      <w:tr w:rsidR="002C39A3" w:rsidRPr="00422B32" w:rsidTr="00361FA9">
        <w:tc>
          <w:tcPr>
            <w:tcW w:w="2589"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24 666</w:t>
            </w:r>
          </w:p>
        </w:tc>
        <w:tc>
          <w:tcPr>
            <w:tcW w:w="2589"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511</w:t>
            </w:r>
          </w:p>
        </w:tc>
        <w:tc>
          <w:tcPr>
            <w:tcW w:w="2589"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82 805</w:t>
            </w:r>
          </w:p>
        </w:tc>
      </w:tr>
      <w:tr w:rsidR="002C39A3" w:rsidRPr="00422B32" w:rsidTr="00361FA9">
        <w:tc>
          <w:tcPr>
            <w:tcW w:w="2589" w:type="dxa"/>
            <w:tcBorders>
              <w:top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89"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89" w:type="dxa"/>
            <w:tcBorders>
              <w:top w:val="single" w:sz="12"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24 666</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511</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82 805</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(186)</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37</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(178)</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2589"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3 392</w:t>
            </w:r>
          </w:p>
        </w:tc>
      </w:tr>
      <w:tr w:rsidR="002C39A3" w:rsidRPr="00422B32" w:rsidTr="00361FA9">
        <w:tc>
          <w:tcPr>
            <w:tcW w:w="2589"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24 658</w:t>
            </w:r>
          </w:p>
        </w:tc>
        <w:tc>
          <w:tcPr>
            <w:tcW w:w="2589"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548</w:t>
            </w:r>
          </w:p>
        </w:tc>
        <w:tc>
          <w:tcPr>
            <w:tcW w:w="2589"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85 833</w:t>
            </w:r>
          </w:p>
        </w:tc>
      </w:tr>
      <w:tr w:rsidR="002C39A3" w:rsidRPr="00422B32" w:rsidTr="00361FA9">
        <w:tc>
          <w:tcPr>
            <w:tcW w:w="2589" w:type="dxa"/>
            <w:tcBorders>
              <w:top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89"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89" w:type="dxa"/>
            <w:tcBorders>
              <w:top w:val="single" w:sz="12"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24 658</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548</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85 833</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(309)</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554</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33</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565</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(164)</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2589"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3 764</w:t>
            </w:r>
          </w:p>
        </w:tc>
      </w:tr>
      <w:tr w:rsidR="002C39A3" w:rsidRPr="00422B32" w:rsidTr="00361FA9">
        <w:tc>
          <w:tcPr>
            <w:tcW w:w="2589"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25 212</w:t>
            </w:r>
          </w:p>
        </w:tc>
        <w:tc>
          <w:tcPr>
            <w:tcW w:w="2589"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581</w:t>
            </w:r>
          </w:p>
        </w:tc>
        <w:tc>
          <w:tcPr>
            <w:tcW w:w="2589"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89 689</w:t>
            </w:r>
          </w:p>
        </w:tc>
      </w:tr>
      <w:tr w:rsidR="002C39A3" w:rsidRPr="00422B32" w:rsidTr="00361FA9">
        <w:tc>
          <w:tcPr>
            <w:tcW w:w="2589" w:type="dxa"/>
            <w:tcBorders>
              <w:top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89"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89" w:type="dxa"/>
            <w:tcBorders>
              <w:top w:val="single" w:sz="12"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25 212</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581</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89 689</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(205)</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27</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(128)</w:t>
            </w:r>
          </w:p>
        </w:tc>
      </w:tr>
      <w:tr w:rsidR="002C39A3" w:rsidRPr="00422B32" w:rsidTr="00361FA9">
        <w:tc>
          <w:tcPr>
            <w:tcW w:w="258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2589"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2 846</w:t>
            </w:r>
          </w:p>
        </w:tc>
      </w:tr>
      <w:tr w:rsidR="002C39A3" w:rsidRPr="00422B32" w:rsidTr="00361FA9">
        <w:tc>
          <w:tcPr>
            <w:tcW w:w="2589" w:type="dxa"/>
            <w:tcBorders>
              <w:top w:val="single" w:sz="6" w:space="0" w:color="000000"/>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25 204</w:t>
            </w:r>
          </w:p>
        </w:tc>
        <w:tc>
          <w:tcPr>
            <w:tcW w:w="2589"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608</w:t>
            </w:r>
          </w:p>
        </w:tc>
        <w:tc>
          <w:tcPr>
            <w:tcW w:w="2589" w:type="dxa"/>
            <w:tcBorders>
              <w:top w:val="single" w:sz="6" w:space="0" w:color="000000"/>
              <w:left w:val="nil"/>
              <w:bottom w:val="single" w:sz="12" w:space="0" w:color="auto"/>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92 199</w:t>
            </w:r>
          </w:p>
        </w:tc>
      </w:tr>
    </w:tbl>
    <w:p w:rsidR="002C39A3" w:rsidRPr="007270B7" w:rsidRDefault="002C39A3" w:rsidP="00361FA9"/>
    <w:p w:rsidR="002C39A3" w:rsidRPr="007270B7" w:rsidRDefault="002C39A3" w:rsidP="00361FA9"/>
    <w:p w:rsidR="002C39A3" w:rsidRDefault="002C39A3">
      <w:pPr>
        <w:spacing w:after="0"/>
        <w:rPr>
          <w:rFonts w:ascii="Calibri" w:hAnsi="Calibri"/>
          <w:b/>
        </w:rPr>
      </w:pPr>
      <w:r>
        <w:br w:type="page"/>
      </w:r>
    </w:p>
    <w:p w:rsidR="002C39A3" w:rsidRDefault="002C39A3" w:rsidP="00361FA9">
      <w:pPr>
        <w:pStyle w:val="Tableheading"/>
      </w:pPr>
      <w:r>
        <w:t>Table 2.5:</w:t>
      </w:r>
      <w:r>
        <w:tab/>
        <w:t>Derivation of public non</w:t>
      </w:r>
      <w:r>
        <w:noBreakHyphen/>
        <w:t>financial corporations sector GFS cash surplus/(deficit)</w:t>
      </w:r>
    </w:p>
    <w:p w:rsidR="002C39A3" w:rsidRPr="00422B32" w:rsidRDefault="002C39A3" w:rsidP="00361FA9">
      <w:pPr>
        <w:pStyle w:val="million"/>
        <w:rPr>
          <w:b/>
          <w:bCs/>
          <w:sz w:val="15"/>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C7327A" w:rsidRPr="00422B32" w:rsidTr="006042B2">
        <w:trPr>
          <w:trHeight w:val="464"/>
          <w:tblHeader/>
        </w:trPr>
        <w:tc>
          <w:tcPr>
            <w:tcW w:w="3515" w:type="dxa"/>
            <w:tcBorders>
              <w:top w:val="nil"/>
              <w:left w:val="nil"/>
              <w:right w:val="nil"/>
            </w:tcBorders>
            <w:shd w:val="solid" w:color="000000" w:fill="auto"/>
            <w:vAlign w:val="bottom"/>
          </w:tcPr>
          <w:p w:rsidR="00C7327A" w:rsidRPr="00422B32" w:rsidRDefault="00C7327A" w:rsidP="00361FA9">
            <w:pPr>
              <w:autoSpaceDE w:val="0"/>
              <w:autoSpaceDN w:val="0"/>
              <w:adjustRightInd w:val="0"/>
              <w:spacing w:after="0"/>
              <w:rPr>
                <w:rFonts w:eastAsiaTheme="minorEastAsia" w:cs="Calibri"/>
                <w:iCs/>
                <w:color w:val="FFFFFF"/>
                <w:sz w:val="19"/>
                <w:szCs w:val="19"/>
                <w:lang w:eastAsia="en-AU"/>
              </w:rPr>
            </w:pPr>
            <w:r w:rsidRPr="00422B32">
              <w:rPr>
                <w:rFonts w:ascii="Calibri" w:eastAsiaTheme="minorEastAsia" w:hAnsi="Calibri" w:cs="Calibri"/>
                <w:i/>
                <w:iCs/>
                <w:color w:val="FFFFFF"/>
                <w:sz w:val="19"/>
                <w:szCs w:val="19"/>
                <w:lang w:eastAsia="en-AU"/>
              </w:rPr>
              <w:t xml:space="preserve"> </w:t>
            </w:r>
          </w:p>
        </w:tc>
        <w:tc>
          <w:tcPr>
            <w:tcW w:w="850" w:type="dxa"/>
            <w:tcBorders>
              <w:top w:val="nil"/>
              <w:left w:val="nil"/>
              <w:right w:val="nil"/>
            </w:tcBorders>
            <w:shd w:val="solid" w:color="000000" w:fill="auto"/>
            <w:vAlign w:val="bottom"/>
          </w:tcPr>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2015-16 </w:t>
            </w:r>
          </w:p>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revised</w:t>
            </w:r>
          </w:p>
        </w:tc>
        <w:tc>
          <w:tcPr>
            <w:tcW w:w="850" w:type="dxa"/>
            <w:tcBorders>
              <w:top w:val="nil"/>
              <w:left w:val="nil"/>
              <w:right w:val="nil"/>
            </w:tcBorders>
            <w:shd w:val="solid" w:color="000000" w:fill="auto"/>
            <w:vAlign w:val="bottom"/>
          </w:tcPr>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2016-17 </w:t>
            </w:r>
          </w:p>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2017-18 </w:t>
            </w:r>
          </w:p>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2018-19 </w:t>
            </w:r>
          </w:p>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2019-20 </w:t>
            </w:r>
          </w:p>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Cash surplus/(deficit)</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(1 016)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4 869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(893)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(780)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(533)</w:t>
            </w:r>
          </w:p>
        </w:tc>
      </w:tr>
      <w:tr w:rsidR="00C7327A" w:rsidRPr="00422B32" w:rsidTr="006042B2">
        <w:tc>
          <w:tcPr>
            <w:tcW w:w="7765" w:type="dxa"/>
            <w:gridSpan w:val="6"/>
            <w:tcBorders>
              <w:top w:val="nil"/>
              <w:left w:val="nil"/>
              <w:right w:val="nil"/>
            </w:tcBorders>
            <w:shd w:val="clear" w:color="auto" w:fill="FFFFFF"/>
          </w:tcPr>
          <w:p w:rsidR="00C7327A" w:rsidRPr="00422B32" w:rsidRDefault="00C7327A" w:rsidP="00C7327A">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Convergence differences: </w:t>
            </w:r>
            <w:r w:rsidRPr="00422B32">
              <w:rPr>
                <w:rFonts w:ascii="Calibri" w:eastAsiaTheme="minorEastAsia" w:hAnsi="Calibri" w:cs="Calibri"/>
                <w:color w:val="000000"/>
                <w:sz w:val="19"/>
                <w:szCs w:val="19"/>
                <w:vertAlign w:val="superscript"/>
                <w:lang w:eastAsia="en-AU"/>
              </w:rPr>
              <w:t>(a)</w:t>
            </w:r>
          </w:p>
        </w:tc>
      </w:tr>
      <w:tr w:rsidR="002C39A3" w:rsidRPr="00422B32" w:rsidTr="00361FA9">
        <w:tc>
          <w:tcPr>
            <w:tcW w:w="3515"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Acquisitions under finance leases and similar arrangements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3515"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vertAlign w:val="superscript"/>
                <w:lang w:eastAsia="en-AU"/>
              </w:rPr>
            </w:pPr>
            <w:r w:rsidRPr="00422B32">
              <w:rPr>
                <w:rFonts w:ascii="Calibri" w:eastAsiaTheme="minorEastAsia" w:hAnsi="Calibri" w:cs="Calibri"/>
                <w:b/>
                <w:bCs/>
                <w:color w:val="000000"/>
                <w:sz w:val="19"/>
                <w:szCs w:val="19"/>
                <w:lang w:eastAsia="en-AU"/>
              </w:rPr>
              <w:t xml:space="preserve">GFS cash surplus/(deficit) </w:t>
            </w:r>
            <w:r w:rsidRPr="00422B32">
              <w:rPr>
                <w:rFonts w:ascii="Calibri" w:eastAsiaTheme="minorEastAsia" w:hAnsi="Calibri" w:cs="Calibri"/>
                <w:b/>
                <w:bCs/>
                <w:color w:val="000000"/>
                <w:sz w:val="19"/>
                <w:szCs w:val="19"/>
                <w:vertAlign w:val="superscript"/>
                <w:lang w:eastAsia="en-AU"/>
              </w:rPr>
              <w:t>(b)</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(1 016)</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4 869</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(893)</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(780)</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(533)</w:t>
            </w:r>
          </w:p>
        </w:tc>
      </w:tr>
    </w:tbl>
    <w:p w:rsidR="002C39A3" w:rsidRDefault="002C39A3" w:rsidP="00361FA9">
      <w:pPr>
        <w:pStyle w:val="Source"/>
      </w:pPr>
      <w:r>
        <w:t>Source: Department of Treasury and Finance</w:t>
      </w:r>
    </w:p>
    <w:p w:rsidR="002C39A3" w:rsidRDefault="002C39A3" w:rsidP="00361FA9">
      <w:pPr>
        <w:pStyle w:val="Notes"/>
      </w:pPr>
      <w:r>
        <w:t>Notes:</w:t>
      </w:r>
    </w:p>
    <w:p w:rsidR="002C39A3" w:rsidRDefault="002C39A3" w:rsidP="00361FA9">
      <w:pPr>
        <w:pStyle w:val="Notes"/>
      </w:pPr>
      <w:r>
        <w:t>(a)</w:t>
      </w:r>
      <w:r>
        <w:tab/>
        <w:t xml:space="preserve">There may be convergence differences arising out of future commercial arrangements that will not crystalise until they are completed. </w:t>
      </w:r>
    </w:p>
    <w:p w:rsidR="002C39A3" w:rsidRDefault="002C39A3" w:rsidP="00361FA9">
      <w:pPr>
        <w:pStyle w:val="Notes"/>
      </w:pPr>
      <w:r>
        <w:t>(b)</w:t>
      </w:r>
      <w:r>
        <w:tab/>
        <w:t>Determined in accordance with the ABS GFS manual.</w:t>
      </w:r>
    </w:p>
    <w:p w:rsidR="002C39A3" w:rsidRDefault="002C39A3" w:rsidP="00361FA9"/>
    <w:p w:rsidR="002C39A3" w:rsidRDefault="002C39A3" w:rsidP="00361FA9"/>
    <w:p w:rsidR="002C39A3" w:rsidRDefault="002C39A3" w:rsidP="00361FA9">
      <w:pPr>
        <w:pStyle w:val="Tableheading"/>
      </w:pPr>
      <w:r>
        <w:t>Table 2.6:</w:t>
      </w:r>
      <w:r>
        <w:tab/>
        <w:t>Net acquisition of non</w:t>
      </w:r>
      <w:r>
        <w:noBreakHyphen/>
        <w:t>financial assets – public non</w:t>
      </w:r>
      <w:r>
        <w:noBreakHyphen/>
        <w:t>financial corporations sector</w:t>
      </w:r>
      <w:r w:rsidRPr="005A74ED">
        <w:rPr>
          <w:vertAlign w:val="superscript"/>
        </w:rPr>
        <w:t>(a)</w:t>
      </w:r>
    </w:p>
    <w:p w:rsidR="002C39A3" w:rsidRPr="00422B32" w:rsidRDefault="002C39A3" w:rsidP="00361FA9">
      <w:pPr>
        <w:pStyle w:val="million"/>
        <w:rPr>
          <w:b/>
          <w:bCs/>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C7327A" w:rsidRPr="00422B32" w:rsidTr="006042B2">
        <w:trPr>
          <w:trHeight w:val="464"/>
          <w:tblHeader/>
        </w:trPr>
        <w:tc>
          <w:tcPr>
            <w:tcW w:w="3515" w:type="dxa"/>
            <w:tcBorders>
              <w:top w:val="nil"/>
              <w:left w:val="nil"/>
              <w:right w:val="nil"/>
            </w:tcBorders>
            <w:shd w:val="solid" w:color="000000" w:fill="auto"/>
            <w:vAlign w:val="bottom"/>
          </w:tcPr>
          <w:p w:rsidR="00C7327A" w:rsidRPr="00422B32" w:rsidRDefault="00C7327A" w:rsidP="00C7327A">
            <w:pPr>
              <w:pStyle w:val="million"/>
              <w:jc w:val="left"/>
              <w:rPr>
                <w:rFonts w:eastAsiaTheme="minorEastAsia" w:cs="Calibri"/>
                <w:iCs/>
                <w:color w:val="FFFFFF"/>
                <w:sz w:val="19"/>
                <w:szCs w:val="19"/>
                <w:lang w:eastAsia="en-AU"/>
              </w:rPr>
            </w:pPr>
          </w:p>
        </w:tc>
        <w:tc>
          <w:tcPr>
            <w:tcW w:w="850" w:type="dxa"/>
            <w:tcBorders>
              <w:top w:val="nil"/>
              <w:left w:val="nil"/>
              <w:right w:val="nil"/>
            </w:tcBorders>
            <w:shd w:val="solid" w:color="000000" w:fill="auto"/>
            <w:vAlign w:val="bottom"/>
          </w:tcPr>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2015-16</w:t>
            </w:r>
          </w:p>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revised</w:t>
            </w:r>
          </w:p>
        </w:tc>
        <w:tc>
          <w:tcPr>
            <w:tcW w:w="850" w:type="dxa"/>
            <w:tcBorders>
              <w:top w:val="nil"/>
              <w:left w:val="nil"/>
              <w:right w:val="nil"/>
            </w:tcBorders>
            <w:shd w:val="solid" w:color="000000" w:fill="auto"/>
            <w:vAlign w:val="bottom"/>
          </w:tcPr>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2016-17</w:t>
            </w:r>
          </w:p>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budget</w:t>
            </w:r>
          </w:p>
        </w:tc>
        <w:tc>
          <w:tcPr>
            <w:tcW w:w="850" w:type="dxa"/>
            <w:tcBorders>
              <w:top w:val="nil"/>
              <w:left w:val="nil"/>
              <w:right w:val="nil"/>
            </w:tcBorders>
            <w:shd w:val="solid" w:color="000000" w:fill="auto"/>
            <w:vAlign w:val="bottom"/>
          </w:tcPr>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2017-18</w:t>
            </w:r>
          </w:p>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estimate</w:t>
            </w:r>
          </w:p>
        </w:tc>
        <w:tc>
          <w:tcPr>
            <w:tcW w:w="850" w:type="dxa"/>
            <w:tcBorders>
              <w:top w:val="nil"/>
              <w:left w:val="nil"/>
              <w:right w:val="nil"/>
            </w:tcBorders>
            <w:shd w:val="solid" w:color="000000" w:fill="auto"/>
            <w:vAlign w:val="bottom"/>
          </w:tcPr>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2018-19</w:t>
            </w:r>
          </w:p>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estimate</w:t>
            </w:r>
          </w:p>
        </w:tc>
        <w:tc>
          <w:tcPr>
            <w:tcW w:w="850" w:type="dxa"/>
            <w:tcBorders>
              <w:top w:val="nil"/>
              <w:left w:val="nil"/>
              <w:right w:val="nil"/>
            </w:tcBorders>
            <w:shd w:val="solid" w:color="000000" w:fill="auto"/>
            <w:vAlign w:val="bottom"/>
          </w:tcPr>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2019-20</w:t>
            </w:r>
          </w:p>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estimate</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Purchases of non-financial assets less sales of non-financial assets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2 352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2 000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2 295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2 237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2 121</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Less: depreciation</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(2 111)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(2 244)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(2 255)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(2 358)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(2 386)</w:t>
            </w:r>
          </w:p>
        </w:tc>
      </w:tr>
      <w:tr w:rsidR="002C39A3" w:rsidRPr="00422B32" w:rsidTr="00361FA9">
        <w:tc>
          <w:tcPr>
            <w:tcW w:w="3515"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422B32">
              <w:rPr>
                <w:rFonts w:ascii="Calibri" w:eastAsiaTheme="minorEastAsia" w:hAnsi="Calibri" w:cs="Calibri"/>
                <w:color w:val="000000"/>
                <w:sz w:val="19"/>
                <w:szCs w:val="19"/>
                <w:lang w:eastAsia="en-AU"/>
              </w:rPr>
              <w:t>Plus: other movements in non-financial assets</w:t>
            </w:r>
            <w:r w:rsidRPr="00422B32">
              <w:rPr>
                <w:rFonts w:ascii="Calibri" w:eastAsiaTheme="minorEastAsia" w:hAnsi="Calibri" w:cs="Calibri"/>
                <w:color w:val="000000"/>
                <w:sz w:val="19"/>
                <w:szCs w:val="19"/>
                <w:vertAlign w:val="superscript"/>
                <w:lang w:eastAsia="en-AU"/>
              </w:rPr>
              <w:t xml:space="preserve"> (b)</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1 924</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3 687</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3 122</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3 460</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2 928</w:t>
            </w:r>
          </w:p>
        </w:tc>
      </w:tr>
      <w:tr w:rsidR="002C39A3" w:rsidRPr="00422B32" w:rsidTr="00361FA9">
        <w:tc>
          <w:tcPr>
            <w:tcW w:w="3515"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net acquisition of non-financial assets</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2 165</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3 443</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3 161</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3 339</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2 663</w:t>
            </w:r>
          </w:p>
        </w:tc>
      </w:tr>
    </w:tbl>
    <w:p w:rsidR="002C39A3" w:rsidRDefault="002C39A3" w:rsidP="00361FA9">
      <w:pPr>
        <w:pStyle w:val="Source"/>
      </w:pPr>
      <w:r>
        <w:t>Source: Department of Treasury and Finance</w:t>
      </w:r>
    </w:p>
    <w:p w:rsidR="002C39A3" w:rsidRDefault="002C39A3" w:rsidP="00361FA9">
      <w:pPr>
        <w:pStyle w:val="Notes"/>
      </w:pPr>
      <w:r>
        <w:t>Notes:</w:t>
      </w:r>
    </w:p>
    <w:p w:rsidR="002C39A3" w:rsidRDefault="002C39A3" w:rsidP="00361FA9">
      <w:pPr>
        <w:pStyle w:val="Notes"/>
      </w:pPr>
      <w:r>
        <w:t>(a)</w:t>
      </w:r>
      <w:r>
        <w:tab/>
        <w:t>Certain line items have been aggregated in the table above due to the commercial sensitivities of certain balances.</w:t>
      </w:r>
    </w:p>
    <w:p w:rsidR="002C39A3" w:rsidRPr="008025BC" w:rsidRDefault="002C39A3" w:rsidP="00361FA9">
      <w:pPr>
        <w:pStyle w:val="Notes"/>
      </w:pPr>
      <w:r>
        <w:t>(b)</w:t>
      </w:r>
      <w:r>
        <w:tab/>
        <w:t>The other movements in non-financial assets relates to fixed asset transfers from the general government sector to the public non-financial corporations sector.</w:t>
      </w:r>
    </w:p>
    <w:p w:rsidR="002C39A3" w:rsidRDefault="002C39A3" w:rsidP="00361FA9"/>
    <w:p w:rsidR="002C39A3" w:rsidRDefault="002C39A3">
      <w:pPr>
        <w:spacing w:after="0"/>
        <w:rPr>
          <w:rFonts w:ascii="Calibri" w:hAnsi="Calibri"/>
          <w:b/>
        </w:rPr>
      </w:pPr>
      <w:r>
        <w:br w:type="page"/>
      </w:r>
    </w:p>
    <w:p w:rsidR="002C39A3" w:rsidRDefault="002C39A3" w:rsidP="00361FA9">
      <w:pPr>
        <w:pStyle w:val="Tableheading"/>
      </w:pPr>
      <w:r>
        <w:t>Table 2.7:</w:t>
      </w:r>
      <w:r>
        <w:tab/>
        <w:t>Non</w:t>
      </w:r>
      <w:r>
        <w:noBreakHyphen/>
        <w:t>financial public sector comprehensive operating statement for the financial year ended 30 June</w:t>
      </w:r>
      <w:r w:rsidRPr="005A74ED">
        <w:rPr>
          <w:vertAlign w:val="superscript"/>
        </w:rPr>
        <w:t>(a)</w:t>
      </w:r>
    </w:p>
    <w:p w:rsidR="002C39A3" w:rsidRPr="00422B32" w:rsidRDefault="002C39A3" w:rsidP="00361FA9">
      <w:pPr>
        <w:pStyle w:val="million"/>
        <w:rPr>
          <w:rFonts w:eastAsiaTheme="minorEastAsia"/>
          <w:lang w:val="en-US" w:eastAsia="en-AU"/>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09"/>
        <w:gridCol w:w="131"/>
        <w:gridCol w:w="188"/>
        <w:gridCol w:w="531"/>
        <w:gridCol w:w="850"/>
        <w:gridCol w:w="850"/>
        <w:gridCol w:w="850"/>
        <w:gridCol w:w="850"/>
        <w:gridCol w:w="6"/>
      </w:tblGrid>
      <w:tr w:rsidR="00C7327A" w:rsidRPr="00422B32" w:rsidTr="006042B2">
        <w:trPr>
          <w:gridAfter w:val="1"/>
          <w:wAfter w:w="6" w:type="dxa"/>
          <w:trHeight w:val="464"/>
          <w:tblHeader/>
        </w:trPr>
        <w:tc>
          <w:tcPr>
            <w:tcW w:w="3509" w:type="dxa"/>
            <w:tcBorders>
              <w:right w:val="nil"/>
            </w:tcBorders>
            <w:shd w:val="solid" w:color="000000" w:fill="auto"/>
            <w:vAlign w:val="bottom"/>
          </w:tcPr>
          <w:p w:rsidR="00C7327A" w:rsidRPr="00422B32" w:rsidRDefault="00C7327A" w:rsidP="00361FA9">
            <w:pPr>
              <w:autoSpaceDE w:val="0"/>
              <w:autoSpaceDN w:val="0"/>
              <w:adjustRightInd w:val="0"/>
              <w:spacing w:after="0"/>
              <w:rPr>
                <w:rFonts w:eastAsiaTheme="minorEastAsia" w:cs="Calibri"/>
                <w:iCs/>
                <w:color w:val="FFFFFF"/>
                <w:sz w:val="19"/>
                <w:szCs w:val="19"/>
                <w:lang w:eastAsia="en-AU"/>
              </w:rPr>
            </w:pPr>
            <w:r w:rsidRPr="00422B32">
              <w:rPr>
                <w:rFonts w:ascii="Calibri" w:eastAsiaTheme="minorEastAsia" w:hAnsi="Calibri" w:cs="Calibri"/>
                <w:i/>
                <w:iCs/>
                <w:color w:val="FFFFFF"/>
                <w:sz w:val="19"/>
                <w:szCs w:val="19"/>
                <w:lang w:eastAsia="en-AU"/>
              </w:rPr>
              <w:t xml:space="preserve"> </w:t>
            </w:r>
          </w:p>
        </w:tc>
        <w:tc>
          <w:tcPr>
            <w:tcW w:w="850" w:type="dxa"/>
            <w:gridSpan w:val="3"/>
            <w:tcBorders>
              <w:left w:val="nil"/>
              <w:right w:val="nil"/>
            </w:tcBorders>
            <w:shd w:val="solid" w:color="000000" w:fill="auto"/>
            <w:vAlign w:val="bottom"/>
          </w:tcPr>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2015-16 </w:t>
            </w:r>
          </w:p>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revised</w:t>
            </w:r>
          </w:p>
        </w:tc>
        <w:tc>
          <w:tcPr>
            <w:tcW w:w="850" w:type="dxa"/>
            <w:tcBorders>
              <w:left w:val="nil"/>
              <w:right w:val="nil"/>
            </w:tcBorders>
            <w:shd w:val="solid" w:color="000000" w:fill="auto"/>
            <w:vAlign w:val="bottom"/>
          </w:tcPr>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2016-17 </w:t>
            </w:r>
          </w:p>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budget</w:t>
            </w:r>
          </w:p>
        </w:tc>
        <w:tc>
          <w:tcPr>
            <w:tcW w:w="850" w:type="dxa"/>
            <w:tcBorders>
              <w:left w:val="nil"/>
              <w:right w:val="nil"/>
            </w:tcBorders>
            <w:shd w:val="solid" w:color="000000" w:fill="auto"/>
            <w:vAlign w:val="bottom"/>
          </w:tcPr>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2017-18 </w:t>
            </w:r>
          </w:p>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left w:val="nil"/>
              <w:right w:val="nil"/>
            </w:tcBorders>
            <w:shd w:val="solid" w:color="000000" w:fill="auto"/>
            <w:vAlign w:val="bottom"/>
          </w:tcPr>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2018-19 </w:t>
            </w:r>
          </w:p>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left w:val="nil"/>
            </w:tcBorders>
            <w:shd w:val="solid" w:color="000000" w:fill="auto"/>
            <w:vAlign w:val="bottom"/>
          </w:tcPr>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2019-20 </w:t>
            </w:r>
          </w:p>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r>
      <w:tr w:rsidR="00C7327A" w:rsidRPr="00422B32" w:rsidTr="006042B2">
        <w:trPr>
          <w:gridAfter w:val="1"/>
          <w:wAfter w:w="6" w:type="dxa"/>
        </w:trPr>
        <w:tc>
          <w:tcPr>
            <w:tcW w:w="7759" w:type="dxa"/>
            <w:gridSpan w:val="8"/>
            <w:tcBorders>
              <w:top w:val="nil"/>
            </w:tcBorders>
            <w:shd w:val="clear" w:color="auto" w:fill="FFFFFF"/>
          </w:tcPr>
          <w:p w:rsidR="00C7327A" w:rsidRPr="00422B32" w:rsidRDefault="00C7327A" w:rsidP="00C7327A">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Revenue from transactions</w:t>
            </w:r>
          </w:p>
        </w:tc>
      </w:tr>
      <w:tr w:rsidR="002C39A3" w:rsidRPr="00422B32" w:rsidTr="00361FA9">
        <w:trPr>
          <w:gridAfter w:val="1"/>
          <w:wAfter w:w="6" w:type="dxa"/>
        </w:trPr>
        <w:tc>
          <w:tcPr>
            <w:tcW w:w="350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Taxation revenue</w:t>
            </w:r>
          </w:p>
        </w:tc>
        <w:tc>
          <w:tcPr>
            <w:tcW w:w="850" w:type="dxa"/>
            <w:gridSpan w:val="3"/>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19 659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21 215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20 929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22 044</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22 915</w:t>
            </w:r>
          </w:p>
        </w:tc>
      </w:tr>
      <w:tr w:rsidR="002C39A3" w:rsidRPr="00422B32" w:rsidTr="00361FA9">
        <w:trPr>
          <w:gridAfter w:val="1"/>
          <w:wAfter w:w="6" w:type="dxa"/>
        </w:trPr>
        <w:tc>
          <w:tcPr>
            <w:tcW w:w="350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Interest revenue</w:t>
            </w:r>
          </w:p>
        </w:tc>
        <w:tc>
          <w:tcPr>
            <w:tcW w:w="850" w:type="dxa"/>
            <w:gridSpan w:val="3"/>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333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341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355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361</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368</w:t>
            </w:r>
          </w:p>
        </w:tc>
      </w:tr>
      <w:tr w:rsidR="002C39A3" w:rsidRPr="00422B32" w:rsidTr="00361FA9">
        <w:trPr>
          <w:gridAfter w:val="1"/>
          <w:wAfter w:w="6" w:type="dxa"/>
        </w:trPr>
        <w:tc>
          <w:tcPr>
            <w:tcW w:w="350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Dividends and income tax equivalent and rate equivalent revenue</w:t>
            </w:r>
          </w:p>
        </w:tc>
        <w:tc>
          <w:tcPr>
            <w:tcW w:w="850" w:type="dxa"/>
            <w:gridSpan w:val="3"/>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288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622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1 027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506</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490</w:t>
            </w:r>
          </w:p>
        </w:tc>
      </w:tr>
      <w:tr w:rsidR="002C39A3" w:rsidRPr="00422B32" w:rsidTr="00361FA9">
        <w:trPr>
          <w:gridAfter w:val="1"/>
          <w:wAfter w:w="6" w:type="dxa"/>
        </w:trPr>
        <w:tc>
          <w:tcPr>
            <w:tcW w:w="350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Sales of goods and services</w:t>
            </w:r>
          </w:p>
        </w:tc>
        <w:tc>
          <w:tcPr>
            <w:tcW w:w="850" w:type="dxa"/>
            <w:gridSpan w:val="3"/>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10 762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10 862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11 167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11 436</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11 540</w:t>
            </w:r>
          </w:p>
        </w:tc>
      </w:tr>
      <w:tr w:rsidR="002C39A3" w:rsidRPr="00422B32" w:rsidTr="00361FA9">
        <w:trPr>
          <w:gridAfter w:val="1"/>
          <w:wAfter w:w="6" w:type="dxa"/>
        </w:trPr>
        <w:tc>
          <w:tcPr>
            <w:tcW w:w="350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Grant revenue</w:t>
            </w:r>
          </w:p>
        </w:tc>
        <w:tc>
          <w:tcPr>
            <w:tcW w:w="850" w:type="dxa"/>
            <w:gridSpan w:val="3"/>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25 354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27 418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28 064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28 838</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29 951</w:t>
            </w:r>
          </w:p>
        </w:tc>
      </w:tr>
      <w:tr w:rsidR="002C39A3" w:rsidRPr="00422B32" w:rsidTr="00361FA9">
        <w:trPr>
          <w:gridAfter w:val="1"/>
          <w:wAfter w:w="6" w:type="dxa"/>
        </w:trPr>
        <w:tc>
          <w:tcPr>
            <w:tcW w:w="3509"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revenue</w:t>
            </w:r>
          </w:p>
        </w:tc>
        <w:tc>
          <w:tcPr>
            <w:tcW w:w="850" w:type="dxa"/>
            <w:gridSpan w:val="3"/>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3 449</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3 049</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2 805</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2 824</w:t>
            </w:r>
          </w:p>
        </w:tc>
        <w:tc>
          <w:tcPr>
            <w:tcW w:w="850"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2 877</w:t>
            </w:r>
          </w:p>
        </w:tc>
      </w:tr>
      <w:tr w:rsidR="002C39A3" w:rsidRPr="00422B32" w:rsidTr="00361FA9">
        <w:trPr>
          <w:gridAfter w:val="1"/>
          <w:wAfter w:w="6" w:type="dxa"/>
        </w:trPr>
        <w:tc>
          <w:tcPr>
            <w:tcW w:w="3509" w:type="dxa"/>
            <w:tcBorders>
              <w:top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revenue from transactions</w:t>
            </w:r>
          </w:p>
        </w:tc>
        <w:tc>
          <w:tcPr>
            <w:tcW w:w="850" w:type="dxa"/>
            <w:gridSpan w:val="3"/>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59 846</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63 507</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64 347</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66 010</w:t>
            </w:r>
          </w:p>
        </w:tc>
        <w:tc>
          <w:tcPr>
            <w:tcW w:w="850" w:type="dxa"/>
            <w:tcBorders>
              <w:top w:val="single" w:sz="6"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68 141</w:t>
            </w:r>
          </w:p>
        </w:tc>
      </w:tr>
      <w:tr w:rsidR="00C7327A" w:rsidRPr="00422B32" w:rsidTr="006042B2">
        <w:trPr>
          <w:gridAfter w:val="1"/>
          <w:wAfter w:w="6" w:type="dxa"/>
        </w:trPr>
        <w:tc>
          <w:tcPr>
            <w:tcW w:w="7759" w:type="dxa"/>
            <w:gridSpan w:val="8"/>
            <w:tcBorders>
              <w:top w:val="nil"/>
            </w:tcBorders>
            <w:shd w:val="clear" w:color="auto" w:fill="FFFFFF"/>
          </w:tcPr>
          <w:p w:rsidR="00C7327A" w:rsidRPr="00422B32" w:rsidRDefault="00C7327A" w:rsidP="00C7327A">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Expenses from transactions</w:t>
            </w:r>
          </w:p>
        </w:tc>
      </w:tr>
      <w:tr w:rsidR="002C39A3" w:rsidRPr="00422B32" w:rsidTr="00361FA9">
        <w:trPr>
          <w:gridAfter w:val="1"/>
          <w:wAfter w:w="6" w:type="dxa"/>
        </w:trPr>
        <w:tc>
          <w:tcPr>
            <w:tcW w:w="350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Employee expenses</w:t>
            </w:r>
          </w:p>
        </w:tc>
        <w:tc>
          <w:tcPr>
            <w:tcW w:w="850" w:type="dxa"/>
            <w:gridSpan w:val="3"/>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21 149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22 401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23 234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24 170</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24 886</w:t>
            </w:r>
          </w:p>
        </w:tc>
      </w:tr>
      <w:tr w:rsidR="002C39A3" w:rsidRPr="00422B32" w:rsidTr="00361FA9">
        <w:trPr>
          <w:gridAfter w:val="1"/>
          <w:wAfter w:w="6" w:type="dxa"/>
        </w:trPr>
        <w:tc>
          <w:tcPr>
            <w:tcW w:w="350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superannuation interest expense</w:t>
            </w:r>
          </w:p>
        </w:tc>
        <w:tc>
          <w:tcPr>
            <w:tcW w:w="850" w:type="dxa"/>
            <w:gridSpan w:val="3"/>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878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791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769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745</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720</w:t>
            </w:r>
          </w:p>
        </w:tc>
      </w:tr>
      <w:tr w:rsidR="002C39A3" w:rsidRPr="00422B32" w:rsidTr="00361FA9">
        <w:trPr>
          <w:gridAfter w:val="1"/>
          <w:wAfter w:w="6" w:type="dxa"/>
        </w:trPr>
        <w:tc>
          <w:tcPr>
            <w:tcW w:w="350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superannuation</w:t>
            </w:r>
          </w:p>
        </w:tc>
        <w:tc>
          <w:tcPr>
            <w:tcW w:w="850" w:type="dxa"/>
            <w:gridSpan w:val="3"/>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2 226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2 338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2 354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2 389</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2 429</w:t>
            </w:r>
          </w:p>
        </w:tc>
      </w:tr>
      <w:tr w:rsidR="002C39A3" w:rsidRPr="00422B32" w:rsidTr="00361FA9">
        <w:trPr>
          <w:gridAfter w:val="1"/>
          <w:wAfter w:w="6" w:type="dxa"/>
        </w:trPr>
        <w:tc>
          <w:tcPr>
            <w:tcW w:w="350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Depreciation</w:t>
            </w:r>
          </w:p>
        </w:tc>
        <w:tc>
          <w:tcPr>
            <w:tcW w:w="850" w:type="dxa"/>
            <w:gridSpan w:val="3"/>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4 617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4 863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5 036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5 398</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5 603</w:t>
            </w:r>
          </w:p>
        </w:tc>
      </w:tr>
      <w:tr w:rsidR="002C39A3" w:rsidRPr="00422B32" w:rsidTr="00361FA9">
        <w:trPr>
          <w:gridAfter w:val="1"/>
          <w:wAfter w:w="6" w:type="dxa"/>
        </w:trPr>
        <w:tc>
          <w:tcPr>
            <w:tcW w:w="350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Interest expense</w:t>
            </w:r>
          </w:p>
        </w:tc>
        <w:tc>
          <w:tcPr>
            <w:tcW w:w="850" w:type="dxa"/>
            <w:gridSpan w:val="3"/>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2 711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2 926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2 687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2 737</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2 692</w:t>
            </w:r>
          </w:p>
        </w:tc>
      </w:tr>
      <w:tr w:rsidR="002C39A3" w:rsidRPr="00422B32" w:rsidTr="00361FA9">
        <w:trPr>
          <w:gridAfter w:val="1"/>
          <w:wAfter w:w="6" w:type="dxa"/>
        </w:trPr>
        <w:tc>
          <w:tcPr>
            <w:tcW w:w="350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Grant expense</w:t>
            </w:r>
          </w:p>
        </w:tc>
        <w:tc>
          <w:tcPr>
            <w:tcW w:w="850" w:type="dxa"/>
            <w:gridSpan w:val="3"/>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5 532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6 509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6 483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6 764</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6 854</w:t>
            </w:r>
          </w:p>
        </w:tc>
      </w:tr>
      <w:tr w:rsidR="002C39A3" w:rsidRPr="00422B32" w:rsidTr="00361FA9">
        <w:trPr>
          <w:gridAfter w:val="1"/>
          <w:wAfter w:w="6" w:type="dxa"/>
        </w:trPr>
        <w:tc>
          <w:tcPr>
            <w:tcW w:w="3509"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operating expenses</w:t>
            </w:r>
          </w:p>
        </w:tc>
        <w:tc>
          <w:tcPr>
            <w:tcW w:w="850" w:type="dxa"/>
            <w:gridSpan w:val="3"/>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21 008</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21 805</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22 586</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22 424</w:t>
            </w:r>
          </w:p>
        </w:tc>
        <w:tc>
          <w:tcPr>
            <w:tcW w:w="850"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23 021</w:t>
            </w:r>
          </w:p>
        </w:tc>
      </w:tr>
      <w:tr w:rsidR="002C39A3" w:rsidRPr="00422B32" w:rsidTr="00361FA9">
        <w:trPr>
          <w:gridAfter w:val="1"/>
          <w:wAfter w:w="6" w:type="dxa"/>
        </w:trPr>
        <w:tc>
          <w:tcPr>
            <w:tcW w:w="3509" w:type="dxa"/>
            <w:tcBorders>
              <w:top w:val="single" w:sz="6" w:space="0" w:color="000000"/>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expenses from transactions</w:t>
            </w:r>
          </w:p>
        </w:tc>
        <w:tc>
          <w:tcPr>
            <w:tcW w:w="850" w:type="dxa"/>
            <w:gridSpan w:val="3"/>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58 122</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61 634</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63 149</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64 626</w:t>
            </w:r>
          </w:p>
        </w:tc>
        <w:tc>
          <w:tcPr>
            <w:tcW w:w="850" w:type="dxa"/>
            <w:tcBorders>
              <w:top w:val="single" w:sz="6" w:space="0" w:color="000000"/>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66 205</w:t>
            </w:r>
          </w:p>
        </w:tc>
      </w:tr>
      <w:tr w:rsidR="002C39A3" w:rsidRPr="00422B32" w:rsidTr="00361FA9">
        <w:trPr>
          <w:gridAfter w:val="1"/>
          <w:wAfter w:w="6" w:type="dxa"/>
        </w:trPr>
        <w:tc>
          <w:tcPr>
            <w:tcW w:w="3509"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Net result from transactions – </w:t>
            </w:r>
            <w:r w:rsidR="00C7327A">
              <w:rPr>
                <w:rFonts w:ascii="Calibri" w:eastAsiaTheme="minorEastAsia" w:hAnsi="Calibri" w:cs="Calibri"/>
                <w:b/>
                <w:bCs/>
                <w:color w:val="000000"/>
                <w:sz w:val="19"/>
                <w:szCs w:val="19"/>
                <w:lang w:eastAsia="en-AU"/>
              </w:rPr>
              <w:br/>
            </w:r>
            <w:r w:rsidRPr="00422B32">
              <w:rPr>
                <w:rFonts w:ascii="Calibri" w:eastAsiaTheme="minorEastAsia" w:hAnsi="Calibri" w:cs="Calibri"/>
                <w:b/>
                <w:bCs/>
                <w:color w:val="000000"/>
                <w:sz w:val="19"/>
                <w:szCs w:val="19"/>
                <w:lang w:eastAsia="en-AU"/>
              </w:rPr>
              <w:t>net operating balance</w:t>
            </w:r>
          </w:p>
        </w:tc>
        <w:tc>
          <w:tcPr>
            <w:tcW w:w="850" w:type="dxa"/>
            <w:gridSpan w:val="3"/>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1 724</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1 873</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1 197</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1 383</w:t>
            </w:r>
          </w:p>
        </w:tc>
        <w:tc>
          <w:tcPr>
            <w:tcW w:w="850"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1 936</w:t>
            </w:r>
          </w:p>
        </w:tc>
      </w:tr>
      <w:tr w:rsidR="002C39A3" w:rsidRPr="00422B32" w:rsidTr="00361FA9">
        <w:trPr>
          <w:gridAfter w:val="1"/>
          <w:wAfter w:w="6" w:type="dxa"/>
        </w:trPr>
        <w:tc>
          <w:tcPr>
            <w:tcW w:w="3509" w:type="dxa"/>
            <w:tcBorders>
              <w:top w:val="single" w:sz="12" w:space="0" w:color="000000"/>
              <w:bottom w:val="single" w:sz="6" w:space="0" w:color="000000"/>
              <w:right w:val="nil"/>
            </w:tcBorders>
            <w:shd w:val="clear" w:color="auto" w:fill="FFFFFF"/>
          </w:tcPr>
          <w:p w:rsidR="002C39A3" w:rsidRPr="00422B32" w:rsidRDefault="002C39A3" w:rsidP="00C7327A">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other economic flows included in net</w:t>
            </w:r>
            <w:r w:rsidR="00C7327A">
              <w:rPr>
                <w:rFonts w:ascii="Calibri" w:eastAsiaTheme="minorEastAsia" w:hAnsi="Calibri" w:cs="Calibri"/>
                <w:b/>
                <w:bCs/>
                <w:color w:val="000000"/>
                <w:sz w:val="19"/>
                <w:szCs w:val="19"/>
                <w:lang w:eastAsia="en-AU"/>
              </w:rPr>
              <w:t> </w:t>
            </w:r>
            <w:r w:rsidRPr="00422B32">
              <w:rPr>
                <w:rFonts w:ascii="Calibri" w:eastAsiaTheme="minorEastAsia" w:hAnsi="Calibri" w:cs="Calibri"/>
                <w:b/>
                <w:bCs/>
                <w:color w:val="000000"/>
                <w:sz w:val="19"/>
                <w:szCs w:val="19"/>
                <w:lang w:eastAsia="en-AU"/>
              </w:rPr>
              <w:t>result</w:t>
            </w:r>
          </w:p>
        </w:tc>
        <w:tc>
          <w:tcPr>
            <w:tcW w:w="850" w:type="dxa"/>
            <w:gridSpan w:val="3"/>
            <w:tcBorders>
              <w:top w:val="single" w:sz="12"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(232)</w:t>
            </w:r>
          </w:p>
        </w:tc>
        <w:tc>
          <w:tcPr>
            <w:tcW w:w="850" w:type="dxa"/>
            <w:tcBorders>
              <w:top w:val="single" w:sz="12"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(429)</w:t>
            </w:r>
          </w:p>
        </w:tc>
        <w:tc>
          <w:tcPr>
            <w:tcW w:w="850" w:type="dxa"/>
            <w:tcBorders>
              <w:top w:val="single" w:sz="12"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54</w:t>
            </w:r>
          </w:p>
        </w:tc>
        <w:tc>
          <w:tcPr>
            <w:tcW w:w="850" w:type="dxa"/>
            <w:tcBorders>
              <w:top w:val="single" w:sz="12"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(194)</w:t>
            </w:r>
          </w:p>
        </w:tc>
        <w:tc>
          <w:tcPr>
            <w:tcW w:w="850" w:type="dxa"/>
            <w:tcBorders>
              <w:top w:val="single" w:sz="12" w:space="0" w:color="000000"/>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(238)</w:t>
            </w:r>
          </w:p>
        </w:tc>
      </w:tr>
      <w:tr w:rsidR="002C39A3" w:rsidRPr="00422B32" w:rsidTr="00361FA9">
        <w:trPr>
          <w:gridAfter w:val="1"/>
          <w:wAfter w:w="6" w:type="dxa"/>
        </w:trPr>
        <w:tc>
          <w:tcPr>
            <w:tcW w:w="3509"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Net result</w:t>
            </w:r>
          </w:p>
        </w:tc>
        <w:tc>
          <w:tcPr>
            <w:tcW w:w="850" w:type="dxa"/>
            <w:gridSpan w:val="3"/>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1 492</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1 445</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1 252</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1 189</w:t>
            </w:r>
          </w:p>
        </w:tc>
        <w:tc>
          <w:tcPr>
            <w:tcW w:w="850"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1 698</w:t>
            </w:r>
          </w:p>
        </w:tc>
      </w:tr>
      <w:tr w:rsidR="00C7327A" w:rsidRPr="00422B32" w:rsidTr="006042B2">
        <w:tc>
          <w:tcPr>
            <w:tcW w:w="7765" w:type="dxa"/>
            <w:gridSpan w:val="9"/>
            <w:tcBorders>
              <w:top w:val="single" w:sz="12" w:space="0" w:color="000000"/>
            </w:tcBorders>
            <w:shd w:val="clear" w:color="auto" w:fill="FFFFFF"/>
          </w:tcPr>
          <w:p w:rsidR="00C7327A" w:rsidRPr="00422B32" w:rsidRDefault="00C7327A" w:rsidP="00C7327A">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Other economic flows – other comprehensive income </w:t>
            </w:r>
          </w:p>
        </w:tc>
      </w:tr>
      <w:tr w:rsidR="00C7327A" w:rsidRPr="00422B32" w:rsidTr="006042B2">
        <w:tc>
          <w:tcPr>
            <w:tcW w:w="7765" w:type="dxa"/>
            <w:gridSpan w:val="9"/>
            <w:tcBorders>
              <w:top w:val="nil"/>
            </w:tcBorders>
            <w:shd w:val="clear" w:color="auto" w:fill="FFFFFF"/>
          </w:tcPr>
          <w:p w:rsidR="00C7327A" w:rsidRPr="00422B32" w:rsidRDefault="00C7327A" w:rsidP="00C7327A">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Items that will not be reclassified to net result</w:t>
            </w:r>
          </w:p>
        </w:tc>
      </w:tr>
      <w:tr w:rsidR="002C39A3" w:rsidRPr="00422B32" w:rsidTr="00361FA9">
        <w:trPr>
          <w:gridAfter w:val="1"/>
          <w:wAfter w:w="6" w:type="dxa"/>
        </w:trPr>
        <w:tc>
          <w:tcPr>
            <w:tcW w:w="350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Changes in non-financial assets revaluation surplus</w:t>
            </w:r>
          </w:p>
        </w:tc>
        <w:tc>
          <w:tcPr>
            <w:tcW w:w="850" w:type="dxa"/>
            <w:gridSpan w:val="3"/>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2 499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2 790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7 093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2 207</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7 438</w:t>
            </w:r>
          </w:p>
        </w:tc>
      </w:tr>
      <w:tr w:rsidR="002C39A3" w:rsidRPr="00422B32" w:rsidTr="00361FA9">
        <w:trPr>
          <w:gridAfter w:val="1"/>
          <w:wAfter w:w="6" w:type="dxa"/>
        </w:trPr>
        <w:tc>
          <w:tcPr>
            <w:tcW w:w="350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Remeasurement of superannuation defined benefit plans</w:t>
            </w:r>
          </w:p>
        </w:tc>
        <w:tc>
          <w:tcPr>
            <w:tcW w:w="850" w:type="dxa"/>
            <w:gridSpan w:val="3"/>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(1 796)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873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887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899</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910</w:t>
            </w:r>
          </w:p>
        </w:tc>
      </w:tr>
      <w:tr w:rsidR="002C39A3" w:rsidRPr="00422B32" w:rsidTr="00361FA9">
        <w:trPr>
          <w:gridAfter w:val="1"/>
          <w:wAfter w:w="6" w:type="dxa"/>
        </w:trPr>
        <w:tc>
          <w:tcPr>
            <w:tcW w:w="350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movements in equity</w:t>
            </w:r>
          </w:p>
        </w:tc>
        <w:tc>
          <w:tcPr>
            <w:tcW w:w="850" w:type="dxa"/>
            <w:gridSpan w:val="3"/>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192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32</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21</w:t>
            </w:r>
          </w:p>
        </w:tc>
      </w:tr>
      <w:tr w:rsidR="00C7327A" w:rsidRPr="00422B32" w:rsidTr="006042B2">
        <w:tc>
          <w:tcPr>
            <w:tcW w:w="7765" w:type="dxa"/>
            <w:gridSpan w:val="9"/>
            <w:tcBorders>
              <w:top w:val="nil"/>
            </w:tcBorders>
            <w:shd w:val="clear" w:color="auto" w:fill="FFFFFF"/>
          </w:tcPr>
          <w:p w:rsidR="00C7327A" w:rsidRPr="00422B32" w:rsidRDefault="00C7327A" w:rsidP="00C7327A">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Items that may be reclassified subsequently to net result </w:t>
            </w:r>
          </w:p>
        </w:tc>
      </w:tr>
      <w:tr w:rsidR="002C39A3" w:rsidRPr="00422B32" w:rsidTr="00361FA9">
        <w:trPr>
          <w:gridAfter w:val="1"/>
          <w:wAfter w:w="6" w:type="dxa"/>
        </w:trPr>
        <w:tc>
          <w:tcPr>
            <w:tcW w:w="3828" w:type="dxa"/>
            <w:gridSpan w:val="3"/>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gain/(loss) on financial assets at fair value</w:t>
            </w:r>
          </w:p>
        </w:tc>
        <w:tc>
          <w:tcPr>
            <w:tcW w:w="53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w:t>
            </w:r>
          </w:p>
        </w:tc>
      </w:tr>
      <w:tr w:rsidR="002C39A3" w:rsidRPr="00422B32" w:rsidTr="00361FA9">
        <w:trPr>
          <w:gridAfter w:val="1"/>
          <w:wAfter w:w="6" w:type="dxa"/>
        </w:trPr>
        <w:tc>
          <w:tcPr>
            <w:tcW w:w="3640" w:type="dxa"/>
            <w:gridSpan w:val="2"/>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gain/(loss) on equity investments in other sector entities at proportional share of the carrying amount of net assets</w:t>
            </w:r>
          </w:p>
        </w:tc>
        <w:tc>
          <w:tcPr>
            <w:tcW w:w="719" w:type="dxa"/>
            <w:gridSpan w:val="2"/>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53</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151</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246</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774</w:t>
            </w:r>
          </w:p>
        </w:tc>
        <w:tc>
          <w:tcPr>
            <w:tcW w:w="850"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251</w:t>
            </w:r>
          </w:p>
        </w:tc>
      </w:tr>
      <w:tr w:rsidR="002C39A3" w:rsidRPr="00422B32" w:rsidTr="00361FA9">
        <w:trPr>
          <w:gridAfter w:val="1"/>
          <w:wAfter w:w="6" w:type="dxa"/>
        </w:trPr>
        <w:tc>
          <w:tcPr>
            <w:tcW w:w="3509" w:type="dxa"/>
            <w:tcBorders>
              <w:top w:val="single" w:sz="6" w:space="0" w:color="000000"/>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Total other economic flows – </w:t>
            </w:r>
            <w:r w:rsidR="00C7327A">
              <w:rPr>
                <w:rFonts w:ascii="Calibri" w:eastAsiaTheme="minorEastAsia" w:hAnsi="Calibri" w:cs="Calibri"/>
                <w:b/>
                <w:bCs/>
                <w:color w:val="000000"/>
                <w:sz w:val="19"/>
                <w:szCs w:val="19"/>
                <w:lang w:eastAsia="en-AU"/>
              </w:rPr>
              <w:br/>
            </w:r>
            <w:r w:rsidRPr="00422B32">
              <w:rPr>
                <w:rFonts w:ascii="Calibri" w:eastAsiaTheme="minorEastAsia" w:hAnsi="Calibri" w:cs="Calibri"/>
                <w:b/>
                <w:bCs/>
                <w:color w:val="000000"/>
                <w:sz w:val="19"/>
                <w:szCs w:val="19"/>
                <w:lang w:eastAsia="en-AU"/>
              </w:rPr>
              <w:t>other comprehensive income</w:t>
            </w:r>
          </w:p>
        </w:tc>
        <w:tc>
          <w:tcPr>
            <w:tcW w:w="850" w:type="dxa"/>
            <w:gridSpan w:val="3"/>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794</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4 011</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8 238</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3 914</w:t>
            </w:r>
          </w:p>
        </w:tc>
        <w:tc>
          <w:tcPr>
            <w:tcW w:w="850" w:type="dxa"/>
            <w:tcBorders>
              <w:top w:val="single" w:sz="6" w:space="0" w:color="000000"/>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8 616</w:t>
            </w:r>
          </w:p>
        </w:tc>
      </w:tr>
      <w:tr w:rsidR="002C39A3" w:rsidRPr="00422B32" w:rsidTr="00361FA9">
        <w:trPr>
          <w:gridAfter w:val="1"/>
          <w:wAfter w:w="6" w:type="dxa"/>
        </w:trPr>
        <w:tc>
          <w:tcPr>
            <w:tcW w:w="3509"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Comprehensive result – </w:t>
            </w:r>
            <w:r w:rsidR="00C7327A">
              <w:rPr>
                <w:rFonts w:ascii="Calibri" w:eastAsiaTheme="minorEastAsia" w:hAnsi="Calibri" w:cs="Calibri"/>
                <w:b/>
                <w:bCs/>
                <w:color w:val="000000"/>
                <w:sz w:val="19"/>
                <w:szCs w:val="19"/>
                <w:lang w:eastAsia="en-AU"/>
              </w:rPr>
              <w:br/>
            </w:r>
            <w:r w:rsidRPr="00422B32">
              <w:rPr>
                <w:rFonts w:ascii="Calibri" w:eastAsiaTheme="minorEastAsia" w:hAnsi="Calibri" w:cs="Calibri"/>
                <w:b/>
                <w:bCs/>
                <w:color w:val="000000"/>
                <w:sz w:val="19"/>
                <w:szCs w:val="19"/>
                <w:lang w:eastAsia="en-AU"/>
              </w:rPr>
              <w:t>total change in net worth</w:t>
            </w:r>
          </w:p>
        </w:tc>
        <w:tc>
          <w:tcPr>
            <w:tcW w:w="850" w:type="dxa"/>
            <w:gridSpan w:val="3"/>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2 286</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5 456</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9 490</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5 103</w:t>
            </w:r>
          </w:p>
        </w:tc>
        <w:tc>
          <w:tcPr>
            <w:tcW w:w="850"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10 314</w:t>
            </w:r>
          </w:p>
        </w:tc>
      </w:tr>
    </w:tbl>
    <w:p w:rsidR="002C39A3" w:rsidRDefault="002C39A3" w:rsidP="00361FA9">
      <w:pPr>
        <w:pStyle w:val="Tableheadingcontinued"/>
      </w:pPr>
    </w:p>
    <w:p w:rsidR="002C39A3" w:rsidRDefault="002C39A3" w:rsidP="00361FA9">
      <w:pPr>
        <w:pStyle w:val="Heading1"/>
      </w:pPr>
      <w:r>
        <w:br w:type="page"/>
      </w:r>
    </w:p>
    <w:p w:rsidR="002C39A3" w:rsidRDefault="002C39A3" w:rsidP="00361FA9">
      <w:pPr>
        <w:pStyle w:val="Tableheadingcontinued"/>
      </w:pPr>
      <w:r>
        <w:t>Table 2.7:</w:t>
      </w:r>
      <w:r>
        <w:tab/>
        <w:t>Non</w:t>
      </w:r>
      <w:r>
        <w:noBreakHyphen/>
        <w:t>financial public sector comprehensive operating statement for the financial year ended 30 June</w:t>
      </w:r>
      <w:r w:rsidRPr="00722BBA">
        <w:rPr>
          <w:vertAlign w:val="superscript"/>
        </w:rPr>
        <w:t>(a)</w:t>
      </w:r>
      <w:r>
        <w:t xml:space="preserve"> </w:t>
      </w:r>
      <w:r w:rsidRPr="00722BBA">
        <w:rPr>
          <w:i/>
        </w:rPr>
        <w:t>(continued)</w:t>
      </w:r>
    </w:p>
    <w:p w:rsidR="002C39A3" w:rsidRDefault="002C39A3" w:rsidP="00361FA9">
      <w:pPr>
        <w:pStyle w:val="million"/>
      </w:pPr>
      <w:r>
        <w:t>($ million)</w:t>
      </w:r>
    </w:p>
    <w:tbl>
      <w:tblPr>
        <w:tblW w:w="7759" w:type="dxa"/>
        <w:tblInd w:w="45" w:type="dxa"/>
        <w:tblLayout w:type="fixed"/>
        <w:tblCellMar>
          <w:left w:w="45" w:type="dxa"/>
          <w:right w:w="45" w:type="dxa"/>
        </w:tblCellMar>
        <w:tblLook w:val="0000" w:firstRow="0" w:lastRow="0" w:firstColumn="0" w:lastColumn="0" w:noHBand="0" w:noVBand="0"/>
      </w:tblPr>
      <w:tblGrid>
        <w:gridCol w:w="3509"/>
        <w:gridCol w:w="850"/>
        <w:gridCol w:w="850"/>
        <w:gridCol w:w="850"/>
        <w:gridCol w:w="850"/>
        <w:gridCol w:w="850"/>
      </w:tblGrid>
      <w:tr w:rsidR="00C7327A" w:rsidRPr="00422B32" w:rsidTr="006042B2">
        <w:trPr>
          <w:trHeight w:val="464"/>
          <w:tblHeader/>
        </w:trPr>
        <w:tc>
          <w:tcPr>
            <w:tcW w:w="3509" w:type="dxa"/>
            <w:tcBorders>
              <w:right w:val="nil"/>
            </w:tcBorders>
            <w:shd w:val="solid" w:color="000000" w:fill="auto"/>
            <w:vAlign w:val="bottom"/>
          </w:tcPr>
          <w:p w:rsidR="00C7327A" w:rsidRPr="00422B32" w:rsidRDefault="00C7327A" w:rsidP="00361FA9">
            <w:pPr>
              <w:autoSpaceDE w:val="0"/>
              <w:autoSpaceDN w:val="0"/>
              <w:adjustRightInd w:val="0"/>
              <w:spacing w:after="0"/>
              <w:rPr>
                <w:rFonts w:eastAsiaTheme="minorEastAsia" w:cs="Calibri"/>
                <w:iCs/>
                <w:color w:val="FFFFFF"/>
                <w:sz w:val="19"/>
                <w:szCs w:val="19"/>
                <w:lang w:eastAsia="en-AU"/>
              </w:rPr>
            </w:pPr>
          </w:p>
        </w:tc>
        <w:tc>
          <w:tcPr>
            <w:tcW w:w="850" w:type="dxa"/>
            <w:tcBorders>
              <w:left w:val="nil"/>
              <w:right w:val="nil"/>
            </w:tcBorders>
            <w:shd w:val="solid" w:color="000000" w:fill="auto"/>
            <w:vAlign w:val="bottom"/>
          </w:tcPr>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2015-16 </w:t>
            </w:r>
          </w:p>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revised</w:t>
            </w:r>
          </w:p>
        </w:tc>
        <w:tc>
          <w:tcPr>
            <w:tcW w:w="850" w:type="dxa"/>
            <w:tcBorders>
              <w:left w:val="nil"/>
              <w:right w:val="nil"/>
            </w:tcBorders>
            <w:shd w:val="solid" w:color="000000" w:fill="auto"/>
            <w:vAlign w:val="bottom"/>
          </w:tcPr>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2016-17 </w:t>
            </w:r>
          </w:p>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budget</w:t>
            </w:r>
          </w:p>
        </w:tc>
        <w:tc>
          <w:tcPr>
            <w:tcW w:w="850" w:type="dxa"/>
            <w:tcBorders>
              <w:left w:val="nil"/>
              <w:right w:val="nil"/>
            </w:tcBorders>
            <w:shd w:val="solid" w:color="000000" w:fill="auto"/>
            <w:vAlign w:val="bottom"/>
          </w:tcPr>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2017-18 </w:t>
            </w:r>
          </w:p>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left w:val="nil"/>
              <w:right w:val="nil"/>
            </w:tcBorders>
            <w:shd w:val="solid" w:color="000000" w:fill="auto"/>
            <w:vAlign w:val="bottom"/>
          </w:tcPr>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2018-19 </w:t>
            </w:r>
          </w:p>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left w:val="nil"/>
            </w:tcBorders>
            <w:shd w:val="solid" w:color="000000" w:fill="auto"/>
            <w:vAlign w:val="bottom"/>
          </w:tcPr>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2019-20 </w:t>
            </w:r>
          </w:p>
          <w:p w:rsidR="00C7327A" w:rsidRPr="00422B32" w:rsidRDefault="00C7327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r>
      <w:tr w:rsidR="00C7327A" w:rsidRPr="00422B32" w:rsidTr="006042B2">
        <w:tc>
          <w:tcPr>
            <w:tcW w:w="7759" w:type="dxa"/>
            <w:gridSpan w:val="6"/>
            <w:tcBorders>
              <w:top w:val="nil"/>
            </w:tcBorders>
            <w:shd w:val="clear" w:color="auto" w:fill="FFFFFF"/>
          </w:tcPr>
          <w:p w:rsidR="00C7327A" w:rsidRPr="00422B32" w:rsidRDefault="00C7327A" w:rsidP="00C7327A">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KEY FISCAL AGGREGATES</w:t>
            </w:r>
          </w:p>
        </w:tc>
      </w:tr>
      <w:tr w:rsidR="002C39A3" w:rsidRPr="00422B32" w:rsidTr="00361FA9">
        <w:tc>
          <w:tcPr>
            <w:tcW w:w="3509"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Net operating balance</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1 724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1 873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1 197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1 383</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1 936</w:t>
            </w:r>
          </w:p>
        </w:tc>
      </w:tr>
      <w:tr w:rsidR="002C39A3" w:rsidRPr="00422B32" w:rsidTr="00361FA9">
        <w:tc>
          <w:tcPr>
            <w:tcW w:w="3509"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Less: Net acquisition of non-financial assets from transactions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2 427</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4 376</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4 274</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3 598</w:t>
            </w:r>
          </w:p>
        </w:tc>
        <w:tc>
          <w:tcPr>
            <w:tcW w:w="850"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2 252</w:t>
            </w:r>
          </w:p>
        </w:tc>
      </w:tr>
      <w:tr w:rsidR="002C39A3" w:rsidRPr="00422B32" w:rsidTr="00361FA9">
        <w:tc>
          <w:tcPr>
            <w:tcW w:w="3509" w:type="dxa"/>
            <w:tcBorders>
              <w:top w:val="single" w:sz="6" w:space="0" w:color="000000"/>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Net lending/(borrowing)</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(703)</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(2 503)</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(3 077)</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(2 215)</w:t>
            </w:r>
          </w:p>
        </w:tc>
        <w:tc>
          <w:tcPr>
            <w:tcW w:w="850" w:type="dxa"/>
            <w:tcBorders>
              <w:top w:val="single" w:sz="6" w:space="0" w:color="000000"/>
              <w:left w:val="nil"/>
              <w:bottom w:val="single" w:sz="12" w:space="0" w:color="auto"/>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(316)</w:t>
            </w:r>
          </w:p>
        </w:tc>
      </w:tr>
    </w:tbl>
    <w:p w:rsidR="002C39A3" w:rsidRDefault="002C39A3" w:rsidP="00361FA9">
      <w:pPr>
        <w:pStyle w:val="Source"/>
      </w:pPr>
      <w:r>
        <w:t>Source: Department of Treasury and Finance</w:t>
      </w:r>
    </w:p>
    <w:p w:rsidR="002C39A3" w:rsidRDefault="002C39A3" w:rsidP="00361FA9">
      <w:pPr>
        <w:pStyle w:val="Notes"/>
      </w:pPr>
      <w:r>
        <w:t>Note:</w:t>
      </w:r>
    </w:p>
    <w:p w:rsidR="002C39A3" w:rsidRDefault="002C39A3" w:rsidP="00361FA9">
      <w:pPr>
        <w:pStyle w:val="Notes"/>
      </w:pPr>
      <w:r>
        <w:t>(a)</w:t>
      </w:r>
      <w:r>
        <w:tab/>
      </w:r>
      <w:r w:rsidRPr="00792C66">
        <w:t xml:space="preserve">Certain line items have been aggregated in the table above due to </w:t>
      </w:r>
      <w:r>
        <w:t xml:space="preserve">the </w:t>
      </w:r>
      <w:r w:rsidRPr="00792C66">
        <w:t xml:space="preserve">commercial sensitivities of </w:t>
      </w:r>
      <w:r>
        <w:t xml:space="preserve">certain </w:t>
      </w:r>
      <w:r w:rsidRPr="00792C66">
        <w:t>balances.</w:t>
      </w:r>
    </w:p>
    <w:p w:rsidR="002C39A3" w:rsidRDefault="002C39A3" w:rsidP="00361FA9"/>
    <w:p w:rsidR="002C39A3" w:rsidRDefault="002C39A3">
      <w:pPr>
        <w:spacing w:after="0"/>
        <w:rPr>
          <w:rFonts w:ascii="Calibri" w:hAnsi="Calibri"/>
          <w:b/>
        </w:rPr>
      </w:pPr>
      <w:r>
        <w:br w:type="page"/>
      </w:r>
    </w:p>
    <w:p w:rsidR="002C39A3" w:rsidRDefault="002C39A3" w:rsidP="00361FA9">
      <w:pPr>
        <w:pStyle w:val="Tableheading"/>
      </w:pPr>
      <w:r>
        <w:t>Table 2.8:</w:t>
      </w:r>
      <w:r>
        <w:tab/>
        <w:t>Non</w:t>
      </w:r>
      <w:r>
        <w:noBreakHyphen/>
        <w:t>financial public sector balance sheet as at 30 June</w:t>
      </w:r>
    </w:p>
    <w:p w:rsidR="002C39A3" w:rsidRPr="00422B32" w:rsidRDefault="002C39A3" w:rsidP="00361FA9">
      <w:pPr>
        <w:pStyle w:val="million"/>
        <w:rPr>
          <w:rFonts w:eastAsiaTheme="minorEastAsia"/>
          <w:b/>
          <w:bCs/>
          <w:lang w:val="en-US" w:eastAsia="en-AU"/>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BC4885" w:rsidRPr="00422B32" w:rsidTr="006042B2">
        <w:trPr>
          <w:trHeight w:val="464"/>
          <w:tblHeader/>
        </w:trPr>
        <w:tc>
          <w:tcPr>
            <w:tcW w:w="3515" w:type="dxa"/>
            <w:tcBorders>
              <w:right w:val="nil"/>
            </w:tcBorders>
            <w:shd w:val="solid" w:color="000000" w:fill="auto"/>
            <w:vAlign w:val="bottom"/>
          </w:tcPr>
          <w:p w:rsidR="00BC4885" w:rsidRPr="00422B32" w:rsidRDefault="00BC4885" w:rsidP="00BC4885">
            <w:pPr>
              <w:pStyle w:val="Source"/>
              <w:spacing w:after="0"/>
              <w:rPr>
                <w:rFonts w:eastAsiaTheme="minorEastAsia" w:cs="Calibri"/>
                <w:iCs/>
                <w:color w:val="FFFFFF"/>
                <w:sz w:val="19"/>
                <w:szCs w:val="19"/>
                <w:lang w:eastAsia="en-AU"/>
              </w:rPr>
            </w:pPr>
          </w:p>
        </w:tc>
        <w:tc>
          <w:tcPr>
            <w:tcW w:w="850" w:type="dxa"/>
            <w:tcBorders>
              <w:left w:val="nil"/>
              <w:right w:val="nil"/>
            </w:tcBorders>
            <w:shd w:val="solid" w:color="000000" w:fill="auto"/>
            <w:vAlign w:val="bottom"/>
          </w:tcPr>
          <w:p w:rsidR="00BC4885" w:rsidRPr="00422B32"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2016 </w:t>
            </w:r>
          </w:p>
          <w:p w:rsidR="00BC4885" w:rsidRPr="00422B32"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revised</w:t>
            </w:r>
          </w:p>
        </w:tc>
        <w:tc>
          <w:tcPr>
            <w:tcW w:w="850" w:type="dxa"/>
            <w:tcBorders>
              <w:left w:val="nil"/>
              <w:right w:val="nil"/>
            </w:tcBorders>
            <w:shd w:val="solid" w:color="000000" w:fill="auto"/>
            <w:vAlign w:val="bottom"/>
          </w:tcPr>
          <w:p w:rsidR="00BC4885" w:rsidRPr="00422B32"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2017 </w:t>
            </w:r>
          </w:p>
          <w:p w:rsidR="00BC4885" w:rsidRPr="00422B32"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budget</w:t>
            </w:r>
          </w:p>
        </w:tc>
        <w:tc>
          <w:tcPr>
            <w:tcW w:w="850" w:type="dxa"/>
            <w:tcBorders>
              <w:left w:val="nil"/>
              <w:right w:val="nil"/>
            </w:tcBorders>
            <w:shd w:val="solid" w:color="000000" w:fill="auto"/>
            <w:vAlign w:val="bottom"/>
          </w:tcPr>
          <w:p w:rsidR="00BC4885" w:rsidRPr="00422B32"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2018 </w:t>
            </w:r>
          </w:p>
          <w:p w:rsidR="00BC4885" w:rsidRPr="00422B32"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left w:val="nil"/>
              <w:right w:val="nil"/>
            </w:tcBorders>
            <w:shd w:val="solid" w:color="000000" w:fill="auto"/>
            <w:vAlign w:val="bottom"/>
          </w:tcPr>
          <w:p w:rsidR="00BC4885" w:rsidRPr="00422B32"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2019 </w:t>
            </w:r>
          </w:p>
          <w:p w:rsidR="00BC4885" w:rsidRPr="00422B32"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left w:val="nil"/>
            </w:tcBorders>
            <w:shd w:val="solid" w:color="000000" w:fill="auto"/>
            <w:vAlign w:val="bottom"/>
          </w:tcPr>
          <w:p w:rsidR="00BC4885" w:rsidRPr="00422B32"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2020 </w:t>
            </w:r>
          </w:p>
          <w:p w:rsidR="00BC4885" w:rsidRPr="00422B32"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r>
      <w:tr w:rsidR="00BC4885" w:rsidRPr="00422B32" w:rsidTr="006042B2">
        <w:tc>
          <w:tcPr>
            <w:tcW w:w="7765" w:type="dxa"/>
            <w:gridSpan w:val="6"/>
            <w:tcBorders>
              <w:top w:val="nil"/>
            </w:tcBorders>
            <w:shd w:val="clear" w:color="auto" w:fill="FFFFFF"/>
          </w:tcPr>
          <w:p w:rsidR="00BC4885" w:rsidRPr="00422B32" w:rsidRDefault="00BC4885" w:rsidP="00BC4885">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Assets</w:t>
            </w:r>
          </w:p>
        </w:tc>
      </w:tr>
      <w:tr w:rsidR="00BC4885" w:rsidRPr="00422B32" w:rsidTr="006042B2">
        <w:tc>
          <w:tcPr>
            <w:tcW w:w="7765" w:type="dxa"/>
            <w:gridSpan w:val="6"/>
            <w:tcBorders>
              <w:top w:val="nil"/>
            </w:tcBorders>
            <w:shd w:val="clear" w:color="auto" w:fill="FFFFFF"/>
          </w:tcPr>
          <w:p w:rsidR="00BC4885" w:rsidRPr="00422B32" w:rsidRDefault="00BC4885" w:rsidP="00BC4885">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Financial assets</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Cash and deposits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5 089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5 542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5 465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5 789</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6 087</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Advances paid</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63</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56</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Receivables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5 926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6 176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6 260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6 468</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6 590</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Investments, loans and placements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4 497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4 354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4 408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4 505</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4 622</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Investments accounted for using equity method</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2 021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2 024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2 028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2 033</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2 034</w:t>
            </w:r>
          </w:p>
        </w:tc>
      </w:tr>
      <w:tr w:rsidR="002C39A3" w:rsidRPr="00422B32" w:rsidTr="00361FA9">
        <w:tc>
          <w:tcPr>
            <w:tcW w:w="351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Investments in other sector entities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2 906</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3 074</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2 666</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2 343</w:t>
            </w:r>
          </w:p>
        </w:tc>
        <w:tc>
          <w:tcPr>
            <w:tcW w:w="850"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2 011</w:t>
            </w:r>
          </w:p>
        </w:tc>
      </w:tr>
      <w:tr w:rsidR="002C39A3" w:rsidRPr="00422B32" w:rsidTr="00361FA9">
        <w:tc>
          <w:tcPr>
            <w:tcW w:w="3515" w:type="dxa"/>
            <w:tcBorders>
              <w:top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financial assets</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20 519</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21 245</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20 897</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21 202</w:t>
            </w:r>
          </w:p>
        </w:tc>
        <w:tc>
          <w:tcPr>
            <w:tcW w:w="850" w:type="dxa"/>
            <w:tcBorders>
              <w:top w:val="single" w:sz="6"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21 399</w:t>
            </w:r>
          </w:p>
        </w:tc>
      </w:tr>
      <w:tr w:rsidR="00BC4885" w:rsidRPr="00422B32" w:rsidTr="006042B2">
        <w:tc>
          <w:tcPr>
            <w:tcW w:w="7765" w:type="dxa"/>
            <w:gridSpan w:val="6"/>
            <w:tcBorders>
              <w:top w:val="nil"/>
            </w:tcBorders>
            <w:shd w:val="clear" w:color="auto" w:fill="FFFFFF"/>
          </w:tcPr>
          <w:p w:rsidR="00BC4885" w:rsidRPr="00422B32" w:rsidRDefault="00BC4885" w:rsidP="00BC4885">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Non-financial assets</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Inventories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595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761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851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951</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928</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Non-financial assets held for sale</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168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160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150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160</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155</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Land, buildings, infrastructure, plant and equipment</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211 836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218 807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230 506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236 543</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246 382</w:t>
            </w:r>
          </w:p>
        </w:tc>
      </w:tr>
      <w:tr w:rsidR="002C39A3" w:rsidRPr="00422B32" w:rsidTr="00361FA9">
        <w:tc>
          <w:tcPr>
            <w:tcW w:w="351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non-financial assets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2 014</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1 978</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1 876</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1 830</w:t>
            </w:r>
          </w:p>
        </w:tc>
        <w:tc>
          <w:tcPr>
            <w:tcW w:w="850"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1 738</w:t>
            </w:r>
          </w:p>
        </w:tc>
      </w:tr>
      <w:tr w:rsidR="002C39A3" w:rsidRPr="00422B32" w:rsidTr="00361FA9">
        <w:tc>
          <w:tcPr>
            <w:tcW w:w="3515" w:type="dxa"/>
            <w:tcBorders>
              <w:top w:val="single" w:sz="6" w:space="0" w:color="000000"/>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non-financial assets</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214 614</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221 707</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233 384</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239 485</w:t>
            </w:r>
          </w:p>
        </w:tc>
        <w:tc>
          <w:tcPr>
            <w:tcW w:w="850" w:type="dxa"/>
            <w:tcBorders>
              <w:top w:val="single" w:sz="6" w:space="0" w:color="000000"/>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249 203</w:t>
            </w:r>
          </w:p>
        </w:tc>
      </w:tr>
      <w:tr w:rsidR="002C39A3" w:rsidRPr="00422B32" w:rsidTr="00361FA9">
        <w:tc>
          <w:tcPr>
            <w:tcW w:w="3515" w:type="dxa"/>
            <w:tcBorders>
              <w:top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assets</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235 133</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242 951</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254 281</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260 688</w:t>
            </w:r>
          </w:p>
        </w:tc>
        <w:tc>
          <w:tcPr>
            <w:tcW w:w="850" w:type="dxa"/>
            <w:tcBorders>
              <w:top w:val="single" w:sz="6"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270 603</w:t>
            </w:r>
          </w:p>
        </w:tc>
      </w:tr>
      <w:tr w:rsidR="00BC4885" w:rsidRPr="00422B32" w:rsidTr="006042B2">
        <w:tc>
          <w:tcPr>
            <w:tcW w:w="7765" w:type="dxa"/>
            <w:gridSpan w:val="6"/>
            <w:tcBorders>
              <w:top w:val="nil"/>
            </w:tcBorders>
            <w:shd w:val="clear" w:color="auto" w:fill="FFFFFF"/>
          </w:tcPr>
          <w:p w:rsidR="00BC4885" w:rsidRPr="00422B32" w:rsidRDefault="00BC4885" w:rsidP="00BC4885">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Liabilities</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Deposits held and advances received</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640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641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644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646</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645</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Payables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6 075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11 584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11 357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11 186</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10 867</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Borrowings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46 305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43 643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46 393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48 564</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49 257</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Employee benefits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6 237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6 625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6 858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7 117</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7 319</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Superannuation</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27 930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27 093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26 208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25 237</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24 230</w:t>
            </w:r>
          </w:p>
        </w:tc>
      </w:tr>
      <w:tr w:rsidR="002C39A3" w:rsidRPr="00422B32" w:rsidTr="00361FA9">
        <w:tc>
          <w:tcPr>
            <w:tcW w:w="351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provisions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1 012</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976</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942</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955</w:t>
            </w:r>
          </w:p>
        </w:tc>
        <w:tc>
          <w:tcPr>
            <w:tcW w:w="850"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987</w:t>
            </w:r>
          </w:p>
        </w:tc>
      </w:tr>
      <w:tr w:rsidR="002C39A3" w:rsidRPr="00422B32" w:rsidTr="00361FA9">
        <w:tc>
          <w:tcPr>
            <w:tcW w:w="3515" w:type="dxa"/>
            <w:tcBorders>
              <w:top w:val="single" w:sz="6" w:space="0" w:color="000000"/>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liabilities</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88 199</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90 562</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92 402</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93 705</w:t>
            </w:r>
          </w:p>
        </w:tc>
        <w:tc>
          <w:tcPr>
            <w:tcW w:w="850" w:type="dxa"/>
            <w:tcBorders>
              <w:top w:val="single" w:sz="6" w:space="0" w:color="000000"/>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93 306</w:t>
            </w:r>
          </w:p>
        </w:tc>
      </w:tr>
      <w:tr w:rsidR="002C39A3" w:rsidRPr="00422B32" w:rsidTr="00361FA9">
        <w:tc>
          <w:tcPr>
            <w:tcW w:w="3515"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Net assets</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146 934</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152 389</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161 879</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166 982</w:t>
            </w:r>
          </w:p>
        </w:tc>
        <w:tc>
          <w:tcPr>
            <w:tcW w:w="850"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177 297</w:t>
            </w:r>
          </w:p>
        </w:tc>
      </w:tr>
      <w:tr w:rsidR="002C39A3" w:rsidRPr="00422B32" w:rsidTr="00361FA9">
        <w:tc>
          <w:tcPr>
            <w:tcW w:w="3515" w:type="dxa"/>
            <w:tcBorders>
              <w:top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Accumulated surplus/(deficit)</w:t>
            </w:r>
          </w:p>
        </w:tc>
        <w:tc>
          <w:tcPr>
            <w:tcW w:w="850"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62 546</w:t>
            </w:r>
          </w:p>
        </w:tc>
        <w:tc>
          <w:tcPr>
            <w:tcW w:w="850"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69 118</w:t>
            </w:r>
          </w:p>
        </w:tc>
        <w:tc>
          <w:tcPr>
            <w:tcW w:w="850"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71 228</w:t>
            </w:r>
          </w:p>
        </w:tc>
        <w:tc>
          <w:tcPr>
            <w:tcW w:w="850"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73 314</w:t>
            </w:r>
          </w:p>
        </w:tc>
        <w:tc>
          <w:tcPr>
            <w:tcW w:w="850" w:type="dxa"/>
            <w:tcBorders>
              <w:top w:val="single" w:sz="12"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75 909</w:t>
            </w:r>
          </w:p>
        </w:tc>
      </w:tr>
      <w:tr w:rsidR="002C39A3" w:rsidRPr="00422B32" w:rsidTr="00361FA9">
        <w:tc>
          <w:tcPr>
            <w:tcW w:w="351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Reserves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84 388</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83 271</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90 651</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93 668</w:t>
            </w:r>
          </w:p>
        </w:tc>
        <w:tc>
          <w:tcPr>
            <w:tcW w:w="850"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101 388</w:t>
            </w:r>
          </w:p>
        </w:tc>
      </w:tr>
      <w:tr w:rsidR="002C39A3" w:rsidRPr="00422B32" w:rsidTr="00361FA9">
        <w:tc>
          <w:tcPr>
            <w:tcW w:w="3515"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Net worth</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146 934</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152 389</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161 879</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166 982</w:t>
            </w:r>
          </w:p>
        </w:tc>
        <w:tc>
          <w:tcPr>
            <w:tcW w:w="850"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177 297</w:t>
            </w:r>
          </w:p>
        </w:tc>
      </w:tr>
      <w:tr w:rsidR="00BC4885" w:rsidRPr="00422B32" w:rsidTr="006042B2">
        <w:trPr>
          <w:trHeight w:hRule="exact" w:val="120"/>
        </w:trPr>
        <w:tc>
          <w:tcPr>
            <w:tcW w:w="7765" w:type="dxa"/>
            <w:gridSpan w:val="6"/>
            <w:tcBorders>
              <w:top w:val="single" w:sz="12" w:space="0" w:color="000000"/>
            </w:tcBorders>
            <w:shd w:val="clear" w:color="auto" w:fill="FFFFFF"/>
          </w:tcPr>
          <w:p w:rsidR="00BC4885" w:rsidRPr="00422B32" w:rsidRDefault="00BC4885" w:rsidP="00361FA9">
            <w:pPr>
              <w:autoSpaceDE w:val="0"/>
              <w:autoSpaceDN w:val="0"/>
              <w:adjustRightInd w:val="0"/>
              <w:spacing w:after="0"/>
              <w:jc w:val="right"/>
              <w:rPr>
                <w:rFonts w:ascii="Calibri" w:eastAsiaTheme="minorEastAsia" w:hAnsi="Calibri" w:cs="Calibri"/>
                <w:color w:val="000000"/>
                <w:sz w:val="19"/>
                <w:szCs w:val="19"/>
                <w:lang w:eastAsia="en-AU"/>
              </w:rPr>
            </w:pPr>
          </w:p>
        </w:tc>
      </w:tr>
      <w:tr w:rsidR="00BC4885" w:rsidRPr="00422B32" w:rsidTr="006042B2">
        <w:tc>
          <w:tcPr>
            <w:tcW w:w="7765" w:type="dxa"/>
            <w:gridSpan w:val="6"/>
            <w:tcBorders>
              <w:top w:val="nil"/>
            </w:tcBorders>
            <w:shd w:val="clear" w:color="auto" w:fill="FFFFFF"/>
          </w:tcPr>
          <w:p w:rsidR="00BC4885" w:rsidRPr="00422B32" w:rsidRDefault="00BC4885" w:rsidP="00BC4885">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FISCAL AGGREGATES</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financial worth</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(67 680)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(69 317)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(71 505)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(72 503)</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(71 907)</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financial liabilities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70 586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72 391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74 172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74 846</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73 918</w:t>
            </w:r>
          </w:p>
        </w:tc>
      </w:tr>
      <w:tr w:rsidR="002C39A3" w:rsidRPr="00422B32" w:rsidTr="00361FA9">
        <w:tc>
          <w:tcPr>
            <w:tcW w:w="3515" w:type="dxa"/>
            <w:tcBorders>
              <w:top w:val="nil"/>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debt</w:t>
            </w:r>
          </w:p>
        </w:tc>
        <w:tc>
          <w:tcPr>
            <w:tcW w:w="850" w:type="dxa"/>
            <w:tcBorders>
              <w:top w:val="nil"/>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37 278</w:t>
            </w:r>
          </w:p>
        </w:tc>
        <w:tc>
          <w:tcPr>
            <w:tcW w:w="850" w:type="dxa"/>
            <w:tcBorders>
              <w:top w:val="nil"/>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34 313</w:t>
            </w:r>
          </w:p>
        </w:tc>
        <w:tc>
          <w:tcPr>
            <w:tcW w:w="850" w:type="dxa"/>
            <w:tcBorders>
              <w:top w:val="nil"/>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37 094</w:t>
            </w:r>
          </w:p>
        </w:tc>
        <w:tc>
          <w:tcPr>
            <w:tcW w:w="850" w:type="dxa"/>
            <w:tcBorders>
              <w:top w:val="nil"/>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38 853</w:t>
            </w:r>
          </w:p>
        </w:tc>
        <w:tc>
          <w:tcPr>
            <w:tcW w:w="850" w:type="dxa"/>
            <w:tcBorders>
              <w:top w:val="nil"/>
              <w:left w:val="nil"/>
              <w:bottom w:val="single" w:sz="12" w:space="0" w:color="auto"/>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39 138</w:t>
            </w:r>
          </w:p>
        </w:tc>
      </w:tr>
    </w:tbl>
    <w:p w:rsidR="002C39A3" w:rsidRPr="00F666A4" w:rsidRDefault="002C39A3" w:rsidP="00361FA9">
      <w:pPr>
        <w:pStyle w:val="Source"/>
      </w:pPr>
      <w:r w:rsidRPr="00F666A4">
        <w:t>Source: Department of Treasury and Finance</w:t>
      </w:r>
    </w:p>
    <w:p w:rsidR="002C39A3" w:rsidRDefault="002C39A3">
      <w:pPr>
        <w:spacing w:after="0"/>
        <w:rPr>
          <w:rFonts w:ascii="Calibri" w:hAnsi="Calibri"/>
          <w:b/>
        </w:rPr>
      </w:pPr>
      <w:r>
        <w:br w:type="page"/>
      </w:r>
    </w:p>
    <w:p w:rsidR="002C39A3" w:rsidRDefault="002C39A3" w:rsidP="00361FA9">
      <w:pPr>
        <w:pStyle w:val="Tableheading"/>
      </w:pPr>
      <w:r>
        <w:t>Table 2.9:</w:t>
      </w:r>
      <w:r>
        <w:tab/>
        <w:t>Non</w:t>
      </w:r>
      <w:r>
        <w:noBreakHyphen/>
        <w:t>financial public sector cash flow statement for the financial year ended 30 June</w:t>
      </w:r>
      <w:r w:rsidRPr="005A74ED">
        <w:rPr>
          <w:vertAlign w:val="superscript"/>
        </w:rPr>
        <w:t>(a)</w:t>
      </w:r>
    </w:p>
    <w:p w:rsidR="002C39A3" w:rsidRPr="00D26F19" w:rsidRDefault="002C39A3" w:rsidP="00361FA9">
      <w:pPr>
        <w:pStyle w:val="million"/>
        <w:rPr>
          <w:b/>
          <w:bCs/>
          <w:sz w:val="15"/>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2976"/>
        <w:gridCol w:w="539"/>
        <w:gridCol w:w="111"/>
        <w:gridCol w:w="739"/>
        <w:gridCol w:w="850"/>
        <w:gridCol w:w="850"/>
        <w:gridCol w:w="850"/>
        <w:gridCol w:w="850"/>
      </w:tblGrid>
      <w:tr w:rsidR="00BC4885" w:rsidRPr="00D26F19" w:rsidTr="006042B2">
        <w:trPr>
          <w:cantSplit/>
          <w:trHeight w:val="464"/>
          <w:tblHeader/>
        </w:trPr>
        <w:tc>
          <w:tcPr>
            <w:tcW w:w="3515" w:type="dxa"/>
            <w:gridSpan w:val="2"/>
            <w:tcBorders>
              <w:top w:val="nil"/>
              <w:left w:val="nil"/>
              <w:right w:val="nil"/>
            </w:tcBorders>
            <w:shd w:val="solid" w:color="000000" w:fill="auto"/>
            <w:vAlign w:val="bottom"/>
          </w:tcPr>
          <w:p w:rsidR="00BC4885" w:rsidRPr="00D26F19" w:rsidRDefault="00BC4885" w:rsidP="00BC4885">
            <w:pPr>
              <w:pStyle w:val="Source"/>
              <w:spacing w:after="0"/>
              <w:rPr>
                <w:rFonts w:eastAsiaTheme="minorEastAsia" w:cs="Calibri"/>
                <w:iCs/>
                <w:color w:val="FFFFFF"/>
                <w:sz w:val="19"/>
                <w:szCs w:val="19"/>
                <w:lang w:eastAsia="en-AU"/>
              </w:rPr>
            </w:pPr>
          </w:p>
        </w:tc>
        <w:tc>
          <w:tcPr>
            <w:tcW w:w="850" w:type="dxa"/>
            <w:gridSpan w:val="2"/>
            <w:tcBorders>
              <w:top w:val="nil"/>
              <w:left w:val="nil"/>
              <w:right w:val="nil"/>
            </w:tcBorders>
            <w:shd w:val="solid" w:color="000000" w:fill="auto"/>
            <w:vAlign w:val="bottom"/>
          </w:tcPr>
          <w:p w:rsidR="00BC4885" w:rsidRPr="00D26F19"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2015-16 </w:t>
            </w:r>
          </w:p>
          <w:p w:rsidR="00BC4885" w:rsidRPr="00D26F19"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 revised</w:t>
            </w:r>
          </w:p>
        </w:tc>
        <w:tc>
          <w:tcPr>
            <w:tcW w:w="850" w:type="dxa"/>
            <w:tcBorders>
              <w:top w:val="nil"/>
              <w:left w:val="nil"/>
              <w:right w:val="nil"/>
            </w:tcBorders>
            <w:shd w:val="solid" w:color="000000" w:fill="auto"/>
            <w:vAlign w:val="bottom"/>
          </w:tcPr>
          <w:p w:rsidR="00BC4885" w:rsidRPr="00D26F19"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2016-17 </w:t>
            </w:r>
          </w:p>
          <w:p w:rsidR="00BC4885" w:rsidRPr="00D26F19"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BC4885" w:rsidRPr="00D26F19"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2017-18 </w:t>
            </w:r>
          </w:p>
          <w:p w:rsidR="00BC4885" w:rsidRPr="00D26F19"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BC4885" w:rsidRPr="00D26F19"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2018-19 </w:t>
            </w:r>
          </w:p>
          <w:p w:rsidR="00BC4885" w:rsidRPr="00D26F19"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BC4885" w:rsidRPr="00D26F19"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2019-20 </w:t>
            </w:r>
          </w:p>
          <w:p w:rsidR="00BC4885" w:rsidRPr="00D26F19"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 estimate</w:t>
            </w:r>
          </w:p>
        </w:tc>
      </w:tr>
      <w:tr w:rsidR="00BC4885" w:rsidRPr="00D26F19" w:rsidTr="006042B2">
        <w:trPr>
          <w:cantSplit/>
        </w:trPr>
        <w:tc>
          <w:tcPr>
            <w:tcW w:w="7765" w:type="dxa"/>
            <w:gridSpan w:val="8"/>
            <w:tcBorders>
              <w:top w:val="nil"/>
              <w:left w:val="nil"/>
              <w:right w:val="nil"/>
            </w:tcBorders>
            <w:shd w:val="clear" w:color="auto" w:fill="FFFFFF"/>
          </w:tcPr>
          <w:p w:rsidR="00BC4885" w:rsidRPr="00D26F19" w:rsidRDefault="00BC4885" w:rsidP="00BC4885">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Cash flows from operating activities</w:t>
            </w:r>
          </w:p>
        </w:tc>
      </w:tr>
      <w:tr w:rsidR="00BC4885" w:rsidRPr="00D26F19" w:rsidTr="006042B2">
        <w:trPr>
          <w:cantSplit/>
        </w:trPr>
        <w:tc>
          <w:tcPr>
            <w:tcW w:w="7765" w:type="dxa"/>
            <w:gridSpan w:val="8"/>
            <w:tcBorders>
              <w:top w:val="nil"/>
              <w:left w:val="nil"/>
              <w:right w:val="nil"/>
            </w:tcBorders>
            <w:shd w:val="clear" w:color="auto" w:fill="FFFFFF"/>
          </w:tcPr>
          <w:p w:rsidR="00BC4885" w:rsidRPr="00D26F19" w:rsidRDefault="00BC4885" w:rsidP="00BC4885">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Receipts</w:t>
            </w:r>
          </w:p>
        </w:tc>
      </w:tr>
      <w:tr w:rsidR="002C39A3" w:rsidRPr="00D26F19" w:rsidTr="00361FA9">
        <w:trPr>
          <w:cantSplit/>
        </w:trPr>
        <w:tc>
          <w:tcPr>
            <w:tcW w:w="3515"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Taxes received</w:t>
            </w:r>
          </w:p>
        </w:tc>
        <w:tc>
          <w:tcPr>
            <w:tcW w:w="850"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19 600</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21 104</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20 784</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21 861</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22 744</w:t>
            </w:r>
          </w:p>
        </w:tc>
      </w:tr>
      <w:tr w:rsidR="002C39A3" w:rsidRPr="00D26F19" w:rsidTr="00361FA9">
        <w:trPr>
          <w:cantSplit/>
        </w:trPr>
        <w:tc>
          <w:tcPr>
            <w:tcW w:w="3515"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Grants</w:t>
            </w:r>
          </w:p>
        </w:tc>
        <w:tc>
          <w:tcPr>
            <w:tcW w:w="850"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25 402</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27 438</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28 052</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28 833</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29 951</w:t>
            </w:r>
          </w:p>
        </w:tc>
      </w:tr>
      <w:tr w:rsidR="002C39A3" w:rsidRPr="00D26F19" w:rsidTr="00361FA9">
        <w:trPr>
          <w:cantSplit/>
        </w:trPr>
        <w:tc>
          <w:tcPr>
            <w:tcW w:w="3515"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D26F19">
              <w:rPr>
                <w:rFonts w:ascii="Calibri" w:eastAsiaTheme="minorEastAsia" w:hAnsi="Calibri" w:cs="Calibri"/>
                <w:color w:val="000000"/>
                <w:sz w:val="19"/>
                <w:szCs w:val="19"/>
                <w:lang w:eastAsia="en-AU"/>
              </w:rPr>
              <w:t xml:space="preserve">Sales of goods and services </w:t>
            </w:r>
            <w:r w:rsidRPr="00D26F19">
              <w:rPr>
                <w:rFonts w:ascii="Calibri" w:eastAsiaTheme="minorEastAsia" w:hAnsi="Calibri" w:cs="Calibri"/>
                <w:color w:val="000000"/>
                <w:sz w:val="19"/>
                <w:szCs w:val="19"/>
                <w:vertAlign w:val="superscript"/>
                <w:lang w:eastAsia="en-AU"/>
              </w:rPr>
              <w:t>(b)</w:t>
            </w:r>
          </w:p>
        </w:tc>
        <w:tc>
          <w:tcPr>
            <w:tcW w:w="850"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12 113</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17 849</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12 490</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12 559</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12 742</w:t>
            </w:r>
          </w:p>
        </w:tc>
      </w:tr>
      <w:tr w:rsidR="002C39A3" w:rsidRPr="00D26F19" w:rsidTr="00361FA9">
        <w:trPr>
          <w:cantSplit/>
        </w:trPr>
        <w:tc>
          <w:tcPr>
            <w:tcW w:w="3515"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Interest received</w:t>
            </w:r>
          </w:p>
        </w:tc>
        <w:tc>
          <w:tcPr>
            <w:tcW w:w="850"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352</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358</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365</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371</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379</w:t>
            </w:r>
          </w:p>
        </w:tc>
      </w:tr>
      <w:tr w:rsidR="002C39A3" w:rsidRPr="00D26F19" w:rsidTr="00361FA9">
        <w:trPr>
          <w:cantSplit/>
        </w:trPr>
        <w:tc>
          <w:tcPr>
            <w:tcW w:w="3515"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Dividends and income tax equivalent and rate equivalent receipts</w:t>
            </w:r>
          </w:p>
        </w:tc>
        <w:tc>
          <w:tcPr>
            <w:tcW w:w="850"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288</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622</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1 027</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453</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489</w:t>
            </w:r>
          </w:p>
        </w:tc>
      </w:tr>
      <w:tr w:rsidR="002C39A3" w:rsidRPr="00D26F19" w:rsidTr="00361FA9">
        <w:trPr>
          <w:cantSplit/>
        </w:trPr>
        <w:tc>
          <w:tcPr>
            <w:tcW w:w="3515" w:type="dxa"/>
            <w:gridSpan w:val="2"/>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Other receipts</w:t>
            </w:r>
          </w:p>
        </w:tc>
        <w:tc>
          <w:tcPr>
            <w:tcW w:w="850" w:type="dxa"/>
            <w:gridSpan w:val="2"/>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2 395</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1 871</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2 236</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2 152</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2 201</w:t>
            </w:r>
          </w:p>
        </w:tc>
      </w:tr>
      <w:tr w:rsidR="002C39A3" w:rsidRPr="00D26F19" w:rsidTr="00361FA9">
        <w:trPr>
          <w:cantSplit/>
        </w:trPr>
        <w:tc>
          <w:tcPr>
            <w:tcW w:w="3515" w:type="dxa"/>
            <w:gridSpan w:val="2"/>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Total receipts</w:t>
            </w:r>
          </w:p>
        </w:tc>
        <w:tc>
          <w:tcPr>
            <w:tcW w:w="850" w:type="dxa"/>
            <w:gridSpan w:val="2"/>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60 150</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69 243</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64 954</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66 230</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68 506</w:t>
            </w:r>
          </w:p>
        </w:tc>
      </w:tr>
      <w:tr w:rsidR="002C39A3" w:rsidRPr="00D26F19" w:rsidTr="00361FA9">
        <w:trPr>
          <w:cantSplit/>
        </w:trPr>
        <w:tc>
          <w:tcPr>
            <w:tcW w:w="3515"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Payments</w:t>
            </w:r>
          </w:p>
        </w:tc>
        <w:tc>
          <w:tcPr>
            <w:tcW w:w="850"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 xml:space="preserve"> </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 xml:space="preserve"> </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 xml:space="preserve"> </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 xml:space="preserve"> </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 xml:space="preserve"> </w:t>
            </w:r>
          </w:p>
        </w:tc>
      </w:tr>
      <w:tr w:rsidR="002C39A3" w:rsidRPr="00D26F19" w:rsidTr="00361FA9">
        <w:trPr>
          <w:cantSplit/>
        </w:trPr>
        <w:tc>
          <w:tcPr>
            <w:tcW w:w="3515"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Payments for employees</w:t>
            </w:r>
          </w:p>
        </w:tc>
        <w:tc>
          <w:tcPr>
            <w:tcW w:w="850"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(20 890)</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(22 016)</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(23 006)</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(23 916)</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(24 689)</w:t>
            </w:r>
          </w:p>
        </w:tc>
      </w:tr>
      <w:tr w:rsidR="002C39A3" w:rsidRPr="00D26F19" w:rsidTr="00361FA9">
        <w:trPr>
          <w:cantSplit/>
        </w:trPr>
        <w:tc>
          <w:tcPr>
            <w:tcW w:w="3515"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Superannuation</w:t>
            </w:r>
          </w:p>
        </w:tc>
        <w:tc>
          <w:tcPr>
            <w:tcW w:w="850"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(2 958)</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(3 093)</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(3 122)</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(3 206)</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(3 246)</w:t>
            </w:r>
          </w:p>
        </w:tc>
      </w:tr>
      <w:tr w:rsidR="002C39A3" w:rsidRPr="00D26F19" w:rsidTr="00361FA9">
        <w:trPr>
          <w:cantSplit/>
        </w:trPr>
        <w:tc>
          <w:tcPr>
            <w:tcW w:w="3515"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Interest paid</w:t>
            </w:r>
          </w:p>
        </w:tc>
        <w:tc>
          <w:tcPr>
            <w:tcW w:w="850"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(2 686)</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(2 902)</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(2 648)</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(2 698)</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(2 653)</w:t>
            </w:r>
          </w:p>
        </w:tc>
      </w:tr>
      <w:tr w:rsidR="002C39A3" w:rsidRPr="00D26F19" w:rsidTr="00361FA9">
        <w:trPr>
          <w:cantSplit/>
        </w:trPr>
        <w:tc>
          <w:tcPr>
            <w:tcW w:w="3515"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Grants and subsidies</w:t>
            </w:r>
          </w:p>
        </w:tc>
        <w:tc>
          <w:tcPr>
            <w:tcW w:w="850"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(5 583)</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(6 302)</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(6 323)</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(6 625)</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(6 781)</w:t>
            </w:r>
          </w:p>
        </w:tc>
      </w:tr>
      <w:tr w:rsidR="002C39A3" w:rsidRPr="00D26F19" w:rsidTr="00361FA9">
        <w:trPr>
          <w:cantSplit/>
        </w:trPr>
        <w:tc>
          <w:tcPr>
            <w:tcW w:w="3515"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D26F19">
              <w:rPr>
                <w:rFonts w:ascii="Calibri" w:eastAsiaTheme="minorEastAsia" w:hAnsi="Calibri" w:cs="Calibri"/>
                <w:color w:val="000000"/>
                <w:sz w:val="19"/>
                <w:szCs w:val="19"/>
                <w:lang w:eastAsia="en-AU"/>
              </w:rPr>
              <w:t xml:space="preserve">Goods and services </w:t>
            </w:r>
            <w:r w:rsidRPr="00D26F19">
              <w:rPr>
                <w:rFonts w:ascii="Calibri" w:eastAsiaTheme="minorEastAsia" w:hAnsi="Calibri" w:cs="Calibri"/>
                <w:color w:val="000000"/>
                <w:sz w:val="19"/>
                <w:szCs w:val="19"/>
                <w:vertAlign w:val="superscript"/>
                <w:lang w:eastAsia="en-AU"/>
              </w:rPr>
              <w:t>(b)</w:t>
            </w:r>
          </w:p>
        </w:tc>
        <w:tc>
          <w:tcPr>
            <w:tcW w:w="850"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(21 568)</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(22 382)</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(23 438)</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(23 124)</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(23 655)</w:t>
            </w:r>
          </w:p>
        </w:tc>
      </w:tr>
      <w:tr w:rsidR="002C39A3" w:rsidRPr="00D26F19" w:rsidTr="00361FA9">
        <w:trPr>
          <w:cantSplit/>
        </w:trPr>
        <w:tc>
          <w:tcPr>
            <w:tcW w:w="3515" w:type="dxa"/>
            <w:gridSpan w:val="2"/>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Other payments</w:t>
            </w:r>
          </w:p>
        </w:tc>
        <w:tc>
          <w:tcPr>
            <w:tcW w:w="850" w:type="dxa"/>
            <w:gridSpan w:val="2"/>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(569)</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(630)</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(653)</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(676)</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(708)</w:t>
            </w:r>
          </w:p>
        </w:tc>
      </w:tr>
      <w:tr w:rsidR="002C39A3" w:rsidRPr="00D26F19" w:rsidTr="00361FA9">
        <w:trPr>
          <w:cantSplit/>
        </w:trPr>
        <w:tc>
          <w:tcPr>
            <w:tcW w:w="3515" w:type="dxa"/>
            <w:gridSpan w:val="2"/>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Total payments</w:t>
            </w:r>
          </w:p>
        </w:tc>
        <w:tc>
          <w:tcPr>
            <w:tcW w:w="850" w:type="dxa"/>
            <w:gridSpan w:val="2"/>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(54 255)</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(57 326)</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(59 189)</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(60 246)</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(61 731)</w:t>
            </w:r>
          </w:p>
        </w:tc>
      </w:tr>
      <w:tr w:rsidR="002C39A3" w:rsidRPr="00D26F19" w:rsidTr="00361FA9">
        <w:trPr>
          <w:cantSplit/>
        </w:trPr>
        <w:tc>
          <w:tcPr>
            <w:tcW w:w="3515" w:type="dxa"/>
            <w:gridSpan w:val="2"/>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Net cash flows from operating activities</w:t>
            </w:r>
          </w:p>
        </w:tc>
        <w:tc>
          <w:tcPr>
            <w:tcW w:w="850" w:type="dxa"/>
            <w:gridSpan w:val="2"/>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5 894</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11 917</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5 764</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5 985</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6 775</w:t>
            </w:r>
          </w:p>
        </w:tc>
      </w:tr>
      <w:tr w:rsidR="00BC4885" w:rsidRPr="00D26F19" w:rsidTr="006042B2">
        <w:trPr>
          <w:cantSplit/>
        </w:trPr>
        <w:tc>
          <w:tcPr>
            <w:tcW w:w="7765" w:type="dxa"/>
            <w:gridSpan w:val="8"/>
            <w:tcBorders>
              <w:top w:val="nil"/>
              <w:left w:val="nil"/>
              <w:right w:val="nil"/>
            </w:tcBorders>
            <w:shd w:val="clear" w:color="auto" w:fill="FFFFFF"/>
          </w:tcPr>
          <w:p w:rsidR="00BC4885" w:rsidRPr="00D26F19" w:rsidRDefault="00BC4885" w:rsidP="00BC4885">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Cash flows from investing activities</w:t>
            </w:r>
          </w:p>
        </w:tc>
      </w:tr>
      <w:tr w:rsidR="002C39A3" w:rsidRPr="00D26F19" w:rsidTr="00361FA9">
        <w:trPr>
          <w:cantSplit/>
        </w:trPr>
        <w:tc>
          <w:tcPr>
            <w:tcW w:w="2976"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 xml:space="preserve">Net cash flows from investments in </w:t>
            </w:r>
            <w:r>
              <w:rPr>
                <w:rFonts w:ascii="Calibri" w:eastAsiaTheme="minorEastAsia" w:hAnsi="Calibri" w:cs="Calibri"/>
                <w:color w:val="000000"/>
                <w:sz w:val="19"/>
                <w:szCs w:val="19"/>
                <w:lang w:eastAsia="en-AU"/>
              </w:rPr>
              <w:br/>
              <w:t>non-financial assets</w:t>
            </w:r>
          </w:p>
        </w:tc>
        <w:tc>
          <w:tcPr>
            <w:tcW w:w="1389" w:type="dxa"/>
            <w:gridSpan w:val="3"/>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(5 931)</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(8 548)</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(8 628)</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(8 339)</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(7 373)</w:t>
            </w:r>
          </w:p>
        </w:tc>
      </w:tr>
      <w:tr w:rsidR="002C39A3" w:rsidRPr="00D26F19" w:rsidTr="00361FA9">
        <w:trPr>
          <w:cantSplit/>
        </w:trPr>
        <w:tc>
          <w:tcPr>
            <w:tcW w:w="3515" w:type="dxa"/>
            <w:gridSpan w:val="2"/>
            <w:tcBorders>
              <w:top w:val="nil"/>
              <w:left w:val="nil"/>
              <w:right w:val="nil"/>
            </w:tcBorders>
            <w:shd w:val="clear" w:color="auto" w:fill="FFFFFF"/>
          </w:tcPr>
          <w:p w:rsidR="002C39A3" w:rsidRPr="00D26F19" w:rsidRDefault="002C39A3" w:rsidP="00BC4885">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Net cash flows from investments in financial</w:t>
            </w:r>
            <w:r w:rsidR="00BC4885">
              <w:rPr>
                <w:rFonts w:ascii="Calibri" w:eastAsiaTheme="minorEastAsia" w:hAnsi="Calibri" w:cs="Calibri"/>
                <w:color w:val="000000"/>
                <w:sz w:val="19"/>
                <w:szCs w:val="19"/>
                <w:lang w:eastAsia="en-AU"/>
              </w:rPr>
              <w:t> </w:t>
            </w:r>
            <w:r w:rsidRPr="00D26F19">
              <w:rPr>
                <w:rFonts w:ascii="Calibri" w:eastAsiaTheme="minorEastAsia" w:hAnsi="Calibri" w:cs="Calibri"/>
                <w:color w:val="000000"/>
                <w:sz w:val="19"/>
                <w:szCs w:val="19"/>
                <w:lang w:eastAsia="en-AU"/>
              </w:rPr>
              <w:t>assets for policy purposes</w:t>
            </w:r>
          </w:p>
        </w:tc>
        <w:tc>
          <w:tcPr>
            <w:tcW w:w="850"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368</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107</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719</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1 184</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661</w:t>
            </w:r>
          </w:p>
        </w:tc>
      </w:tr>
      <w:tr w:rsidR="002C39A3" w:rsidRPr="00D26F19" w:rsidTr="00361FA9">
        <w:trPr>
          <w:cantSplit/>
        </w:trPr>
        <w:tc>
          <w:tcPr>
            <w:tcW w:w="3626" w:type="dxa"/>
            <w:gridSpan w:val="3"/>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Net cash flows from investment in financial assets for liquidity management purposes</w:t>
            </w:r>
          </w:p>
        </w:tc>
        <w:tc>
          <w:tcPr>
            <w:tcW w:w="739"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(94)</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160</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(32)</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(77)</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(103)</w:t>
            </w:r>
          </w:p>
        </w:tc>
      </w:tr>
      <w:tr w:rsidR="002C39A3" w:rsidRPr="00D26F19" w:rsidTr="00361FA9">
        <w:trPr>
          <w:cantSplit/>
        </w:trPr>
        <w:tc>
          <w:tcPr>
            <w:tcW w:w="3515" w:type="dxa"/>
            <w:gridSpan w:val="2"/>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Net cash flows from investing activities</w:t>
            </w:r>
          </w:p>
        </w:tc>
        <w:tc>
          <w:tcPr>
            <w:tcW w:w="850" w:type="dxa"/>
            <w:gridSpan w:val="2"/>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(5 657)</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(8 281)</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(7 941)</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(7 232)</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(6 815)</w:t>
            </w:r>
          </w:p>
        </w:tc>
      </w:tr>
      <w:tr w:rsidR="00BC4885" w:rsidRPr="00D26F19" w:rsidTr="006042B2">
        <w:trPr>
          <w:cantSplit/>
        </w:trPr>
        <w:tc>
          <w:tcPr>
            <w:tcW w:w="7765" w:type="dxa"/>
            <w:gridSpan w:val="8"/>
            <w:tcBorders>
              <w:top w:val="nil"/>
              <w:left w:val="nil"/>
              <w:right w:val="nil"/>
            </w:tcBorders>
            <w:shd w:val="clear" w:color="auto" w:fill="FFFFFF"/>
          </w:tcPr>
          <w:p w:rsidR="00BC4885" w:rsidRPr="00D26F19" w:rsidRDefault="00BC4885" w:rsidP="00BC4885">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Cash flows from financing activities</w:t>
            </w:r>
          </w:p>
        </w:tc>
      </w:tr>
      <w:tr w:rsidR="002C39A3" w:rsidRPr="00D26F19" w:rsidTr="00361FA9">
        <w:trPr>
          <w:cantSplit/>
        </w:trPr>
        <w:tc>
          <w:tcPr>
            <w:tcW w:w="3515"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Net borrowings</w:t>
            </w:r>
          </w:p>
        </w:tc>
        <w:tc>
          <w:tcPr>
            <w:tcW w:w="850"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(525)</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(3 184)</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2 097</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1 569</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339</w:t>
            </w:r>
          </w:p>
        </w:tc>
      </w:tr>
      <w:tr w:rsidR="002C39A3" w:rsidRPr="00D26F19" w:rsidTr="00361FA9">
        <w:trPr>
          <w:cantSplit/>
        </w:trPr>
        <w:tc>
          <w:tcPr>
            <w:tcW w:w="3515" w:type="dxa"/>
            <w:gridSpan w:val="2"/>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Deposits received (net)</w:t>
            </w:r>
          </w:p>
        </w:tc>
        <w:tc>
          <w:tcPr>
            <w:tcW w:w="850" w:type="dxa"/>
            <w:gridSpan w:val="2"/>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w:t>
            </w:r>
          </w:p>
        </w:tc>
      </w:tr>
      <w:tr w:rsidR="002C39A3" w:rsidRPr="00D26F19" w:rsidTr="00361FA9">
        <w:trPr>
          <w:cantSplit/>
        </w:trPr>
        <w:tc>
          <w:tcPr>
            <w:tcW w:w="3515" w:type="dxa"/>
            <w:gridSpan w:val="2"/>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Net cash flows from financing activities</w:t>
            </w:r>
          </w:p>
        </w:tc>
        <w:tc>
          <w:tcPr>
            <w:tcW w:w="850" w:type="dxa"/>
            <w:gridSpan w:val="2"/>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(522)</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(3 183)</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2 100</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1 571</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338</w:t>
            </w:r>
          </w:p>
        </w:tc>
      </w:tr>
      <w:tr w:rsidR="002C39A3" w:rsidRPr="00D26F19" w:rsidTr="00361FA9">
        <w:trPr>
          <w:cantSplit/>
        </w:trPr>
        <w:tc>
          <w:tcPr>
            <w:tcW w:w="3515" w:type="dxa"/>
            <w:gridSpan w:val="2"/>
            <w:tcBorders>
              <w:top w:val="single" w:sz="6" w:space="0" w:color="000000"/>
              <w:left w:val="nil"/>
              <w:right w:val="nil"/>
            </w:tcBorders>
            <w:shd w:val="clear" w:color="auto" w:fill="FFFFFF"/>
          </w:tcPr>
          <w:p w:rsidR="002C39A3" w:rsidRPr="00D26F19" w:rsidRDefault="002C39A3" w:rsidP="00BC4885">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Net increase/(decrease) in cash and cash</w:t>
            </w:r>
            <w:r w:rsidR="00BC4885">
              <w:rPr>
                <w:rFonts w:ascii="Calibri" w:eastAsiaTheme="minorEastAsia" w:hAnsi="Calibri" w:cs="Calibri"/>
                <w:b/>
                <w:bCs/>
                <w:color w:val="000000"/>
                <w:sz w:val="19"/>
                <w:szCs w:val="19"/>
                <w:lang w:eastAsia="en-AU"/>
              </w:rPr>
              <w:t> </w:t>
            </w:r>
            <w:r w:rsidRPr="00D26F19">
              <w:rPr>
                <w:rFonts w:ascii="Calibri" w:eastAsiaTheme="minorEastAsia" w:hAnsi="Calibri" w:cs="Calibri"/>
                <w:b/>
                <w:bCs/>
                <w:color w:val="000000"/>
                <w:sz w:val="19"/>
                <w:szCs w:val="19"/>
                <w:lang w:eastAsia="en-AU"/>
              </w:rPr>
              <w:t>equivalents</w:t>
            </w:r>
          </w:p>
        </w:tc>
        <w:tc>
          <w:tcPr>
            <w:tcW w:w="850" w:type="dxa"/>
            <w:gridSpan w:val="2"/>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(284)</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453</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(77)</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324</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298</w:t>
            </w:r>
          </w:p>
        </w:tc>
      </w:tr>
      <w:tr w:rsidR="002C39A3" w:rsidRPr="00D26F19" w:rsidTr="00361FA9">
        <w:trPr>
          <w:cantSplit/>
        </w:trPr>
        <w:tc>
          <w:tcPr>
            <w:tcW w:w="3515" w:type="dxa"/>
            <w:gridSpan w:val="2"/>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Cash and cash equivalents at beginning of reporting period</w:t>
            </w:r>
          </w:p>
        </w:tc>
        <w:tc>
          <w:tcPr>
            <w:tcW w:w="850" w:type="dxa"/>
            <w:gridSpan w:val="2"/>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5 374</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5 089</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5 542</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5 465</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5 789</w:t>
            </w:r>
          </w:p>
        </w:tc>
      </w:tr>
      <w:tr w:rsidR="002C39A3" w:rsidRPr="00D26F19" w:rsidTr="00361FA9">
        <w:trPr>
          <w:cantSplit/>
        </w:trPr>
        <w:tc>
          <w:tcPr>
            <w:tcW w:w="3515" w:type="dxa"/>
            <w:gridSpan w:val="2"/>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Cash and cash equivalents at end of reporting period</w:t>
            </w:r>
          </w:p>
        </w:tc>
        <w:tc>
          <w:tcPr>
            <w:tcW w:w="850" w:type="dxa"/>
            <w:gridSpan w:val="2"/>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5 089</w:t>
            </w:r>
          </w:p>
        </w:tc>
        <w:tc>
          <w:tcPr>
            <w:tcW w:w="850"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5 542</w:t>
            </w:r>
          </w:p>
        </w:tc>
        <w:tc>
          <w:tcPr>
            <w:tcW w:w="850"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5 465</w:t>
            </w:r>
          </w:p>
        </w:tc>
        <w:tc>
          <w:tcPr>
            <w:tcW w:w="850"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5 789</w:t>
            </w:r>
          </w:p>
        </w:tc>
        <w:tc>
          <w:tcPr>
            <w:tcW w:w="850"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6 087</w:t>
            </w:r>
          </w:p>
        </w:tc>
      </w:tr>
      <w:tr w:rsidR="002C39A3" w:rsidRPr="00D26F19" w:rsidTr="00361FA9">
        <w:trPr>
          <w:cantSplit/>
          <w:trHeight w:hRule="exact" w:val="120"/>
        </w:trPr>
        <w:tc>
          <w:tcPr>
            <w:tcW w:w="3515" w:type="dxa"/>
            <w:gridSpan w:val="2"/>
            <w:tcBorders>
              <w:top w:val="single" w:sz="12" w:space="0" w:color="000000"/>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 xml:space="preserve"> </w:t>
            </w:r>
          </w:p>
        </w:tc>
        <w:tc>
          <w:tcPr>
            <w:tcW w:w="850" w:type="dxa"/>
            <w:gridSpan w:val="2"/>
            <w:tcBorders>
              <w:top w:val="single" w:sz="12"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 xml:space="preserve"> </w:t>
            </w:r>
          </w:p>
        </w:tc>
        <w:tc>
          <w:tcPr>
            <w:tcW w:w="850" w:type="dxa"/>
            <w:tcBorders>
              <w:top w:val="single" w:sz="12"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 xml:space="preserve"> </w:t>
            </w:r>
          </w:p>
        </w:tc>
        <w:tc>
          <w:tcPr>
            <w:tcW w:w="850" w:type="dxa"/>
            <w:tcBorders>
              <w:top w:val="single" w:sz="12"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 xml:space="preserve"> </w:t>
            </w:r>
          </w:p>
        </w:tc>
        <w:tc>
          <w:tcPr>
            <w:tcW w:w="850" w:type="dxa"/>
            <w:tcBorders>
              <w:top w:val="single" w:sz="12"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 xml:space="preserve"> </w:t>
            </w:r>
          </w:p>
        </w:tc>
        <w:tc>
          <w:tcPr>
            <w:tcW w:w="850" w:type="dxa"/>
            <w:tcBorders>
              <w:top w:val="single" w:sz="12"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 xml:space="preserve"> </w:t>
            </w:r>
          </w:p>
        </w:tc>
      </w:tr>
    </w:tbl>
    <w:p w:rsidR="002C39A3" w:rsidRDefault="002C39A3" w:rsidP="00361FA9">
      <w:pPr>
        <w:pStyle w:val="Tableheadingcontinued"/>
      </w:pPr>
    </w:p>
    <w:p w:rsidR="002C39A3" w:rsidRDefault="002C39A3" w:rsidP="00361FA9">
      <w:pPr>
        <w:pStyle w:val="Heading1"/>
      </w:pPr>
      <w:r>
        <w:br w:type="page"/>
      </w:r>
    </w:p>
    <w:p w:rsidR="002C39A3" w:rsidRDefault="002C39A3" w:rsidP="00361FA9">
      <w:pPr>
        <w:pStyle w:val="Tableheadingcontinued"/>
      </w:pPr>
      <w:r>
        <w:t>Table 2.9:</w:t>
      </w:r>
      <w:r>
        <w:tab/>
        <w:t>Non</w:t>
      </w:r>
      <w:r>
        <w:noBreakHyphen/>
        <w:t>financial public sector cash flow statement for the financial year ended 30 June</w:t>
      </w:r>
      <w:r w:rsidRPr="00722BBA">
        <w:rPr>
          <w:vertAlign w:val="superscript"/>
        </w:rPr>
        <w:t>(a)</w:t>
      </w:r>
      <w:r>
        <w:t xml:space="preserve"> </w:t>
      </w:r>
      <w:r w:rsidRPr="00722BBA">
        <w:rPr>
          <w:i/>
        </w:rPr>
        <w:t>(continued)</w:t>
      </w:r>
    </w:p>
    <w:p w:rsidR="002C39A3" w:rsidRDefault="002C39A3" w:rsidP="00361FA9">
      <w:pPr>
        <w:pStyle w:val="million"/>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BC4885" w:rsidRPr="00D26F19" w:rsidTr="006042B2">
        <w:trPr>
          <w:cantSplit/>
          <w:trHeight w:val="464"/>
          <w:tblHeader/>
        </w:trPr>
        <w:tc>
          <w:tcPr>
            <w:tcW w:w="3515" w:type="dxa"/>
            <w:tcBorders>
              <w:top w:val="nil"/>
              <w:left w:val="nil"/>
              <w:right w:val="nil"/>
            </w:tcBorders>
            <w:shd w:val="solid" w:color="000000" w:fill="auto"/>
            <w:vAlign w:val="bottom"/>
          </w:tcPr>
          <w:p w:rsidR="00BC4885" w:rsidRPr="00D26F19" w:rsidRDefault="00BC4885" w:rsidP="00361FA9">
            <w:pPr>
              <w:autoSpaceDE w:val="0"/>
              <w:autoSpaceDN w:val="0"/>
              <w:adjustRightInd w:val="0"/>
              <w:spacing w:after="0"/>
              <w:rPr>
                <w:rFonts w:eastAsiaTheme="minorEastAsia" w:cs="Calibri"/>
                <w:iCs/>
                <w:color w:val="FFFFFF"/>
                <w:sz w:val="19"/>
                <w:szCs w:val="19"/>
                <w:lang w:eastAsia="en-AU"/>
              </w:rPr>
            </w:pPr>
          </w:p>
        </w:tc>
        <w:tc>
          <w:tcPr>
            <w:tcW w:w="850" w:type="dxa"/>
            <w:tcBorders>
              <w:top w:val="nil"/>
              <w:left w:val="nil"/>
              <w:right w:val="nil"/>
            </w:tcBorders>
            <w:shd w:val="solid" w:color="000000" w:fill="auto"/>
            <w:vAlign w:val="bottom"/>
          </w:tcPr>
          <w:p w:rsidR="00BC4885" w:rsidRPr="00D26F19"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2015-16 </w:t>
            </w:r>
          </w:p>
          <w:p w:rsidR="00BC4885" w:rsidRPr="00D26F19"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 revised</w:t>
            </w:r>
          </w:p>
        </w:tc>
        <w:tc>
          <w:tcPr>
            <w:tcW w:w="850" w:type="dxa"/>
            <w:tcBorders>
              <w:top w:val="nil"/>
              <w:left w:val="nil"/>
              <w:right w:val="nil"/>
            </w:tcBorders>
            <w:shd w:val="solid" w:color="000000" w:fill="auto"/>
            <w:vAlign w:val="bottom"/>
          </w:tcPr>
          <w:p w:rsidR="00BC4885" w:rsidRPr="00D26F19"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2016-17 </w:t>
            </w:r>
          </w:p>
          <w:p w:rsidR="00BC4885" w:rsidRPr="00D26F19"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BC4885" w:rsidRPr="00D26F19"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2017-18 </w:t>
            </w:r>
          </w:p>
          <w:p w:rsidR="00BC4885" w:rsidRPr="00D26F19"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BC4885" w:rsidRPr="00D26F19"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2018-19 </w:t>
            </w:r>
          </w:p>
          <w:p w:rsidR="00BC4885" w:rsidRPr="00D26F19"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BC4885" w:rsidRPr="00D26F19"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2019-20 </w:t>
            </w:r>
          </w:p>
          <w:p w:rsidR="00BC4885" w:rsidRPr="00D26F19" w:rsidRDefault="00BC4885"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 estimate</w:t>
            </w:r>
          </w:p>
        </w:tc>
      </w:tr>
      <w:tr w:rsidR="00BC4885" w:rsidRPr="00D26F19" w:rsidTr="006042B2">
        <w:trPr>
          <w:cantSplit/>
        </w:trPr>
        <w:tc>
          <w:tcPr>
            <w:tcW w:w="7765" w:type="dxa"/>
            <w:gridSpan w:val="6"/>
            <w:tcBorders>
              <w:top w:val="nil"/>
              <w:left w:val="nil"/>
              <w:right w:val="nil"/>
            </w:tcBorders>
            <w:shd w:val="clear" w:color="auto" w:fill="FFFFFF"/>
          </w:tcPr>
          <w:p w:rsidR="00BC4885" w:rsidRPr="00D26F19" w:rsidRDefault="00BC4885" w:rsidP="00BC4885">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FISCAL AGGREGATES</w:t>
            </w:r>
          </w:p>
        </w:tc>
      </w:tr>
      <w:tr w:rsidR="002C39A3" w:rsidRPr="00D26F19" w:rsidTr="00361FA9">
        <w:trPr>
          <w:cantSplit/>
        </w:trPr>
        <w:tc>
          <w:tcPr>
            <w:tcW w:w="3515"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Net cash flows from operating activities</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5 894</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11 917</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5 764</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5 985</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6 775</w:t>
            </w:r>
          </w:p>
        </w:tc>
      </w:tr>
      <w:tr w:rsidR="002C39A3" w:rsidRPr="00D26F19" w:rsidTr="00361FA9">
        <w:trPr>
          <w:cantSplit/>
        </w:trPr>
        <w:tc>
          <w:tcPr>
            <w:tcW w:w="3515"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Net cas</w:t>
            </w:r>
            <w:r w:rsidR="00BC4885">
              <w:rPr>
                <w:rFonts w:ascii="Calibri" w:eastAsiaTheme="minorEastAsia" w:hAnsi="Calibri" w:cs="Calibri"/>
                <w:color w:val="000000"/>
                <w:sz w:val="19"/>
                <w:szCs w:val="19"/>
                <w:lang w:eastAsia="en-AU"/>
              </w:rPr>
              <w:t>h flows from investments in non</w:t>
            </w:r>
            <w:r w:rsidR="00BC4885">
              <w:rPr>
                <w:rFonts w:ascii="Calibri" w:eastAsiaTheme="minorEastAsia" w:hAnsi="Calibri" w:cs="Calibri"/>
                <w:color w:val="000000"/>
                <w:sz w:val="19"/>
                <w:szCs w:val="19"/>
                <w:lang w:eastAsia="en-AU"/>
              </w:rPr>
              <w:noBreakHyphen/>
            </w:r>
            <w:r w:rsidRPr="00D26F19">
              <w:rPr>
                <w:rFonts w:ascii="Calibri" w:eastAsiaTheme="minorEastAsia" w:hAnsi="Calibri" w:cs="Calibri"/>
                <w:color w:val="000000"/>
                <w:sz w:val="19"/>
                <w:szCs w:val="19"/>
                <w:lang w:eastAsia="en-AU"/>
              </w:rPr>
              <w:t>financial assets</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(5 931)</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(8 548)</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(8 628)</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(8 339)</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(7 373)</w:t>
            </w:r>
          </w:p>
        </w:tc>
      </w:tr>
      <w:tr w:rsidR="002C39A3" w:rsidRPr="00D26F19" w:rsidTr="00361FA9">
        <w:trPr>
          <w:cantSplit/>
        </w:trPr>
        <w:tc>
          <w:tcPr>
            <w:tcW w:w="3515" w:type="dxa"/>
            <w:tcBorders>
              <w:top w:val="single" w:sz="6" w:space="0" w:color="000000"/>
              <w:left w:val="nil"/>
              <w:bottom w:val="single" w:sz="12" w:space="0" w:color="auto"/>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Cash surplus/(deficit)</w:t>
            </w:r>
          </w:p>
        </w:tc>
        <w:tc>
          <w:tcPr>
            <w:tcW w:w="850" w:type="dxa"/>
            <w:tcBorders>
              <w:top w:val="single" w:sz="6" w:space="0" w:color="000000"/>
              <w:left w:val="nil"/>
              <w:bottom w:val="single" w:sz="12" w:space="0" w:color="auto"/>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(37)</w:t>
            </w:r>
          </w:p>
        </w:tc>
        <w:tc>
          <w:tcPr>
            <w:tcW w:w="850" w:type="dxa"/>
            <w:tcBorders>
              <w:top w:val="single" w:sz="6" w:space="0" w:color="000000"/>
              <w:left w:val="nil"/>
              <w:bottom w:val="single" w:sz="12" w:space="0" w:color="auto"/>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3 369</w:t>
            </w:r>
          </w:p>
        </w:tc>
        <w:tc>
          <w:tcPr>
            <w:tcW w:w="850" w:type="dxa"/>
            <w:tcBorders>
              <w:top w:val="single" w:sz="6" w:space="0" w:color="000000"/>
              <w:left w:val="nil"/>
              <w:bottom w:val="single" w:sz="12" w:space="0" w:color="auto"/>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(2 863)</w:t>
            </w:r>
          </w:p>
        </w:tc>
        <w:tc>
          <w:tcPr>
            <w:tcW w:w="850" w:type="dxa"/>
            <w:tcBorders>
              <w:top w:val="single" w:sz="6" w:space="0" w:color="000000"/>
              <w:left w:val="nil"/>
              <w:bottom w:val="single" w:sz="12" w:space="0" w:color="auto"/>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(2 354)</w:t>
            </w:r>
          </w:p>
        </w:tc>
        <w:tc>
          <w:tcPr>
            <w:tcW w:w="850" w:type="dxa"/>
            <w:tcBorders>
              <w:top w:val="single" w:sz="6" w:space="0" w:color="000000"/>
              <w:left w:val="nil"/>
              <w:bottom w:val="single" w:sz="12" w:space="0" w:color="auto"/>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(598)</w:t>
            </w:r>
          </w:p>
        </w:tc>
      </w:tr>
    </w:tbl>
    <w:p w:rsidR="002C39A3" w:rsidRDefault="002C39A3" w:rsidP="00361FA9">
      <w:pPr>
        <w:pStyle w:val="Source"/>
      </w:pPr>
      <w:r>
        <w:t>So</w:t>
      </w:r>
      <w:r w:rsidRPr="00F666A4">
        <w:t>urce: Department of Treasury and Finance</w:t>
      </w:r>
    </w:p>
    <w:p w:rsidR="002C39A3" w:rsidRDefault="002C39A3" w:rsidP="00361FA9">
      <w:pPr>
        <w:pStyle w:val="Notes"/>
      </w:pPr>
      <w:r>
        <w:t>Notes:</w:t>
      </w:r>
    </w:p>
    <w:p w:rsidR="002C39A3" w:rsidRPr="004E25B5" w:rsidRDefault="002C39A3" w:rsidP="00361FA9">
      <w:pPr>
        <w:pStyle w:val="Notes"/>
      </w:pPr>
      <w:r>
        <w:t>(a)</w:t>
      </w:r>
      <w:r>
        <w:tab/>
        <w:t>Certain line items have been aggregated in the table above due to the commercial sensitivities of certain balances.</w:t>
      </w:r>
    </w:p>
    <w:p w:rsidR="002C39A3" w:rsidRDefault="002C39A3" w:rsidP="00361FA9">
      <w:pPr>
        <w:pStyle w:val="Notes"/>
      </w:pPr>
      <w:r>
        <w:t>(b)</w:t>
      </w:r>
      <w:r>
        <w:tab/>
        <w:t>Inclusive of goods and services tax.</w:t>
      </w:r>
    </w:p>
    <w:p w:rsidR="002C39A3" w:rsidRDefault="002C39A3">
      <w:pPr>
        <w:spacing w:after="0"/>
        <w:rPr>
          <w:rFonts w:ascii="Calibri" w:hAnsi="Calibri"/>
          <w:b/>
        </w:rPr>
      </w:pPr>
      <w:r>
        <w:br w:type="page"/>
      </w:r>
    </w:p>
    <w:p w:rsidR="002C39A3" w:rsidRDefault="002C39A3" w:rsidP="00361FA9">
      <w:pPr>
        <w:pStyle w:val="Tableheading"/>
      </w:pPr>
      <w:r>
        <w:t>Table 2.10:</w:t>
      </w:r>
      <w:r>
        <w:tab/>
        <w:t>Non</w:t>
      </w:r>
      <w:r>
        <w:noBreakHyphen/>
        <w:t>financial public sector statement of changes in equity for the financial year ended 30 June</w:t>
      </w:r>
    </w:p>
    <w:p w:rsidR="002C39A3" w:rsidRPr="00422B32" w:rsidRDefault="002C39A3" w:rsidP="00361FA9">
      <w:pPr>
        <w:pStyle w:val="million"/>
        <w:rPr>
          <w:b/>
          <w:bCs/>
          <w:sz w:val="15"/>
          <w:lang w:val="en-US"/>
        </w:rPr>
      </w:pPr>
      <w:r>
        <w:t xml:space="preserve">($ </w:t>
      </w:r>
      <w:r w:rsidRPr="00E14900">
        <w:t>million</w:t>
      </w:r>
      <w:r>
        <w:t>)</w:t>
      </w:r>
    </w:p>
    <w:tbl>
      <w:tblPr>
        <w:tblW w:w="7766" w:type="dxa"/>
        <w:tblInd w:w="45" w:type="dxa"/>
        <w:tblLayout w:type="fixed"/>
        <w:tblCellMar>
          <w:left w:w="45" w:type="dxa"/>
          <w:right w:w="45" w:type="dxa"/>
        </w:tblCellMar>
        <w:tblLook w:val="0000" w:firstRow="0" w:lastRow="0" w:firstColumn="0" w:lastColumn="0" w:noHBand="0" w:noVBand="0"/>
      </w:tblPr>
      <w:tblGrid>
        <w:gridCol w:w="4535"/>
        <w:gridCol w:w="1559"/>
        <w:gridCol w:w="1672"/>
      </w:tblGrid>
      <w:tr w:rsidR="002C39A3" w:rsidRPr="00422B32" w:rsidTr="00361FA9">
        <w:trPr>
          <w:tblHeader/>
        </w:trPr>
        <w:tc>
          <w:tcPr>
            <w:tcW w:w="4535" w:type="dxa"/>
            <w:tcBorders>
              <w:right w:val="nil"/>
            </w:tcBorders>
            <w:shd w:val="solid" w:color="000000" w:fill="auto"/>
            <w:vAlign w:val="bottom"/>
          </w:tcPr>
          <w:p w:rsidR="002C39A3" w:rsidRPr="00422B32" w:rsidRDefault="002C39A3" w:rsidP="00361FA9">
            <w:pPr>
              <w:pStyle w:val="Source"/>
              <w:spacing w:after="0"/>
              <w:rPr>
                <w:rFonts w:eastAsiaTheme="minorEastAsia" w:cs="Calibri"/>
                <w:iCs/>
                <w:color w:val="FFFFFF"/>
                <w:sz w:val="19"/>
                <w:szCs w:val="19"/>
                <w:lang w:eastAsia="en-AU"/>
              </w:rPr>
            </w:pPr>
            <w:r w:rsidRPr="00422B32">
              <w:rPr>
                <w:rFonts w:eastAsiaTheme="minorEastAsia" w:cs="Calibri"/>
                <w:iCs/>
                <w:color w:val="FFFFFF"/>
                <w:sz w:val="19"/>
                <w:szCs w:val="19"/>
                <w:lang w:eastAsia="en-AU"/>
              </w:rPr>
              <w:t xml:space="preserve"> </w:t>
            </w:r>
          </w:p>
        </w:tc>
        <w:tc>
          <w:tcPr>
            <w:tcW w:w="1559" w:type="dxa"/>
            <w:tcBorders>
              <w:left w:val="nil"/>
              <w:right w:val="nil"/>
            </w:tcBorders>
            <w:shd w:val="solid" w:color="000000" w:fill="auto"/>
            <w:vAlign w:val="bottom"/>
          </w:tcPr>
          <w:p w:rsidR="002C39A3" w:rsidRPr="00422B32"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br/>
              <w:t>Accumulated surplus/(deficit)</w:t>
            </w:r>
          </w:p>
        </w:tc>
        <w:tc>
          <w:tcPr>
            <w:tcW w:w="1672" w:type="dxa"/>
            <w:tcBorders>
              <w:left w:val="nil"/>
            </w:tcBorders>
            <w:shd w:val="solid" w:color="000000" w:fill="auto"/>
            <w:vAlign w:val="bottom"/>
          </w:tcPr>
          <w:p w:rsidR="002C39A3" w:rsidRPr="00422B32"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Non-controlling Interest</w:t>
            </w:r>
          </w:p>
        </w:tc>
      </w:tr>
      <w:tr w:rsidR="004A5191" w:rsidRPr="00422B32" w:rsidTr="006042B2">
        <w:tc>
          <w:tcPr>
            <w:tcW w:w="7766" w:type="dxa"/>
            <w:gridSpan w:val="3"/>
            <w:tcBorders>
              <w:top w:val="nil"/>
            </w:tcBorders>
            <w:shd w:val="clear" w:color="auto" w:fill="FFFFFF"/>
          </w:tcPr>
          <w:p w:rsidR="004A5191" w:rsidRPr="00422B32" w:rsidRDefault="004A5191" w:rsidP="004A5191">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2015-16 revised</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Balance at 1 July 2015</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62 814</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50</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result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1 492</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comprehensive income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(1 761)</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Transfer to accumulated surplus </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Transactions with owners in their capacity as owners</w:t>
            </w:r>
          </w:p>
        </w:tc>
        <w:tc>
          <w:tcPr>
            <w:tcW w:w="1559"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672"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(50)</w:t>
            </w:r>
          </w:p>
        </w:tc>
      </w:tr>
      <w:tr w:rsidR="002C39A3" w:rsidRPr="00422B32" w:rsidTr="00361FA9">
        <w:tc>
          <w:tcPr>
            <w:tcW w:w="4535"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equity as at 30 June 2016</w:t>
            </w:r>
          </w:p>
        </w:tc>
        <w:tc>
          <w:tcPr>
            <w:tcW w:w="1559"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62 546</w:t>
            </w:r>
          </w:p>
        </w:tc>
        <w:tc>
          <w:tcPr>
            <w:tcW w:w="1672"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w:t>
            </w:r>
          </w:p>
        </w:tc>
      </w:tr>
      <w:tr w:rsidR="004A5191" w:rsidRPr="00422B32" w:rsidTr="006042B2">
        <w:tc>
          <w:tcPr>
            <w:tcW w:w="7766" w:type="dxa"/>
            <w:gridSpan w:val="3"/>
            <w:tcBorders>
              <w:top w:val="single" w:sz="12" w:space="0" w:color="000000"/>
            </w:tcBorders>
            <w:shd w:val="clear" w:color="auto" w:fill="FFFFFF"/>
          </w:tcPr>
          <w:p w:rsidR="004A5191" w:rsidRPr="00422B32" w:rsidRDefault="004A5191" w:rsidP="004A5191">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2016-17 budget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Balance at 1 July 2016</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62 546</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result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1 445</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comprehensive income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1 034</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Transfer to accumulated surplus </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4 094</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Transactions with owners in their capacity as owners</w:t>
            </w:r>
          </w:p>
        </w:tc>
        <w:tc>
          <w:tcPr>
            <w:tcW w:w="1559"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672"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4535"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equity as at 30 June 2017</w:t>
            </w:r>
          </w:p>
        </w:tc>
        <w:tc>
          <w:tcPr>
            <w:tcW w:w="1559"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69 118</w:t>
            </w:r>
          </w:p>
        </w:tc>
        <w:tc>
          <w:tcPr>
            <w:tcW w:w="1672"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w:t>
            </w:r>
          </w:p>
        </w:tc>
      </w:tr>
      <w:tr w:rsidR="004A5191" w:rsidRPr="00422B32" w:rsidTr="006042B2">
        <w:tc>
          <w:tcPr>
            <w:tcW w:w="7766" w:type="dxa"/>
            <w:gridSpan w:val="3"/>
            <w:tcBorders>
              <w:top w:val="single" w:sz="12" w:space="0" w:color="000000"/>
            </w:tcBorders>
            <w:shd w:val="clear" w:color="auto" w:fill="FFFFFF"/>
          </w:tcPr>
          <w:p w:rsidR="004A5191" w:rsidRPr="00422B32" w:rsidRDefault="004A5191" w:rsidP="004A5191">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2017-18 estimate </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Balance at 1 July 2017</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69 118</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result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1 252</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comprehensive income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858</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Transfer to accumulated surplus </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Transactions with owners in their capacity as owners</w:t>
            </w:r>
          </w:p>
        </w:tc>
        <w:tc>
          <w:tcPr>
            <w:tcW w:w="1559"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672"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4535"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equity as at 30 June 2018</w:t>
            </w:r>
          </w:p>
        </w:tc>
        <w:tc>
          <w:tcPr>
            <w:tcW w:w="1559"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71 228</w:t>
            </w:r>
          </w:p>
        </w:tc>
        <w:tc>
          <w:tcPr>
            <w:tcW w:w="1672"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w:t>
            </w:r>
          </w:p>
        </w:tc>
      </w:tr>
      <w:tr w:rsidR="004A5191" w:rsidRPr="00422B32" w:rsidTr="006042B2">
        <w:tc>
          <w:tcPr>
            <w:tcW w:w="7766" w:type="dxa"/>
            <w:gridSpan w:val="3"/>
            <w:tcBorders>
              <w:top w:val="single" w:sz="12" w:space="0" w:color="000000"/>
            </w:tcBorders>
            <w:shd w:val="clear" w:color="auto" w:fill="FFFFFF"/>
          </w:tcPr>
          <w:p w:rsidR="004A5191" w:rsidRPr="00422B32" w:rsidRDefault="004A5191" w:rsidP="004A5191">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2018-19 estimate</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Balance at 1 July 2018</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71 228</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result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1 189</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comprehensive income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897</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Transfer to accumulated surplus </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Transactions with owners in their capacity as owners</w:t>
            </w:r>
          </w:p>
        </w:tc>
        <w:tc>
          <w:tcPr>
            <w:tcW w:w="1559"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672"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4535"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equity as at 30 June 2019</w:t>
            </w:r>
          </w:p>
        </w:tc>
        <w:tc>
          <w:tcPr>
            <w:tcW w:w="1559"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73 314</w:t>
            </w:r>
          </w:p>
        </w:tc>
        <w:tc>
          <w:tcPr>
            <w:tcW w:w="1672"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w:t>
            </w:r>
          </w:p>
        </w:tc>
      </w:tr>
      <w:tr w:rsidR="004A5191" w:rsidRPr="00422B32" w:rsidTr="006042B2">
        <w:tc>
          <w:tcPr>
            <w:tcW w:w="7766" w:type="dxa"/>
            <w:gridSpan w:val="3"/>
            <w:tcBorders>
              <w:top w:val="single" w:sz="12" w:space="0" w:color="000000"/>
            </w:tcBorders>
            <w:shd w:val="clear" w:color="auto" w:fill="FFFFFF"/>
          </w:tcPr>
          <w:p w:rsidR="004A5191" w:rsidRPr="00422B32" w:rsidRDefault="004A5191" w:rsidP="004A5191">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2019-20 estimate</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Balance at 1 July 2019</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73 314</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result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1 698</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comprehensive income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896</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Transfer to accumulated surplus </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Transactions with owners in their capacity as owners</w:t>
            </w:r>
          </w:p>
        </w:tc>
        <w:tc>
          <w:tcPr>
            <w:tcW w:w="1559"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672"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4535" w:type="dxa"/>
            <w:tcBorders>
              <w:top w:val="single" w:sz="6" w:space="0" w:color="000000"/>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equity as at 30 June 2020</w:t>
            </w:r>
          </w:p>
        </w:tc>
        <w:tc>
          <w:tcPr>
            <w:tcW w:w="1559"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75 909</w:t>
            </w:r>
          </w:p>
        </w:tc>
        <w:tc>
          <w:tcPr>
            <w:tcW w:w="1672" w:type="dxa"/>
            <w:tcBorders>
              <w:top w:val="single" w:sz="6" w:space="0" w:color="000000"/>
              <w:left w:val="nil"/>
              <w:bottom w:val="single" w:sz="12" w:space="0" w:color="auto"/>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w:t>
            </w:r>
          </w:p>
        </w:tc>
      </w:tr>
    </w:tbl>
    <w:p w:rsidR="002C39A3" w:rsidRDefault="002C39A3" w:rsidP="00361FA9">
      <w:pPr>
        <w:pStyle w:val="Source"/>
      </w:pPr>
      <w:r w:rsidRPr="00055067">
        <w:t xml:space="preserve"> </w:t>
      </w:r>
      <w:r>
        <w:t>Source: Department of Treasury and Finance</w:t>
      </w:r>
    </w:p>
    <w:p w:rsidR="002C39A3" w:rsidRDefault="002C39A3" w:rsidP="00361FA9"/>
    <w:p w:rsidR="002C39A3" w:rsidRDefault="002C39A3">
      <w:pPr>
        <w:spacing w:after="0"/>
      </w:pPr>
      <w:r>
        <w:br w:type="page"/>
      </w:r>
    </w:p>
    <w:p w:rsidR="002C39A3" w:rsidRPr="00E14900" w:rsidRDefault="002C39A3" w:rsidP="00361FA9">
      <w:pPr>
        <w:pStyle w:val="Tableheading"/>
      </w:pPr>
      <w:r w:rsidRPr="00E14900">
        <w:br/>
      </w:r>
    </w:p>
    <w:p w:rsidR="002C39A3" w:rsidRPr="00422B32" w:rsidRDefault="002C39A3" w:rsidP="00361FA9">
      <w:pPr>
        <w:pStyle w:val="million"/>
      </w:pPr>
    </w:p>
    <w:tbl>
      <w:tblPr>
        <w:tblW w:w="7780" w:type="dxa"/>
        <w:tblInd w:w="45" w:type="dxa"/>
        <w:tblLayout w:type="fixed"/>
        <w:tblCellMar>
          <w:left w:w="45" w:type="dxa"/>
          <w:right w:w="45" w:type="dxa"/>
        </w:tblCellMar>
        <w:tblLook w:val="0000" w:firstRow="0" w:lastRow="0" w:firstColumn="0" w:lastColumn="0" w:noHBand="0" w:noVBand="0"/>
      </w:tblPr>
      <w:tblGrid>
        <w:gridCol w:w="1945"/>
        <w:gridCol w:w="1945"/>
        <w:gridCol w:w="1945"/>
        <w:gridCol w:w="1945"/>
      </w:tblGrid>
      <w:tr w:rsidR="002C39A3" w:rsidRPr="00422B32" w:rsidTr="00361FA9">
        <w:trPr>
          <w:tblHeader/>
        </w:trPr>
        <w:tc>
          <w:tcPr>
            <w:tcW w:w="1945" w:type="dxa"/>
            <w:tcBorders>
              <w:right w:val="nil"/>
            </w:tcBorders>
            <w:shd w:val="solid" w:color="000000" w:fill="auto"/>
            <w:vAlign w:val="bottom"/>
          </w:tcPr>
          <w:p w:rsidR="002C39A3" w:rsidRPr="00422B32"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Non-financial assets revaluation surplus</w:t>
            </w:r>
          </w:p>
        </w:tc>
        <w:tc>
          <w:tcPr>
            <w:tcW w:w="1945" w:type="dxa"/>
            <w:tcBorders>
              <w:left w:val="nil"/>
              <w:right w:val="nil"/>
            </w:tcBorders>
            <w:shd w:val="solid" w:color="000000" w:fill="auto"/>
            <w:vAlign w:val="bottom"/>
          </w:tcPr>
          <w:p w:rsidR="002C39A3" w:rsidRPr="00422B32"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Investment in other sector entities revaluation surplus</w:t>
            </w:r>
          </w:p>
        </w:tc>
        <w:tc>
          <w:tcPr>
            <w:tcW w:w="1945" w:type="dxa"/>
            <w:tcBorders>
              <w:left w:val="nil"/>
              <w:right w:val="nil"/>
            </w:tcBorders>
            <w:shd w:val="solid" w:color="000000" w:fill="auto"/>
            <w:vAlign w:val="bottom"/>
          </w:tcPr>
          <w:p w:rsidR="002C39A3" w:rsidRPr="00422B32"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Other </w:t>
            </w:r>
            <w:r w:rsidR="004A5191">
              <w:rPr>
                <w:rFonts w:ascii="Calibri" w:eastAsiaTheme="minorEastAsia" w:hAnsi="Calibri" w:cs="Calibri"/>
                <w:i/>
                <w:iCs/>
                <w:color w:val="FFFFFF"/>
                <w:sz w:val="19"/>
                <w:szCs w:val="19"/>
                <w:lang w:eastAsia="en-AU"/>
              </w:rPr>
              <w:br/>
            </w:r>
            <w:r w:rsidRPr="00422B32">
              <w:rPr>
                <w:rFonts w:ascii="Calibri" w:eastAsiaTheme="minorEastAsia" w:hAnsi="Calibri" w:cs="Calibri"/>
                <w:i/>
                <w:iCs/>
                <w:color w:val="FFFFFF"/>
                <w:sz w:val="19"/>
                <w:szCs w:val="19"/>
                <w:lang w:eastAsia="en-AU"/>
              </w:rPr>
              <w:t>reserves</w:t>
            </w:r>
          </w:p>
        </w:tc>
        <w:tc>
          <w:tcPr>
            <w:tcW w:w="1945" w:type="dxa"/>
            <w:tcBorders>
              <w:left w:val="nil"/>
            </w:tcBorders>
            <w:shd w:val="solid" w:color="000000" w:fill="auto"/>
            <w:vAlign w:val="bottom"/>
          </w:tcPr>
          <w:p w:rsidR="002C39A3" w:rsidRPr="00422B32"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Total</w:t>
            </w:r>
          </w:p>
        </w:tc>
      </w:tr>
      <w:tr w:rsidR="002C39A3" w:rsidRPr="00422B32" w:rsidTr="00361FA9">
        <w:tc>
          <w:tcPr>
            <w:tcW w:w="194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1945"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r>
      <w:tr w:rsidR="002C39A3" w:rsidRPr="00422B32" w:rsidTr="00361FA9">
        <w:tc>
          <w:tcPr>
            <w:tcW w:w="194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77 427</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3 240</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1 166</w:t>
            </w:r>
          </w:p>
        </w:tc>
        <w:tc>
          <w:tcPr>
            <w:tcW w:w="1945"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144 697</w:t>
            </w:r>
          </w:p>
        </w:tc>
      </w:tr>
      <w:tr w:rsidR="002C39A3" w:rsidRPr="00422B32" w:rsidTr="00361FA9">
        <w:tc>
          <w:tcPr>
            <w:tcW w:w="194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1 492</w:t>
            </w:r>
          </w:p>
        </w:tc>
      </w:tr>
      <w:tr w:rsidR="002C39A3" w:rsidRPr="00422B32" w:rsidTr="00361FA9">
        <w:tc>
          <w:tcPr>
            <w:tcW w:w="194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2 499</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53</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w:t>
            </w:r>
          </w:p>
        </w:tc>
        <w:tc>
          <w:tcPr>
            <w:tcW w:w="1945"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794</w:t>
            </w:r>
          </w:p>
        </w:tc>
      </w:tr>
      <w:tr w:rsidR="002C39A3" w:rsidRPr="00422B32" w:rsidTr="00361FA9">
        <w:tc>
          <w:tcPr>
            <w:tcW w:w="194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194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(50)</w:t>
            </w:r>
          </w:p>
        </w:tc>
      </w:tr>
      <w:tr w:rsidR="002C39A3" w:rsidRPr="00422B32" w:rsidTr="00361FA9">
        <w:tc>
          <w:tcPr>
            <w:tcW w:w="1945"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79 926</w:t>
            </w:r>
          </w:p>
        </w:tc>
        <w:tc>
          <w:tcPr>
            <w:tcW w:w="1945"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3 293</w:t>
            </w:r>
          </w:p>
        </w:tc>
        <w:tc>
          <w:tcPr>
            <w:tcW w:w="1945"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1 169</w:t>
            </w:r>
          </w:p>
        </w:tc>
        <w:tc>
          <w:tcPr>
            <w:tcW w:w="1945"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146 934</w:t>
            </w:r>
          </w:p>
        </w:tc>
      </w:tr>
      <w:tr w:rsidR="002C39A3" w:rsidRPr="00422B32" w:rsidTr="00361FA9">
        <w:tc>
          <w:tcPr>
            <w:tcW w:w="1945" w:type="dxa"/>
            <w:tcBorders>
              <w:top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1945"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1945"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1945" w:type="dxa"/>
            <w:tcBorders>
              <w:top w:val="single" w:sz="12"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r>
      <w:tr w:rsidR="002C39A3" w:rsidRPr="00422B32" w:rsidTr="00361FA9">
        <w:tc>
          <w:tcPr>
            <w:tcW w:w="194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79 926</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3 293</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1 169</w:t>
            </w:r>
          </w:p>
        </w:tc>
        <w:tc>
          <w:tcPr>
            <w:tcW w:w="1945"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146 934</w:t>
            </w:r>
          </w:p>
        </w:tc>
      </w:tr>
      <w:tr w:rsidR="002C39A3" w:rsidRPr="00422B32" w:rsidTr="00361FA9">
        <w:tc>
          <w:tcPr>
            <w:tcW w:w="194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1 445</w:t>
            </w:r>
          </w:p>
        </w:tc>
      </w:tr>
      <w:tr w:rsidR="002C39A3" w:rsidRPr="00422B32" w:rsidTr="00361FA9">
        <w:tc>
          <w:tcPr>
            <w:tcW w:w="194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2 790</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151</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36</w:t>
            </w:r>
          </w:p>
        </w:tc>
        <w:tc>
          <w:tcPr>
            <w:tcW w:w="1945"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4 011</w:t>
            </w:r>
          </w:p>
        </w:tc>
      </w:tr>
      <w:tr w:rsidR="002C39A3" w:rsidRPr="00422B32" w:rsidTr="00361FA9">
        <w:tc>
          <w:tcPr>
            <w:tcW w:w="194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(4 094)</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194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945"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945"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945"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1945"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78 622</w:t>
            </w:r>
          </w:p>
        </w:tc>
        <w:tc>
          <w:tcPr>
            <w:tcW w:w="1945"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3 444</w:t>
            </w:r>
          </w:p>
        </w:tc>
        <w:tc>
          <w:tcPr>
            <w:tcW w:w="1945"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1 205</w:t>
            </w:r>
          </w:p>
        </w:tc>
        <w:tc>
          <w:tcPr>
            <w:tcW w:w="1945"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152 389</w:t>
            </w:r>
          </w:p>
        </w:tc>
      </w:tr>
      <w:tr w:rsidR="002C39A3" w:rsidRPr="00422B32" w:rsidTr="00361FA9">
        <w:tc>
          <w:tcPr>
            <w:tcW w:w="1945" w:type="dxa"/>
            <w:tcBorders>
              <w:top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1945"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1945"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1945" w:type="dxa"/>
            <w:tcBorders>
              <w:top w:val="single" w:sz="12"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r>
      <w:tr w:rsidR="002C39A3" w:rsidRPr="00422B32" w:rsidTr="00361FA9">
        <w:tc>
          <w:tcPr>
            <w:tcW w:w="194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78 622</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3 444</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1 205</w:t>
            </w:r>
          </w:p>
        </w:tc>
        <w:tc>
          <w:tcPr>
            <w:tcW w:w="1945"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152 389</w:t>
            </w:r>
          </w:p>
        </w:tc>
      </w:tr>
      <w:tr w:rsidR="002C39A3" w:rsidRPr="00422B32" w:rsidTr="00361FA9">
        <w:tc>
          <w:tcPr>
            <w:tcW w:w="194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1 252</w:t>
            </w:r>
          </w:p>
        </w:tc>
      </w:tr>
      <w:tr w:rsidR="002C39A3" w:rsidRPr="00422B32" w:rsidTr="00361FA9">
        <w:tc>
          <w:tcPr>
            <w:tcW w:w="194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7 093</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246</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40</w:t>
            </w:r>
          </w:p>
        </w:tc>
        <w:tc>
          <w:tcPr>
            <w:tcW w:w="1945"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8 238</w:t>
            </w:r>
          </w:p>
        </w:tc>
      </w:tr>
      <w:tr w:rsidR="002C39A3" w:rsidRPr="00422B32" w:rsidTr="00361FA9">
        <w:tc>
          <w:tcPr>
            <w:tcW w:w="194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194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945"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945"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945"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1945"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85 715</w:t>
            </w:r>
          </w:p>
        </w:tc>
        <w:tc>
          <w:tcPr>
            <w:tcW w:w="1945"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3 690</w:t>
            </w:r>
          </w:p>
        </w:tc>
        <w:tc>
          <w:tcPr>
            <w:tcW w:w="1945"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1 246</w:t>
            </w:r>
          </w:p>
        </w:tc>
        <w:tc>
          <w:tcPr>
            <w:tcW w:w="1945"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161 879</w:t>
            </w:r>
          </w:p>
        </w:tc>
      </w:tr>
      <w:tr w:rsidR="002C39A3" w:rsidRPr="00422B32" w:rsidTr="00361FA9">
        <w:tc>
          <w:tcPr>
            <w:tcW w:w="1945" w:type="dxa"/>
            <w:tcBorders>
              <w:top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1945"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1945"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1945" w:type="dxa"/>
            <w:tcBorders>
              <w:top w:val="single" w:sz="12"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r>
      <w:tr w:rsidR="002C39A3" w:rsidRPr="00422B32" w:rsidTr="00361FA9">
        <w:tc>
          <w:tcPr>
            <w:tcW w:w="194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85 715</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3 690</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1 246</w:t>
            </w:r>
          </w:p>
        </w:tc>
        <w:tc>
          <w:tcPr>
            <w:tcW w:w="1945"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161 879</w:t>
            </w:r>
          </w:p>
        </w:tc>
      </w:tr>
      <w:tr w:rsidR="002C39A3" w:rsidRPr="00422B32" w:rsidTr="00361FA9">
        <w:tc>
          <w:tcPr>
            <w:tcW w:w="194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1 189</w:t>
            </w:r>
          </w:p>
        </w:tc>
      </w:tr>
      <w:tr w:rsidR="002C39A3" w:rsidRPr="00422B32" w:rsidTr="00361FA9">
        <w:tc>
          <w:tcPr>
            <w:tcW w:w="194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2 207</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774</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37</w:t>
            </w:r>
          </w:p>
        </w:tc>
        <w:tc>
          <w:tcPr>
            <w:tcW w:w="1945"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3 914</w:t>
            </w:r>
          </w:p>
        </w:tc>
      </w:tr>
      <w:tr w:rsidR="002C39A3" w:rsidRPr="00422B32" w:rsidTr="00361FA9">
        <w:tc>
          <w:tcPr>
            <w:tcW w:w="194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194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945"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945"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945"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1945"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87 921</w:t>
            </w:r>
          </w:p>
        </w:tc>
        <w:tc>
          <w:tcPr>
            <w:tcW w:w="1945"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4 464</w:t>
            </w:r>
          </w:p>
        </w:tc>
        <w:tc>
          <w:tcPr>
            <w:tcW w:w="1945"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1 283</w:t>
            </w:r>
          </w:p>
        </w:tc>
        <w:tc>
          <w:tcPr>
            <w:tcW w:w="1945"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166 982</w:t>
            </w:r>
          </w:p>
        </w:tc>
      </w:tr>
      <w:tr w:rsidR="002C39A3" w:rsidRPr="00422B32" w:rsidTr="00361FA9">
        <w:tc>
          <w:tcPr>
            <w:tcW w:w="1945" w:type="dxa"/>
            <w:tcBorders>
              <w:top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1945"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1945"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1945" w:type="dxa"/>
            <w:tcBorders>
              <w:top w:val="single" w:sz="12"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r>
      <w:tr w:rsidR="002C39A3" w:rsidRPr="00422B32" w:rsidTr="00361FA9">
        <w:tc>
          <w:tcPr>
            <w:tcW w:w="194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87 921</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4 464</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1 283</w:t>
            </w:r>
          </w:p>
        </w:tc>
        <w:tc>
          <w:tcPr>
            <w:tcW w:w="1945"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166 982</w:t>
            </w:r>
          </w:p>
        </w:tc>
      </w:tr>
      <w:tr w:rsidR="002C39A3" w:rsidRPr="00422B32" w:rsidTr="00361FA9">
        <w:tc>
          <w:tcPr>
            <w:tcW w:w="194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1 698</w:t>
            </w:r>
          </w:p>
        </w:tc>
      </w:tr>
      <w:tr w:rsidR="002C39A3" w:rsidRPr="00422B32" w:rsidTr="00361FA9">
        <w:tc>
          <w:tcPr>
            <w:tcW w:w="194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7 438</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251</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31</w:t>
            </w:r>
          </w:p>
        </w:tc>
        <w:tc>
          <w:tcPr>
            <w:tcW w:w="1945"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8 616</w:t>
            </w:r>
          </w:p>
        </w:tc>
      </w:tr>
      <w:tr w:rsidR="002C39A3" w:rsidRPr="00422B32" w:rsidTr="00361FA9">
        <w:tc>
          <w:tcPr>
            <w:tcW w:w="194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945"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194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945"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945"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945"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1945" w:type="dxa"/>
            <w:tcBorders>
              <w:top w:val="single" w:sz="6" w:space="0" w:color="000000"/>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95 359</w:t>
            </w:r>
          </w:p>
        </w:tc>
        <w:tc>
          <w:tcPr>
            <w:tcW w:w="1945"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4 715</w:t>
            </w:r>
          </w:p>
        </w:tc>
        <w:tc>
          <w:tcPr>
            <w:tcW w:w="1945"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1 314</w:t>
            </w:r>
          </w:p>
        </w:tc>
        <w:tc>
          <w:tcPr>
            <w:tcW w:w="1945" w:type="dxa"/>
            <w:tcBorders>
              <w:top w:val="single" w:sz="6" w:space="0" w:color="000000"/>
              <w:left w:val="nil"/>
              <w:bottom w:val="single" w:sz="12" w:space="0" w:color="auto"/>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177 297</w:t>
            </w:r>
          </w:p>
        </w:tc>
      </w:tr>
    </w:tbl>
    <w:p w:rsidR="002C39A3" w:rsidRPr="007270B7" w:rsidRDefault="002C39A3" w:rsidP="00361FA9"/>
    <w:p w:rsidR="002C39A3" w:rsidRPr="007270B7" w:rsidRDefault="002C39A3" w:rsidP="00361FA9"/>
    <w:p w:rsidR="002C39A3" w:rsidRDefault="002C39A3">
      <w:pPr>
        <w:spacing w:after="0"/>
        <w:rPr>
          <w:rFonts w:ascii="Calibri" w:hAnsi="Calibri"/>
          <w:b/>
        </w:rPr>
      </w:pPr>
      <w:r>
        <w:br w:type="page"/>
      </w:r>
    </w:p>
    <w:p w:rsidR="002C39A3" w:rsidRDefault="002C39A3" w:rsidP="00361FA9">
      <w:pPr>
        <w:pStyle w:val="Tableheading"/>
      </w:pPr>
      <w:r>
        <w:t>Table 2.11:</w:t>
      </w:r>
      <w:r>
        <w:tab/>
        <w:t>Derivation of non</w:t>
      </w:r>
      <w:r>
        <w:noBreakHyphen/>
        <w:t>financial public sector GFS cash surplus/(deficit)</w:t>
      </w:r>
    </w:p>
    <w:p w:rsidR="002C39A3" w:rsidRPr="00422B32" w:rsidRDefault="002C39A3" w:rsidP="00361FA9">
      <w:pPr>
        <w:pStyle w:val="million"/>
        <w:rPr>
          <w:b/>
          <w:bCs/>
          <w:sz w:val="15"/>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4A5191" w:rsidRPr="00422B32" w:rsidTr="006042B2">
        <w:trPr>
          <w:trHeight w:val="464"/>
          <w:tblHeader/>
        </w:trPr>
        <w:tc>
          <w:tcPr>
            <w:tcW w:w="3515" w:type="dxa"/>
            <w:tcBorders>
              <w:right w:val="nil"/>
            </w:tcBorders>
            <w:shd w:val="solid" w:color="000000" w:fill="auto"/>
            <w:vAlign w:val="bottom"/>
          </w:tcPr>
          <w:p w:rsidR="004A5191" w:rsidRPr="00422B32" w:rsidRDefault="004A5191" w:rsidP="004A5191">
            <w:pPr>
              <w:pStyle w:val="Source"/>
              <w:spacing w:after="0"/>
              <w:rPr>
                <w:rFonts w:eastAsiaTheme="minorEastAsia" w:cs="Calibri"/>
                <w:iCs/>
                <w:color w:val="FFFFFF"/>
                <w:sz w:val="19"/>
                <w:szCs w:val="19"/>
                <w:lang w:eastAsia="en-AU"/>
              </w:rPr>
            </w:pPr>
          </w:p>
        </w:tc>
        <w:tc>
          <w:tcPr>
            <w:tcW w:w="850" w:type="dxa"/>
            <w:tcBorders>
              <w:left w:val="nil"/>
              <w:right w:val="nil"/>
            </w:tcBorders>
            <w:shd w:val="solid" w:color="000000" w:fill="auto"/>
            <w:vAlign w:val="bottom"/>
          </w:tcPr>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2015-16 </w:t>
            </w:r>
          </w:p>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revised</w:t>
            </w:r>
          </w:p>
        </w:tc>
        <w:tc>
          <w:tcPr>
            <w:tcW w:w="850" w:type="dxa"/>
            <w:tcBorders>
              <w:left w:val="nil"/>
              <w:right w:val="nil"/>
            </w:tcBorders>
            <w:shd w:val="solid" w:color="000000" w:fill="auto"/>
            <w:vAlign w:val="bottom"/>
          </w:tcPr>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2016-17 </w:t>
            </w:r>
          </w:p>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budget</w:t>
            </w:r>
          </w:p>
        </w:tc>
        <w:tc>
          <w:tcPr>
            <w:tcW w:w="850" w:type="dxa"/>
            <w:tcBorders>
              <w:left w:val="nil"/>
              <w:right w:val="nil"/>
            </w:tcBorders>
            <w:shd w:val="solid" w:color="000000" w:fill="auto"/>
            <w:vAlign w:val="bottom"/>
          </w:tcPr>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2017-18 </w:t>
            </w:r>
          </w:p>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left w:val="nil"/>
              <w:right w:val="nil"/>
            </w:tcBorders>
            <w:shd w:val="solid" w:color="000000" w:fill="auto"/>
            <w:vAlign w:val="bottom"/>
          </w:tcPr>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2018-19 </w:t>
            </w:r>
          </w:p>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left w:val="nil"/>
            </w:tcBorders>
            <w:shd w:val="solid" w:color="000000" w:fill="auto"/>
            <w:vAlign w:val="bottom"/>
          </w:tcPr>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2019-20 </w:t>
            </w:r>
          </w:p>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Cash surplus/(deficit)</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3 369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(2 863)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(2 354)</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(598)</w:t>
            </w:r>
          </w:p>
        </w:tc>
      </w:tr>
      <w:tr w:rsidR="004A5191" w:rsidRPr="00422B32" w:rsidTr="006042B2">
        <w:tc>
          <w:tcPr>
            <w:tcW w:w="7765" w:type="dxa"/>
            <w:gridSpan w:val="6"/>
            <w:tcBorders>
              <w:top w:val="nil"/>
            </w:tcBorders>
            <w:shd w:val="clear" w:color="auto" w:fill="FFFFFF"/>
          </w:tcPr>
          <w:p w:rsidR="004A5191" w:rsidRPr="00422B32" w:rsidRDefault="004A5191" w:rsidP="004A5191">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Convergence differences: </w:t>
            </w:r>
            <w:r w:rsidRPr="00422B32">
              <w:rPr>
                <w:rFonts w:ascii="Calibri" w:eastAsiaTheme="minorEastAsia" w:hAnsi="Calibri" w:cs="Calibri"/>
                <w:color w:val="000000"/>
                <w:sz w:val="19"/>
                <w:szCs w:val="19"/>
                <w:vertAlign w:val="superscript"/>
                <w:lang w:eastAsia="en-AU"/>
              </w:rPr>
              <w:t>(a)</w:t>
            </w:r>
          </w:p>
        </w:tc>
      </w:tr>
      <w:tr w:rsidR="002C39A3" w:rsidRPr="00422B32" w:rsidTr="00361FA9">
        <w:tc>
          <w:tcPr>
            <w:tcW w:w="351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422B32">
              <w:rPr>
                <w:rFonts w:ascii="Calibri" w:eastAsiaTheme="minorEastAsia" w:hAnsi="Calibri" w:cs="Calibri"/>
                <w:color w:val="000000"/>
                <w:sz w:val="19"/>
                <w:szCs w:val="19"/>
                <w:lang w:eastAsia="en-AU"/>
              </w:rPr>
              <w:t xml:space="preserve">Acquisitions under finance leases and similar arrangements </w:t>
            </w:r>
            <w:r w:rsidRPr="00422B32">
              <w:rPr>
                <w:rFonts w:ascii="Calibri" w:eastAsiaTheme="minorEastAsia" w:hAnsi="Calibri" w:cs="Calibri"/>
                <w:color w:val="000000"/>
                <w:sz w:val="19"/>
                <w:szCs w:val="19"/>
                <w:vertAlign w:val="superscript"/>
                <w:lang w:eastAsia="en-AU"/>
              </w:rPr>
              <w:t>(b)</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(1 056)</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(517)</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(647)</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(596)</w:t>
            </w:r>
          </w:p>
        </w:tc>
        <w:tc>
          <w:tcPr>
            <w:tcW w:w="850"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(349)</w:t>
            </w:r>
          </w:p>
        </w:tc>
      </w:tr>
      <w:tr w:rsidR="002C39A3" w:rsidRPr="00422B32" w:rsidTr="00361FA9">
        <w:tc>
          <w:tcPr>
            <w:tcW w:w="3515" w:type="dxa"/>
            <w:tcBorders>
              <w:top w:val="single" w:sz="6" w:space="0" w:color="000000"/>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vertAlign w:val="superscript"/>
                <w:lang w:eastAsia="en-AU"/>
              </w:rPr>
            </w:pPr>
            <w:r w:rsidRPr="00422B32">
              <w:rPr>
                <w:rFonts w:ascii="Calibri" w:eastAsiaTheme="minorEastAsia" w:hAnsi="Calibri" w:cs="Calibri"/>
                <w:b/>
                <w:bCs/>
                <w:color w:val="000000"/>
                <w:sz w:val="19"/>
                <w:szCs w:val="19"/>
                <w:lang w:eastAsia="en-AU"/>
              </w:rPr>
              <w:t xml:space="preserve">GFS cash surplus/(deficit) </w:t>
            </w:r>
            <w:r w:rsidRPr="00422B32">
              <w:rPr>
                <w:rFonts w:ascii="Calibri" w:eastAsiaTheme="minorEastAsia" w:hAnsi="Calibri" w:cs="Calibri"/>
                <w:b/>
                <w:bCs/>
                <w:color w:val="000000"/>
                <w:sz w:val="19"/>
                <w:szCs w:val="19"/>
                <w:vertAlign w:val="superscript"/>
                <w:lang w:eastAsia="en-AU"/>
              </w:rPr>
              <w:t>(c)</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(1 093)</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2 852</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(3 510)</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(2 951)</w:t>
            </w:r>
          </w:p>
        </w:tc>
        <w:tc>
          <w:tcPr>
            <w:tcW w:w="850" w:type="dxa"/>
            <w:tcBorders>
              <w:top w:val="single" w:sz="6" w:space="0" w:color="000000"/>
              <w:left w:val="nil"/>
              <w:bottom w:val="single" w:sz="12" w:space="0" w:color="auto"/>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(947)</w:t>
            </w:r>
          </w:p>
        </w:tc>
      </w:tr>
    </w:tbl>
    <w:p w:rsidR="002C39A3" w:rsidRDefault="002C39A3" w:rsidP="00361FA9">
      <w:pPr>
        <w:pStyle w:val="Source"/>
      </w:pPr>
      <w:r w:rsidRPr="004E25B5">
        <w:t>Source: Department of Treasury and Finance</w:t>
      </w:r>
    </w:p>
    <w:p w:rsidR="002C39A3" w:rsidRDefault="002C39A3" w:rsidP="00361FA9">
      <w:pPr>
        <w:pStyle w:val="Notes"/>
      </w:pPr>
      <w:r>
        <w:t>Notes:</w:t>
      </w:r>
    </w:p>
    <w:p w:rsidR="002C39A3" w:rsidRDefault="002C39A3" w:rsidP="00361FA9">
      <w:pPr>
        <w:pStyle w:val="Notes"/>
      </w:pPr>
      <w:r>
        <w:t>(a)</w:t>
      </w:r>
      <w:r>
        <w:tab/>
        <w:t>There may be convergence differences arising out of future commercial arrangements that will not crystalise until they are completed.</w:t>
      </w:r>
    </w:p>
    <w:p w:rsidR="002C39A3" w:rsidRDefault="002C39A3" w:rsidP="00361FA9">
      <w:pPr>
        <w:pStyle w:val="Notes"/>
      </w:pPr>
      <w:r>
        <w:t>(b)</w:t>
      </w:r>
      <w:r>
        <w:tab/>
        <w:t>The finance lease acquisition in 2015-16 relates to the Victorian Comprehensive Cancer Centre and metropolitan Melbourne buses contract. The 2016-17 figure relates to the new Bendigo Hospital project, the New Schools PPP project and the metropolitan Melbourne buses contract. The 2017-18 estimate relates to the Ravenhall Prison project, the new Bendigo Hospital project and the New Schools PPP project.</w:t>
      </w:r>
      <w:r w:rsidRPr="00EA05FC">
        <w:t xml:space="preserve"> </w:t>
      </w:r>
      <w:r>
        <w:t>The 2018-19 and 2019-20 estimates predominantly relate to the High Capacity Metro Trains Project.</w:t>
      </w:r>
    </w:p>
    <w:p w:rsidR="002C39A3" w:rsidRPr="00F21155" w:rsidRDefault="002C39A3" w:rsidP="00361FA9">
      <w:pPr>
        <w:pStyle w:val="Notes"/>
      </w:pPr>
      <w:r>
        <w:t>(c)</w:t>
      </w:r>
      <w:r>
        <w:tab/>
        <w:t>Determined in accordance with the ABS GFS manual.</w:t>
      </w:r>
    </w:p>
    <w:p w:rsidR="002C39A3" w:rsidRPr="004E25B5" w:rsidRDefault="002C39A3" w:rsidP="00361FA9"/>
    <w:p w:rsidR="002C39A3" w:rsidRDefault="002C39A3" w:rsidP="00361FA9"/>
    <w:p w:rsidR="002C39A3" w:rsidRDefault="002C39A3" w:rsidP="00361FA9">
      <w:pPr>
        <w:pStyle w:val="Tableheading"/>
      </w:pPr>
      <w:r>
        <w:t>Table 2.12:</w:t>
      </w:r>
      <w:r>
        <w:tab/>
        <w:t>Net acquisition of non</w:t>
      </w:r>
      <w:r>
        <w:noBreakHyphen/>
        <w:t>financial assets – non</w:t>
      </w:r>
      <w:r>
        <w:noBreakHyphen/>
        <w:t>financial public sector</w:t>
      </w:r>
      <w:r w:rsidRPr="000A3EE8">
        <w:rPr>
          <w:vertAlign w:val="superscript"/>
        </w:rPr>
        <w:t>(a)</w:t>
      </w:r>
    </w:p>
    <w:p w:rsidR="002C39A3" w:rsidRPr="00422B32" w:rsidRDefault="002C39A3" w:rsidP="00361FA9">
      <w:pPr>
        <w:pStyle w:val="million"/>
        <w:rPr>
          <w:b/>
          <w:bCs/>
          <w:sz w:val="15"/>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4A5191" w:rsidRPr="00422B32" w:rsidTr="006042B2">
        <w:trPr>
          <w:trHeight w:val="464"/>
          <w:tblHeader/>
        </w:trPr>
        <w:tc>
          <w:tcPr>
            <w:tcW w:w="3515" w:type="dxa"/>
            <w:tcBorders>
              <w:right w:val="nil"/>
            </w:tcBorders>
            <w:shd w:val="solid" w:color="000000" w:fill="auto"/>
            <w:vAlign w:val="bottom"/>
          </w:tcPr>
          <w:p w:rsidR="004A5191" w:rsidRPr="00422B32" w:rsidRDefault="004A5191" w:rsidP="004A5191">
            <w:pPr>
              <w:pStyle w:val="Source"/>
              <w:spacing w:after="0"/>
              <w:rPr>
                <w:rFonts w:eastAsiaTheme="minorEastAsia" w:cs="Calibri"/>
                <w:iCs/>
                <w:color w:val="FFFFFF"/>
                <w:sz w:val="19"/>
                <w:szCs w:val="19"/>
                <w:lang w:eastAsia="en-AU"/>
              </w:rPr>
            </w:pPr>
          </w:p>
        </w:tc>
        <w:tc>
          <w:tcPr>
            <w:tcW w:w="850" w:type="dxa"/>
            <w:tcBorders>
              <w:left w:val="nil"/>
              <w:right w:val="nil"/>
            </w:tcBorders>
            <w:shd w:val="solid" w:color="000000" w:fill="auto"/>
            <w:vAlign w:val="bottom"/>
          </w:tcPr>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2015-16 </w:t>
            </w:r>
          </w:p>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revised</w:t>
            </w:r>
          </w:p>
        </w:tc>
        <w:tc>
          <w:tcPr>
            <w:tcW w:w="850" w:type="dxa"/>
            <w:tcBorders>
              <w:left w:val="nil"/>
              <w:right w:val="nil"/>
            </w:tcBorders>
            <w:shd w:val="solid" w:color="000000" w:fill="auto"/>
            <w:vAlign w:val="bottom"/>
          </w:tcPr>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2016-17 </w:t>
            </w:r>
          </w:p>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budget</w:t>
            </w:r>
          </w:p>
        </w:tc>
        <w:tc>
          <w:tcPr>
            <w:tcW w:w="850" w:type="dxa"/>
            <w:tcBorders>
              <w:left w:val="nil"/>
              <w:right w:val="nil"/>
            </w:tcBorders>
            <w:shd w:val="solid" w:color="000000" w:fill="auto"/>
            <w:vAlign w:val="bottom"/>
          </w:tcPr>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2017-18 </w:t>
            </w:r>
          </w:p>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left w:val="nil"/>
              <w:right w:val="nil"/>
            </w:tcBorders>
            <w:shd w:val="solid" w:color="000000" w:fill="auto"/>
            <w:vAlign w:val="bottom"/>
          </w:tcPr>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2018-19 </w:t>
            </w:r>
          </w:p>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left w:val="nil"/>
            </w:tcBorders>
            <w:shd w:val="solid" w:color="000000" w:fill="auto"/>
            <w:vAlign w:val="bottom"/>
          </w:tcPr>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2019-20 </w:t>
            </w:r>
          </w:p>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Purchases of non-financial assets less sales of non-financial assets</w:t>
            </w:r>
            <w:r>
              <w:rPr>
                <w:rFonts w:ascii="Calibri" w:eastAsiaTheme="minorEastAsia" w:hAnsi="Calibri" w:cs="Calibri"/>
                <w:color w:val="000000"/>
                <w:sz w:val="19"/>
                <w:szCs w:val="19"/>
                <w:lang w:eastAsia="en-AU"/>
              </w:rPr>
              <w:t xml:space="preserve"> (including changes in inventories)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5 935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8 552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8 632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8 343</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7 378</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Less: depreciation</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(4 617)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(4 863)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(5 036)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(5 398)</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(5 603)</w:t>
            </w:r>
          </w:p>
        </w:tc>
      </w:tr>
      <w:tr w:rsidR="002C39A3" w:rsidRPr="00422B32" w:rsidTr="00361FA9">
        <w:tc>
          <w:tcPr>
            <w:tcW w:w="351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422B32">
              <w:rPr>
                <w:rFonts w:ascii="Calibri" w:eastAsiaTheme="minorEastAsia" w:hAnsi="Calibri" w:cs="Calibri"/>
                <w:color w:val="000000"/>
                <w:sz w:val="19"/>
                <w:szCs w:val="19"/>
                <w:lang w:eastAsia="en-AU"/>
              </w:rPr>
              <w:t xml:space="preserve">Plus: other movements in </w:t>
            </w:r>
            <w:r w:rsidR="004A5191">
              <w:rPr>
                <w:rFonts w:ascii="Calibri" w:eastAsiaTheme="minorEastAsia" w:hAnsi="Calibri" w:cs="Calibri"/>
                <w:color w:val="000000"/>
                <w:sz w:val="19"/>
                <w:szCs w:val="19"/>
                <w:lang w:eastAsia="en-AU"/>
              </w:rPr>
              <w:br/>
            </w:r>
            <w:r w:rsidRPr="00422B32">
              <w:rPr>
                <w:rFonts w:ascii="Calibri" w:eastAsiaTheme="minorEastAsia" w:hAnsi="Calibri" w:cs="Calibri"/>
                <w:color w:val="000000"/>
                <w:sz w:val="19"/>
                <w:szCs w:val="19"/>
                <w:lang w:eastAsia="en-AU"/>
              </w:rPr>
              <w:t xml:space="preserve">non-financial assets </w:t>
            </w:r>
            <w:r w:rsidRPr="00422B32">
              <w:rPr>
                <w:rFonts w:ascii="Calibri" w:eastAsiaTheme="minorEastAsia" w:hAnsi="Calibri" w:cs="Calibri"/>
                <w:color w:val="000000"/>
                <w:sz w:val="19"/>
                <w:szCs w:val="19"/>
                <w:vertAlign w:val="superscript"/>
                <w:lang w:eastAsia="en-AU"/>
              </w:rPr>
              <w:t>(b)</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1 109</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687</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678</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652</w:t>
            </w:r>
          </w:p>
        </w:tc>
        <w:tc>
          <w:tcPr>
            <w:tcW w:w="850"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477</w:t>
            </w:r>
          </w:p>
        </w:tc>
      </w:tr>
      <w:tr w:rsidR="002C39A3" w:rsidRPr="00422B32" w:rsidTr="00361FA9">
        <w:tc>
          <w:tcPr>
            <w:tcW w:w="3515" w:type="dxa"/>
            <w:tcBorders>
              <w:top w:val="single" w:sz="6" w:space="0" w:color="000000"/>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net acquisition of non-financial assets</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2 427</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4 376</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4 274</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3 598</w:t>
            </w:r>
          </w:p>
        </w:tc>
        <w:tc>
          <w:tcPr>
            <w:tcW w:w="850" w:type="dxa"/>
            <w:tcBorders>
              <w:top w:val="single" w:sz="6" w:space="0" w:color="000000"/>
              <w:left w:val="nil"/>
              <w:bottom w:val="single" w:sz="12" w:space="0" w:color="auto"/>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2 252</w:t>
            </w:r>
          </w:p>
        </w:tc>
      </w:tr>
    </w:tbl>
    <w:p w:rsidR="002C39A3" w:rsidRDefault="002C39A3" w:rsidP="00361FA9">
      <w:pPr>
        <w:pStyle w:val="Source"/>
      </w:pPr>
      <w:r w:rsidRPr="004E25B5">
        <w:t>Source: Department of Treasury and Finance</w:t>
      </w:r>
    </w:p>
    <w:p w:rsidR="002C39A3" w:rsidRDefault="002C39A3" w:rsidP="00361FA9">
      <w:pPr>
        <w:pStyle w:val="Notes"/>
      </w:pPr>
      <w:r>
        <w:t>Notes:</w:t>
      </w:r>
    </w:p>
    <w:p w:rsidR="002C39A3" w:rsidRDefault="002C39A3" w:rsidP="00361FA9">
      <w:pPr>
        <w:pStyle w:val="Notes"/>
      </w:pPr>
      <w:r>
        <w:t>(a)</w:t>
      </w:r>
      <w:r>
        <w:tab/>
        <w:t>Certain line items have been aggregated in the table above due to the commercial sensitivities of certain balances.</w:t>
      </w:r>
    </w:p>
    <w:p w:rsidR="002C39A3" w:rsidRDefault="002C39A3" w:rsidP="00361FA9">
      <w:pPr>
        <w:pStyle w:val="Notes"/>
      </w:pPr>
      <w:r>
        <w:t>(b)</w:t>
      </w:r>
      <w:r>
        <w:tab/>
        <w:t xml:space="preserve">The other movements in non-financial assets in 2015-16 predominantly relate to the recognition of finance lease arrangements for the Victorian Comprehensive Cancer Centre and metropolitan Melbourne buses contract. The </w:t>
      </w:r>
      <w:r>
        <w:br/>
        <w:t>2016-17 estimate predominantly relates to the new Bendigo Hospital project, the New Schools PPP project and the metropolitan Melbourne buses contract. The 2017-18 estimate predominantly relates to the Ravenhall Prison project, the new Bendigo Hospital project  and the New Schools PPP project. The 2018-19 and 2019-20 estimates predominantly relate to the High Capacity Metro Trains Project.</w:t>
      </w:r>
    </w:p>
    <w:p w:rsidR="002C39A3" w:rsidRDefault="002C39A3" w:rsidP="00361FA9"/>
    <w:p w:rsidR="002C39A3" w:rsidRDefault="002C39A3">
      <w:pPr>
        <w:spacing w:after="0"/>
        <w:rPr>
          <w:rFonts w:ascii="Calibri" w:hAnsi="Calibri"/>
          <w:b/>
        </w:rPr>
      </w:pPr>
      <w:r>
        <w:br w:type="page"/>
      </w:r>
    </w:p>
    <w:p w:rsidR="002C39A3" w:rsidRDefault="002C39A3" w:rsidP="00361FA9">
      <w:pPr>
        <w:pStyle w:val="Tableheading"/>
      </w:pPr>
      <w:r>
        <w:t>Table 2.13:</w:t>
      </w:r>
      <w:r>
        <w:tab/>
        <w:t>Public financial corporations sector comprehensive operating statement for the financial year ended 30 June</w:t>
      </w:r>
    </w:p>
    <w:p w:rsidR="002C39A3" w:rsidRPr="00D26F19" w:rsidRDefault="002C39A3" w:rsidP="00361FA9">
      <w:pPr>
        <w:pStyle w:val="million"/>
        <w:rPr>
          <w:b/>
          <w:bCs/>
          <w:sz w:val="15"/>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4"/>
        <w:gridCol w:w="224"/>
        <w:gridCol w:w="626"/>
        <w:gridCol w:w="850"/>
        <w:gridCol w:w="850"/>
        <w:gridCol w:w="851"/>
        <w:gridCol w:w="850"/>
      </w:tblGrid>
      <w:tr w:rsidR="004A5191" w:rsidRPr="00D26F19" w:rsidTr="006042B2">
        <w:trPr>
          <w:cantSplit/>
          <w:trHeight w:val="464"/>
          <w:tblHeader/>
        </w:trPr>
        <w:tc>
          <w:tcPr>
            <w:tcW w:w="3514" w:type="dxa"/>
            <w:tcBorders>
              <w:top w:val="nil"/>
              <w:left w:val="nil"/>
              <w:right w:val="nil"/>
            </w:tcBorders>
            <w:shd w:val="solid" w:color="000000" w:fill="auto"/>
            <w:vAlign w:val="bottom"/>
          </w:tcPr>
          <w:p w:rsidR="004A5191" w:rsidRPr="00D26F19" w:rsidRDefault="004A5191" w:rsidP="004A5191">
            <w:pPr>
              <w:pStyle w:val="Source"/>
              <w:spacing w:after="0"/>
              <w:rPr>
                <w:rFonts w:eastAsiaTheme="minorEastAsia" w:cs="Calibri"/>
                <w:iCs/>
                <w:color w:val="FFFFFF"/>
                <w:sz w:val="19"/>
                <w:szCs w:val="19"/>
                <w:lang w:eastAsia="en-AU"/>
              </w:rPr>
            </w:pPr>
          </w:p>
        </w:tc>
        <w:tc>
          <w:tcPr>
            <w:tcW w:w="850" w:type="dxa"/>
            <w:gridSpan w:val="2"/>
            <w:tcBorders>
              <w:top w:val="nil"/>
              <w:left w:val="nil"/>
              <w:right w:val="nil"/>
            </w:tcBorders>
            <w:shd w:val="solid" w:color="000000" w:fill="auto"/>
            <w:vAlign w:val="bottom"/>
          </w:tcPr>
          <w:p w:rsidR="004A5191" w:rsidRPr="00D26F19"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2015-16 </w:t>
            </w:r>
          </w:p>
          <w:p w:rsidR="004A5191" w:rsidRPr="00D26F19"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 revised</w:t>
            </w:r>
          </w:p>
        </w:tc>
        <w:tc>
          <w:tcPr>
            <w:tcW w:w="850" w:type="dxa"/>
            <w:tcBorders>
              <w:top w:val="nil"/>
              <w:left w:val="nil"/>
              <w:right w:val="nil"/>
            </w:tcBorders>
            <w:shd w:val="solid" w:color="000000" w:fill="auto"/>
            <w:vAlign w:val="bottom"/>
          </w:tcPr>
          <w:p w:rsidR="004A5191" w:rsidRPr="00D26F19"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2016-17 </w:t>
            </w:r>
          </w:p>
          <w:p w:rsidR="004A5191" w:rsidRPr="00D26F19"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 budget</w:t>
            </w:r>
          </w:p>
        </w:tc>
        <w:tc>
          <w:tcPr>
            <w:tcW w:w="850" w:type="dxa"/>
            <w:tcBorders>
              <w:top w:val="nil"/>
              <w:left w:val="nil"/>
              <w:right w:val="nil"/>
            </w:tcBorders>
            <w:shd w:val="solid" w:color="000000" w:fill="auto"/>
            <w:vAlign w:val="bottom"/>
          </w:tcPr>
          <w:p w:rsidR="004A5191" w:rsidRPr="00D26F19"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2017-18 </w:t>
            </w:r>
          </w:p>
          <w:p w:rsidR="004A5191" w:rsidRPr="00D26F19"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 estimate</w:t>
            </w:r>
          </w:p>
        </w:tc>
        <w:tc>
          <w:tcPr>
            <w:tcW w:w="851" w:type="dxa"/>
            <w:tcBorders>
              <w:top w:val="nil"/>
              <w:left w:val="nil"/>
              <w:right w:val="nil"/>
            </w:tcBorders>
            <w:shd w:val="solid" w:color="000000" w:fill="auto"/>
            <w:vAlign w:val="bottom"/>
          </w:tcPr>
          <w:p w:rsidR="004A5191" w:rsidRPr="00D26F19"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2018-19 </w:t>
            </w:r>
          </w:p>
          <w:p w:rsidR="004A5191" w:rsidRPr="00D26F19"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 estimate</w:t>
            </w:r>
          </w:p>
        </w:tc>
        <w:tc>
          <w:tcPr>
            <w:tcW w:w="850" w:type="dxa"/>
            <w:tcBorders>
              <w:top w:val="nil"/>
              <w:left w:val="nil"/>
              <w:right w:val="nil"/>
            </w:tcBorders>
            <w:shd w:val="solid" w:color="000000" w:fill="auto"/>
            <w:vAlign w:val="bottom"/>
          </w:tcPr>
          <w:p w:rsidR="004A5191" w:rsidRPr="00D26F19"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2019-20 </w:t>
            </w:r>
          </w:p>
          <w:p w:rsidR="004A5191" w:rsidRPr="00D26F19"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26F19">
              <w:rPr>
                <w:rFonts w:ascii="Calibri" w:eastAsiaTheme="minorEastAsia" w:hAnsi="Calibri" w:cs="Calibri"/>
                <w:i/>
                <w:iCs/>
                <w:color w:val="FFFFFF"/>
                <w:sz w:val="19"/>
                <w:szCs w:val="19"/>
                <w:lang w:eastAsia="en-AU"/>
              </w:rPr>
              <w:t xml:space="preserve"> estimate</w:t>
            </w:r>
          </w:p>
        </w:tc>
      </w:tr>
      <w:tr w:rsidR="004A5191" w:rsidRPr="00D26F19" w:rsidTr="006042B2">
        <w:trPr>
          <w:cantSplit/>
        </w:trPr>
        <w:tc>
          <w:tcPr>
            <w:tcW w:w="7765" w:type="dxa"/>
            <w:gridSpan w:val="7"/>
            <w:tcBorders>
              <w:top w:val="nil"/>
              <w:left w:val="nil"/>
              <w:right w:val="nil"/>
            </w:tcBorders>
            <w:shd w:val="clear" w:color="auto" w:fill="FFFFFF"/>
          </w:tcPr>
          <w:p w:rsidR="004A5191" w:rsidRPr="00D26F19" w:rsidRDefault="004A5191" w:rsidP="004A5191">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Revenue from transactions</w:t>
            </w:r>
          </w:p>
        </w:tc>
      </w:tr>
      <w:tr w:rsidR="002C39A3" w:rsidRPr="00D26F19" w:rsidTr="00361FA9">
        <w:trPr>
          <w:cantSplit/>
        </w:trPr>
        <w:tc>
          <w:tcPr>
            <w:tcW w:w="3514"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Interest revenue</w:t>
            </w:r>
          </w:p>
        </w:tc>
        <w:tc>
          <w:tcPr>
            <w:tcW w:w="850"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2 156</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2 453</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2 227</w:t>
            </w:r>
          </w:p>
        </w:tc>
        <w:tc>
          <w:tcPr>
            <w:tcW w:w="851"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2 274</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2 279</w:t>
            </w:r>
          </w:p>
        </w:tc>
      </w:tr>
      <w:tr w:rsidR="002C39A3" w:rsidRPr="00D26F19" w:rsidTr="00361FA9">
        <w:trPr>
          <w:cantSplit/>
        </w:trPr>
        <w:tc>
          <w:tcPr>
            <w:tcW w:w="3514"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Dividend revenue</w:t>
            </w:r>
          </w:p>
        </w:tc>
        <w:tc>
          <w:tcPr>
            <w:tcW w:w="850"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1 256</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1 034</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1 118</w:t>
            </w:r>
          </w:p>
        </w:tc>
        <w:tc>
          <w:tcPr>
            <w:tcW w:w="851"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1 102</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1 147</w:t>
            </w:r>
          </w:p>
        </w:tc>
      </w:tr>
      <w:tr w:rsidR="002C39A3" w:rsidRPr="00D26F19" w:rsidTr="00361FA9">
        <w:trPr>
          <w:cantSplit/>
        </w:trPr>
        <w:tc>
          <w:tcPr>
            <w:tcW w:w="3514"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Sales of goods and services</w:t>
            </w:r>
          </w:p>
        </w:tc>
        <w:tc>
          <w:tcPr>
            <w:tcW w:w="850"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4 177</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4 336</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4 553</w:t>
            </w:r>
          </w:p>
        </w:tc>
        <w:tc>
          <w:tcPr>
            <w:tcW w:w="851"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4 706</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4 941</w:t>
            </w:r>
          </w:p>
        </w:tc>
      </w:tr>
      <w:tr w:rsidR="002C39A3" w:rsidRPr="00D26F19" w:rsidTr="00361FA9">
        <w:trPr>
          <w:cantSplit/>
        </w:trPr>
        <w:tc>
          <w:tcPr>
            <w:tcW w:w="3514"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Other revenue</w:t>
            </w:r>
          </w:p>
        </w:tc>
        <w:tc>
          <w:tcPr>
            <w:tcW w:w="850" w:type="dxa"/>
            <w:gridSpan w:val="2"/>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22</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22</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23</w:t>
            </w:r>
          </w:p>
        </w:tc>
        <w:tc>
          <w:tcPr>
            <w:tcW w:w="851"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24</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25</w:t>
            </w:r>
          </w:p>
        </w:tc>
      </w:tr>
      <w:tr w:rsidR="002C39A3" w:rsidRPr="00D26F19" w:rsidTr="00361FA9">
        <w:trPr>
          <w:cantSplit/>
        </w:trPr>
        <w:tc>
          <w:tcPr>
            <w:tcW w:w="3514"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Total revenue from transactions</w:t>
            </w:r>
          </w:p>
        </w:tc>
        <w:tc>
          <w:tcPr>
            <w:tcW w:w="850" w:type="dxa"/>
            <w:gridSpan w:val="2"/>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7 610</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7 844</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7 921</w:t>
            </w:r>
          </w:p>
        </w:tc>
        <w:tc>
          <w:tcPr>
            <w:tcW w:w="851"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8 106</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8 392</w:t>
            </w:r>
          </w:p>
        </w:tc>
      </w:tr>
      <w:tr w:rsidR="004A5191" w:rsidRPr="00D26F19" w:rsidTr="006042B2">
        <w:trPr>
          <w:cantSplit/>
        </w:trPr>
        <w:tc>
          <w:tcPr>
            <w:tcW w:w="7765" w:type="dxa"/>
            <w:gridSpan w:val="7"/>
            <w:tcBorders>
              <w:top w:val="nil"/>
              <w:left w:val="nil"/>
              <w:right w:val="nil"/>
            </w:tcBorders>
            <w:shd w:val="clear" w:color="auto" w:fill="FFFFFF"/>
          </w:tcPr>
          <w:p w:rsidR="004A5191" w:rsidRPr="00D26F19" w:rsidRDefault="004A5191" w:rsidP="004A5191">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Expenses from transactions</w:t>
            </w:r>
          </w:p>
        </w:tc>
      </w:tr>
      <w:tr w:rsidR="002C39A3" w:rsidRPr="00D26F19" w:rsidTr="00361FA9">
        <w:trPr>
          <w:cantSplit/>
        </w:trPr>
        <w:tc>
          <w:tcPr>
            <w:tcW w:w="3514"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Employee expenses</w:t>
            </w:r>
          </w:p>
        </w:tc>
        <w:tc>
          <w:tcPr>
            <w:tcW w:w="850"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305</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308</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317</w:t>
            </w:r>
          </w:p>
        </w:tc>
        <w:tc>
          <w:tcPr>
            <w:tcW w:w="851"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285</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293</w:t>
            </w:r>
          </w:p>
        </w:tc>
      </w:tr>
      <w:tr w:rsidR="002C39A3" w:rsidRPr="00D26F19" w:rsidTr="00361FA9">
        <w:trPr>
          <w:cantSplit/>
        </w:trPr>
        <w:tc>
          <w:tcPr>
            <w:tcW w:w="3514"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Other superannuation</w:t>
            </w:r>
          </w:p>
        </w:tc>
        <w:tc>
          <w:tcPr>
            <w:tcW w:w="850"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24</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24</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25</w:t>
            </w:r>
          </w:p>
        </w:tc>
        <w:tc>
          <w:tcPr>
            <w:tcW w:w="851"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22</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23</w:t>
            </w:r>
          </w:p>
        </w:tc>
      </w:tr>
      <w:tr w:rsidR="002C39A3" w:rsidRPr="00D26F19" w:rsidTr="00361FA9">
        <w:trPr>
          <w:cantSplit/>
        </w:trPr>
        <w:tc>
          <w:tcPr>
            <w:tcW w:w="3514"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Depreciation</w:t>
            </w:r>
          </w:p>
        </w:tc>
        <w:tc>
          <w:tcPr>
            <w:tcW w:w="850"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48</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47</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51</w:t>
            </w:r>
          </w:p>
        </w:tc>
        <w:tc>
          <w:tcPr>
            <w:tcW w:w="851"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46</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39</w:t>
            </w:r>
          </w:p>
        </w:tc>
      </w:tr>
      <w:tr w:rsidR="002C39A3" w:rsidRPr="00D26F19" w:rsidTr="00361FA9">
        <w:trPr>
          <w:cantSplit/>
        </w:trPr>
        <w:tc>
          <w:tcPr>
            <w:tcW w:w="3514"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Interest expense</w:t>
            </w:r>
          </w:p>
        </w:tc>
        <w:tc>
          <w:tcPr>
            <w:tcW w:w="850"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1 952</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2 094</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1 803</w:t>
            </w:r>
          </w:p>
        </w:tc>
        <w:tc>
          <w:tcPr>
            <w:tcW w:w="851"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1 862</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1 845</w:t>
            </w:r>
          </w:p>
        </w:tc>
      </w:tr>
      <w:tr w:rsidR="002C39A3" w:rsidRPr="00D26F19" w:rsidTr="00361FA9">
        <w:trPr>
          <w:cantSplit/>
        </w:trPr>
        <w:tc>
          <w:tcPr>
            <w:tcW w:w="3514"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Other operating expenses</w:t>
            </w:r>
          </w:p>
        </w:tc>
        <w:tc>
          <w:tcPr>
            <w:tcW w:w="850"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5 957</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6 294</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6 635</w:t>
            </w:r>
          </w:p>
        </w:tc>
        <w:tc>
          <w:tcPr>
            <w:tcW w:w="851"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6 827</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7 079</w:t>
            </w:r>
          </w:p>
        </w:tc>
      </w:tr>
      <w:tr w:rsidR="002C39A3" w:rsidRPr="00D26F19" w:rsidTr="00361FA9">
        <w:trPr>
          <w:cantSplit/>
        </w:trPr>
        <w:tc>
          <w:tcPr>
            <w:tcW w:w="3514"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Other property expenses</w:t>
            </w:r>
          </w:p>
        </w:tc>
        <w:tc>
          <w:tcPr>
            <w:tcW w:w="850" w:type="dxa"/>
            <w:gridSpan w:val="2"/>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55</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104</w:t>
            </w:r>
          </w:p>
        </w:tc>
        <w:tc>
          <w:tcPr>
            <w:tcW w:w="851"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125</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209</w:t>
            </w:r>
          </w:p>
        </w:tc>
      </w:tr>
      <w:tr w:rsidR="002C39A3" w:rsidRPr="00D26F19" w:rsidTr="00361FA9">
        <w:trPr>
          <w:cantSplit/>
        </w:trPr>
        <w:tc>
          <w:tcPr>
            <w:tcW w:w="3514"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Total expenses from transactions</w:t>
            </w:r>
          </w:p>
        </w:tc>
        <w:tc>
          <w:tcPr>
            <w:tcW w:w="850" w:type="dxa"/>
            <w:gridSpan w:val="2"/>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8 292</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8 822</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8 936</w:t>
            </w:r>
          </w:p>
        </w:tc>
        <w:tc>
          <w:tcPr>
            <w:tcW w:w="851"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9 166</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9 488</w:t>
            </w:r>
          </w:p>
        </w:tc>
      </w:tr>
      <w:tr w:rsidR="002C39A3" w:rsidRPr="00D26F19" w:rsidTr="00361FA9">
        <w:trPr>
          <w:cantSplit/>
        </w:trPr>
        <w:tc>
          <w:tcPr>
            <w:tcW w:w="3514"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9"/>
                <w:szCs w:val="19"/>
                <w:vertAlign w:val="superscript"/>
                <w:lang w:eastAsia="en-AU"/>
              </w:rPr>
            </w:pPr>
            <w:r w:rsidRPr="00D26F19">
              <w:rPr>
                <w:rFonts w:ascii="Calibri" w:eastAsiaTheme="minorEastAsia" w:hAnsi="Calibri" w:cs="Calibri"/>
                <w:b/>
                <w:bCs/>
                <w:color w:val="000000"/>
                <w:sz w:val="19"/>
                <w:szCs w:val="19"/>
                <w:lang w:eastAsia="en-AU"/>
              </w:rPr>
              <w:t xml:space="preserve">Net result from transactions – </w:t>
            </w:r>
            <w:r w:rsidR="004A5191">
              <w:rPr>
                <w:rFonts w:ascii="Calibri" w:eastAsiaTheme="minorEastAsia" w:hAnsi="Calibri" w:cs="Calibri"/>
                <w:b/>
                <w:bCs/>
                <w:color w:val="000000"/>
                <w:sz w:val="19"/>
                <w:szCs w:val="19"/>
                <w:lang w:eastAsia="en-AU"/>
              </w:rPr>
              <w:br/>
            </w:r>
            <w:r w:rsidRPr="00D26F19">
              <w:rPr>
                <w:rFonts w:ascii="Calibri" w:eastAsiaTheme="minorEastAsia" w:hAnsi="Calibri" w:cs="Calibri"/>
                <w:b/>
                <w:bCs/>
                <w:color w:val="000000"/>
                <w:sz w:val="19"/>
                <w:szCs w:val="19"/>
                <w:lang w:eastAsia="en-AU"/>
              </w:rPr>
              <w:t xml:space="preserve">net operating balance </w:t>
            </w:r>
            <w:r w:rsidRPr="00D26F19">
              <w:rPr>
                <w:rFonts w:ascii="Calibri" w:eastAsiaTheme="minorEastAsia" w:hAnsi="Calibri" w:cs="Calibri"/>
                <w:b/>
                <w:bCs/>
                <w:color w:val="000000"/>
                <w:sz w:val="19"/>
                <w:szCs w:val="19"/>
                <w:vertAlign w:val="superscript"/>
                <w:lang w:eastAsia="en-AU"/>
              </w:rPr>
              <w:t>(a)</w:t>
            </w:r>
          </w:p>
        </w:tc>
        <w:tc>
          <w:tcPr>
            <w:tcW w:w="850" w:type="dxa"/>
            <w:gridSpan w:val="2"/>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(682)</w:t>
            </w:r>
          </w:p>
        </w:tc>
        <w:tc>
          <w:tcPr>
            <w:tcW w:w="850"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(978)</w:t>
            </w:r>
          </w:p>
        </w:tc>
        <w:tc>
          <w:tcPr>
            <w:tcW w:w="850"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(1 015)</w:t>
            </w:r>
          </w:p>
        </w:tc>
        <w:tc>
          <w:tcPr>
            <w:tcW w:w="851"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(1 060)</w:t>
            </w:r>
          </w:p>
        </w:tc>
        <w:tc>
          <w:tcPr>
            <w:tcW w:w="850"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(1 096)</w:t>
            </w:r>
          </w:p>
        </w:tc>
      </w:tr>
      <w:tr w:rsidR="004A5191" w:rsidRPr="00D26F19" w:rsidTr="006042B2">
        <w:trPr>
          <w:cantSplit/>
        </w:trPr>
        <w:tc>
          <w:tcPr>
            <w:tcW w:w="7765" w:type="dxa"/>
            <w:gridSpan w:val="7"/>
            <w:tcBorders>
              <w:top w:val="single" w:sz="12" w:space="0" w:color="000000"/>
              <w:left w:val="nil"/>
              <w:right w:val="nil"/>
            </w:tcBorders>
            <w:shd w:val="clear" w:color="auto" w:fill="FFFFFF"/>
          </w:tcPr>
          <w:p w:rsidR="004A5191" w:rsidRPr="00D26F19" w:rsidRDefault="004A5191" w:rsidP="004A5191">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Other economic flows included in net result</w:t>
            </w:r>
          </w:p>
        </w:tc>
      </w:tr>
      <w:tr w:rsidR="002C39A3" w:rsidRPr="00D26F19" w:rsidTr="00361FA9">
        <w:trPr>
          <w:cantSplit/>
        </w:trPr>
        <w:tc>
          <w:tcPr>
            <w:tcW w:w="3514"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Net gain/(loss) on financial assets or liabilities at fair value</w:t>
            </w:r>
          </w:p>
        </w:tc>
        <w:tc>
          <w:tcPr>
            <w:tcW w:w="850"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80</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843</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957</w:t>
            </w:r>
          </w:p>
        </w:tc>
        <w:tc>
          <w:tcPr>
            <w:tcW w:w="851"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845</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875</w:t>
            </w:r>
          </w:p>
        </w:tc>
      </w:tr>
      <w:tr w:rsidR="002C39A3" w:rsidRPr="00D26F19" w:rsidTr="00361FA9">
        <w:trPr>
          <w:cantSplit/>
        </w:trPr>
        <w:tc>
          <w:tcPr>
            <w:tcW w:w="3738" w:type="dxa"/>
            <w:gridSpan w:val="2"/>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Other gains/(losses) from other economic flows</w:t>
            </w:r>
          </w:p>
        </w:tc>
        <w:tc>
          <w:tcPr>
            <w:tcW w:w="626"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495</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654</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745</w:t>
            </w:r>
          </w:p>
        </w:tc>
        <w:tc>
          <w:tcPr>
            <w:tcW w:w="851"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772</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860</w:t>
            </w:r>
          </w:p>
        </w:tc>
      </w:tr>
      <w:tr w:rsidR="002C39A3" w:rsidRPr="00D26F19" w:rsidTr="00361FA9">
        <w:trPr>
          <w:cantSplit/>
        </w:trPr>
        <w:tc>
          <w:tcPr>
            <w:tcW w:w="3514"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Total other</w:t>
            </w:r>
            <w:r w:rsidR="004A5191">
              <w:rPr>
                <w:rFonts w:ascii="Calibri" w:eastAsiaTheme="minorEastAsia" w:hAnsi="Calibri" w:cs="Calibri"/>
                <w:b/>
                <w:bCs/>
                <w:color w:val="000000"/>
                <w:sz w:val="19"/>
                <w:szCs w:val="19"/>
                <w:lang w:eastAsia="en-AU"/>
              </w:rPr>
              <w:t xml:space="preserve"> economic flows included in net </w:t>
            </w:r>
            <w:r w:rsidRPr="00D26F19">
              <w:rPr>
                <w:rFonts w:ascii="Calibri" w:eastAsiaTheme="minorEastAsia" w:hAnsi="Calibri" w:cs="Calibri"/>
                <w:b/>
                <w:bCs/>
                <w:color w:val="000000"/>
                <w:sz w:val="19"/>
                <w:szCs w:val="19"/>
                <w:lang w:eastAsia="en-AU"/>
              </w:rPr>
              <w:t>result</w:t>
            </w:r>
          </w:p>
        </w:tc>
        <w:tc>
          <w:tcPr>
            <w:tcW w:w="850" w:type="dxa"/>
            <w:gridSpan w:val="2"/>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575</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1 496</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1 702</w:t>
            </w:r>
          </w:p>
        </w:tc>
        <w:tc>
          <w:tcPr>
            <w:tcW w:w="851"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1 616</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1 735</w:t>
            </w:r>
          </w:p>
        </w:tc>
      </w:tr>
      <w:tr w:rsidR="002C39A3" w:rsidRPr="00D26F19" w:rsidTr="00361FA9">
        <w:trPr>
          <w:cantSplit/>
        </w:trPr>
        <w:tc>
          <w:tcPr>
            <w:tcW w:w="3514"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Net result</w:t>
            </w:r>
          </w:p>
        </w:tc>
        <w:tc>
          <w:tcPr>
            <w:tcW w:w="850" w:type="dxa"/>
            <w:gridSpan w:val="2"/>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(107)</w:t>
            </w:r>
          </w:p>
        </w:tc>
        <w:tc>
          <w:tcPr>
            <w:tcW w:w="850"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519</w:t>
            </w:r>
          </w:p>
        </w:tc>
        <w:tc>
          <w:tcPr>
            <w:tcW w:w="850"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687</w:t>
            </w:r>
          </w:p>
        </w:tc>
        <w:tc>
          <w:tcPr>
            <w:tcW w:w="851"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556</w:t>
            </w:r>
          </w:p>
        </w:tc>
        <w:tc>
          <w:tcPr>
            <w:tcW w:w="850"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639</w:t>
            </w:r>
          </w:p>
        </w:tc>
      </w:tr>
      <w:tr w:rsidR="004A5191" w:rsidRPr="00D26F19" w:rsidTr="006042B2">
        <w:trPr>
          <w:cantSplit/>
        </w:trPr>
        <w:tc>
          <w:tcPr>
            <w:tcW w:w="7765" w:type="dxa"/>
            <w:gridSpan w:val="7"/>
            <w:tcBorders>
              <w:top w:val="single" w:sz="12" w:space="0" w:color="000000"/>
              <w:left w:val="nil"/>
              <w:right w:val="nil"/>
            </w:tcBorders>
            <w:shd w:val="clear" w:color="auto" w:fill="FFFFFF"/>
          </w:tcPr>
          <w:p w:rsidR="004A5191" w:rsidRPr="00D26F19" w:rsidRDefault="004A5191" w:rsidP="004A5191">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Other economic flows – other comprehensive income</w:t>
            </w:r>
          </w:p>
        </w:tc>
      </w:tr>
      <w:tr w:rsidR="004A5191" w:rsidRPr="00D26F19" w:rsidTr="006042B2">
        <w:trPr>
          <w:cantSplit/>
        </w:trPr>
        <w:tc>
          <w:tcPr>
            <w:tcW w:w="7765" w:type="dxa"/>
            <w:gridSpan w:val="7"/>
            <w:tcBorders>
              <w:top w:val="nil"/>
              <w:left w:val="nil"/>
              <w:right w:val="nil"/>
            </w:tcBorders>
            <w:shd w:val="clear" w:color="auto" w:fill="FFFFFF"/>
          </w:tcPr>
          <w:p w:rsidR="004A5191" w:rsidRPr="00D26F19" w:rsidRDefault="004A5191" w:rsidP="004A5191">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Items that will not be reclassified to net result</w:t>
            </w:r>
          </w:p>
        </w:tc>
      </w:tr>
      <w:tr w:rsidR="002C39A3" w:rsidRPr="00D26F19" w:rsidTr="00361FA9">
        <w:trPr>
          <w:cantSplit/>
        </w:trPr>
        <w:tc>
          <w:tcPr>
            <w:tcW w:w="3514"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Other movements in equity</w:t>
            </w:r>
          </w:p>
        </w:tc>
        <w:tc>
          <w:tcPr>
            <w:tcW w:w="850" w:type="dxa"/>
            <w:gridSpan w:val="2"/>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w:t>
            </w:r>
          </w:p>
        </w:tc>
        <w:tc>
          <w:tcPr>
            <w:tcW w:w="851"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w:t>
            </w:r>
          </w:p>
        </w:tc>
      </w:tr>
      <w:tr w:rsidR="002C39A3" w:rsidRPr="00D26F19" w:rsidTr="00361FA9">
        <w:trPr>
          <w:cantSplit/>
        </w:trPr>
        <w:tc>
          <w:tcPr>
            <w:tcW w:w="3514"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 xml:space="preserve">Total other economic flows – </w:t>
            </w:r>
            <w:r w:rsidR="004A5191">
              <w:rPr>
                <w:rFonts w:ascii="Calibri" w:eastAsiaTheme="minorEastAsia" w:hAnsi="Calibri" w:cs="Calibri"/>
                <w:b/>
                <w:bCs/>
                <w:color w:val="000000"/>
                <w:sz w:val="19"/>
                <w:szCs w:val="19"/>
                <w:lang w:eastAsia="en-AU"/>
              </w:rPr>
              <w:br/>
            </w:r>
            <w:r w:rsidRPr="00D26F19">
              <w:rPr>
                <w:rFonts w:ascii="Calibri" w:eastAsiaTheme="minorEastAsia" w:hAnsi="Calibri" w:cs="Calibri"/>
                <w:b/>
                <w:bCs/>
                <w:color w:val="000000"/>
                <w:sz w:val="19"/>
                <w:szCs w:val="19"/>
                <w:lang w:eastAsia="en-AU"/>
              </w:rPr>
              <w:t>other comprehensive income</w:t>
            </w:r>
          </w:p>
        </w:tc>
        <w:tc>
          <w:tcPr>
            <w:tcW w:w="850" w:type="dxa"/>
            <w:gridSpan w:val="2"/>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(4)</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w:t>
            </w:r>
          </w:p>
        </w:tc>
        <w:tc>
          <w:tcPr>
            <w:tcW w:w="851"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w:t>
            </w:r>
          </w:p>
        </w:tc>
      </w:tr>
      <w:tr w:rsidR="002C39A3" w:rsidRPr="00D26F19" w:rsidTr="00361FA9">
        <w:trPr>
          <w:cantSplit/>
        </w:trPr>
        <w:tc>
          <w:tcPr>
            <w:tcW w:w="3514"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 xml:space="preserve">Comprehensive result – </w:t>
            </w:r>
            <w:r w:rsidR="004A5191">
              <w:rPr>
                <w:rFonts w:ascii="Calibri" w:eastAsiaTheme="minorEastAsia" w:hAnsi="Calibri" w:cs="Calibri"/>
                <w:b/>
                <w:bCs/>
                <w:color w:val="000000"/>
                <w:sz w:val="19"/>
                <w:szCs w:val="19"/>
                <w:lang w:eastAsia="en-AU"/>
              </w:rPr>
              <w:br/>
            </w:r>
            <w:r w:rsidRPr="00D26F19">
              <w:rPr>
                <w:rFonts w:ascii="Calibri" w:eastAsiaTheme="minorEastAsia" w:hAnsi="Calibri" w:cs="Calibri"/>
                <w:b/>
                <w:bCs/>
                <w:color w:val="000000"/>
                <w:sz w:val="19"/>
                <w:szCs w:val="19"/>
                <w:lang w:eastAsia="en-AU"/>
              </w:rPr>
              <w:t>total change in net worth</w:t>
            </w:r>
          </w:p>
        </w:tc>
        <w:tc>
          <w:tcPr>
            <w:tcW w:w="850" w:type="dxa"/>
            <w:gridSpan w:val="2"/>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(106)</w:t>
            </w:r>
          </w:p>
        </w:tc>
        <w:tc>
          <w:tcPr>
            <w:tcW w:w="850"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514</w:t>
            </w:r>
          </w:p>
        </w:tc>
        <w:tc>
          <w:tcPr>
            <w:tcW w:w="850"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686</w:t>
            </w:r>
          </w:p>
        </w:tc>
        <w:tc>
          <w:tcPr>
            <w:tcW w:w="851"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557</w:t>
            </w:r>
          </w:p>
        </w:tc>
        <w:tc>
          <w:tcPr>
            <w:tcW w:w="850"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639</w:t>
            </w:r>
          </w:p>
        </w:tc>
      </w:tr>
      <w:tr w:rsidR="004A5191" w:rsidRPr="00D26F19" w:rsidTr="006042B2">
        <w:trPr>
          <w:cantSplit/>
          <w:trHeight w:hRule="exact" w:val="120"/>
        </w:trPr>
        <w:tc>
          <w:tcPr>
            <w:tcW w:w="7765" w:type="dxa"/>
            <w:gridSpan w:val="7"/>
            <w:tcBorders>
              <w:top w:val="single" w:sz="12" w:space="0" w:color="000000"/>
              <w:left w:val="nil"/>
              <w:right w:val="nil"/>
            </w:tcBorders>
            <w:shd w:val="clear" w:color="auto" w:fill="FFFFFF"/>
          </w:tcPr>
          <w:p w:rsidR="004A5191" w:rsidRPr="00D26F19" w:rsidRDefault="004A5191" w:rsidP="00361FA9">
            <w:pPr>
              <w:autoSpaceDE w:val="0"/>
              <w:autoSpaceDN w:val="0"/>
              <w:adjustRightInd w:val="0"/>
              <w:spacing w:after="0"/>
              <w:jc w:val="right"/>
              <w:rPr>
                <w:rFonts w:ascii="Calibri" w:eastAsiaTheme="minorEastAsia" w:hAnsi="Calibri" w:cs="Calibri"/>
                <w:color w:val="000000"/>
                <w:sz w:val="19"/>
                <w:szCs w:val="19"/>
                <w:lang w:eastAsia="en-AU"/>
              </w:rPr>
            </w:pPr>
          </w:p>
        </w:tc>
      </w:tr>
      <w:tr w:rsidR="004A5191" w:rsidRPr="00D26F19" w:rsidTr="006042B2">
        <w:trPr>
          <w:cantSplit/>
        </w:trPr>
        <w:tc>
          <w:tcPr>
            <w:tcW w:w="7765" w:type="dxa"/>
            <w:gridSpan w:val="7"/>
            <w:tcBorders>
              <w:top w:val="nil"/>
              <w:left w:val="nil"/>
              <w:right w:val="nil"/>
            </w:tcBorders>
            <w:shd w:val="clear" w:color="auto" w:fill="FFFFFF"/>
          </w:tcPr>
          <w:p w:rsidR="004A5191" w:rsidRPr="00D26F19" w:rsidRDefault="004A5191" w:rsidP="004A5191">
            <w:pPr>
              <w:pStyle w:val="Heading6"/>
              <w:pageBreakBefore w:val="0"/>
              <w:rPr>
                <w:b w:val="0"/>
                <w:bCs w:val="0"/>
              </w:rPr>
            </w:pPr>
            <w:r w:rsidRPr="00D26F19">
              <w:t>KEY FISCAL AGGREGATES</w:t>
            </w:r>
          </w:p>
        </w:tc>
      </w:tr>
      <w:tr w:rsidR="002C39A3" w:rsidRPr="00D26F19" w:rsidTr="00361FA9">
        <w:trPr>
          <w:cantSplit/>
        </w:trPr>
        <w:tc>
          <w:tcPr>
            <w:tcW w:w="3514"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Net operating balance</w:t>
            </w:r>
          </w:p>
        </w:tc>
        <w:tc>
          <w:tcPr>
            <w:tcW w:w="850" w:type="dxa"/>
            <w:gridSpan w:val="2"/>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(682)</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(978)</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(1 015)</w:t>
            </w:r>
          </w:p>
        </w:tc>
        <w:tc>
          <w:tcPr>
            <w:tcW w:w="851"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(1 060)</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(1 096)</w:t>
            </w:r>
          </w:p>
        </w:tc>
      </w:tr>
      <w:tr w:rsidR="002C39A3" w:rsidRPr="00D26F19" w:rsidTr="00361FA9">
        <w:trPr>
          <w:cantSplit/>
        </w:trPr>
        <w:tc>
          <w:tcPr>
            <w:tcW w:w="3514"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26F19">
              <w:rPr>
                <w:rFonts w:ascii="Calibri" w:eastAsiaTheme="minorEastAsia" w:hAnsi="Calibri" w:cs="Calibri"/>
                <w:color w:val="000000"/>
                <w:sz w:val="19"/>
                <w:szCs w:val="19"/>
                <w:lang w:eastAsia="en-AU"/>
              </w:rPr>
              <w:t>Less: Net acquisition of non-financial assets from transactions</w:t>
            </w:r>
          </w:p>
        </w:tc>
        <w:tc>
          <w:tcPr>
            <w:tcW w:w="850" w:type="dxa"/>
            <w:gridSpan w:val="2"/>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8</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13</w:t>
            </w:r>
          </w:p>
        </w:tc>
        <w:tc>
          <w:tcPr>
            <w:tcW w:w="851"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(9)</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w:t>
            </w:r>
          </w:p>
        </w:tc>
      </w:tr>
      <w:tr w:rsidR="002C39A3" w:rsidRPr="00D26F19" w:rsidTr="00361FA9">
        <w:trPr>
          <w:cantSplit/>
        </w:trPr>
        <w:tc>
          <w:tcPr>
            <w:tcW w:w="3514" w:type="dxa"/>
            <w:tcBorders>
              <w:top w:val="single" w:sz="6" w:space="0" w:color="000000"/>
              <w:left w:val="nil"/>
              <w:bottom w:val="single" w:sz="12" w:space="0" w:color="auto"/>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26F19">
              <w:rPr>
                <w:rFonts w:ascii="Calibri" w:eastAsiaTheme="minorEastAsia" w:hAnsi="Calibri" w:cs="Calibri"/>
                <w:b/>
                <w:bCs/>
                <w:color w:val="000000"/>
                <w:sz w:val="19"/>
                <w:szCs w:val="19"/>
                <w:lang w:eastAsia="en-AU"/>
              </w:rPr>
              <w:t>Net lending/(borrowing)</w:t>
            </w:r>
          </w:p>
        </w:tc>
        <w:tc>
          <w:tcPr>
            <w:tcW w:w="850" w:type="dxa"/>
            <w:gridSpan w:val="2"/>
            <w:tcBorders>
              <w:top w:val="single" w:sz="6" w:space="0" w:color="000000"/>
              <w:left w:val="nil"/>
              <w:bottom w:val="single" w:sz="12" w:space="0" w:color="auto"/>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(679)</w:t>
            </w:r>
          </w:p>
        </w:tc>
        <w:tc>
          <w:tcPr>
            <w:tcW w:w="850" w:type="dxa"/>
            <w:tcBorders>
              <w:top w:val="single" w:sz="6" w:space="0" w:color="000000"/>
              <w:left w:val="nil"/>
              <w:bottom w:val="single" w:sz="12" w:space="0" w:color="auto"/>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(986)</w:t>
            </w:r>
          </w:p>
        </w:tc>
        <w:tc>
          <w:tcPr>
            <w:tcW w:w="850" w:type="dxa"/>
            <w:tcBorders>
              <w:top w:val="single" w:sz="6" w:space="0" w:color="000000"/>
              <w:left w:val="nil"/>
              <w:bottom w:val="single" w:sz="12" w:space="0" w:color="auto"/>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(1 028)</w:t>
            </w:r>
          </w:p>
        </w:tc>
        <w:tc>
          <w:tcPr>
            <w:tcW w:w="851" w:type="dxa"/>
            <w:tcBorders>
              <w:top w:val="single" w:sz="6" w:space="0" w:color="000000"/>
              <w:left w:val="nil"/>
              <w:bottom w:val="single" w:sz="12" w:space="0" w:color="auto"/>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(1 051)</w:t>
            </w:r>
          </w:p>
        </w:tc>
        <w:tc>
          <w:tcPr>
            <w:tcW w:w="850" w:type="dxa"/>
            <w:tcBorders>
              <w:top w:val="single" w:sz="6" w:space="0" w:color="000000"/>
              <w:left w:val="nil"/>
              <w:bottom w:val="single" w:sz="12" w:space="0" w:color="auto"/>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(1 100)</w:t>
            </w:r>
          </w:p>
        </w:tc>
      </w:tr>
    </w:tbl>
    <w:p w:rsidR="002C39A3" w:rsidRDefault="002C39A3" w:rsidP="00361FA9">
      <w:pPr>
        <w:pStyle w:val="Source"/>
      </w:pPr>
      <w:r>
        <w:t>So</w:t>
      </w:r>
      <w:r w:rsidRPr="00727E5A">
        <w:t>urce: Department of Treasury and Finance</w:t>
      </w:r>
    </w:p>
    <w:p w:rsidR="002C39A3" w:rsidRDefault="002C39A3" w:rsidP="00361FA9">
      <w:pPr>
        <w:pStyle w:val="Notes"/>
      </w:pPr>
      <w:r>
        <w:t>Note:</w:t>
      </w:r>
    </w:p>
    <w:p w:rsidR="002C39A3" w:rsidRPr="00727E5A" w:rsidRDefault="002C39A3" w:rsidP="00361FA9">
      <w:pPr>
        <w:pStyle w:val="Notes"/>
      </w:pPr>
      <w:r>
        <w:t>(a)</w:t>
      </w:r>
      <w:r>
        <w:tab/>
      </w:r>
      <w:r w:rsidRPr="00727E5A">
        <w:t>Capital gains on the investment portfolios of the S</w:t>
      </w:r>
      <w:r>
        <w:t>tate</w:t>
      </w:r>
      <w:r w:rsidR="0097550F">
        <w:t>’</w:t>
      </w:r>
      <w:r>
        <w:t>s insurance agencies (WorkS</w:t>
      </w:r>
      <w:r w:rsidRPr="00727E5A">
        <w:t xml:space="preserve">afe Victoria, </w:t>
      </w:r>
      <w:r>
        <w:t>Transport Accident Commission and Victorian Managed Insurance Authority) are classified as other economic flows. As these capital gains are available to fund claims expenses, the net result provides a more meaningful reflection of the underlying operating and performance of the PFC sector than the net result from transactions.</w:t>
      </w:r>
    </w:p>
    <w:p w:rsidR="002C39A3" w:rsidRDefault="002C39A3">
      <w:pPr>
        <w:spacing w:after="0"/>
        <w:rPr>
          <w:rFonts w:ascii="Calibri" w:hAnsi="Calibri"/>
          <w:b/>
        </w:rPr>
      </w:pPr>
      <w:r>
        <w:br w:type="page"/>
      </w:r>
    </w:p>
    <w:p w:rsidR="002C39A3" w:rsidRDefault="002C39A3" w:rsidP="00361FA9">
      <w:pPr>
        <w:pStyle w:val="Tableheading"/>
      </w:pPr>
      <w:r>
        <w:t>Table 2.14:</w:t>
      </w:r>
      <w:r>
        <w:tab/>
        <w:t>Public financial corporations sector balance sheet as at 30 June</w:t>
      </w:r>
    </w:p>
    <w:p w:rsidR="002C39A3" w:rsidRPr="00422B32" w:rsidRDefault="002C39A3" w:rsidP="00361FA9">
      <w:pPr>
        <w:pStyle w:val="million"/>
        <w:rPr>
          <w:b/>
          <w:bCs/>
          <w:sz w:val="15"/>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4A5191" w:rsidRPr="00422B32" w:rsidTr="006042B2">
        <w:trPr>
          <w:trHeight w:val="464"/>
          <w:tblHeader/>
        </w:trPr>
        <w:tc>
          <w:tcPr>
            <w:tcW w:w="3515" w:type="dxa"/>
            <w:tcBorders>
              <w:right w:val="nil"/>
            </w:tcBorders>
            <w:shd w:val="solid" w:color="000000" w:fill="auto"/>
            <w:vAlign w:val="bottom"/>
          </w:tcPr>
          <w:p w:rsidR="004A5191" w:rsidRPr="00422B32" w:rsidRDefault="004A5191" w:rsidP="00361FA9">
            <w:pPr>
              <w:autoSpaceDE w:val="0"/>
              <w:autoSpaceDN w:val="0"/>
              <w:adjustRightInd w:val="0"/>
              <w:spacing w:after="0"/>
              <w:rPr>
                <w:rFonts w:eastAsiaTheme="minorEastAsia" w:cs="Calibri"/>
                <w:iCs/>
                <w:color w:val="FFFFFF"/>
                <w:sz w:val="19"/>
                <w:szCs w:val="19"/>
                <w:lang w:eastAsia="en-AU"/>
              </w:rPr>
            </w:pPr>
          </w:p>
        </w:tc>
        <w:tc>
          <w:tcPr>
            <w:tcW w:w="850" w:type="dxa"/>
            <w:tcBorders>
              <w:left w:val="nil"/>
              <w:right w:val="nil"/>
            </w:tcBorders>
            <w:shd w:val="solid" w:color="000000" w:fill="auto"/>
            <w:vAlign w:val="bottom"/>
          </w:tcPr>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2016 </w:t>
            </w:r>
          </w:p>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revised</w:t>
            </w:r>
          </w:p>
        </w:tc>
        <w:tc>
          <w:tcPr>
            <w:tcW w:w="850" w:type="dxa"/>
            <w:tcBorders>
              <w:left w:val="nil"/>
              <w:right w:val="nil"/>
            </w:tcBorders>
            <w:shd w:val="solid" w:color="000000" w:fill="auto"/>
            <w:vAlign w:val="bottom"/>
          </w:tcPr>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2017 </w:t>
            </w:r>
          </w:p>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budget</w:t>
            </w:r>
          </w:p>
        </w:tc>
        <w:tc>
          <w:tcPr>
            <w:tcW w:w="850" w:type="dxa"/>
            <w:tcBorders>
              <w:left w:val="nil"/>
              <w:right w:val="nil"/>
            </w:tcBorders>
            <w:shd w:val="solid" w:color="000000" w:fill="auto"/>
            <w:vAlign w:val="bottom"/>
          </w:tcPr>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2018 </w:t>
            </w:r>
          </w:p>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left w:val="nil"/>
              <w:right w:val="nil"/>
            </w:tcBorders>
            <w:shd w:val="solid" w:color="000000" w:fill="auto"/>
            <w:vAlign w:val="bottom"/>
          </w:tcPr>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2019 </w:t>
            </w:r>
          </w:p>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left w:val="nil"/>
            </w:tcBorders>
            <w:shd w:val="solid" w:color="000000" w:fill="auto"/>
            <w:vAlign w:val="bottom"/>
          </w:tcPr>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2020 </w:t>
            </w:r>
          </w:p>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r>
      <w:tr w:rsidR="004A5191" w:rsidRPr="00422B32" w:rsidTr="006042B2">
        <w:tc>
          <w:tcPr>
            <w:tcW w:w="7765" w:type="dxa"/>
            <w:gridSpan w:val="6"/>
            <w:tcBorders>
              <w:top w:val="nil"/>
            </w:tcBorders>
            <w:shd w:val="clear" w:color="auto" w:fill="FFFFFF"/>
          </w:tcPr>
          <w:p w:rsidR="004A5191" w:rsidRPr="00422B32" w:rsidRDefault="004A5191" w:rsidP="004A5191">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Assets</w:t>
            </w:r>
          </w:p>
        </w:tc>
      </w:tr>
      <w:tr w:rsidR="004A5191" w:rsidRPr="00422B32" w:rsidTr="006042B2">
        <w:tc>
          <w:tcPr>
            <w:tcW w:w="7765" w:type="dxa"/>
            <w:gridSpan w:val="6"/>
            <w:tcBorders>
              <w:top w:val="nil"/>
            </w:tcBorders>
            <w:shd w:val="clear" w:color="auto" w:fill="FFFFFF"/>
          </w:tcPr>
          <w:p w:rsidR="004A5191" w:rsidRPr="00422B32" w:rsidRDefault="004A5191" w:rsidP="004A5191">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Financial assets</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Cash and deposits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3 489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3 665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3 661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3 808</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3 975</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Advances paid</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13</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14</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Investments, loans and placements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32 718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34 147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34 462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35 063</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36 349</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422B32">
              <w:rPr>
                <w:rFonts w:ascii="Calibri" w:eastAsiaTheme="minorEastAsia" w:hAnsi="Calibri" w:cs="Calibri"/>
                <w:color w:val="000000"/>
                <w:sz w:val="19"/>
                <w:szCs w:val="19"/>
                <w:lang w:eastAsia="en-AU"/>
              </w:rPr>
              <w:t>Loans receiv</w:t>
            </w:r>
            <w:r w:rsidR="004A5191">
              <w:rPr>
                <w:rFonts w:ascii="Calibri" w:eastAsiaTheme="minorEastAsia" w:hAnsi="Calibri" w:cs="Calibri"/>
                <w:color w:val="000000"/>
                <w:sz w:val="19"/>
                <w:szCs w:val="19"/>
                <w:lang w:eastAsia="en-AU"/>
              </w:rPr>
              <w:t>able from non-financial public </w:t>
            </w:r>
            <w:r w:rsidRPr="00422B32">
              <w:rPr>
                <w:rFonts w:ascii="Calibri" w:eastAsiaTheme="minorEastAsia" w:hAnsi="Calibri" w:cs="Calibri"/>
                <w:color w:val="000000"/>
                <w:sz w:val="19"/>
                <w:szCs w:val="19"/>
                <w:lang w:eastAsia="en-AU"/>
              </w:rPr>
              <w:t xml:space="preserve">sector </w:t>
            </w:r>
            <w:r w:rsidRPr="00422B32">
              <w:rPr>
                <w:rFonts w:ascii="Calibri" w:eastAsiaTheme="minorEastAsia" w:hAnsi="Calibri" w:cs="Calibri"/>
                <w:color w:val="000000"/>
                <w:sz w:val="19"/>
                <w:szCs w:val="19"/>
                <w:vertAlign w:val="superscript"/>
                <w:lang w:eastAsia="en-AU"/>
              </w:rPr>
              <w:t>(a)</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36 420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33 462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35 894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37 907</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38 664</w:t>
            </w:r>
          </w:p>
        </w:tc>
      </w:tr>
      <w:tr w:rsidR="002C39A3" w:rsidRPr="00422B32" w:rsidTr="00361FA9">
        <w:tc>
          <w:tcPr>
            <w:tcW w:w="351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Receivables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1 501</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1 508</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1 536</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1 678</w:t>
            </w:r>
          </w:p>
        </w:tc>
        <w:tc>
          <w:tcPr>
            <w:tcW w:w="850"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1 727</w:t>
            </w:r>
          </w:p>
        </w:tc>
      </w:tr>
      <w:tr w:rsidR="002C39A3" w:rsidRPr="00422B32" w:rsidTr="00361FA9">
        <w:tc>
          <w:tcPr>
            <w:tcW w:w="3515" w:type="dxa"/>
            <w:tcBorders>
              <w:top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financial assets</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74 138</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72 793</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75 565</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78 470</w:t>
            </w:r>
          </w:p>
        </w:tc>
        <w:tc>
          <w:tcPr>
            <w:tcW w:w="850" w:type="dxa"/>
            <w:tcBorders>
              <w:top w:val="single" w:sz="6"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80 729</w:t>
            </w:r>
          </w:p>
        </w:tc>
      </w:tr>
      <w:tr w:rsidR="004A5191" w:rsidRPr="00422B32" w:rsidTr="006042B2">
        <w:tc>
          <w:tcPr>
            <w:tcW w:w="7765" w:type="dxa"/>
            <w:gridSpan w:val="6"/>
            <w:tcBorders>
              <w:top w:val="nil"/>
            </w:tcBorders>
            <w:shd w:val="clear" w:color="auto" w:fill="FFFFFF"/>
          </w:tcPr>
          <w:p w:rsidR="004A5191" w:rsidRPr="00422B32" w:rsidRDefault="004A5191" w:rsidP="004A5191">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Non-financial assets</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Non-financial assets held for sale</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Land, buildings, infrastructure, plant and equipment</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82</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78</w:t>
            </w:r>
          </w:p>
        </w:tc>
      </w:tr>
      <w:tr w:rsidR="002C39A3" w:rsidRPr="00422B32" w:rsidTr="00361FA9">
        <w:tc>
          <w:tcPr>
            <w:tcW w:w="351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non-financial assets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1 138</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1 012</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946</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867</w:t>
            </w:r>
          </w:p>
        </w:tc>
        <w:tc>
          <w:tcPr>
            <w:tcW w:w="850"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835</w:t>
            </w:r>
          </w:p>
        </w:tc>
      </w:tr>
      <w:tr w:rsidR="002C39A3" w:rsidRPr="00422B32" w:rsidTr="00361FA9">
        <w:tc>
          <w:tcPr>
            <w:tcW w:w="3515" w:type="dxa"/>
            <w:tcBorders>
              <w:top w:val="single" w:sz="6" w:space="0" w:color="000000"/>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non-financial assets</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1 217</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1 097</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1 037</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949</w:t>
            </w:r>
          </w:p>
        </w:tc>
        <w:tc>
          <w:tcPr>
            <w:tcW w:w="850" w:type="dxa"/>
            <w:tcBorders>
              <w:top w:val="single" w:sz="6" w:space="0" w:color="000000"/>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913</w:t>
            </w:r>
          </w:p>
        </w:tc>
      </w:tr>
      <w:tr w:rsidR="002C39A3" w:rsidRPr="00422B32" w:rsidTr="00361FA9">
        <w:tc>
          <w:tcPr>
            <w:tcW w:w="3515" w:type="dxa"/>
            <w:tcBorders>
              <w:top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assets</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75 356</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73 891</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76 602</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79 419</w:t>
            </w:r>
          </w:p>
        </w:tc>
        <w:tc>
          <w:tcPr>
            <w:tcW w:w="850" w:type="dxa"/>
            <w:tcBorders>
              <w:top w:val="single" w:sz="6"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81 642</w:t>
            </w:r>
          </w:p>
        </w:tc>
      </w:tr>
      <w:tr w:rsidR="004A5191" w:rsidRPr="00422B32" w:rsidTr="006042B2">
        <w:tc>
          <w:tcPr>
            <w:tcW w:w="7765" w:type="dxa"/>
            <w:gridSpan w:val="6"/>
            <w:tcBorders>
              <w:top w:val="nil"/>
            </w:tcBorders>
            <w:shd w:val="clear" w:color="auto" w:fill="FFFFFF"/>
          </w:tcPr>
          <w:p w:rsidR="004A5191" w:rsidRPr="00422B32" w:rsidRDefault="004A5191" w:rsidP="004A5191">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Liabilities</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Deposits held and advances received</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6 237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6 284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5 901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5 952</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5 998</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Payables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1 728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1 757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1 711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1 701</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1 595</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422B32">
              <w:rPr>
                <w:rFonts w:ascii="Calibri" w:eastAsiaTheme="minorEastAsia" w:hAnsi="Calibri" w:cs="Calibri"/>
                <w:color w:val="000000"/>
                <w:sz w:val="19"/>
                <w:szCs w:val="19"/>
                <w:lang w:eastAsia="en-AU"/>
              </w:rPr>
              <w:t xml:space="preserve">Borrowings </w:t>
            </w:r>
            <w:r w:rsidRPr="00422B32">
              <w:rPr>
                <w:rFonts w:ascii="Calibri" w:eastAsiaTheme="minorEastAsia" w:hAnsi="Calibri" w:cs="Calibri"/>
                <w:color w:val="000000"/>
                <w:sz w:val="19"/>
                <w:szCs w:val="19"/>
                <w:vertAlign w:val="superscript"/>
                <w:lang w:eastAsia="en-AU"/>
              </w:rPr>
              <w:t>(b)</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41 972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39 010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41 441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43 451</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44 205</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Employee benefits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95</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97</w:t>
            </w:r>
          </w:p>
        </w:tc>
      </w:tr>
      <w:tr w:rsidR="002C39A3" w:rsidRPr="00422B32" w:rsidTr="00361FA9">
        <w:tc>
          <w:tcPr>
            <w:tcW w:w="351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provisions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26 826</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28 240</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29 791</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31 430</w:t>
            </w:r>
          </w:p>
        </w:tc>
        <w:tc>
          <w:tcPr>
            <w:tcW w:w="850"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33 138</w:t>
            </w:r>
          </w:p>
        </w:tc>
      </w:tr>
      <w:tr w:rsidR="002C39A3" w:rsidRPr="00422B32" w:rsidTr="00361FA9">
        <w:tc>
          <w:tcPr>
            <w:tcW w:w="3515" w:type="dxa"/>
            <w:tcBorders>
              <w:top w:val="single" w:sz="6" w:space="0" w:color="000000"/>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liabilities</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76 851</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75 381</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78 939</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82 631</w:t>
            </w:r>
          </w:p>
        </w:tc>
        <w:tc>
          <w:tcPr>
            <w:tcW w:w="850" w:type="dxa"/>
            <w:tcBorders>
              <w:top w:val="single" w:sz="6" w:space="0" w:color="000000"/>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85 033</w:t>
            </w:r>
          </w:p>
        </w:tc>
      </w:tr>
      <w:tr w:rsidR="002C39A3" w:rsidRPr="00422B32" w:rsidTr="00361FA9">
        <w:tc>
          <w:tcPr>
            <w:tcW w:w="3515"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vertAlign w:val="superscript"/>
                <w:lang w:eastAsia="en-AU"/>
              </w:rPr>
            </w:pPr>
            <w:r w:rsidRPr="00422B32">
              <w:rPr>
                <w:rFonts w:ascii="Calibri" w:eastAsiaTheme="minorEastAsia" w:hAnsi="Calibri" w:cs="Calibri"/>
                <w:b/>
                <w:bCs/>
                <w:color w:val="000000"/>
                <w:sz w:val="19"/>
                <w:szCs w:val="19"/>
                <w:lang w:eastAsia="en-AU"/>
              </w:rPr>
              <w:t xml:space="preserve">Net assets </w:t>
            </w:r>
            <w:r w:rsidRPr="00422B32">
              <w:rPr>
                <w:rFonts w:ascii="Calibri" w:eastAsiaTheme="minorEastAsia" w:hAnsi="Calibri" w:cs="Calibri"/>
                <w:b/>
                <w:bCs/>
                <w:color w:val="000000"/>
                <w:sz w:val="19"/>
                <w:szCs w:val="19"/>
                <w:vertAlign w:val="superscript"/>
                <w:lang w:eastAsia="en-AU"/>
              </w:rPr>
              <w:t>(a)</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(1 496)</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(1 491)</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(2 337)</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(3 212)</w:t>
            </w:r>
          </w:p>
        </w:tc>
        <w:tc>
          <w:tcPr>
            <w:tcW w:w="850"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(3 391)</w:t>
            </w:r>
          </w:p>
        </w:tc>
      </w:tr>
      <w:tr w:rsidR="002C39A3" w:rsidRPr="00422B32" w:rsidTr="00361FA9">
        <w:tc>
          <w:tcPr>
            <w:tcW w:w="3515" w:type="dxa"/>
            <w:tcBorders>
              <w:top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Accumulated surplus/(deficit)</w:t>
            </w:r>
          </w:p>
        </w:tc>
        <w:tc>
          <w:tcPr>
            <w:tcW w:w="850"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(1 739)</w:t>
            </w:r>
          </w:p>
        </w:tc>
        <w:tc>
          <w:tcPr>
            <w:tcW w:w="850"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(1 747)</w:t>
            </w:r>
          </w:p>
        </w:tc>
        <w:tc>
          <w:tcPr>
            <w:tcW w:w="850"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(2 885)</w:t>
            </w:r>
          </w:p>
        </w:tc>
        <w:tc>
          <w:tcPr>
            <w:tcW w:w="850"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(3 775)</w:t>
            </w:r>
          </w:p>
        </w:tc>
        <w:tc>
          <w:tcPr>
            <w:tcW w:w="850" w:type="dxa"/>
            <w:tcBorders>
              <w:top w:val="single" w:sz="12"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(3 969)</w:t>
            </w:r>
          </w:p>
        </w:tc>
      </w:tr>
      <w:tr w:rsidR="002C39A3" w:rsidRPr="00422B32" w:rsidTr="00361FA9">
        <w:tc>
          <w:tcPr>
            <w:tcW w:w="351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Reserves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244</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256</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548</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564</w:t>
            </w:r>
          </w:p>
        </w:tc>
        <w:tc>
          <w:tcPr>
            <w:tcW w:w="850"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578</w:t>
            </w:r>
          </w:p>
        </w:tc>
      </w:tr>
      <w:tr w:rsidR="002C39A3" w:rsidRPr="00422B32" w:rsidTr="00361FA9">
        <w:tc>
          <w:tcPr>
            <w:tcW w:w="3515"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vertAlign w:val="superscript"/>
                <w:lang w:eastAsia="en-AU"/>
              </w:rPr>
            </w:pPr>
            <w:r w:rsidRPr="00422B32">
              <w:rPr>
                <w:rFonts w:ascii="Calibri" w:eastAsiaTheme="minorEastAsia" w:hAnsi="Calibri" w:cs="Calibri"/>
                <w:b/>
                <w:bCs/>
                <w:color w:val="000000"/>
                <w:sz w:val="19"/>
                <w:szCs w:val="19"/>
                <w:lang w:eastAsia="en-AU"/>
              </w:rPr>
              <w:t xml:space="preserve">Net worth </w:t>
            </w:r>
            <w:r w:rsidRPr="00422B32">
              <w:rPr>
                <w:rFonts w:ascii="Calibri" w:eastAsiaTheme="minorEastAsia" w:hAnsi="Calibri" w:cs="Calibri"/>
                <w:b/>
                <w:bCs/>
                <w:color w:val="000000"/>
                <w:sz w:val="19"/>
                <w:szCs w:val="19"/>
                <w:vertAlign w:val="superscript"/>
                <w:lang w:eastAsia="en-AU"/>
              </w:rPr>
              <w:t>(a)</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(1 496)</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(1 491)</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(2 337)</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(3 212)</w:t>
            </w:r>
          </w:p>
        </w:tc>
        <w:tc>
          <w:tcPr>
            <w:tcW w:w="850"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(3 391)</w:t>
            </w:r>
          </w:p>
        </w:tc>
      </w:tr>
      <w:tr w:rsidR="004A5191" w:rsidRPr="00422B32" w:rsidTr="006042B2">
        <w:trPr>
          <w:trHeight w:hRule="exact" w:val="120"/>
        </w:trPr>
        <w:tc>
          <w:tcPr>
            <w:tcW w:w="7765" w:type="dxa"/>
            <w:gridSpan w:val="6"/>
            <w:tcBorders>
              <w:top w:val="single" w:sz="12" w:space="0" w:color="000000"/>
            </w:tcBorders>
            <w:shd w:val="clear" w:color="auto" w:fill="FFFFFF"/>
          </w:tcPr>
          <w:p w:rsidR="004A5191" w:rsidRPr="00422B32" w:rsidRDefault="004A5191" w:rsidP="00361FA9">
            <w:pPr>
              <w:autoSpaceDE w:val="0"/>
              <w:autoSpaceDN w:val="0"/>
              <w:adjustRightInd w:val="0"/>
              <w:spacing w:after="0"/>
              <w:jc w:val="right"/>
              <w:rPr>
                <w:rFonts w:ascii="Calibri" w:eastAsiaTheme="minorEastAsia" w:hAnsi="Calibri" w:cs="Calibri"/>
                <w:color w:val="000000"/>
                <w:sz w:val="19"/>
                <w:szCs w:val="19"/>
                <w:lang w:eastAsia="en-AU"/>
              </w:rPr>
            </w:pPr>
          </w:p>
        </w:tc>
      </w:tr>
      <w:tr w:rsidR="004A5191" w:rsidRPr="00422B32" w:rsidTr="006042B2">
        <w:tc>
          <w:tcPr>
            <w:tcW w:w="7765" w:type="dxa"/>
            <w:gridSpan w:val="6"/>
            <w:tcBorders>
              <w:top w:val="nil"/>
            </w:tcBorders>
            <w:shd w:val="clear" w:color="auto" w:fill="FFFFFF"/>
          </w:tcPr>
          <w:p w:rsidR="004A5191" w:rsidRPr="00422B32" w:rsidRDefault="004A5191" w:rsidP="004A5191">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FISCAL AGGREGATES</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financial worth</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(2 713)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(2 588)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(3 374)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(4 161)</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(4 304)</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financial liabilities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2 713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2 588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3 374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4 161</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4 304</w:t>
            </w:r>
          </w:p>
        </w:tc>
      </w:tr>
      <w:tr w:rsidR="002C39A3" w:rsidRPr="00422B32" w:rsidTr="00361FA9">
        <w:tc>
          <w:tcPr>
            <w:tcW w:w="3515" w:type="dxa"/>
            <w:tcBorders>
              <w:top w:val="nil"/>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debt</w:t>
            </w:r>
          </w:p>
        </w:tc>
        <w:tc>
          <w:tcPr>
            <w:tcW w:w="850" w:type="dxa"/>
            <w:tcBorders>
              <w:top w:val="nil"/>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(24 429)</w:t>
            </w:r>
          </w:p>
        </w:tc>
        <w:tc>
          <w:tcPr>
            <w:tcW w:w="850" w:type="dxa"/>
            <w:tcBorders>
              <w:top w:val="nil"/>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(25 992)</w:t>
            </w:r>
          </w:p>
        </w:tc>
        <w:tc>
          <w:tcPr>
            <w:tcW w:w="850" w:type="dxa"/>
            <w:tcBorders>
              <w:top w:val="nil"/>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(26 686)</w:t>
            </w:r>
          </w:p>
        </w:tc>
        <w:tc>
          <w:tcPr>
            <w:tcW w:w="850" w:type="dxa"/>
            <w:tcBorders>
              <w:top w:val="nil"/>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(27 388)</w:t>
            </w:r>
          </w:p>
        </w:tc>
        <w:tc>
          <w:tcPr>
            <w:tcW w:w="850" w:type="dxa"/>
            <w:tcBorders>
              <w:top w:val="nil"/>
              <w:left w:val="nil"/>
              <w:bottom w:val="single" w:sz="12" w:space="0" w:color="auto"/>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(28 799)</w:t>
            </w:r>
          </w:p>
        </w:tc>
      </w:tr>
    </w:tbl>
    <w:p w:rsidR="002C39A3" w:rsidRDefault="002C39A3" w:rsidP="00361FA9">
      <w:pPr>
        <w:pStyle w:val="Source"/>
      </w:pPr>
      <w:r>
        <w:t>So</w:t>
      </w:r>
      <w:r w:rsidRPr="00727E5A">
        <w:t>urce: Department of Treasury and Finance</w:t>
      </w:r>
    </w:p>
    <w:p w:rsidR="002C39A3" w:rsidRDefault="002C39A3" w:rsidP="00361FA9">
      <w:pPr>
        <w:pStyle w:val="Notes"/>
      </w:pPr>
      <w:r>
        <w:t>Notes:</w:t>
      </w:r>
    </w:p>
    <w:p w:rsidR="002C39A3" w:rsidRDefault="002C39A3" w:rsidP="00361FA9">
      <w:pPr>
        <w:pStyle w:val="Notes"/>
      </w:pPr>
      <w:r>
        <w:t>(a)</w:t>
      </w:r>
      <w:r>
        <w:tab/>
        <w:t>Loans receivable from the non-financial public sector are measured at amortised cost.</w:t>
      </w:r>
    </w:p>
    <w:p w:rsidR="002C39A3" w:rsidRDefault="002C39A3" w:rsidP="00361FA9">
      <w:pPr>
        <w:pStyle w:val="Notes"/>
      </w:pPr>
      <w:r>
        <w:t>(b)</w:t>
      </w:r>
      <w:r>
        <w:tab/>
        <w:t>Borrowings with the private sector are reported at market value.</w:t>
      </w:r>
    </w:p>
    <w:p w:rsidR="002C39A3" w:rsidRPr="00A3749E" w:rsidRDefault="002C39A3" w:rsidP="00361FA9">
      <w:pPr>
        <w:pStyle w:val="Notes"/>
      </w:pPr>
      <w:r>
        <w:t>(c)</w:t>
      </w:r>
      <w:r>
        <w:tab/>
        <w:t>Treasury Corporation of Victoria</w:t>
      </w:r>
      <w:r w:rsidR="0097550F">
        <w:t>’</w:t>
      </w:r>
      <w:r>
        <w:t>s external loan liabilities are reported at mark-to-market value while the corresponding assets, that is lending to the non-financial public sector, are reported at historical value. This mismatch results in the negative net asset position of the sector.</w:t>
      </w:r>
    </w:p>
    <w:p w:rsidR="002C39A3" w:rsidRDefault="002C39A3" w:rsidP="00361FA9"/>
    <w:p w:rsidR="002C39A3" w:rsidRDefault="002C39A3">
      <w:pPr>
        <w:spacing w:after="0"/>
        <w:rPr>
          <w:rFonts w:ascii="Calibri" w:hAnsi="Calibri"/>
          <w:b/>
        </w:rPr>
      </w:pPr>
      <w:r>
        <w:br w:type="page"/>
      </w:r>
    </w:p>
    <w:p w:rsidR="002C39A3" w:rsidRDefault="002C39A3" w:rsidP="00361FA9">
      <w:pPr>
        <w:pStyle w:val="Tableheading"/>
      </w:pPr>
      <w:r>
        <w:t>Table 2.15:</w:t>
      </w:r>
      <w:r>
        <w:tab/>
        <w:t>Public financial corporations sector cash flow statement for the financial year ended 30 June</w:t>
      </w:r>
      <w:r w:rsidRPr="006A6777">
        <w:rPr>
          <w:vertAlign w:val="superscript"/>
        </w:rPr>
        <w:t>(a)</w:t>
      </w:r>
    </w:p>
    <w:p w:rsidR="002C39A3" w:rsidRPr="00422B32" w:rsidRDefault="002C39A3" w:rsidP="00361FA9">
      <w:pPr>
        <w:pStyle w:val="million"/>
        <w:rPr>
          <w:b/>
          <w:bCs/>
          <w:sz w:val="15"/>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4A5191" w:rsidRPr="00422B32" w:rsidTr="006042B2">
        <w:trPr>
          <w:trHeight w:val="439"/>
          <w:tblHeader/>
        </w:trPr>
        <w:tc>
          <w:tcPr>
            <w:tcW w:w="3515" w:type="dxa"/>
            <w:tcBorders>
              <w:top w:val="nil"/>
              <w:left w:val="nil"/>
              <w:right w:val="nil"/>
            </w:tcBorders>
            <w:shd w:val="solid" w:color="000000" w:fill="auto"/>
            <w:vAlign w:val="bottom"/>
          </w:tcPr>
          <w:p w:rsidR="004A5191" w:rsidRPr="00422B32" w:rsidRDefault="004A5191" w:rsidP="004A5191">
            <w:pPr>
              <w:pStyle w:val="Source"/>
              <w:spacing w:after="0"/>
              <w:rPr>
                <w:rFonts w:eastAsiaTheme="minorEastAsia" w:cs="Calibri"/>
                <w:iCs/>
                <w:color w:val="FFFFFF"/>
                <w:sz w:val="18"/>
                <w:szCs w:val="19"/>
                <w:lang w:eastAsia="en-AU"/>
              </w:rPr>
            </w:pPr>
          </w:p>
        </w:tc>
        <w:tc>
          <w:tcPr>
            <w:tcW w:w="850" w:type="dxa"/>
            <w:tcBorders>
              <w:top w:val="nil"/>
              <w:left w:val="nil"/>
              <w:right w:val="nil"/>
            </w:tcBorders>
            <w:shd w:val="solid" w:color="000000" w:fill="auto"/>
            <w:vAlign w:val="bottom"/>
          </w:tcPr>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422B32">
              <w:rPr>
                <w:rFonts w:ascii="Calibri" w:eastAsiaTheme="minorEastAsia" w:hAnsi="Calibri" w:cs="Calibri"/>
                <w:i/>
                <w:iCs/>
                <w:color w:val="FFFFFF"/>
                <w:sz w:val="18"/>
                <w:szCs w:val="19"/>
                <w:lang w:eastAsia="en-AU"/>
              </w:rPr>
              <w:t xml:space="preserve">2015-16 </w:t>
            </w:r>
          </w:p>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422B32">
              <w:rPr>
                <w:rFonts w:ascii="Calibri" w:eastAsiaTheme="minorEastAsia" w:hAnsi="Calibri" w:cs="Calibri"/>
                <w:i/>
                <w:iCs/>
                <w:color w:val="FFFFFF"/>
                <w:sz w:val="18"/>
                <w:szCs w:val="19"/>
                <w:lang w:eastAsia="en-AU"/>
              </w:rPr>
              <w:t xml:space="preserve"> revised</w:t>
            </w:r>
          </w:p>
        </w:tc>
        <w:tc>
          <w:tcPr>
            <w:tcW w:w="850" w:type="dxa"/>
            <w:tcBorders>
              <w:top w:val="nil"/>
              <w:left w:val="nil"/>
              <w:right w:val="nil"/>
            </w:tcBorders>
            <w:shd w:val="solid" w:color="000000" w:fill="auto"/>
            <w:vAlign w:val="bottom"/>
          </w:tcPr>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422B32">
              <w:rPr>
                <w:rFonts w:ascii="Calibri" w:eastAsiaTheme="minorEastAsia" w:hAnsi="Calibri" w:cs="Calibri"/>
                <w:i/>
                <w:iCs/>
                <w:color w:val="FFFFFF"/>
                <w:sz w:val="18"/>
                <w:szCs w:val="19"/>
                <w:lang w:eastAsia="en-AU"/>
              </w:rPr>
              <w:t xml:space="preserve">2016-17 </w:t>
            </w:r>
          </w:p>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422B32">
              <w:rPr>
                <w:rFonts w:ascii="Calibri" w:eastAsiaTheme="minorEastAsia" w:hAnsi="Calibri" w:cs="Calibri"/>
                <w:i/>
                <w:iCs/>
                <w:color w:val="FFFFFF"/>
                <w:sz w:val="18"/>
                <w:szCs w:val="19"/>
                <w:lang w:eastAsia="en-AU"/>
              </w:rPr>
              <w:t xml:space="preserve"> budget</w:t>
            </w:r>
          </w:p>
        </w:tc>
        <w:tc>
          <w:tcPr>
            <w:tcW w:w="850" w:type="dxa"/>
            <w:tcBorders>
              <w:top w:val="nil"/>
              <w:left w:val="nil"/>
              <w:right w:val="nil"/>
            </w:tcBorders>
            <w:shd w:val="solid" w:color="000000" w:fill="auto"/>
            <w:vAlign w:val="bottom"/>
          </w:tcPr>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422B32">
              <w:rPr>
                <w:rFonts w:ascii="Calibri" w:eastAsiaTheme="minorEastAsia" w:hAnsi="Calibri" w:cs="Calibri"/>
                <w:i/>
                <w:iCs/>
                <w:color w:val="FFFFFF"/>
                <w:sz w:val="18"/>
                <w:szCs w:val="19"/>
                <w:lang w:eastAsia="en-AU"/>
              </w:rPr>
              <w:t xml:space="preserve">2017-18 </w:t>
            </w:r>
          </w:p>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422B32">
              <w:rPr>
                <w:rFonts w:ascii="Calibri" w:eastAsiaTheme="minorEastAsia" w:hAnsi="Calibri" w:cs="Calibri"/>
                <w:i/>
                <w:iCs/>
                <w:color w:val="FFFFFF"/>
                <w:sz w:val="18"/>
                <w:szCs w:val="19"/>
                <w:lang w:eastAsia="en-AU"/>
              </w:rPr>
              <w:t xml:space="preserve"> estimate</w:t>
            </w:r>
          </w:p>
        </w:tc>
        <w:tc>
          <w:tcPr>
            <w:tcW w:w="850" w:type="dxa"/>
            <w:tcBorders>
              <w:top w:val="nil"/>
              <w:left w:val="nil"/>
              <w:right w:val="nil"/>
            </w:tcBorders>
            <w:shd w:val="solid" w:color="000000" w:fill="auto"/>
            <w:vAlign w:val="bottom"/>
          </w:tcPr>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422B32">
              <w:rPr>
                <w:rFonts w:ascii="Calibri" w:eastAsiaTheme="minorEastAsia" w:hAnsi="Calibri" w:cs="Calibri"/>
                <w:i/>
                <w:iCs/>
                <w:color w:val="FFFFFF"/>
                <w:sz w:val="18"/>
                <w:szCs w:val="19"/>
                <w:lang w:eastAsia="en-AU"/>
              </w:rPr>
              <w:t xml:space="preserve">2018-19 </w:t>
            </w:r>
          </w:p>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422B32">
              <w:rPr>
                <w:rFonts w:ascii="Calibri" w:eastAsiaTheme="minorEastAsia" w:hAnsi="Calibri" w:cs="Calibri"/>
                <w:i/>
                <w:iCs/>
                <w:color w:val="FFFFFF"/>
                <w:sz w:val="18"/>
                <w:szCs w:val="19"/>
                <w:lang w:eastAsia="en-AU"/>
              </w:rPr>
              <w:t xml:space="preserve"> estimate</w:t>
            </w:r>
          </w:p>
        </w:tc>
        <w:tc>
          <w:tcPr>
            <w:tcW w:w="850" w:type="dxa"/>
            <w:tcBorders>
              <w:top w:val="nil"/>
              <w:left w:val="nil"/>
              <w:right w:val="nil"/>
            </w:tcBorders>
            <w:shd w:val="solid" w:color="000000" w:fill="auto"/>
            <w:vAlign w:val="bottom"/>
          </w:tcPr>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422B32">
              <w:rPr>
                <w:rFonts w:ascii="Calibri" w:eastAsiaTheme="minorEastAsia" w:hAnsi="Calibri" w:cs="Calibri"/>
                <w:i/>
                <w:iCs/>
                <w:color w:val="FFFFFF"/>
                <w:sz w:val="18"/>
                <w:szCs w:val="19"/>
                <w:lang w:eastAsia="en-AU"/>
              </w:rPr>
              <w:t xml:space="preserve">2019-20 </w:t>
            </w:r>
          </w:p>
          <w:p w:rsidR="004A5191" w:rsidRPr="00422B32" w:rsidRDefault="004A5191"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422B32">
              <w:rPr>
                <w:rFonts w:ascii="Calibri" w:eastAsiaTheme="minorEastAsia" w:hAnsi="Calibri" w:cs="Calibri"/>
                <w:i/>
                <w:iCs/>
                <w:color w:val="FFFFFF"/>
                <w:sz w:val="18"/>
                <w:szCs w:val="19"/>
                <w:lang w:eastAsia="en-AU"/>
              </w:rPr>
              <w:t xml:space="preserve"> estimate</w:t>
            </w:r>
          </w:p>
        </w:tc>
      </w:tr>
      <w:tr w:rsidR="004A5191" w:rsidRPr="00422B32" w:rsidTr="006042B2">
        <w:tc>
          <w:tcPr>
            <w:tcW w:w="7765" w:type="dxa"/>
            <w:gridSpan w:val="6"/>
            <w:tcBorders>
              <w:top w:val="nil"/>
              <w:left w:val="nil"/>
              <w:right w:val="nil"/>
            </w:tcBorders>
            <w:shd w:val="clear" w:color="auto" w:fill="FFFFFF"/>
          </w:tcPr>
          <w:p w:rsidR="004A5191" w:rsidRPr="00422B32" w:rsidRDefault="004A5191" w:rsidP="004A5191">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Cash flows from operating activities</w:t>
            </w:r>
          </w:p>
        </w:tc>
      </w:tr>
      <w:tr w:rsidR="004A5191" w:rsidRPr="00422B32" w:rsidTr="006042B2">
        <w:tc>
          <w:tcPr>
            <w:tcW w:w="7765" w:type="dxa"/>
            <w:gridSpan w:val="6"/>
            <w:tcBorders>
              <w:top w:val="nil"/>
              <w:left w:val="nil"/>
              <w:right w:val="nil"/>
            </w:tcBorders>
            <w:shd w:val="clear" w:color="auto" w:fill="FFFFFF"/>
          </w:tcPr>
          <w:p w:rsidR="004A5191" w:rsidRPr="00422B32" w:rsidRDefault="004A5191" w:rsidP="004A5191">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Receipts</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vertAlign w:val="superscript"/>
                <w:lang w:eastAsia="en-AU"/>
              </w:rPr>
            </w:pPr>
            <w:r w:rsidRPr="00422B32">
              <w:rPr>
                <w:rFonts w:ascii="Calibri" w:eastAsiaTheme="minorEastAsia" w:hAnsi="Calibri" w:cs="Calibri"/>
                <w:color w:val="000000"/>
                <w:sz w:val="18"/>
                <w:szCs w:val="19"/>
                <w:lang w:eastAsia="en-AU"/>
              </w:rPr>
              <w:t xml:space="preserve">Sales of goods and services </w:t>
            </w:r>
            <w:r w:rsidRPr="00422B32">
              <w:rPr>
                <w:rFonts w:ascii="Calibri" w:eastAsiaTheme="minorEastAsia" w:hAnsi="Calibri" w:cs="Calibri"/>
                <w:color w:val="000000"/>
                <w:sz w:val="18"/>
                <w:szCs w:val="19"/>
                <w:vertAlign w:val="superscript"/>
                <w:lang w:eastAsia="en-AU"/>
              </w:rPr>
              <w:t>(b)</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4 576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4 780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5 018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5 107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5 473</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Interest received</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2 090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2 387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2 161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2 210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2 215</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Dividend receipts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1 256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1 034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1 118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1 102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1 147</w:t>
            </w:r>
          </w:p>
        </w:tc>
      </w:tr>
      <w:tr w:rsidR="002C39A3" w:rsidRPr="00422B32" w:rsidTr="00361FA9">
        <w:tc>
          <w:tcPr>
            <w:tcW w:w="3515"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Other receipts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167</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64</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49</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26</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26</w:t>
            </w:r>
          </w:p>
        </w:tc>
      </w:tr>
      <w:tr w:rsidR="002C39A3" w:rsidRPr="00422B32" w:rsidTr="00361FA9">
        <w:tc>
          <w:tcPr>
            <w:tcW w:w="3515"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Total receipts</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8 089</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8 264</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8 346</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8 444</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8 861</w:t>
            </w:r>
          </w:p>
        </w:tc>
      </w:tr>
      <w:tr w:rsidR="004A5191" w:rsidRPr="00422B32" w:rsidTr="006042B2">
        <w:tc>
          <w:tcPr>
            <w:tcW w:w="7765" w:type="dxa"/>
            <w:gridSpan w:val="6"/>
            <w:tcBorders>
              <w:top w:val="nil"/>
              <w:left w:val="nil"/>
              <w:right w:val="nil"/>
            </w:tcBorders>
            <w:shd w:val="clear" w:color="auto" w:fill="FFFFFF"/>
          </w:tcPr>
          <w:p w:rsidR="004A5191" w:rsidRPr="00422B32" w:rsidRDefault="004A5191" w:rsidP="004A5191">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Payments</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Payments for employees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(307)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(306)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(315)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(324)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(332)</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Superannuation</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(26)</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Interest paid</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(1 961)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(2 122)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(1 829)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(1 887)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(1 871)</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vertAlign w:val="superscript"/>
                <w:lang w:eastAsia="en-AU"/>
              </w:rPr>
            </w:pPr>
            <w:r w:rsidRPr="00422B32">
              <w:rPr>
                <w:rFonts w:ascii="Calibri" w:eastAsiaTheme="minorEastAsia" w:hAnsi="Calibri" w:cs="Calibri"/>
                <w:color w:val="000000"/>
                <w:sz w:val="18"/>
                <w:szCs w:val="19"/>
                <w:lang w:eastAsia="en-AU"/>
              </w:rPr>
              <w:t xml:space="preserve">Goods and services </w:t>
            </w:r>
            <w:r w:rsidRPr="00422B32">
              <w:rPr>
                <w:rFonts w:ascii="Calibri" w:eastAsiaTheme="minorEastAsia" w:hAnsi="Calibri" w:cs="Calibri"/>
                <w:color w:val="000000"/>
                <w:sz w:val="18"/>
                <w:szCs w:val="19"/>
                <w:vertAlign w:val="superscript"/>
                <w:lang w:eastAsia="en-AU"/>
              </w:rPr>
              <w:t>(b)</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(4 350)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(4 552)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(4 826)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(4 894)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(5 098)</w:t>
            </w:r>
          </w:p>
        </w:tc>
      </w:tr>
      <w:tr w:rsidR="002C39A3" w:rsidRPr="00422B32" w:rsidTr="00361FA9">
        <w:tc>
          <w:tcPr>
            <w:tcW w:w="3515"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Other payments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(3)</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(50)</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(103)</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(62)</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(210)</w:t>
            </w:r>
          </w:p>
        </w:tc>
      </w:tr>
      <w:tr w:rsidR="002C39A3" w:rsidRPr="00422B32" w:rsidTr="00361FA9">
        <w:tc>
          <w:tcPr>
            <w:tcW w:w="3515"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Total payments</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(6 644)</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(7 055)</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(7 098)</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(7 193)</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(7 539)</w:t>
            </w:r>
          </w:p>
        </w:tc>
      </w:tr>
      <w:tr w:rsidR="002C39A3" w:rsidRPr="00422B32" w:rsidTr="00361FA9">
        <w:tc>
          <w:tcPr>
            <w:tcW w:w="3515"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Net cash flows from operating activities</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1 445</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1 210</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1 248</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1 252</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1 322</w:t>
            </w:r>
          </w:p>
        </w:tc>
      </w:tr>
      <w:tr w:rsidR="004A5191" w:rsidRPr="00422B32" w:rsidTr="006042B2">
        <w:tc>
          <w:tcPr>
            <w:tcW w:w="7765" w:type="dxa"/>
            <w:gridSpan w:val="6"/>
            <w:tcBorders>
              <w:top w:val="nil"/>
              <w:left w:val="nil"/>
              <w:right w:val="nil"/>
            </w:tcBorders>
            <w:shd w:val="clear" w:color="auto" w:fill="FFFFFF"/>
          </w:tcPr>
          <w:p w:rsidR="004A5191" w:rsidRPr="00422B32" w:rsidRDefault="004A5191" w:rsidP="004A5191">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Cash flows from investing activities</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Purchases of non-financial assets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(46)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(56)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(65)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(38)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(45)</w:t>
            </w:r>
          </w:p>
        </w:tc>
      </w:tr>
      <w:tr w:rsidR="002C39A3" w:rsidRPr="00422B32" w:rsidTr="00361FA9">
        <w:tc>
          <w:tcPr>
            <w:tcW w:w="3515"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Sales of non-financial assets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w:t>
            </w:r>
          </w:p>
        </w:tc>
      </w:tr>
      <w:tr w:rsidR="002C39A3" w:rsidRPr="00422B32" w:rsidTr="00361FA9">
        <w:tc>
          <w:tcPr>
            <w:tcW w:w="3515"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Net cas</w:t>
            </w:r>
            <w:r w:rsidR="004A5191">
              <w:rPr>
                <w:rFonts w:ascii="Calibri" w:eastAsiaTheme="minorEastAsia" w:hAnsi="Calibri" w:cs="Calibri"/>
                <w:color w:val="000000"/>
                <w:sz w:val="18"/>
                <w:szCs w:val="19"/>
                <w:lang w:eastAsia="en-AU"/>
              </w:rPr>
              <w:t>h flows from investments in non</w:t>
            </w:r>
            <w:r w:rsidR="004A5191">
              <w:rPr>
                <w:rFonts w:ascii="Calibri" w:eastAsiaTheme="minorEastAsia" w:hAnsi="Calibri" w:cs="Calibri"/>
                <w:color w:val="000000"/>
                <w:sz w:val="18"/>
                <w:szCs w:val="19"/>
                <w:lang w:eastAsia="en-AU"/>
              </w:rPr>
              <w:noBreakHyphen/>
            </w:r>
            <w:r w:rsidRPr="00422B32">
              <w:rPr>
                <w:rFonts w:ascii="Calibri" w:eastAsiaTheme="minorEastAsia" w:hAnsi="Calibri" w:cs="Calibri"/>
                <w:color w:val="000000"/>
                <w:sz w:val="18"/>
                <w:szCs w:val="19"/>
                <w:lang w:eastAsia="en-AU"/>
              </w:rPr>
              <w:t>financial assets</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(45)</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(56)</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(65)</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(37)</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(44)</w:t>
            </w:r>
          </w:p>
        </w:tc>
      </w:tr>
      <w:tr w:rsidR="002C39A3" w:rsidRPr="00422B32" w:rsidTr="00361FA9">
        <w:tc>
          <w:tcPr>
            <w:tcW w:w="3515"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Net cash flows from investments in financial assets for policy and liquidity purposes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(1 011)</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2 438</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(1 201)</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(2 217)</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(1 102)</w:t>
            </w:r>
          </w:p>
        </w:tc>
      </w:tr>
      <w:tr w:rsidR="002C39A3" w:rsidRPr="00422B32" w:rsidTr="00361FA9">
        <w:tc>
          <w:tcPr>
            <w:tcW w:w="3515"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Net cash flows from investing activities</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(1 056)</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2 382</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(1 266)</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(2 255)</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(1 146)</w:t>
            </w:r>
          </w:p>
        </w:tc>
      </w:tr>
      <w:tr w:rsidR="004A5191" w:rsidRPr="00422B32" w:rsidTr="006042B2">
        <w:tc>
          <w:tcPr>
            <w:tcW w:w="7765" w:type="dxa"/>
            <w:gridSpan w:val="6"/>
            <w:tcBorders>
              <w:top w:val="nil"/>
              <w:left w:val="nil"/>
              <w:right w:val="nil"/>
            </w:tcBorders>
            <w:shd w:val="clear" w:color="auto" w:fill="FFFFFF"/>
          </w:tcPr>
          <w:p w:rsidR="004A5191" w:rsidRPr="00422B32" w:rsidRDefault="004A5191" w:rsidP="004A5191">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Cash flows from financing activities</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Advances received (net)</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(81)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Net borrowings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(466)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(2 953)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2 441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2 019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763</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Deposits received (net)</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(427)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45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(384)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49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45</w:t>
            </w:r>
          </w:p>
        </w:tc>
      </w:tr>
      <w:tr w:rsidR="002C39A3" w:rsidRPr="00422B32" w:rsidTr="00361FA9">
        <w:tc>
          <w:tcPr>
            <w:tcW w:w="3515"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Other financing (net)</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(634)</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(509)</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(2 045)</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(919)</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(818)</w:t>
            </w:r>
          </w:p>
        </w:tc>
      </w:tr>
      <w:tr w:rsidR="002C39A3" w:rsidRPr="00422B32" w:rsidTr="00361FA9">
        <w:tc>
          <w:tcPr>
            <w:tcW w:w="3515"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Net cash flows from financing activities</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(1 608)</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(3 415)</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14</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1 150</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(10)</w:t>
            </w:r>
          </w:p>
        </w:tc>
      </w:tr>
      <w:tr w:rsidR="002C39A3" w:rsidRPr="00422B32" w:rsidTr="00361FA9">
        <w:tc>
          <w:tcPr>
            <w:tcW w:w="3515"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Net incre</w:t>
            </w:r>
            <w:r w:rsidR="004A5191">
              <w:rPr>
                <w:rFonts w:ascii="Calibri" w:eastAsiaTheme="minorEastAsia" w:hAnsi="Calibri" w:cs="Calibri"/>
                <w:b/>
                <w:bCs/>
                <w:color w:val="000000"/>
                <w:sz w:val="18"/>
                <w:szCs w:val="19"/>
                <w:lang w:eastAsia="en-AU"/>
              </w:rPr>
              <w:t>ase/(decrease) in cash and cash </w:t>
            </w:r>
            <w:r w:rsidRPr="00422B32">
              <w:rPr>
                <w:rFonts w:ascii="Calibri" w:eastAsiaTheme="minorEastAsia" w:hAnsi="Calibri" w:cs="Calibri"/>
                <w:b/>
                <w:bCs/>
                <w:color w:val="000000"/>
                <w:sz w:val="18"/>
                <w:szCs w:val="19"/>
                <w:lang w:eastAsia="en-AU"/>
              </w:rPr>
              <w:t>equivalents</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(1 220)</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177</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(4)</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147</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167</w:t>
            </w:r>
          </w:p>
        </w:tc>
      </w:tr>
      <w:tr w:rsidR="002C39A3" w:rsidRPr="00422B32" w:rsidTr="00361FA9">
        <w:tc>
          <w:tcPr>
            <w:tcW w:w="3515"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Cash and cash equivalents at beginning of reporting period</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4 708</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3 489</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3 665</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3 661</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3 808</w:t>
            </w:r>
          </w:p>
        </w:tc>
      </w:tr>
      <w:tr w:rsidR="002C39A3" w:rsidRPr="00422B32" w:rsidTr="00361FA9">
        <w:tc>
          <w:tcPr>
            <w:tcW w:w="3515" w:type="dxa"/>
            <w:tcBorders>
              <w:top w:val="single" w:sz="6" w:space="0" w:color="000000"/>
              <w:left w:val="nil"/>
              <w:bottom w:val="single" w:sz="12" w:space="0" w:color="000000"/>
              <w:right w:val="nil"/>
            </w:tcBorders>
            <w:shd w:val="clear" w:color="auto" w:fill="FFFFFF"/>
          </w:tcPr>
          <w:p w:rsidR="002C39A3" w:rsidRPr="00422B32" w:rsidRDefault="002C39A3" w:rsidP="004A5191">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Cash and cash equivalents at end of reporting</w:t>
            </w:r>
            <w:r w:rsidR="004A5191">
              <w:rPr>
                <w:rFonts w:ascii="Calibri" w:eastAsiaTheme="minorEastAsia" w:hAnsi="Calibri" w:cs="Calibri"/>
                <w:b/>
                <w:bCs/>
                <w:color w:val="000000"/>
                <w:sz w:val="18"/>
                <w:szCs w:val="19"/>
                <w:lang w:eastAsia="en-AU"/>
              </w:rPr>
              <w:t> </w:t>
            </w:r>
            <w:r w:rsidRPr="00422B32">
              <w:rPr>
                <w:rFonts w:ascii="Calibri" w:eastAsiaTheme="minorEastAsia" w:hAnsi="Calibri" w:cs="Calibri"/>
                <w:b/>
                <w:bCs/>
                <w:color w:val="000000"/>
                <w:sz w:val="18"/>
                <w:szCs w:val="19"/>
                <w:lang w:eastAsia="en-AU"/>
              </w:rPr>
              <w:t>period</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3 489</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3 665</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3 661</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3 808</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3 975</w:t>
            </w:r>
          </w:p>
        </w:tc>
      </w:tr>
      <w:tr w:rsidR="004A5191" w:rsidRPr="00422B32" w:rsidTr="006042B2">
        <w:trPr>
          <w:trHeight w:hRule="exact" w:val="120"/>
        </w:trPr>
        <w:tc>
          <w:tcPr>
            <w:tcW w:w="7765" w:type="dxa"/>
            <w:gridSpan w:val="6"/>
            <w:tcBorders>
              <w:top w:val="single" w:sz="12" w:space="0" w:color="000000"/>
              <w:left w:val="nil"/>
              <w:right w:val="nil"/>
            </w:tcBorders>
            <w:shd w:val="clear" w:color="auto" w:fill="FFFFFF"/>
          </w:tcPr>
          <w:p w:rsidR="004A5191" w:rsidRPr="00422B32" w:rsidRDefault="004A5191" w:rsidP="00361FA9">
            <w:pPr>
              <w:autoSpaceDE w:val="0"/>
              <w:autoSpaceDN w:val="0"/>
              <w:adjustRightInd w:val="0"/>
              <w:spacing w:after="0"/>
              <w:jc w:val="right"/>
              <w:rPr>
                <w:rFonts w:ascii="Calibri" w:eastAsiaTheme="minorEastAsia" w:hAnsi="Calibri" w:cs="Calibri"/>
                <w:color w:val="000000"/>
                <w:sz w:val="18"/>
                <w:szCs w:val="19"/>
                <w:lang w:eastAsia="en-AU"/>
              </w:rPr>
            </w:pPr>
          </w:p>
        </w:tc>
      </w:tr>
      <w:tr w:rsidR="004A5191" w:rsidRPr="00422B32" w:rsidTr="006042B2">
        <w:tc>
          <w:tcPr>
            <w:tcW w:w="7765" w:type="dxa"/>
            <w:gridSpan w:val="6"/>
            <w:tcBorders>
              <w:top w:val="nil"/>
              <w:left w:val="nil"/>
              <w:right w:val="nil"/>
            </w:tcBorders>
            <w:shd w:val="clear" w:color="auto" w:fill="FFFFFF"/>
          </w:tcPr>
          <w:p w:rsidR="004A5191" w:rsidRPr="00422B32" w:rsidRDefault="004A5191" w:rsidP="004A5191">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FISCAL AGGREGATES</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Net cash flows from operating activities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1 445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1 210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1 248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1 252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1 322</w:t>
            </w:r>
          </w:p>
        </w:tc>
      </w:tr>
      <w:tr w:rsidR="002C39A3" w:rsidRPr="00422B32" w:rsidTr="00361FA9">
        <w:tc>
          <w:tcPr>
            <w:tcW w:w="3515"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Dividends paid</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(239)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(526)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(879)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(336)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(235)</w:t>
            </w:r>
          </w:p>
        </w:tc>
      </w:tr>
      <w:tr w:rsidR="002C39A3" w:rsidRPr="00422B32" w:rsidTr="00361FA9">
        <w:tc>
          <w:tcPr>
            <w:tcW w:w="3515"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Net cash flo</w:t>
            </w:r>
            <w:r w:rsidR="004A5191">
              <w:rPr>
                <w:rFonts w:ascii="Calibri" w:eastAsiaTheme="minorEastAsia" w:hAnsi="Calibri" w:cs="Calibri"/>
                <w:color w:val="000000"/>
                <w:sz w:val="18"/>
                <w:szCs w:val="19"/>
                <w:lang w:eastAsia="en-AU"/>
              </w:rPr>
              <w:t>ws from investments in non</w:t>
            </w:r>
            <w:r w:rsidR="004A5191">
              <w:rPr>
                <w:rFonts w:ascii="Calibri" w:eastAsiaTheme="minorEastAsia" w:hAnsi="Calibri" w:cs="Calibri"/>
                <w:color w:val="000000"/>
                <w:sz w:val="18"/>
                <w:szCs w:val="19"/>
                <w:lang w:eastAsia="en-AU"/>
              </w:rPr>
              <w:noBreakHyphen/>
            </w:r>
            <w:r w:rsidRPr="00422B32">
              <w:rPr>
                <w:rFonts w:ascii="Calibri" w:eastAsiaTheme="minorEastAsia" w:hAnsi="Calibri" w:cs="Calibri"/>
                <w:color w:val="000000"/>
                <w:sz w:val="18"/>
                <w:szCs w:val="19"/>
                <w:lang w:eastAsia="en-AU"/>
              </w:rPr>
              <w:t>financial assets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(45)</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(56)</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(65)</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(37)</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(44)</w:t>
            </w:r>
          </w:p>
        </w:tc>
      </w:tr>
      <w:tr w:rsidR="002C39A3" w:rsidRPr="00422B32" w:rsidTr="00361FA9">
        <w:tc>
          <w:tcPr>
            <w:tcW w:w="3515"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Cash surplus/(deficit)</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1 161</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628</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305</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878</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1 044</w:t>
            </w:r>
          </w:p>
        </w:tc>
      </w:tr>
    </w:tbl>
    <w:p w:rsidR="002C39A3" w:rsidRDefault="002C39A3" w:rsidP="00361FA9">
      <w:pPr>
        <w:pStyle w:val="Source"/>
      </w:pPr>
      <w:r w:rsidRPr="008035A6">
        <w:t>Source</w:t>
      </w:r>
      <w:r w:rsidRPr="00727E5A">
        <w:t>: Department of Treasury and Finance</w:t>
      </w:r>
    </w:p>
    <w:p w:rsidR="002C39A3" w:rsidRDefault="002C39A3" w:rsidP="00361FA9">
      <w:pPr>
        <w:pStyle w:val="Notes"/>
      </w:pPr>
      <w:r>
        <w:t>Notes:</w:t>
      </w:r>
    </w:p>
    <w:p w:rsidR="002C39A3" w:rsidRPr="00AA2462" w:rsidRDefault="002C39A3" w:rsidP="00361FA9">
      <w:pPr>
        <w:pStyle w:val="Notes"/>
      </w:pPr>
      <w:r>
        <w:t>(a)</w:t>
      </w:r>
      <w:r>
        <w:tab/>
        <w:t>Certain line items have been aggregated in the table above due to the commercial sensitivities of certain balances.</w:t>
      </w:r>
    </w:p>
    <w:p w:rsidR="002C39A3" w:rsidRDefault="002C39A3" w:rsidP="00361FA9">
      <w:pPr>
        <w:pStyle w:val="Notes"/>
        <w:rPr>
          <w:b/>
        </w:rPr>
      </w:pPr>
      <w:r>
        <w:t>(b)</w:t>
      </w:r>
      <w:r>
        <w:tab/>
        <w:t>Inclusive of goods and services tax.</w:t>
      </w:r>
    </w:p>
    <w:p w:rsidR="002C39A3" w:rsidRDefault="002C39A3" w:rsidP="00361FA9">
      <w:pPr>
        <w:pStyle w:val="Tableheading"/>
      </w:pPr>
      <w:r>
        <w:t>Table 2.16:</w:t>
      </w:r>
      <w:r>
        <w:tab/>
        <w:t>Public financial corporations sector statement of changes in equity for the financial year ended 30 June</w:t>
      </w:r>
    </w:p>
    <w:p w:rsidR="002C39A3" w:rsidRPr="00422B32" w:rsidRDefault="002C39A3" w:rsidP="00361FA9">
      <w:pPr>
        <w:pStyle w:val="million"/>
      </w:pPr>
      <w:r>
        <w:t>($ million)</w:t>
      </w:r>
    </w:p>
    <w:tbl>
      <w:tblPr>
        <w:tblW w:w="7766" w:type="dxa"/>
        <w:tblInd w:w="45" w:type="dxa"/>
        <w:tblLayout w:type="fixed"/>
        <w:tblCellMar>
          <w:left w:w="45" w:type="dxa"/>
          <w:right w:w="45" w:type="dxa"/>
        </w:tblCellMar>
        <w:tblLook w:val="0000" w:firstRow="0" w:lastRow="0" w:firstColumn="0" w:lastColumn="0" w:noHBand="0" w:noVBand="0"/>
      </w:tblPr>
      <w:tblGrid>
        <w:gridCol w:w="4535"/>
        <w:gridCol w:w="1559"/>
        <w:gridCol w:w="1672"/>
      </w:tblGrid>
      <w:tr w:rsidR="002C39A3" w:rsidRPr="00422B32" w:rsidTr="00361FA9">
        <w:trPr>
          <w:tblHeader/>
        </w:trPr>
        <w:tc>
          <w:tcPr>
            <w:tcW w:w="4535" w:type="dxa"/>
            <w:tcBorders>
              <w:right w:val="nil"/>
            </w:tcBorders>
            <w:shd w:val="solid" w:color="000000" w:fill="auto"/>
            <w:vAlign w:val="bottom"/>
          </w:tcPr>
          <w:p w:rsidR="002C39A3" w:rsidRPr="00422B32" w:rsidRDefault="002C39A3" w:rsidP="00361FA9">
            <w:pPr>
              <w:pStyle w:val="million"/>
              <w:jc w:val="left"/>
              <w:rPr>
                <w:rFonts w:eastAsiaTheme="minorEastAsia" w:cs="Calibri"/>
                <w:iCs/>
                <w:color w:val="FFFFFF"/>
                <w:sz w:val="19"/>
                <w:szCs w:val="19"/>
                <w:lang w:eastAsia="en-AU"/>
              </w:rPr>
            </w:pPr>
            <w:r w:rsidRPr="00422B32">
              <w:rPr>
                <w:rFonts w:eastAsiaTheme="minorEastAsia" w:cs="Calibri"/>
                <w:iCs/>
                <w:color w:val="FFFFFF"/>
                <w:sz w:val="19"/>
                <w:szCs w:val="19"/>
                <w:lang w:eastAsia="en-AU"/>
              </w:rPr>
              <w:t xml:space="preserve"> </w:t>
            </w:r>
          </w:p>
        </w:tc>
        <w:tc>
          <w:tcPr>
            <w:tcW w:w="1559" w:type="dxa"/>
            <w:tcBorders>
              <w:left w:val="nil"/>
              <w:right w:val="nil"/>
            </w:tcBorders>
            <w:shd w:val="solid" w:color="000000" w:fill="auto"/>
            <w:vAlign w:val="bottom"/>
          </w:tcPr>
          <w:p w:rsidR="002C39A3" w:rsidRPr="00422B32"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Accumulated surplus/(deficit)</w:t>
            </w:r>
          </w:p>
        </w:tc>
        <w:tc>
          <w:tcPr>
            <w:tcW w:w="1672" w:type="dxa"/>
            <w:tcBorders>
              <w:left w:val="nil"/>
            </w:tcBorders>
            <w:shd w:val="solid" w:color="000000" w:fill="auto"/>
            <w:vAlign w:val="bottom"/>
          </w:tcPr>
          <w:p w:rsidR="002C39A3" w:rsidRPr="00422B32"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Contribution by owners</w:t>
            </w:r>
          </w:p>
        </w:tc>
      </w:tr>
      <w:tr w:rsidR="00697FCC" w:rsidRPr="00422B32" w:rsidTr="006042B2">
        <w:tc>
          <w:tcPr>
            <w:tcW w:w="7766" w:type="dxa"/>
            <w:gridSpan w:val="3"/>
            <w:tcBorders>
              <w:top w:val="nil"/>
            </w:tcBorders>
            <w:shd w:val="clear" w:color="auto" w:fill="FFFFFF"/>
          </w:tcPr>
          <w:p w:rsidR="00697FCC" w:rsidRPr="00422B32" w:rsidRDefault="00697FCC" w:rsidP="00697FCC">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2015-16 revised</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Balance at 1 July 2015</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(1 009)</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177</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result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(107)</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comprehensive income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Dividends paid</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(239)</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Transfer to accumulated surplus </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(386)</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386</w:t>
            </w:r>
          </w:p>
        </w:tc>
      </w:tr>
      <w:tr w:rsidR="002C39A3" w:rsidRPr="00422B32" w:rsidTr="00361FA9">
        <w:tc>
          <w:tcPr>
            <w:tcW w:w="453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Transactions with owners in their capacity as owners</w:t>
            </w:r>
          </w:p>
        </w:tc>
        <w:tc>
          <w:tcPr>
            <w:tcW w:w="1559"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672"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(357)</w:t>
            </w:r>
          </w:p>
        </w:tc>
      </w:tr>
      <w:tr w:rsidR="002C39A3" w:rsidRPr="00422B32" w:rsidTr="00361FA9">
        <w:tc>
          <w:tcPr>
            <w:tcW w:w="4535"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equity as at 30 June 2016</w:t>
            </w:r>
          </w:p>
        </w:tc>
        <w:tc>
          <w:tcPr>
            <w:tcW w:w="1559"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(1 739)</w:t>
            </w:r>
          </w:p>
        </w:tc>
        <w:tc>
          <w:tcPr>
            <w:tcW w:w="1672"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207</w:t>
            </w:r>
          </w:p>
        </w:tc>
      </w:tr>
      <w:tr w:rsidR="00697FCC" w:rsidRPr="00422B32" w:rsidTr="006042B2">
        <w:tc>
          <w:tcPr>
            <w:tcW w:w="7766" w:type="dxa"/>
            <w:gridSpan w:val="3"/>
            <w:tcBorders>
              <w:top w:val="single" w:sz="12" w:space="0" w:color="000000"/>
            </w:tcBorders>
            <w:shd w:val="clear" w:color="auto" w:fill="FFFFFF"/>
          </w:tcPr>
          <w:p w:rsidR="00697FCC" w:rsidRPr="00422B32" w:rsidRDefault="00697FCC" w:rsidP="00697FCC">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2016-17 budget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Balance at 1 July 2016</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(1 739)</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207</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result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519</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comprehensive income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Dividends paid</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(526)</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Transfer to accumulated surplus </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453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Transactions with owners in their capacity as owners</w:t>
            </w:r>
          </w:p>
        </w:tc>
        <w:tc>
          <w:tcPr>
            <w:tcW w:w="1559"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672"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17</w:t>
            </w:r>
          </w:p>
        </w:tc>
      </w:tr>
      <w:tr w:rsidR="002C39A3" w:rsidRPr="00422B32" w:rsidTr="00361FA9">
        <w:tc>
          <w:tcPr>
            <w:tcW w:w="4535"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equity as at 30 June 2017</w:t>
            </w:r>
          </w:p>
        </w:tc>
        <w:tc>
          <w:tcPr>
            <w:tcW w:w="1559"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(1 747)</w:t>
            </w:r>
          </w:p>
        </w:tc>
        <w:tc>
          <w:tcPr>
            <w:tcW w:w="1672"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223</w:t>
            </w:r>
          </w:p>
        </w:tc>
      </w:tr>
      <w:tr w:rsidR="00697FCC" w:rsidRPr="00422B32" w:rsidTr="006042B2">
        <w:tc>
          <w:tcPr>
            <w:tcW w:w="7766" w:type="dxa"/>
            <w:gridSpan w:val="3"/>
            <w:tcBorders>
              <w:top w:val="single" w:sz="12" w:space="0" w:color="000000"/>
            </w:tcBorders>
            <w:shd w:val="clear" w:color="auto" w:fill="FFFFFF"/>
          </w:tcPr>
          <w:p w:rsidR="00697FCC" w:rsidRPr="00422B32" w:rsidRDefault="00697FCC" w:rsidP="00697FCC">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2017-18 estimate</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Balance at 1 July 2017</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(1 747)</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223</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result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687</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comprehensive income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11</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Dividends paid</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(879)</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Transfer to accumulated surplus </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(958)</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958</w:t>
            </w:r>
          </w:p>
        </w:tc>
      </w:tr>
      <w:tr w:rsidR="002C39A3" w:rsidRPr="00422B32" w:rsidTr="00361FA9">
        <w:tc>
          <w:tcPr>
            <w:tcW w:w="453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Transactions with owners in their capacity as owners</w:t>
            </w:r>
          </w:p>
        </w:tc>
        <w:tc>
          <w:tcPr>
            <w:tcW w:w="1559"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672"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(653)</w:t>
            </w:r>
          </w:p>
        </w:tc>
      </w:tr>
      <w:tr w:rsidR="002C39A3" w:rsidRPr="00422B32" w:rsidTr="00361FA9">
        <w:tc>
          <w:tcPr>
            <w:tcW w:w="4535"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equity as at 30 June 2018</w:t>
            </w:r>
          </w:p>
        </w:tc>
        <w:tc>
          <w:tcPr>
            <w:tcW w:w="1559"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(2 885)</w:t>
            </w:r>
          </w:p>
        </w:tc>
        <w:tc>
          <w:tcPr>
            <w:tcW w:w="1672"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528</w:t>
            </w:r>
          </w:p>
        </w:tc>
      </w:tr>
      <w:tr w:rsidR="00697FCC" w:rsidRPr="00422B32" w:rsidTr="006042B2">
        <w:tc>
          <w:tcPr>
            <w:tcW w:w="7766" w:type="dxa"/>
            <w:gridSpan w:val="3"/>
            <w:tcBorders>
              <w:top w:val="single" w:sz="12" w:space="0" w:color="000000"/>
            </w:tcBorders>
            <w:shd w:val="clear" w:color="auto" w:fill="FFFFFF"/>
          </w:tcPr>
          <w:p w:rsidR="00697FCC" w:rsidRPr="00422B32" w:rsidRDefault="00697FCC" w:rsidP="00697FCC">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2018-19 estimate</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Balance at 1 July 2018</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(2 885)</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528</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result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556</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comprehensive income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Dividends paid</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(336)</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Transfer to accumulated surplus </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(1 113)</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1 113</w:t>
            </w:r>
          </w:p>
        </w:tc>
      </w:tr>
      <w:tr w:rsidR="002C39A3" w:rsidRPr="00422B32" w:rsidTr="00361FA9">
        <w:tc>
          <w:tcPr>
            <w:tcW w:w="453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Transactions with owners in their capacity as owners</w:t>
            </w:r>
          </w:p>
        </w:tc>
        <w:tc>
          <w:tcPr>
            <w:tcW w:w="1559"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672"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(1 096)</w:t>
            </w:r>
          </w:p>
        </w:tc>
      </w:tr>
      <w:tr w:rsidR="002C39A3" w:rsidRPr="00422B32" w:rsidTr="00361FA9">
        <w:tc>
          <w:tcPr>
            <w:tcW w:w="4535"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equity as at 30 June 2019</w:t>
            </w:r>
          </w:p>
        </w:tc>
        <w:tc>
          <w:tcPr>
            <w:tcW w:w="1559"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(3 775)</w:t>
            </w:r>
          </w:p>
        </w:tc>
        <w:tc>
          <w:tcPr>
            <w:tcW w:w="1672"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544</w:t>
            </w:r>
          </w:p>
        </w:tc>
      </w:tr>
      <w:tr w:rsidR="00697FCC" w:rsidRPr="00422B32" w:rsidTr="006042B2">
        <w:tc>
          <w:tcPr>
            <w:tcW w:w="7766" w:type="dxa"/>
            <w:gridSpan w:val="3"/>
            <w:tcBorders>
              <w:top w:val="single" w:sz="12" w:space="0" w:color="000000"/>
            </w:tcBorders>
            <w:shd w:val="clear" w:color="auto" w:fill="FFFFFF"/>
          </w:tcPr>
          <w:p w:rsidR="00697FCC" w:rsidRPr="00422B32" w:rsidRDefault="00697FCC" w:rsidP="00697FCC">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2019-20 estimate</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Balance at 1 July 2019</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(3 775)</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544</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result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639</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comprehensive income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Dividends paid</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(235)</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Transfer to accumulated surplus </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(600)</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600</w:t>
            </w:r>
          </w:p>
        </w:tc>
      </w:tr>
      <w:tr w:rsidR="002C39A3" w:rsidRPr="00422B32" w:rsidTr="00361FA9">
        <w:tc>
          <w:tcPr>
            <w:tcW w:w="453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Transactions with owners in their capacity as owners</w:t>
            </w:r>
          </w:p>
        </w:tc>
        <w:tc>
          <w:tcPr>
            <w:tcW w:w="1559"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672"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(583)</w:t>
            </w:r>
          </w:p>
        </w:tc>
      </w:tr>
      <w:tr w:rsidR="002C39A3" w:rsidRPr="00422B32" w:rsidTr="00361FA9">
        <w:tc>
          <w:tcPr>
            <w:tcW w:w="4535" w:type="dxa"/>
            <w:tcBorders>
              <w:top w:val="single" w:sz="6" w:space="0" w:color="000000"/>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equity as at 30 June 2020</w:t>
            </w:r>
          </w:p>
        </w:tc>
        <w:tc>
          <w:tcPr>
            <w:tcW w:w="1559"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(3 969)</w:t>
            </w:r>
          </w:p>
        </w:tc>
        <w:tc>
          <w:tcPr>
            <w:tcW w:w="1672" w:type="dxa"/>
            <w:tcBorders>
              <w:top w:val="single" w:sz="6" w:space="0" w:color="000000"/>
              <w:left w:val="nil"/>
              <w:bottom w:val="single" w:sz="12" w:space="0" w:color="auto"/>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561</w:t>
            </w:r>
          </w:p>
        </w:tc>
      </w:tr>
    </w:tbl>
    <w:p w:rsidR="002C39A3" w:rsidRDefault="002C39A3" w:rsidP="00361FA9">
      <w:pPr>
        <w:pStyle w:val="Source"/>
      </w:pPr>
      <w:r>
        <w:t>Source: Department of Treasury and Finance</w:t>
      </w:r>
    </w:p>
    <w:p w:rsidR="002C39A3" w:rsidRDefault="002C39A3" w:rsidP="00361FA9"/>
    <w:p w:rsidR="002C39A3" w:rsidRPr="004D48A8" w:rsidRDefault="002C39A3" w:rsidP="00361FA9">
      <w:pPr>
        <w:pStyle w:val="Tableheading"/>
        <w:spacing w:before="0"/>
        <w:ind w:left="1151" w:hanging="1151"/>
      </w:pPr>
      <w:r>
        <w:br w:type="page"/>
      </w:r>
      <w:r w:rsidRPr="004D48A8">
        <w:br/>
      </w:r>
    </w:p>
    <w:p w:rsidR="002C39A3" w:rsidRPr="00422B32" w:rsidRDefault="002C39A3" w:rsidP="00361FA9">
      <w:pPr>
        <w:pStyle w:val="million"/>
      </w:pPr>
    </w:p>
    <w:tbl>
      <w:tblPr>
        <w:tblW w:w="7767" w:type="dxa"/>
        <w:tblInd w:w="45" w:type="dxa"/>
        <w:tblLayout w:type="fixed"/>
        <w:tblCellMar>
          <w:left w:w="45" w:type="dxa"/>
          <w:right w:w="45" w:type="dxa"/>
        </w:tblCellMar>
        <w:tblLook w:val="0000" w:firstRow="0" w:lastRow="0" w:firstColumn="0" w:lastColumn="0" w:noHBand="0" w:noVBand="0"/>
      </w:tblPr>
      <w:tblGrid>
        <w:gridCol w:w="2552"/>
        <w:gridCol w:w="2626"/>
        <w:gridCol w:w="2589"/>
      </w:tblGrid>
      <w:tr w:rsidR="002C39A3" w:rsidRPr="00422B32" w:rsidTr="00361FA9">
        <w:trPr>
          <w:tblHeader/>
        </w:trPr>
        <w:tc>
          <w:tcPr>
            <w:tcW w:w="2552" w:type="dxa"/>
            <w:tcBorders>
              <w:right w:val="nil"/>
            </w:tcBorders>
            <w:shd w:val="solid" w:color="000000" w:fill="auto"/>
            <w:vAlign w:val="bottom"/>
          </w:tcPr>
          <w:p w:rsidR="002C39A3" w:rsidRPr="00422B32" w:rsidRDefault="002C39A3" w:rsidP="00361FA9">
            <w:pPr>
              <w:pStyle w:val="million"/>
              <w:jc w:val="right"/>
              <w:rPr>
                <w:rFonts w:eastAsiaTheme="minorEastAsia" w:cs="Calibri"/>
                <w:iCs/>
                <w:color w:val="FFFFFF"/>
                <w:sz w:val="19"/>
                <w:szCs w:val="19"/>
                <w:lang w:eastAsia="en-AU"/>
              </w:rPr>
            </w:pPr>
            <w:r w:rsidRPr="00422B32">
              <w:rPr>
                <w:rFonts w:eastAsiaTheme="minorEastAsia" w:cs="Calibri"/>
                <w:iCs/>
                <w:color w:val="FFFFFF"/>
                <w:sz w:val="19"/>
                <w:szCs w:val="19"/>
                <w:lang w:eastAsia="en-AU"/>
              </w:rPr>
              <w:t>Non-financial assets revaluation surplus</w:t>
            </w:r>
          </w:p>
        </w:tc>
        <w:tc>
          <w:tcPr>
            <w:tcW w:w="2626" w:type="dxa"/>
            <w:tcBorders>
              <w:left w:val="nil"/>
              <w:right w:val="nil"/>
            </w:tcBorders>
            <w:shd w:val="solid" w:color="000000" w:fill="auto"/>
            <w:vAlign w:val="bottom"/>
          </w:tcPr>
          <w:p w:rsidR="002C39A3" w:rsidRPr="00422B32"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Other reserves</w:t>
            </w:r>
          </w:p>
        </w:tc>
        <w:tc>
          <w:tcPr>
            <w:tcW w:w="2589" w:type="dxa"/>
            <w:tcBorders>
              <w:left w:val="nil"/>
            </w:tcBorders>
            <w:shd w:val="solid" w:color="000000" w:fill="auto"/>
            <w:vAlign w:val="bottom"/>
          </w:tcPr>
          <w:p w:rsidR="002C39A3" w:rsidRPr="00422B32"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Total</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35</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(794)</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(107)</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(239)</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2552"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626"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(357)</w:t>
            </w:r>
          </w:p>
        </w:tc>
      </w:tr>
      <w:tr w:rsidR="002C39A3" w:rsidRPr="00422B32" w:rsidTr="00361FA9">
        <w:tc>
          <w:tcPr>
            <w:tcW w:w="2552"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w:t>
            </w:r>
          </w:p>
        </w:tc>
        <w:tc>
          <w:tcPr>
            <w:tcW w:w="2626"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35</w:t>
            </w:r>
          </w:p>
        </w:tc>
        <w:tc>
          <w:tcPr>
            <w:tcW w:w="2589"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(1 496)</w:t>
            </w:r>
          </w:p>
        </w:tc>
      </w:tr>
      <w:tr w:rsidR="002C39A3" w:rsidRPr="00422B32" w:rsidTr="00361FA9">
        <w:tc>
          <w:tcPr>
            <w:tcW w:w="2552" w:type="dxa"/>
            <w:tcBorders>
              <w:top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626"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89" w:type="dxa"/>
            <w:tcBorders>
              <w:top w:val="single" w:sz="12"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35</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(1 496)</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519</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(526)</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2552"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626"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17</w:t>
            </w:r>
          </w:p>
        </w:tc>
      </w:tr>
      <w:tr w:rsidR="002C39A3" w:rsidRPr="00422B32" w:rsidTr="00361FA9">
        <w:tc>
          <w:tcPr>
            <w:tcW w:w="2552"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w:t>
            </w:r>
          </w:p>
        </w:tc>
        <w:tc>
          <w:tcPr>
            <w:tcW w:w="2626"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31</w:t>
            </w:r>
          </w:p>
        </w:tc>
        <w:tc>
          <w:tcPr>
            <w:tcW w:w="2589"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(1 491)</w:t>
            </w:r>
          </w:p>
        </w:tc>
      </w:tr>
      <w:tr w:rsidR="002C39A3" w:rsidRPr="00422B32" w:rsidTr="00361FA9">
        <w:tc>
          <w:tcPr>
            <w:tcW w:w="2552" w:type="dxa"/>
            <w:tcBorders>
              <w:top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626"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89" w:type="dxa"/>
            <w:tcBorders>
              <w:top w:val="single" w:sz="12"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31</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(1 491)</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687</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(12)</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(879)</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2552"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626"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(653)</w:t>
            </w:r>
          </w:p>
        </w:tc>
      </w:tr>
      <w:tr w:rsidR="002C39A3" w:rsidRPr="00422B32" w:rsidTr="00361FA9">
        <w:tc>
          <w:tcPr>
            <w:tcW w:w="2552"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w:t>
            </w:r>
          </w:p>
        </w:tc>
        <w:tc>
          <w:tcPr>
            <w:tcW w:w="2626"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19</w:t>
            </w:r>
          </w:p>
        </w:tc>
        <w:tc>
          <w:tcPr>
            <w:tcW w:w="2589"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(2 337)</w:t>
            </w:r>
          </w:p>
        </w:tc>
      </w:tr>
      <w:tr w:rsidR="002C39A3" w:rsidRPr="00422B32" w:rsidTr="00361FA9">
        <w:tc>
          <w:tcPr>
            <w:tcW w:w="2552" w:type="dxa"/>
            <w:tcBorders>
              <w:top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626"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89" w:type="dxa"/>
            <w:tcBorders>
              <w:top w:val="single" w:sz="12"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19</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(2 337)</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556</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(336)</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2552"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626"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(1 096)</w:t>
            </w:r>
          </w:p>
        </w:tc>
      </w:tr>
      <w:tr w:rsidR="002C39A3" w:rsidRPr="00422B32" w:rsidTr="00361FA9">
        <w:tc>
          <w:tcPr>
            <w:tcW w:w="2552"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w:t>
            </w:r>
          </w:p>
        </w:tc>
        <w:tc>
          <w:tcPr>
            <w:tcW w:w="2626"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17</w:t>
            </w:r>
          </w:p>
        </w:tc>
        <w:tc>
          <w:tcPr>
            <w:tcW w:w="2589"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(3 212)</w:t>
            </w:r>
          </w:p>
        </w:tc>
      </w:tr>
      <w:tr w:rsidR="002C39A3" w:rsidRPr="00422B32" w:rsidTr="00361FA9">
        <w:tc>
          <w:tcPr>
            <w:tcW w:w="2552" w:type="dxa"/>
            <w:tcBorders>
              <w:top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626"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89" w:type="dxa"/>
            <w:tcBorders>
              <w:top w:val="single" w:sz="12"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17</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(3 212)</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639</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(235)</w:t>
            </w:r>
          </w:p>
        </w:tc>
      </w:tr>
      <w:tr w:rsidR="002C39A3" w:rsidRPr="00422B32" w:rsidTr="00361FA9">
        <w:tc>
          <w:tcPr>
            <w:tcW w:w="2552" w:type="dxa"/>
            <w:tcBorders>
              <w:top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62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2552"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626"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89"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(583)</w:t>
            </w:r>
          </w:p>
        </w:tc>
      </w:tr>
      <w:tr w:rsidR="002C39A3" w:rsidRPr="00422B32" w:rsidTr="00361FA9">
        <w:tc>
          <w:tcPr>
            <w:tcW w:w="2552" w:type="dxa"/>
            <w:tcBorders>
              <w:top w:val="single" w:sz="6" w:space="0" w:color="000000"/>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w:t>
            </w:r>
          </w:p>
        </w:tc>
        <w:tc>
          <w:tcPr>
            <w:tcW w:w="2626"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15</w:t>
            </w:r>
          </w:p>
        </w:tc>
        <w:tc>
          <w:tcPr>
            <w:tcW w:w="2589" w:type="dxa"/>
            <w:tcBorders>
              <w:top w:val="single" w:sz="6" w:space="0" w:color="000000"/>
              <w:left w:val="nil"/>
              <w:bottom w:val="single" w:sz="12" w:space="0" w:color="auto"/>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(3 391)</w:t>
            </w:r>
          </w:p>
        </w:tc>
      </w:tr>
    </w:tbl>
    <w:p w:rsidR="002C39A3" w:rsidRPr="007270B7" w:rsidRDefault="002C39A3" w:rsidP="00361FA9"/>
    <w:p w:rsidR="002C39A3" w:rsidRPr="007270B7" w:rsidRDefault="002C39A3" w:rsidP="00361FA9"/>
    <w:p w:rsidR="002C39A3" w:rsidRDefault="002C39A3" w:rsidP="00361FA9">
      <w:pPr>
        <w:pStyle w:val="Tableheading"/>
      </w:pPr>
      <w:r>
        <w:t>Table 2.17:</w:t>
      </w:r>
      <w:r>
        <w:tab/>
        <w:t>Derivation of public financial corporations sector GFS cash surplus/(deficit)</w:t>
      </w:r>
    </w:p>
    <w:p w:rsidR="002C39A3" w:rsidRPr="00422B32" w:rsidRDefault="002C39A3" w:rsidP="00361FA9">
      <w:pPr>
        <w:pStyle w:val="million"/>
        <w:rPr>
          <w:b/>
          <w:bCs/>
          <w:sz w:val="15"/>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697FCC" w:rsidRPr="00422B32" w:rsidTr="006042B2">
        <w:trPr>
          <w:trHeight w:val="464"/>
          <w:tblHeader/>
        </w:trPr>
        <w:tc>
          <w:tcPr>
            <w:tcW w:w="3515" w:type="dxa"/>
            <w:tcBorders>
              <w:right w:val="nil"/>
            </w:tcBorders>
            <w:shd w:val="solid" w:color="000000" w:fill="auto"/>
            <w:vAlign w:val="bottom"/>
          </w:tcPr>
          <w:p w:rsidR="00697FCC" w:rsidRPr="00422B32" w:rsidRDefault="00697FCC" w:rsidP="00361FA9">
            <w:pPr>
              <w:autoSpaceDE w:val="0"/>
              <w:autoSpaceDN w:val="0"/>
              <w:adjustRightInd w:val="0"/>
              <w:spacing w:after="0"/>
              <w:rPr>
                <w:rFonts w:eastAsiaTheme="minorEastAsia" w:cs="Calibri"/>
                <w:iCs/>
                <w:color w:val="FFFFFF"/>
                <w:sz w:val="19"/>
                <w:szCs w:val="19"/>
                <w:lang w:eastAsia="en-AU"/>
              </w:rPr>
            </w:pPr>
          </w:p>
        </w:tc>
        <w:tc>
          <w:tcPr>
            <w:tcW w:w="850" w:type="dxa"/>
            <w:tcBorders>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2015-16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revised</w:t>
            </w:r>
          </w:p>
        </w:tc>
        <w:tc>
          <w:tcPr>
            <w:tcW w:w="850" w:type="dxa"/>
            <w:tcBorders>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2016-17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budget</w:t>
            </w:r>
          </w:p>
        </w:tc>
        <w:tc>
          <w:tcPr>
            <w:tcW w:w="850" w:type="dxa"/>
            <w:tcBorders>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2017-18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2018-19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lef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2019-20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Cash surplus/(deficit)</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1 161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628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305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878</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1 044</w:t>
            </w:r>
          </w:p>
        </w:tc>
      </w:tr>
      <w:tr w:rsidR="00697FCC" w:rsidRPr="00422B32" w:rsidTr="006042B2">
        <w:tc>
          <w:tcPr>
            <w:tcW w:w="7765" w:type="dxa"/>
            <w:gridSpan w:val="6"/>
            <w:tcBorders>
              <w:top w:val="nil"/>
            </w:tcBorders>
            <w:shd w:val="clear" w:color="auto" w:fill="FFFFFF"/>
          </w:tcPr>
          <w:p w:rsidR="00697FCC" w:rsidRPr="00422B32" w:rsidRDefault="00697FCC" w:rsidP="00697FCC">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Convergence differences:</w:t>
            </w:r>
          </w:p>
        </w:tc>
      </w:tr>
      <w:tr w:rsidR="002C39A3" w:rsidRPr="00422B32" w:rsidTr="00361FA9">
        <w:tc>
          <w:tcPr>
            <w:tcW w:w="351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Acquisitions under finance leases and similar arrangements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850"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3515" w:type="dxa"/>
            <w:tcBorders>
              <w:top w:val="single" w:sz="6" w:space="0" w:color="000000"/>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vertAlign w:val="superscript"/>
                <w:lang w:eastAsia="en-AU"/>
              </w:rPr>
            </w:pPr>
            <w:r w:rsidRPr="00422B32">
              <w:rPr>
                <w:rFonts w:ascii="Calibri" w:eastAsiaTheme="minorEastAsia" w:hAnsi="Calibri" w:cs="Calibri"/>
                <w:b/>
                <w:bCs/>
                <w:color w:val="000000"/>
                <w:sz w:val="19"/>
                <w:szCs w:val="19"/>
                <w:lang w:eastAsia="en-AU"/>
              </w:rPr>
              <w:t xml:space="preserve">GFS cash surplus/(deficit) </w:t>
            </w:r>
            <w:r w:rsidRPr="00422B32">
              <w:rPr>
                <w:rFonts w:ascii="Calibri" w:eastAsiaTheme="minorEastAsia" w:hAnsi="Calibri" w:cs="Calibri"/>
                <w:b/>
                <w:bCs/>
                <w:color w:val="000000"/>
                <w:sz w:val="19"/>
                <w:szCs w:val="19"/>
                <w:vertAlign w:val="superscript"/>
                <w:lang w:eastAsia="en-AU"/>
              </w:rPr>
              <w:t>(a)</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1 161</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628</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305</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878</w:t>
            </w:r>
          </w:p>
        </w:tc>
        <w:tc>
          <w:tcPr>
            <w:tcW w:w="850" w:type="dxa"/>
            <w:tcBorders>
              <w:top w:val="single" w:sz="6" w:space="0" w:color="000000"/>
              <w:left w:val="nil"/>
              <w:bottom w:val="single" w:sz="12" w:space="0" w:color="auto"/>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1 044</w:t>
            </w:r>
          </w:p>
        </w:tc>
      </w:tr>
    </w:tbl>
    <w:p w:rsidR="002C39A3" w:rsidRDefault="002C39A3" w:rsidP="00361FA9">
      <w:pPr>
        <w:pStyle w:val="Source"/>
      </w:pPr>
      <w:r>
        <w:t>So</w:t>
      </w:r>
      <w:r w:rsidRPr="00727E5A">
        <w:t>urce: Department of Treasury and Finance</w:t>
      </w:r>
    </w:p>
    <w:p w:rsidR="002C39A3" w:rsidRDefault="002C39A3" w:rsidP="00361FA9">
      <w:pPr>
        <w:pStyle w:val="Notes"/>
      </w:pPr>
      <w:r>
        <w:t>Note:</w:t>
      </w:r>
    </w:p>
    <w:p w:rsidR="002C39A3" w:rsidRPr="005E2DB9" w:rsidRDefault="002C39A3" w:rsidP="00361FA9">
      <w:pPr>
        <w:pStyle w:val="Notes"/>
      </w:pPr>
      <w:r>
        <w:t>(a)</w:t>
      </w:r>
      <w:r>
        <w:tab/>
        <w:t>Determined in accordance with the ABS GFS manual.</w:t>
      </w:r>
    </w:p>
    <w:p w:rsidR="002C39A3" w:rsidRDefault="002C39A3" w:rsidP="00361FA9"/>
    <w:p w:rsidR="002C39A3" w:rsidRDefault="002C39A3" w:rsidP="00361FA9"/>
    <w:p w:rsidR="002C39A3" w:rsidRDefault="002C39A3" w:rsidP="00361FA9">
      <w:pPr>
        <w:pStyle w:val="Tableheading"/>
      </w:pPr>
      <w:r>
        <w:t>Table 2.18:</w:t>
      </w:r>
      <w:r>
        <w:tab/>
        <w:t>Net acquisition of non</w:t>
      </w:r>
      <w:r>
        <w:noBreakHyphen/>
        <w:t>financial assets – public financial corporations sector</w:t>
      </w:r>
    </w:p>
    <w:p w:rsidR="002C39A3" w:rsidRPr="00422B32" w:rsidRDefault="002C39A3" w:rsidP="00361FA9">
      <w:pPr>
        <w:pStyle w:val="million"/>
        <w:rPr>
          <w:b/>
          <w:bCs/>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697FCC" w:rsidRPr="00422B32" w:rsidTr="006042B2">
        <w:trPr>
          <w:trHeight w:val="464"/>
          <w:tblHeader/>
        </w:trPr>
        <w:tc>
          <w:tcPr>
            <w:tcW w:w="3515" w:type="dxa"/>
            <w:tcBorders>
              <w:right w:val="nil"/>
            </w:tcBorders>
            <w:shd w:val="solid" w:color="000000" w:fill="auto"/>
            <w:vAlign w:val="bottom"/>
          </w:tcPr>
          <w:p w:rsidR="00697FCC" w:rsidRPr="00422B32" w:rsidRDefault="00697FCC" w:rsidP="00697FCC">
            <w:pPr>
              <w:pStyle w:val="million"/>
              <w:jc w:val="left"/>
              <w:rPr>
                <w:rFonts w:eastAsiaTheme="minorEastAsia" w:cs="Calibri"/>
                <w:iCs/>
                <w:color w:val="FFFFFF"/>
                <w:sz w:val="19"/>
                <w:szCs w:val="19"/>
                <w:lang w:eastAsia="en-AU"/>
              </w:rPr>
            </w:pPr>
          </w:p>
        </w:tc>
        <w:tc>
          <w:tcPr>
            <w:tcW w:w="850" w:type="dxa"/>
            <w:tcBorders>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2015-16</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revised</w:t>
            </w:r>
          </w:p>
        </w:tc>
        <w:tc>
          <w:tcPr>
            <w:tcW w:w="850" w:type="dxa"/>
            <w:tcBorders>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2016-17</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budget</w:t>
            </w:r>
          </w:p>
        </w:tc>
        <w:tc>
          <w:tcPr>
            <w:tcW w:w="850" w:type="dxa"/>
            <w:tcBorders>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2017-18</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estimate</w:t>
            </w:r>
          </w:p>
        </w:tc>
        <w:tc>
          <w:tcPr>
            <w:tcW w:w="850" w:type="dxa"/>
            <w:tcBorders>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2018-19</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estimate</w:t>
            </w:r>
          </w:p>
        </w:tc>
        <w:tc>
          <w:tcPr>
            <w:tcW w:w="850" w:type="dxa"/>
            <w:tcBorders>
              <w:lef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2019-20</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estimate</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Purchases of non-financial assets less sales of non-financial assets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37</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44</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Less: depreciation</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(46)</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(39)</w:t>
            </w:r>
          </w:p>
        </w:tc>
      </w:tr>
      <w:tr w:rsidR="002C39A3" w:rsidRPr="00422B32" w:rsidTr="00361FA9">
        <w:tc>
          <w:tcPr>
            <w:tcW w:w="351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Plus: other movements in non-financial assets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3515" w:type="dxa"/>
            <w:tcBorders>
              <w:top w:val="single" w:sz="6" w:space="0" w:color="000000"/>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net acquisition of non-financial assets</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13</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(9)</w:t>
            </w:r>
          </w:p>
        </w:tc>
        <w:tc>
          <w:tcPr>
            <w:tcW w:w="850" w:type="dxa"/>
            <w:tcBorders>
              <w:top w:val="single" w:sz="6" w:space="0" w:color="000000"/>
              <w:left w:val="nil"/>
              <w:bottom w:val="single" w:sz="12" w:space="0" w:color="auto"/>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4</w:t>
            </w:r>
          </w:p>
        </w:tc>
      </w:tr>
    </w:tbl>
    <w:p w:rsidR="002C39A3" w:rsidRDefault="002C39A3" w:rsidP="00361FA9">
      <w:pPr>
        <w:pStyle w:val="Source"/>
      </w:pPr>
      <w:r>
        <w:t>So</w:t>
      </w:r>
      <w:r w:rsidRPr="00727E5A">
        <w:t>urce:</w:t>
      </w:r>
      <w:r w:rsidRPr="00912573">
        <w:rPr>
          <w:rStyle w:val="SourceChar"/>
        </w:rPr>
        <w:t xml:space="preserve"> </w:t>
      </w:r>
      <w:r w:rsidRPr="00727E5A">
        <w:t>Department of Treasury and Finance</w:t>
      </w:r>
    </w:p>
    <w:p w:rsidR="002C39A3" w:rsidRDefault="002C39A3" w:rsidP="00361FA9"/>
    <w:p w:rsidR="002C39A3" w:rsidRDefault="002C39A3">
      <w:pPr>
        <w:spacing w:after="0"/>
        <w:rPr>
          <w:rFonts w:ascii="Calibri" w:hAnsi="Calibri"/>
          <w:b/>
        </w:rPr>
      </w:pPr>
      <w:r>
        <w:br w:type="page"/>
      </w:r>
    </w:p>
    <w:p w:rsidR="002C39A3" w:rsidRDefault="002C39A3" w:rsidP="00361FA9">
      <w:pPr>
        <w:pStyle w:val="Tableheading"/>
      </w:pPr>
      <w:r>
        <w:t>Table 2.19:</w:t>
      </w:r>
      <w:r>
        <w:tab/>
        <w:t>State of Victoria operating statement for the financial year ended 30 June</w:t>
      </w:r>
      <w:r w:rsidRPr="00BF7B5A">
        <w:rPr>
          <w:vertAlign w:val="superscript"/>
        </w:rPr>
        <w:t>(a)</w:t>
      </w:r>
    </w:p>
    <w:p w:rsidR="002C39A3" w:rsidRPr="00422B32" w:rsidRDefault="002C39A3" w:rsidP="00361FA9">
      <w:pPr>
        <w:pStyle w:val="million"/>
        <w:rPr>
          <w:b/>
          <w:bCs/>
          <w:sz w:val="15"/>
          <w:lang w:val="en-US"/>
        </w:rPr>
      </w:pPr>
      <w:r w:rsidRPr="008F1289">
        <w:t>($ mi</w:t>
      </w:r>
      <w:r w:rsidRPr="008F1289">
        <w:rPr>
          <w:rStyle w:val="millionChar"/>
          <w:i/>
        </w:rPr>
        <w:t>l</w:t>
      </w:r>
      <w:r w:rsidRPr="008F1289">
        <w:t>lion)</w:t>
      </w:r>
    </w:p>
    <w:tbl>
      <w:tblPr>
        <w:tblW w:w="7765" w:type="dxa"/>
        <w:tblInd w:w="45" w:type="dxa"/>
        <w:tblLayout w:type="fixed"/>
        <w:tblCellMar>
          <w:left w:w="45" w:type="dxa"/>
          <w:right w:w="45" w:type="dxa"/>
        </w:tblCellMar>
        <w:tblLook w:val="0000" w:firstRow="0" w:lastRow="0" w:firstColumn="0" w:lastColumn="0" w:noHBand="0" w:noVBand="0"/>
      </w:tblPr>
      <w:tblGrid>
        <w:gridCol w:w="3514"/>
        <w:gridCol w:w="850"/>
        <w:gridCol w:w="850"/>
        <w:gridCol w:w="850"/>
        <w:gridCol w:w="851"/>
        <w:gridCol w:w="850"/>
      </w:tblGrid>
      <w:tr w:rsidR="00697FCC" w:rsidRPr="00422B32" w:rsidTr="006042B2">
        <w:trPr>
          <w:trHeight w:val="439"/>
          <w:tblHeader/>
        </w:trPr>
        <w:tc>
          <w:tcPr>
            <w:tcW w:w="3514" w:type="dxa"/>
            <w:tcBorders>
              <w:top w:val="nil"/>
              <w:left w:val="nil"/>
              <w:right w:val="nil"/>
            </w:tcBorders>
            <w:shd w:val="solid" w:color="000000" w:fill="auto"/>
            <w:vAlign w:val="bottom"/>
          </w:tcPr>
          <w:p w:rsidR="00697FCC" w:rsidRPr="00422B32" w:rsidRDefault="00697FCC" w:rsidP="00697FCC">
            <w:pPr>
              <w:pStyle w:val="Notes"/>
              <w:ind w:left="0" w:firstLine="0"/>
              <w:rPr>
                <w:rFonts w:eastAsiaTheme="minorEastAsia" w:cs="Calibri"/>
                <w:iCs/>
                <w:color w:val="FFFFFF"/>
                <w:sz w:val="18"/>
                <w:szCs w:val="19"/>
                <w:lang w:eastAsia="en-AU"/>
              </w:rPr>
            </w:pPr>
          </w:p>
        </w:tc>
        <w:tc>
          <w:tcPr>
            <w:tcW w:w="850" w:type="dxa"/>
            <w:tcBorders>
              <w:top w:val="nil"/>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422B32">
              <w:rPr>
                <w:rFonts w:ascii="Calibri" w:eastAsiaTheme="minorEastAsia" w:hAnsi="Calibri" w:cs="Calibri"/>
                <w:i/>
                <w:iCs/>
                <w:color w:val="FFFFFF"/>
                <w:sz w:val="18"/>
                <w:szCs w:val="19"/>
                <w:lang w:eastAsia="en-AU"/>
              </w:rPr>
              <w:t xml:space="preserve">2015-16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422B32">
              <w:rPr>
                <w:rFonts w:ascii="Calibri" w:eastAsiaTheme="minorEastAsia" w:hAnsi="Calibri" w:cs="Calibri"/>
                <w:i/>
                <w:iCs/>
                <w:color w:val="FFFFFF"/>
                <w:sz w:val="18"/>
                <w:szCs w:val="19"/>
                <w:lang w:eastAsia="en-AU"/>
              </w:rPr>
              <w:t xml:space="preserve"> revised</w:t>
            </w:r>
          </w:p>
        </w:tc>
        <w:tc>
          <w:tcPr>
            <w:tcW w:w="850" w:type="dxa"/>
            <w:tcBorders>
              <w:top w:val="nil"/>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422B32">
              <w:rPr>
                <w:rFonts w:ascii="Calibri" w:eastAsiaTheme="minorEastAsia" w:hAnsi="Calibri" w:cs="Calibri"/>
                <w:i/>
                <w:iCs/>
                <w:color w:val="FFFFFF"/>
                <w:sz w:val="18"/>
                <w:szCs w:val="19"/>
                <w:lang w:eastAsia="en-AU"/>
              </w:rPr>
              <w:t xml:space="preserve">2016-17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422B32">
              <w:rPr>
                <w:rFonts w:ascii="Calibri" w:eastAsiaTheme="minorEastAsia" w:hAnsi="Calibri" w:cs="Calibri"/>
                <w:i/>
                <w:iCs/>
                <w:color w:val="FFFFFF"/>
                <w:sz w:val="18"/>
                <w:szCs w:val="19"/>
                <w:lang w:eastAsia="en-AU"/>
              </w:rPr>
              <w:t xml:space="preserve"> budget</w:t>
            </w:r>
          </w:p>
        </w:tc>
        <w:tc>
          <w:tcPr>
            <w:tcW w:w="850" w:type="dxa"/>
            <w:tcBorders>
              <w:top w:val="nil"/>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422B32">
              <w:rPr>
                <w:rFonts w:ascii="Calibri" w:eastAsiaTheme="minorEastAsia" w:hAnsi="Calibri" w:cs="Calibri"/>
                <w:i/>
                <w:iCs/>
                <w:color w:val="FFFFFF"/>
                <w:sz w:val="18"/>
                <w:szCs w:val="19"/>
                <w:lang w:eastAsia="en-AU"/>
              </w:rPr>
              <w:t xml:space="preserve">2017-18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422B32">
              <w:rPr>
                <w:rFonts w:ascii="Calibri" w:eastAsiaTheme="minorEastAsia" w:hAnsi="Calibri" w:cs="Calibri"/>
                <w:i/>
                <w:iCs/>
                <w:color w:val="FFFFFF"/>
                <w:sz w:val="18"/>
                <w:szCs w:val="19"/>
                <w:lang w:eastAsia="en-AU"/>
              </w:rPr>
              <w:t xml:space="preserve"> estimate</w:t>
            </w:r>
          </w:p>
        </w:tc>
        <w:tc>
          <w:tcPr>
            <w:tcW w:w="851" w:type="dxa"/>
            <w:tcBorders>
              <w:top w:val="nil"/>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422B32">
              <w:rPr>
                <w:rFonts w:ascii="Calibri" w:eastAsiaTheme="minorEastAsia" w:hAnsi="Calibri" w:cs="Calibri"/>
                <w:i/>
                <w:iCs/>
                <w:color w:val="FFFFFF"/>
                <w:sz w:val="18"/>
                <w:szCs w:val="19"/>
                <w:lang w:eastAsia="en-AU"/>
              </w:rPr>
              <w:t xml:space="preserve">2018-19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422B32">
              <w:rPr>
                <w:rFonts w:ascii="Calibri" w:eastAsiaTheme="minorEastAsia" w:hAnsi="Calibri" w:cs="Calibri"/>
                <w:i/>
                <w:iCs/>
                <w:color w:val="FFFFFF"/>
                <w:sz w:val="18"/>
                <w:szCs w:val="19"/>
                <w:lang w:eastAsia="en-AU"/>
              </w:rPr>
              <w:t xml:space="preserve"> estimate</w:t>
            </w:r>
          </w:p>
        </w:tc>
        <w:tc>
          <w:tcPr>
            <w:tcW w:w="850" w:type="dxa"/>
            <w:tcBorders>
              <w:top w:val="nil"/>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422B32">
              <w:rPr>
                <w:rFonts w:ascii="Calibri" w:eastAsiaTheme="minorEastAsia" w:hAnsi="Calibri" w:cs="Calibri"/>
                <w:i/>
                <w:iCs/>
                <w:color w:val="FFFFFF"/>
                <w:sz w:val="18"/>
                <w:szCs w:val="19"/>
                <w:lang w:eastAsia="en-AU"/>
              </w:rPr>
              <w:t xml:space="preserve">2019-20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8"/>
                <w:szCs w:val="19"/>
                <w:lang w:eastAsia="en-AU"/>
              </w:rPr>
            </w:pPr>
            <w:r w:rsidRPr="00422B32">
              <w:rPr>
                <w:rFonts w:ascii="Calibri" w:eastAsiaTheme="minorEastAsia" w:hAnsi="Calibri" w:cs="Calibri"/>
                <w:i/>
                <w:iCs/>
                <w:color w:val="FFFFFF"/>
                <w:sz w:val="18"/>
                <w:szCs w:val="19"/>
                <w:lang w:eastAsia="en-AU"/>
              </w:rPr>
              <w:t xml:space="preserve"> estimate</w:t>
            </w:r>
          </w:p>
        </w:tc>
      </w:tr>
      <w:tr w:rsidR="00697FCC" w:rsidRPr="00422B32" w:rsidTr="006042B2">
        <w:tc>
          <w:tcPr>
            <w:tcW w:w="7765" w:type="dxa"/>
            <w:gridSpan w:val="6"/>
            <w:tcBorders>
              <w:top w:val="nil"/>
              <w:left w:val="nil"/>
              <w:right w:val="nil"/>
            </w:tcBorders>
            <w:shd w:val="clear" w:color="auto" w:fill="FFFFFF"/>
          </w:tcPr>
          <w:p w:rsidR="00697FCC" w:rsidRPr="00422B32" w:rsidRDefault="00697FCC" w:rsidP="00697FCC">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Revenue from transactions</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Taxation revenue</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19 644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21 200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20 913</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22 030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22 901</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Interest revenue</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583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753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831</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825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854</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Dividends and income tax equivalent and rate equivalent revenue</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1 303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1 079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1 163</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1 146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1 192</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Sales of goods and services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14 192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14 425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14 904</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15 300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15 592</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Grant revenue</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25 244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27 256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27 931</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28 710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29 835</w:t>
            </w:r>
          </w:p>
        </w:tc>
      </w:tr>
      <w:tr w:rsidR="002C39A3" w:rsidRPr="00422B32" w:rsidTr="00361FA9">
        <w:tc>
          <w:tcPr>
            <w:tcW w:w="3514"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Other revenue</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3 471</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3 072</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2 829</w:t>
            </w:r>
          </w:p>
        </w:tc>
        <w:tc>
          <w:tcPr>
            <w:tcW w:w="851"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2 848</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2 902</w:t>
            </w:r>
          </w:p>
        </w:tc>
      </w:tr>
      <w:tr w:rsidR="002C39A3" w:rsidRPr="00422B32" w:rsidTr="00361FA9">
        <w:tc>
          <w:tcPr>
            <w:tcW w:w="3514"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Total revenue from transactions</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64 438</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67 786</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68 572</w:t>
            </w:r>
          </w:p>
        </w:tc>
        <w:tc>
          <w:tcPr>
            <w:tcW w:w="851"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70 860</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73 275</w:t>
            </w:r>
          </w:p>
        </w:tc>
      </w:tr>
      <w:tr w:rsidR="00697FCC" w:rsidRPr="00422B32" w:rsidTr="006042B2">
        <w:tc>
          <w:tcPr>
            <w:tcW w:w="7765" w:type="dxa"/>
            <w:gridSpan w:val="6"/>
            <w:tcBorders>
              <w:top w:val="nil"/>
              <w:left w:val="nil"/>
              <w:right w:val="nil"/>
            </w:tcBorders>
            <w:shd w:val="clear" w:color="auto" w:fill="FFFFFF"/>
          </w:tcPr>
          <w:p w:rsidR="00697FCC" w:rsidRPr="00422B32" w:rsidRDefault="00697FCC" w:rsidP="00697FCC">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Expenses from transactions</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Employee expenses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21 124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22 368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23 204</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24 111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24 827</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Net superannuation interest expense</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878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791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769</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745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720</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Other superannuation</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2 250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2 362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2 379</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2 411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2 452</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Depreciation</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4 665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4 911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5 087</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5 443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5 642</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Interest expense</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2 757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2 979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2 740</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2 789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2 745</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Grant expense</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5 532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6 496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6 470</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6 751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6 841</w:t>
            </w:r>
          </w:p>
        </w:tc>
      </w:tr>
      <w:tr w:rsidR="002C39A3" w:rsidRPr="00422B32" w:rsidTr="00361FA9">
        <w:tc>
          <w:tcPr>
            <w:tcW w:w="3514"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Other operating expenses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26 425</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27 505</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28 618</w:t>
            </w:r>
          </w:p>
        </w:tc>
        <w:tc>
          <w:tcPr>
            <w:tcW w:w="851"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28 624</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29 444</w:t>
            </w:r>
          </w:p>
        </w:tc>
      </w:tr>
      <w:tr w:rsidR="002C39A3" w:rsidRPr="00422B32" w:rsidTr="00361FA9">
        <w:tc>
          <w:tcPr>
            <w:tcW w:w="3514"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Total expenses from transactions</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63 631</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67 412</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69 267</w:t>
            </w:r>
          </w:p>
        </w:tc>
        <w:tc>
          <w:tcPr>
            <w:tcW w:w="851"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70 874</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72 671</w:t>
            </w:r>
          </w:p>
        </w:tc>
      </w:tr>
      <w:tr w:rsidR="002C39A3" w:rsidRPr="00422B32" w:rsidTr="00361FA9">
        <w:tc>
          <w:tcPr>
            <w:tcW w:w="3514"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 xml:space="preserve">Net result from transactions – </w:t>
            </w:r>
            <w:r w:rsidR="00697FCC">
              <w:rPr>
                <w:rFonts w:ascii="Calibri" w:eastAsiaTheme="minorEastAsia" w:hAnsi="Calibri" w:cs="Calibri"/>
                <w:b/>
                <w:bCs/>
                <w:color w:val="000000"/>
                <w:sz w:val="18"/>
                <w:szCs w:val="19"/>
                <w:lang w:eastAsia="en-AU"/>
              </w:rPr>
              <w:br/>
            </w:r>
            <w:r w:rsidRPr="00422B32">
              <w:rPr>
                <w:rFonts w:ascii="Calibri" w:eastAsiaTheme="minorEastAsia" w:hAnsi="Calibri" w:cs="Calibri"/>
                <w:b/>
                <w:bCs/>
                <w:color w:val="000000"/>
                <w:sz w:val="18"/>
                <w:szCs w:val="19"/>
                <w:lang w:eastAsia="en-AU"/>
              </w:rPr>
              <w:t>net operating balance</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807</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374</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(696)</w:t>
            </w:r>
          </w:p>
        </w:tc>
        <w:tc>
          <w:tcPr>
            <w:tcW w:w="851"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(14)</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604</w:t>
            </w:r>
          </w:p>
        </w:tc>
      </w:tr>
      <w:tr w:rsidR="002C39A3" w:rsidRPr="00422B32" w:rsidTr="00361FA9">
        <w:tc>
          <w:tcPr>
            <w:tcW w:w="3514" w:type="dxa"/>
            <w:tcBorders>
              <w:top w:val="single" w:sz="12"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Total other</w:t>
            </w:r>
            <w:r w:rsidR="00697FCC">
              <w:rPr>
                <w:rFonts w:ascii="Calibri" w:eastAsiaTheme="minorEastAsia" w:hAnsi="Calibri" w:cs="Calibri"/>
                <w:b/>
                <w:bCs/>
                <w:color w:val="000000"/>
                <w:sz w:val="18"/>
                <w:szCs w:val="19"/>
                <w:lang w:eastAsia="en-AU"/>
              </w:rPr>
              <w:t xml:space="preserve"> economic flows included in net </w:t>
            </w:r>
            <w:r w:rsidRPr="00422B32">
              <w:rPr>
                <w:rFonts w:ascii="Calibri" w:eastAsiaTheme="minorEastAsia" w:hAnsi="Calibri" w:cs="Calibri"/>
                <w:b/>
                <w:bCs/>
                <w:color w:val="000000"/>
                <w:sz w:val="18"/>
                <w:szCs w:val="19"/>
                <w:lang w:eastAsia="en-AU"/>
              </w:rPr>
              <w:t>result</w:t>
            </w:r>
          </w:p>
        </w:tc>
        <w:tc>
          <w:tcPr>
            <w:tcW w:w="850" w:type="dxa"/>
            <w:tcBorders>
              <w:top w:val="single" w:sz="12"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249</w:t>
            </w:r>
          </w:p>
        </w:tc>
        <w:tc>
          <w:tcPr>
            <w:tcW w:w="850" w:type="dxa"/>
            <w:tcBorders>
              <w:top w:val="single" w:sz="12"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1 191</w:t>
            </w:r>
          </w:p>
        </w:tc>
        <w:tc>
          <w:tcPr>
            <w:tcW w:w="850" w:type="dxa"/>
            <w:tcBorders>
              <w:top w:val="single" w:sz="12"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1 818</w:t>
            </w:r>
          </w:p>
        </w:tc>
        <w:tc>
          <w:tcPr>
            <w:tcW w:w="851" w:type="dxa"/>
            <w:tcBorders>
              <w:top w:val="single" w:sz="12"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1 493</w:t>
            </w:r>
          </w:p>
        </w:tc>
        <w:tc>
          <w:tcPr>
            <w:tcW w:w="850" w:type="dxa"/>
            <w:tcBorders>
              <w:top w:val="single" w:sz="12"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1 518</w:t>
            </w:r>
          </w:p>
        </w:tc>
      </w:tr>
      <w:tr w:rsidR="002C39A3" w:rsidRPr="00422B32" w:rsidTr="00361FA9">
        <w:tc>
          <w:tcPr>
            <w:tcW w:w="3514"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Net result</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1 056</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1 564</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1 122</w:t>
            </w:r>
          </w:p>
        </w:tc>
        <w:tc>
          <w:tcPr>
            <w:tcW w:w="851"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1 479</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2 122</w:t>
            </w:r>
          </w:p>
        </w:tc>
      </w:tr>
      <w:tr w:rsidR="00697FCC" w:rsidRPr="00422B32" w:rsidTr="006042B2">
        <w:tc>
          <w:tcPr>
            <w:tcW w:w="7765" w:type="dxa"/>
            <w:gridSpan w:val="6"/>
            <w:tcBorders>
              <w:top w:val="single" w:sz="12" w:space="0" w:color="000000"/>
              <w:left w:val="nil"/>
              <w:right w:val="nil"/>
            </w:tcBorders>
            <w:shd w:val="clear" w:color="auto" w:fill="FFFFFF"/>
          </w:tcPr>
          <w:p w:rsidR="00697FCC" w:rsidRPr="00422B32" w:rsidRDefault="00697FCC" w:rsidP="00697FCC">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Other economic flows – other comprehensive income</w:t>
            </w:r>
          </w:p>
        </w:tc>
      </w:tr>
      <w:tr w:rsidR="00697FCC" w:rsidRPr="00422B32" w:rsidTr="006042B2">
        <w:tc>
          <w:tcPr>
            <w:tcW w:w="7765" w:type="dxa"/>
            <w:gridSpan w:val="6"/>
            <w:tcBorders>
              <w:top w:val="nil"/>
              <w:left w:val="nil"/>
              <w:right w:val="nil"/>
            </w:tcBorders>
            <w:shd w:val="clear" w:color="auto" w:fill="FFFFFF"/>
          </w:tcPr>
          <w:p w:rsidR="00697FCC" w:rsidRPr="00422B32" w:rsidRDefault="00697FCC" w:rsidP="00697FCC">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Items that will not be reclassified to net result</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Changes in non-financial assets revaluation surplus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2 499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2 790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7 093</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2 207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7 438</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Remeasurement of superannuation defined benefit plans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(1 796)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873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887</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899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910</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Other movements in equity</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29</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187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5</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33</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21</w:t>
            </w:r>
          </w:p>
        </w:tc>
      </w:tr>
      <w:tr w:rsidR="00697FCC" w:rsidRPr="00422B32" w:rsidTr="006042B2">
        <w:tc>
          <w:tcPr>
            <w:tcW w:w="7765" w:type="dxa"/>
            <w:gridSpan w:val="6"/>
            <w:tcBorders>
              <w:top w:val="nil"/>
              <w:left w:val="nil"/>
              <w:right w:val="nil"/>
            </w:tcBorders>
            <w:shd w:val="clear" w:color="auto" w:fill="FFFFFF"/>
          </w:tcPr>
          <w:p w:rsidR="00697FCC" w:rsidRPr="00422B32" w:rsidRDefault="00697FCC" w:rsidP="00697FCC">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Items that may be reclassified subsequently to net result</w:t>
            </w:r>
          </w:p>
        </w:tc>
      </w:tr>
      <w:tr w:rsidR="002C39A3" w:rsidRPr="00422B32" w:rsidTr="00361FA9">
        <w:tc>
          <w:tcPr>
            <w:tcW w:w="3514"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Net gain/(loss) on financial assets at fair value</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9</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5</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6</w:t>
            </w:r>
          </w:p>
        </w:tc>
        <w:tc>
          <w:tcPr>
            <w:tcW w:w="851"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3</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(4)</w:t>
            </w:r>
          </w:p>
        </w:tc>
      </w:tr>
      <w:tr w:rsidR="002C39A3" w:rsidRPr="00422B32" w:rsidTr="00361FA9">
        <w:tc>
          <w:tcPr>
            <w:tcW w:w="3514"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 xml:space="preserve">Total other economic flows – </w:t>
            </w:r>
            <w:r w:rsidR="00697FCC">
              <w:rPr>
                <w:rFonts w:ascii="Calibri" w:eastAsiaTheme="minorEastAsia" w:hAnsi="Calibri" w:cs="Calibri"/>
                <w:b/>
                <w:bCs/>
                <w:color w:val="000000"/>
                <w:sz w:val="18"/>
                <w:szCs w:val="19"/>
                <w:lang w:eastAsia="en-AU"/>
              </w:rPr>
              <w:br/>
            </w:r>
            <w:r w:rsidRPr="00422B32">
              <w:rPr>
                <w:rFonts w:ascii="Calibri" w:eastAsiaTheme="minorEastAsia" w:hAnsi="Calibri" w:cs="Calibri"/>
                <w:b/>
                <w:bCs/>
                <w:color w:val="000000"/>
                <w:sz w:val="18"/>
                <w:szCs w:val="19"/>
                <w:lang w:eastAsia="en-AU"/>
              </w:rPr>
              <w:t>other comprehensive income</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742</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3 855</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7 991</w:t>
            </w:r>
          </w:p>
        </w:tc>
        <w:tc>
          <w:tcPr>
            <w:tcW w:w="851"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3 142</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8 365</w:t>
            </w:r>
          </w:p>
        </w:tc>
      </w:tr>
      <w:tr w:rsidR="002C39A3" w:rsidRPr="00422B32" w:rsidTr="00361FA9">
        <w:tc>
          <w:tcPr>
            <w:tcW w:w="3514"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 xml:space="preserve">Comprehensive result – </w:t>
            </w:r>
            <w:r w:rsidR="00697FCC">
              <w:rPr>
                <w:rFonts w:ascii="Calibri" w:eastAsiaTheme="minorEastAsia" w:hAnsi="Calibri" w:cs="Calibri"/>
                <w:b/>
                <w:bCs/>
                <w:color w:val="000000"/>
                <w:sz w:val="18"/>
                <w:szCs w:val="19"/>
                <w:lang w:eastAsia="en-AU"/>
              </w:rPr>
              <w:br/>
            </w:r>
            <w:r w:rsidRPr="00422B32">
              <w:rPr>
                <w:rFonts w:ascii="Calibri" w:eastAsiaTheme="minorEastAsia" w:hAnsi="Calibri" w:cs="Calibri"/>
                <w:b/>
                <w:bCs/>
                <w:color w:val="000000"/>
                <w:sz w:val="18"/>
                <w:szCs w:val="19"/>
                <w:lang w:eastAsia="en-AU"/>
              </w:rPr>
              <w:t>total change in net worth</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1 797</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5 420</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9 113</w:t>
            </w:r>
          </w:p>
        </w:tc>
        <w:tc>
          <w:tcPr>
            <w:tcW w:w="851"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4 620</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10 487</w:t>
            </w:r>
          </w:p>
        </w:tc>
      </w:tr>
      <w:tr w:rsidR="00697FCC" w:rsidRPr="00422B32" w:rsidTr="006042B2">
        <w:trPr>
          <w:trHeight w:hRule="exact" w:val="120"/>
        </w:trPr>
        <w:tc>
          <w:tcPr>
            <w:tcW w:w="7765" w:type="dxa"/>
            <w:gridSpan w:val="6"/>
            <w:tcBorders>
              <w:top w:val="single" w:sz="12" w:space="0" w:color="000000"/>
              <w:left w:val="nil"/>
              <w:right w:val="nil"/>
            </w:tcBorders>
            <w:shd w:val="clear" w:color="auto" w:fill="FFFFFF"/>
          </w:tcPr>
          <w:p w:rsidR="00697FCC" w:rsidRPr="00422B32" w:rsidRDefault="00697FCC" w:rsidP="00361FA9">
            <w:pPr>
              <w:autoSpaceDE w:val="0"/>
              <w:autoSpaceDN w:val="0"/>
              <w:adjustRightInd w:val="0"/>
              <w:spacing w:after="0"/>
              <w:jc w:val="right"/>
              <w:rPr>
                <w:rFonts w:ascii="Calibri" w:eastAsiaTheme="minorEastAsia" w:hAnsi="Calibri" w:cs="Calibri"/>
                <w:color w:val="000000"/>
                <w:sz w:val="18"/>
                <w:szCs w:val="19"/>
                <w:lang w:eastAsia="en-AU"/>
              </w:rPr>
            </w:pPr>
          </w:p>
        </w:tc>
      </w:tr>
      <w:tr w:rsidR="00697FCC" w:rsidRPr="00422B32" w:rsidTr="006042B2">
        <w:tc>
          <w:tcPr>
            <w:tcW w:w="7765" w:type="dxa"/>
            <w:gridSpan w:val="6"/>
            <w:tcBorders>
              <w:top w:val="nil"/>
              <w:left w:val="nil"/>
              <w:right w:val="nil"/>
            </w:tcBorders>
            <w:shd w:val="clear" w:color="auto" w:fill="FFFFFF"/>
          </w:tcPr>
          <w:p w:rsidR="00697FCC" w:rsidRPr="00422B32" w:rsidRDefault="00697FCC" w:rsidP="00697FCC">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KEY FISCAL AGGREGATES</w:t>
            </w:r>
          </w:p>
        </w:tc>
      </w:tr>
      <w:tr w:rsidR="002C39A3" w:rsidRPr="00422B32" w:rsidTr="00361FA9">
        <w:tc>
          <w:tcPr>
            <w:tcW w:w="3514"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Net operating balance</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807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374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(696)</w:t>
            </w:r>
          </w:p>
        </w:tc>
        <w:tc>
          <w:tcPr>
            <w:tcW w:w="85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604</w:t>
            </w:r>
          </w:p>
        </w:tc>
      </w:tr>
      <w:tr w:rsidR="002C39A3" w:rsidRPr="00422B32" w:rsidTr="00361FA9">
        <w:tc>
          <w:tcPr>
            <w:tcW w:w="3514"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Less: Net acquisition of non-financial assets from transactions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2 424</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4 384</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4 287</w:t>
            </w:r>
          </w:p>
        </w:tc>
        <w:tc>
          <w:tcPr>
            <w:tcW w:w="851"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3 590</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8"/>
                <w:szCs w:val="19"/>
                <w:lang w:eastAsia="en-AU"/>
              </w:rPr>
            </w:pPr>
            <w:r w:rsidRPr="00422B32">
              <w:rPr>
                <w:rFonts w:ascii="Calibri" w:eastAsiaTheme="minorEastAsia" w:hAnsi="Calibri" w:cs="Calibri"/>
                <w:color w:val="000000"/>
                <w:sz w:val="18"/>
                <w:szCs w:val="19"/>
                <w:lang w:eastAsia="en-AU"/>
              </w:rPr>
              <w:t>2 256</w:t>
            </w:r>
          </w:p>
        </w:tc>
      </w:tr>
      <w:tr w:rsidR="002C39A3" w:rsidRPr="00422B32" w:rsidTr="00361FA9">
        <w:tc>
          <w:tcPr>
            <w:tcW w:w="3514"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Net lending/(borrowing)</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(1 617)</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(4 010)</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(4 983)</w:t>
            </w:r>
          </w:p>
        </w:tc>
        <w:tc>
          <w:tcPr>
            <w:tcW w:w="851"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(3 604)</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8"/>
                <w:szCs w:val="19"/>
                <w:lang w:eastAsia="en-AU"/>
              </w:rPr>
            </w:pPr>
            <w:r w:rsidRPr="00422B32">
              <w:rPr>
                <w:rFonts w:ascii="Calibri" w:eastAsiaTheme="minorEastAsia" w:hAnsi="Calibri" w:cs="Calibri"/>
                <w:b/>
                <w:bCs/>
                <w:color w:val="000000"/>
                <w:sz w:val="18"/>
                <w:szCs w:val="19"/>
                <w:lang w:eastAsia="en-AU"/>
              </w:rPr>
              <w:t>(1 652)</w:t>
            </w:r>
          </w:p>
        </w:tc>
      </w:tr>
    </w:tbl>
    <w:p w:rsidR="002C39A3" w:rsidRDefault="002C39A3" w:rsidP="00361FA9">
      <w:pPr>
        <w:pStyle w:val="Source"/>
      </w:pPr>
      <w:r>
        <w:t>So</w:t>
      </w:r>
      <w:r w:rsidRPr="00727E5A">
        <w:t>urce: Department of Treasury and Finance</w:t>
      </w:r>
    </w:p>
    <w:p w:rsidR="002C39A3" w:rsidRDefault="002C39A3" w:rsidP="00361FA9">
      <w:pPr>
        <w:pStyle w:val="Notes"/>
      </w:pPr>
      <w:r>
        <w:t>Note:</w:t>
      </w:r>
    </w:p>
    <w:p w:rsidR="002C39A3" w:rsidRPr="0039274F" w:rsidRDefault="002C39A3" w:rsidP="00361FA9">
      <w:pPr>
        <w:pStyle w:val="Notes"/>
      </w:pPr>
      <w:r>
        <w:t>(a)</w:t>
      </w:r>
      <w:r>
        <w:tab/>
        <w:t>Certain line items have been aggregated in the table above due to the commercial sensitivities of certain balances</w:t>
      </w:r>
      <w:r w:rsidRPr="0039274F">
        <w:t>.</w:t>
      </w:r>
    </w:p>
    <w:p w:rsidR="002C39A3" w:rsidRDefault="002C39A3" w:rsidP="00361FA9">
      <w:pPr>
        <w:pStyle w:val="Tableheading"/>
      </w:pPr>
      <w:r>
        <w:t>Table 2.20:</w:t>
      </w:r>
      <w:r>
        <w:tab/>
        <w:t>State of Victoria balance sheet as at 30 June</w:t>
      </w:r>
    </w:p>
    <w:p w:rsidR="002C39A3" w:rsidRPr="00422B32" w:rsidRDefault="002C39A3" w:rsidP="00361FA9">
      <w:pPr>
        <w:pStyle w:val="million"/>
        <w:rPr>
          <w:b/>
          <w:bCs/>
          <w:lang w:val="en-US"/>
        </w:rPr>
      </w:pPr>
      <w:r>
        <w:t>($ million)</w:t>
      </w:r>
    </w:p>
    <w:tbl>
      <w:tblPr>
        <w:tblW w:w="7774"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3"/>
        <w:gridCol w:w="853"/>
        <w:gridCol w:w="853"/>
      </w:tblGrid>
      <w:tr w:rsidR="00697FCC" w:rsidRPr="00422B32" w:rsidTr="006042B2">
        <w:trPr>
          <w:trHeight w:val="464"/>
          <w:tblHeader/>
        </w:trPr>
        <w:tc>
          <w:tcPr>
            <w:tcW w:w="3515" w:type="dxa"/>
            <w:tcBorders>
              <w:right w:val="nil"/>
            </w:tcBorders>
            <w:shd w:val="solid" w:color="000000" w:fill="auto"/>
            <w:vAlign w:val="bottom"/>
          </w:tcPr>
          <w:p w:rsidR="00697FCC" w:rsidRPr="00422B32" w:rsidRDefault="00697FCC" w:rsidP="00361FA9">
            <w:pPr>
              <w:autoSpaceDE w:val="0"/>
              <w:autoSpaceDN w:val="0"/>
              <w:adjustRightInd w:val="0"/>
              <w:spacing w:after="0"/>
              <w:rPr>
                <w:rFonts w:eastAsiaTheme="minorEastAsia" w:cs="Calibri"/>
                <w:iCs/>
                <w:color w:val="FFFFFF"/>
                <w:sz w:val="19"/>
                <w:szCs w:val="19"/>
                <w:lang w:eastAsia="en-AU"/>
              </w:rPr>
            </w:pPr>
          </w:p>
        </w:tc>
        <w:tc>
          <w:tcPr>
            <w:tcW w:w="850" w:type="dxa"/>
            <w:tcBorders>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2016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revised</w:t>
            </w:r>
          </w:p>
        </w:tc>
        <w:tc>
          <w:tcPr>
            <w:tcW w:w="850" w:type="dxa"/>
            <w:tcBorders>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2017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budget</w:t>
            </w:r>
          </w:p>
        </w:tc>
        <w:tc>
          <w:tcPr>
            <w:tcW w:w="853" w:type="dxa"/>
            <w:tcBorders>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2018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3" w:type="dxa"/>
            <w:tcBorders>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2019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3" w:type="dxa"/>
            <w:tcBorders>
              <w:lef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2020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r>
      <w:tr w:rsidR="00697FCC" w:rsidRPr="00422B32" w:rsidTr="006042B2">
        <w:tc>
          <w:tcPr>
            <w:tcW w:w="7774" w:type="dxa"/>
            <w:gridSpan w:val="6"/>
            <w:tcBorders>
              <w:top w:val="nil"/>
            </w:tcBorders>
            <w:shd w:val="clear" w:color="auto" w:fill="FFFFFF"/>
          </w:tcPr>
          <w:p w:rsidR="00697FCC" w:rsidRPr="00422B32" w:rsidRDefault="00697FCC" w:rsidP="00697FCC">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Assets</w:t>
            </w:r>
          </w:p>
        </w:tc>
      </w:tr>
      <w:tr w:rsidR="00697FCC" w:rsidRPr="00422B32" w:rsidTr="006042B2">
        <w:tc>
          <w:tcPr>
            <w:tcW w:w="7774" w:type="dxa"/>
            <w:gridSpan w:val="6"/>
            <w:tcBorders>
              <w:top w:val="nil"/>
            </w:tcBorders>
            <w:shd w:val="clear" w:color="auto" w:fill="FFFFFF"/>
          </w:tcPr>
          <w:p w:rsidR="00697FCC" w:rsidRPr="00422B32" w:rsidRDefault="00697FCC" w:rsidP="00697FCC">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Financial assets</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Cash and deposits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6 132</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6 571</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6 875</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7 338</w:t>
            </w:r>
          </w:p>
        </w:tc>
        <w:tc>
          <w:tcPr>
            <w:tcW w:w="853"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7 811</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Advances paid</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76</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69</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63</w:t>
            </w:r>
          </w:p>
        </w:tc>
        <w:tc>
          <w:tcPr>
            <w:tcW w:w="853"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56</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Receivables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7 027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7 285</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7 396</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7 692</w:t>
            </w:r>
          </w:p>
        </w:tc>
        <w:tc>
          <w:tcPr>
            <w:tcW w:w="853"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7 955</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Investments, loans and placements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34 948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36 378</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36 748</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37 405</w:t>
            </w:r>
          </w:p>
        </w:tc>
        <w:tc>
          <w:tcPr>
            <w:tcW w:w="853"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38 754</w:t>
            </w:r>
          </w:p>
        </w:tc>
      </w:tr>
      <w:tr w:rsidR="002C39A3" w:rsidRPr="00422B32" w:rsidTr="00361FA9">
        <w:tc>
          <w:tcPr>
            <w:tcW w:w="351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Investments accounted for using equity method</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2 021</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2 024</w:t>
            </w:r>
          </w:p>
        </w:tc>
        <w:tc>
          <w:tcPr>
            <w:tcW w:w="853"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2 028</w:t>
            </w:r>
          </w:p>
        </w:tc>
        <w:tc>
          <w:tcPr>
            <w:tcW w:w="853"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2 033</w:t>
            </w:r>
          </w:p>
        </w:tc>
        <w:tc>
          <w:tcPr>
            <w:tcW w:w="853"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2 034</w:t>
            </w:r>
          </w:p>
        </w:tc>
      </w:tr>
      <w:tr w:rsidR="002C39A3" w:rsidRPr="00422B32" w:rsidTr="00361FA9">
        <w:tc>
          <w:tcPr>
            <w:tcW w:w="3515" w:type="dxa"/>
            <w:tcBorders>
              <w:top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financial assets</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50 209</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52 334</w:t>
            </w:r>
          </w:p>
        </w:tc>
        <w:tc>
          <w:tcPr>
            <w:tcW w:w="853"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53 115</w:t>
            </w:r>
          </w:p>
        </w:tc>
        <w:tc>
          <w:tcPr>
            <w:tcW w:w="853"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54 531</w:t>
            </w:r>
          </w:p>
        </w:tc>
        <w:tc>
          <w:tcPr>
            <w:tcW w:w="853" w:type="dxa"/>
            <w:tcBorders>
              <w:top w:val="single" w:sz="6"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56 610</w:t>
            </w:r>
          </w:p>
        </w:tc>
      </w:tr>
      <w:tr w:rsidR="00697FCC" w:rsidRPr="00422B32" w:rsidTr="006042B2">
        <w:tc>
          <w:tcPr>
            <w:tcW w:w="7774" w:type="dxa"/>
            <w:gridSpan w:val="6"/>
            <w:tcBorders>
              <w:top w:val="nil"/>
            </w:tcBorders>
            <w:shd w:val="clear" w:color="auto" w:fill="FFFFFF"/>
          </w:tcPr>
          <w:p w:rsidR="00697FCC" w:rsidRPr="00422B32" w:rsidRDefault="00697FCC" w:rsidP="00697FCC">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Non-financial assets</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Inventories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595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761</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851</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951</w:t>
            </w:r>
          </w:p>
        </w:tc>
        <w:tc>
          <w:tcPr>
            <w:tcW w:w="853"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928</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Non-financial assets held for sale</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168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160</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150</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160</w:t>
            </w:r>
          </w:p>
        </w:tc>
        <w:tc>
          <w:tcPr>
            <w:tcW w:w="853"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155</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Land, buildings, infrastructure, plant and equipment</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211 915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218 892</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230 598</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236 625</w:t>
            </w:r>
          </w:p>
        </w:tc>
        <w:tc>
          <w:tcPr>
            <w:tcW w:w="853"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246 460</w:t>
            </w:r>
          </w:p>
        </w:tc>
      </w:tr>
      <w:tr w:rsidR="002C39A3" w:rsidRPr="00422B32" w:rsidTr="00361FA9">
        <w:tc>
          <w:tcPr>
            <w:tcW w:w="351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non-financial assets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2 208</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2 170</w:t>
            </w:r>
          </w:p>
        </w:tc>
        <w:tc>
          <w:tcPr>
            <w:tcW w:w="853"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2 063</w:t>
            </w:r>
          </w:p>
        </w:tc>
        <w:tc>
          <w:tcPr>
            <w:tcW w:w="853"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2 014</w:t>
            </w:r>
          </w:p>
        </w:tc>
        <w:tc>
          <w:tcPr>
            <w:tcW w:w="853"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1 927</w:t>
            </w:r>
          </w:p>
        </w:tc>
      </w:tr>
      <w:tr w:rsidR="002C39A3" w:rsidRPr="00422B32" w:rsidTr="00361FA9">
        <w:tc>
          <w:tcPr>
            <w:tcW w:w="3515" w:type="dxa"/>
            <w:tcBorders>
              <w:top w:val="single" w:sz="6" w:space="0" w:color="000000"/>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non-financial assets</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214 886</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221 983</w:t>
            </w:r>
          </w:p>
        </w:tc>
        <w:tc>
          <w:tcPr>
            <w:tcW w:w="853"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233 663</w:t>
            </w:r>
          </w:p>
        </w:tc>
        <w:tc>
          <w:tcPr>
            <w:tcW w:w="853"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239 752</w:t>
            </w:r>
          </w:p>
        </w:tc>
        <w:tc>
          <w:tcPr>
            <w:tcW w:w="853" w:type="dxa"/>
            <w:tcBorders>
              <w:top w:val="single" w:sz="6" w:space="0" w:color="000000"/>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249 470</w:t>
            </w:r>
          </w:p>
        </w:tc>
      </w:tr>
      <w:tr w:rsidR="002C39A3" w:rsidRPr="00422B32" w:rsidTr="00361FA9">
        <w:tc>
          <w:tcPr>
            <w:tcW w:w="3515" w:type="dxa"/>
            <w:tcBorders>
              <w:top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assets</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265 095</w:t>
            </w:r>
          </w:p>
        </w:tc>
        <w:tc>
          <w:tcPr>
            <w:tcW w:w="850"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274 317</w:t>
            </w:r>
          </w:p>
        </w:tc>
        <w:tc>
          <w:tcPr>
            <w:tcW w:w="853"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286 778</w:t>
            </w:r>
          </w:p>
        </w:tc>
        <w:tc>
          <w:tcPr>
            <w:tcW w:w="853" w:type="dxa"/>
            <w:tcBorders>
              <w:top w:val="single" w:sz="6"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294 283</w:t>
            </w:r>
          </w:p>
        </w:tc>
        <w:tc>
          <w:tcPr>
            <w:tcW w:w="853" w:type="dxa"/>
            <w:tcBorders>
              <w:top w:val="single" w:sz="6"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306 080</w:t>
            </w:r>
          </w:p>
        </w:tc>
      </w:tr>
      <w:tr w:rsidR="00697FCC" w:rsidRPr="00422B32" w:rsidTr="006042B2">
        <w:tc>
          <w:tcPr>
            <w:tcW w:w="7774" w:type="dxa"/>
            <w:gridSpan w:val="6"/>
            <w:tcBorders>
              <w:top w:val="nil"/>
            </w:tcBorders>
            <w:shd w:val="clear" w:color="auto" w:fill="FFFFFF"/>
          </w:tcPr>
          <w:p w:rsidR="00697FCC" w:rsidRPr="00422B32" w:rsidRDefault="00697FCC" w:rsidP="00697FCC">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Liabilities</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Deposits held and advances received</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2 245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2 247</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2 251</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2 253</w:t>
            </w:r>
          </w:p>
        </w:tc>
        <w:tc>
          <w:tcPr>
            <w:tcW w:w="853"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2 253</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Payables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7 407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12 969</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12 798</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12 687</w:t>
            </w:r>
          </w:p>
        </w:tc>
        <w:tc>
          <w:tcPr>
            <w:tcW w:w="853"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12 391</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Borrowings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51 734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49 070</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51 818</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53 986</w:t>
            </w:r>
          </w:p>
        </w:tc>
        <w:tc>
          <w:tcPr>
            <w:tcW w:w="853"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54 769</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Employee benefits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6 326</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6 716</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6 951</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7 212</w:t>
            </w:r>
          </w:p>
        </w:tc>
        <w:tc>
          <w:tcPr>
            <w:tcW w:w="853"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7 416</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Superannuation</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27 930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27 093</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26 208</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25 237</w:t>
            </w:r>
          </w:p>
        </w:tc>
        <w:tc>
          <w:tcPr>
            <w:tcW w:w="853"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24 230</w:t>
            </w:r>
          </w:p>
        </w:tc>
      </w:tr>
      <w:tr w:rsidR="002C39A3" w:rsidRPr="00422B32" w:rsidTr="00361FA9">
        <w:tc>
          <w:tcPr>
            <w:tcW w:w="351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provisions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27 821</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29 171</w:t>
            </w:r>
          </w:p>
        </w:tc>
        <w:tc>
          <w:tcPr>
            <w:tcW w:w="853"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30 588</w:t>
            </w:r>
          </w:p>
        </w:tc>
        <w:tc>
          <w:tcPr>
            <w:tcW w:w="853"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32 122</w:t>
            </w:r>
          </w:p>
        </w:tc>
        <w:tc>
          <w:tcPr>
            <w:tcW w:w="853"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33 748</w:t>
            </w:r>
          </w:p>
        </w:tc>
      </w:tr>
      <w:tr w:rsidR="002C39A3" w:rsidRPr="00422B32" w:rsidTr="00361FA9">
        <w:tc>
          <w:tcPr>
            <w:tcW w:w="3515" w:type="dxa"/>
            <w:tcBorders>
              <w:top w:val="single" w:sz="6" w:space="0" w:color="000000"/>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liabilities</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123 463</w:t>
            </w:r>
          </w:p>
        </w:tc>
        <w:tc>
          <w:tcPr>
            <w:tcW w:w="850"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127 265</w:t>
            </w:r>
          </w:p>
        </w:tc>
        <w:tc>
          <w:tcPr>
            <w:tcW w:w="853"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130 613</w:t>
            </w:r>
          </w:p>
        </w:tc>
        <w:tc>
          <w:tcPr>
            <w:tcW w:w="853" w:type="dxa"/>
            <w:tcBorders>
              <w:top w:val="single" w:sz="6" w:space="0" w:color="000000"/>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133 497</w:t>
            </w:r>
          </w:p>
        </w:tc>
        <w:tc>
          <w:tcPr>
            <w:tcW w:w="853" w:type="dxa"/>
            <w:tcBorders>
              <w:top w:val="single" w:sz="6" w:space="0" w:color="000000"/>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134 808</w:t>
            </w:r>
          </w:p>
        </w:tc>
      </w:tr>
      <w:tr w:rsidR="002C39A3" w:rsidRPr="00422B32" w:rsidTr="00361FA9">
        <w:tc>
          <w:tcPr>
            <w:tcW w:w="3515"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Net assets</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141 632</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147 052</w:t>
            </w:r>
          </w:p>
        </w:tc>
        <w:tc>
          <w:tcPr>
            <w:tcW w:w="853"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156 165</w:t>
            </w:r>
          </w:p>
        </w:tc>
        <w:tc>
          <w:tcPr>
            <w:tcW w:w="853"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160 785</w:t>
            </w:r>
          </w:p>
        </w:tc>
        <w:tc>
          <w:tcPr>
            <w:tcW w:w="853"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171 272</w:t>
            </w:r>
          </w:p>
        </w:tc>
      </w:tr>
      <w:tr w:rsidR="002C39A3" w:rsidRPr="00422B32" w:rsidTr="00361FA9">
        <w:tc>
          <w:tcPr>
            <w:tcW w:w="3515" w:type="dxa"/>
            <w:tcBorders>
              <w:top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Accumulated surplus/(deficit)</w:t>
            </w:r>
          </w:p>
        </w:tc>
        <w:tc>
          <w:tcPr>
            <w:tcW w:w="850"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60 500</w:t>
            </w:r>
          </w:p>
        </w:tc>
        <w:tc>
          <w:tcPr>
            <w:tcW w:w="850"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67 192</w:t>
            </w:r>
          </w:p>
        </w:tc>
        <w:tc>
          <w:tcPr>
            <w:tcW w:w="853"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69 184</w:t>
            </w:r>
          </w:p>
        </w:tc>
        <w:tc>
          <w:tcPr>
            <w:tcW w:w="853"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71 562</w:t>
            </w:r>
          </w:p>
        </w:tc>
        <w:tc>
          <w:tcPr>
            <w:tcW w:w="853" w:type="dxa"/>
            <w:tcBorders>
              <w:top w:val="single" w:sz="12"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74 583</w:t>
            </w:r>
          </w:p>
        </w:tc>
      </w:tr>
      <w:tr w:rsidR="002C39A3" w:rsidRPr="00422B32" w:rsidTr="00361FA9">
        <w:tc>
          <w:tcPr>
            <w:tcW w:w="351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Reserves</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81 132</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79 860</w:t>
            </w:r>
          </w:p>
        </w:tc>
        <w:tc>
          <w:tcPr>
            <w:tcW w:w="853"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86 981</w:t>
            </w:r>
          </w:p>
        </w:tc>
        <w:tc>
          <w:tcPr>
            <w:tcW w:w="853"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89 224</w:t>
            </w:r>
          </w:p>
        </w:tc>
        <w:tc>
          <w:tcPr>
            <w:tcW w:w="853"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96 690</w:t>
            </w:r>
          </w:p>
        </w:tc>
      </w:tr>
      <w:tr w:rsidR="002C39A3" w:rsidRPr="00422B32" w:rsidTr="00361FA9">
        <w:tc>
          <w:tcPr>
            <w:tcW w:w="3515"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Net worth</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141 632</w:t>
            </w:r>
          </w:p>
        </w:tc>
        <w:tc>
          <w:tcPr>
            <w:tcW w:w="850"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147 052</w:t>
            </w:r>
          </w:p>
        </w:tc>
        <w:tc>
          <w:tcPr>
            <w:tcW w:w="853"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156 165</w:t>
            </w:r>
          </w:p>
        </w:tc>
        <w:tc>
          <w:tcPr>
            <w:tcW w:w="853"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160 785</w:t>
            </w:r>
          </w:p>
        </w:tc>
        <w:tc>
          <w:tcPr>
            <w:tcW w:w="853"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171 272</w:t>
            </w:r>
          </w:p>
        </w:tc>
      </w:tr>
      <w:tr w:rsidR="00697FCC" w:rsidRPr="00422B32" w:rsidTr="006042B2">
        <w:trPr>
          <w:trHeight w:hRule="exact" w:val="120"/>
        </w:trPr>
        <w:tc>
          <w:tcPr>
            <w:tcW w:w="7774" w:type="dxa"/>
            <w:gridSpan w:val="6"/>
            <w:tcBorders>
              <w:top w:val="single" w:sz="12" w:space="0" w:color="000000"/>
            </w:tcBorders>
            <w:shd w:val="clear" w:color="auto" w:fill="FFFFFF"/>
          </w:tcPr>
          <w:p w:rsidR="00697FCC" w:rsidRPr="00422B32" w:rsidRDefault="00697FCC" w:rsidP="00361FA9">
            <w:pPr>
              <w:autoSpaceDE w:val="0"/>
              <w:autoSpaceDN w:val="0"/>
              <w:adjustRightInd w:val="0"/>
              <w:spacing w:after="0"/>
              <w:jc w:val="right"/>
              <w:rPr>
                <w:rFonts w:ascii="Calibri" w:eastAsiaTheme="minorEastAsia" w:hAnsi="Calibri" w:cs="Calibri"/>
                <w:color w:val="000000"/>
                <w:sz w:val="19"/>
                <w:szCs w:val="19"/>
                <w:lang w:eastAsia="en-AU"/>
              </w:rPr>
            </w:pPr>
          </w:p>
        </w:tc>
      </w:tr>
      <w:tr w:rsidR="00697FCC" w:rsidRPr="00422B32" w:rsidTr="006042B2">
        <w:tc>
          <w:tcPr>
            <w:tcW w:w="7774" w:type="dxa"/>
            <w:gridSpan w:val="6"/>
            <w:tcBorders>
              <w:top w:val="nil"/>
            </w:tcBorders>
            <w:shd w:val="clear" w:color="auto" w:fill="FFFFFF"/>
          </w:tcPr>
          <w:p w:rsidR="00697FCC" w:rsidRPr="00422B32" w:rsidRDefault="00697FCC" w:rsidP="00697FCC">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FISCAL AGGREGATES</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financial worth</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(73 254)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(74 931)</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(77 498)</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(78 966)</w:t>
            </w:r>
          </w:p>
        </w:tc>
        <w:tc>
          <w:tcPr>
            <w:tcW w:w="853"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(78 198)</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financial liabilities</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73 254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74 931</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77 498</w:t>
            </w:r>
          </w:p>
        </w:tc>
        <w:tc>
          <w:tcPr>
            <w:tcW w:w="85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78 966</w:t>
            </w:r>
          </w:p>
        </w:tc>
        <w:tc>
          <w:tcPr>
            <w:tcW w:w="853"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78 198</w:t>
            </w:r>
          </w:p>
        </w:tc>
      </w:tr>
      <w:tr w:rsidR="002C39A3" w:rsidRPr="00422B32" w:rsidTr="00361FA9">
        <w:tc>
          <w:tcPr>
            <w:tcW w:w="3515" w:type="dxa"/>
            <w:tcBorders>
              <w:top w:val="nil"/>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debt</w:t>
            </w:r>
          </w:p>
        </w:tc>
        <w:tc>
          <w:tcPr>
            <w:tcW w:w="850" w:type="dxa"/>
            <w:tcBorders>
              <w:top w:val="nil"/>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12 818</w:t>
            </w:r>
          </w:p>
        </w:tc>
        <w:tc>
          <w:tcPr>
            <w:tcW w:w="850" w:type="dxa"/>
            <w:tcBorders>
              <w:top w:val="nil"/>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8 290</w:t>
            </w:r>
          </w:p>
        </w:tc>
        <w:tc>
          <w:tcPr>
            <w:tcW w:w="853" w:type="dxa"/>
            <w:tcBorders>
              <w:top w:val="nil"/>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10 377</w:t>
            </w:r>
          </w:p>
        </w:tc>
        <w:tc>
          <w:tcPr>
            <w:tcW w:w="853" w:type="dxa"/>
            <w:tcBorders>
              <w:top w:val="nil"/>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11 433</w:t>
            </w:r>
          </w:p>
        </w:tc>
        <w:tc>
          <w:tcPr>
            <w:tcW w:w="853" w:type="dxa"/>
            <w:tcBorders>
              <w:top w:val="nil"/>
              <w:left w:val="nil"/>
              <w:bottom w:val="single" w:sz="12" w:space="0" w:color="auto"/>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10 402</w:t>
            </w:r>
          </w:p>
        </w:tc>
      </w:tr>
    </w:tbl>
    <w:p w:rsidR="002C39A3" w:rsidRPr="00DF5267" w:rsidRDefault="002C39A3" w:rsidP="00361FA9">
      <w:pPr>
        <w:pStyle w:val="Source"/>
      </w:pPr>
      <w:r w:rsidRPr="00DF5267">
        <w:t>Source: Department of Treasury and Finance</w:t>
      </w:r>
    </w:p>
    <w:p w:rsidR="002C39A3" w:rsidRDefault="002C39A3">
      <w:pPr>
        <w:spacing w:after="0"/>
        <w:rPr>
          <w:rFonts w:ascii="Calibri" w:hAnsi="Calibri"/>
          <w:b/>
        </w:rPr>
      </w:pPr>
      <w:r>
        <w:br w:type="page"/>
      </w:r>
    </w:p>
    <w:p w:rsidR="002C39A3" w:rsidRDefault="002C39A3" w:rsidP="00361FA9">
      <w:pPr>
        <w:pStyle w:val="Tableheading"/>
      </w:pPr>
      <w:r>
        <w:t>Table 2.21:</w:t>
      </w:r>
      <w:r>
        <w:tab/>
        <w:t>State of Victoria cash flow statement for the financial year ended 30 June</w:t>
      </w:r>
      <w:r w:rsidRPr="00BF7B5A">
        <w:rPr>
          <w:vertAlign w:val="superscript"/>
        </w:rPr>
        <w:t>(a)</w:t>
      </w:r>
    </w:p>
    <w:p w:rsidR="002C39A3" w:rsidRPr="00D26F19" w:rsidRDefault="002C39A3" w:rsidP="00361FA9">
      <w:pPr>
        <w:pStyle w:val="million"/>
        <w:rPr>
          <w:b/>
          <w:bCs/>
          <w:sz w:val="15"/>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697FCC" w:rsidRPr="00D26F19" w:rsidTr="006042B2">
        <w:trPr>
          <w:cantSplit/>
          <w:trHeight w:val="415"/>
          <w:tblHeader/>
        </w:trPr>
        <w:tc>
          <w:tcPr>
            <w:tcW w:w="3515" w:type="dxa"/>
            <w:tcBorders>
              <w:top w:val="nil"/>
              <w:left w:val="nil"/>
              <w:right w:val="nil"/>
            </w:tcBorders>
            <w:shd w:val="solid" w:color="000000" w:fill="auto"/>
            <w:vAlign w:val="bottom"/>
          </w:tcPr>
          <w:p w:rsidR="00697FCC" w:rsidRPr="00D26F19" w:rsidRDefault="00697FCC" w:rsidP="00697FCC">
            <w:pPr>
              <w:pStyle w:val="Source"/>
              <w:spacing w:after="0"/>
              <w:rPr>
                <w:rFonts w:eastAsiaTheme="minorEastAsia" w:cs="Calibri"/>
                <w:iCs/>
                <w:color w:val="FFFFFF"/>
                <w:sz w:val="17"/>
                <w:szCs w:val="19"/>
                <w:lang w:eastAsia="en-AU"/>
              </w:rPr>
            </w:pPr>
          </w:p>
        </w:tc>
        <w:tc>
          <w:tcPr>
            <w:tcW w:w="850" w:type="dxa"/>
            <w:tcBorders>
              <w:top w:val="nil"/>
              <w:left w:val="nil"/>
              <w:right w:val="nil"/>
            </w:tcBorders>
            <w:shd w:val="solid" w:color="000000" w:fill="auto"/>
            <w:vAlign w:val="bottom"/>
          </w:tcPr>
          <w:p w:rsidR="00697FCC" w:rsidRPr="00D26F19" w:rsidRDefault="00697FCC"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D26F19">
              <w:rPr>
                <w:rFonts w:ascii="Calibri" w:eastAsiaTheme="minorEastAsia" w:hAnsi="Calibri" w:cs="Calibri"/>
                <w:i/>
                <w:iCs/>
                <w:color w:val="FFFFFF"/>
                <w:sz w:val="17"/>
                <w:szCs w:val="19"/>
                <w:lang w:eastAsia="en-AU"/>
              </w:rPr>
              <w:t xml:space="preserve">2015-16 </w:t>
            </w:r>
          </w:p>
          <w:p w:rsidR="00697FCC" w:rsidRPr="00D26F19" w:rsidRDefault="00697FCC"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D26F19">
              <w:rPr>
                <w:rFonts w:ascii="Calibri" w:eastAsiaTheme="minorEastAsia" w:hAnsi="Calibri" w:cs="Calibri"/>
                <w:i/>
                <w:iCs/>
                <w:color w:val="FFFFFF"/>
                <w:sz w:val="17"/>
                <w:szCs w:val="19"/>
                <w:lang w:eastAsia="en-AU"/>
              </w:rPr>
              <w:t xml:space="preserve"> revised</w:t>
            </w:r>
          </w:p>
        </w:tc>
        <w:tc>
          <w:tcPr>
            <w:tcW w:w="850" w:type="dxa"/>
            <w:tcBorders>
              <w:top w:val="nil"/>
              <w:left w:val="nil"/>
              <w:right w:val="nil"/>
            </w:tcBorders>
            <w:shd w:val="solid" w:color="000000" w:fill="auto"/>
            <w:vAlign w:val="bottom"/>
          </w:tcPr>
          <w:p w:rsidR="00697FCC" w:rsidRPr="00D26F19" w:rsidRDefault="00697FCC"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D26F19">
              <w:rPr>
                <w:rFonts w:ascii="Calibri" w:eastAsiaTheme="minorEastAsia" w:hAnsi="Calibri" w:cs="Calibri"/>
                <w:i/>
                <w:iCs/>
                <w:color w:val="FFFFFF"/>
                <w:sz w:val="17"/>
                <w:szCs w:val="19"/>
                <w:lang w:eastAsia="en-AU"/>
              </w:rPr>
              <w:t xml:space="preserve">2016-17 </w:t>
            </w:r>
          </w:p>
          <w:p w:rsidR="00697FCC" w:rsidRPr="00D26F19" w:rsidRDefault="00697FCC"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D26F19">
              <w:rPr>
                <w:rFonts w:ascii="Calibri" w:eastAsiaTheme="minorEastAsia" w:hAnsi="Calibri" w:cs="Calibri"/>
                <w:i/>
                <w:iCs/>
                <w:color w:val="FFFFFF"/>
                <w:sz w:val="17"/>
                <w:szCs w:val="19"/>
                <w:lang w:eastAsia="en-AU"/>
              </w:rPr>
              <w:t xml:space="preserve"> budget</w:t>
            </w:r>
          </w:p>
        </w:tc>
        <w:tc>
          <w:tcPr>
            <w:tcW w:w="850" w:type="dxa"/>
            <w:tcBorders>
              <w:top w:val="nil"/>
              <w:left w:val="nil"/>
              <w:right w:val="nil"/>
            </w:tcBorders>
            <w:shd w:val="solid" w:color="000000" w:fill="auto"/>
            <w:vAlign w:val="bottom"/>
          </w:tcPr>
          <w:p w:rsidR="00697FCC" w:rsidRPr="00D26F19" w:rsidRDefault="00697FCC"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D26F19">
              <w:rPr>
                <w:rFonts w:ascii="Calibri" w:eastAsiaTheme="minorEastAsia" w:hAnsi="Calibri" w:cs="Calibri"/>
                <w:i/>
                <w:iCs/>
                <w:color w:val="FFFFFF"/>
                <w:sz w:val="17"/>
                <w:szCs w:val="19"/>
                <w:lang w:eastAsia="en-AU"/>
              </w:rPr>
              <w:t xml:space="preserve">2017-18 </w:t>
            </w:r>
          </w:p>
          <w:p w:rsidR="00697FCC" w:rsidRPr="00D26F19" w:rsidRDefault="00697FCC"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D26F19">
              <w:rPr>
                <w:rFonts w:ascii="Calibri" w:eastAsiaTheme="minorEastAsia" w:hAnsi="Calibri" w:cs="Calibri"/>
                <w:i/>
                <w:iCs/>
                <w:color w:val="FFFFFF"/>
                <w:sz w:val="17"/>
                <w:szCs w:val="19"/>
                <w:lang w:eastAsia="en-AU"/>
              </w:rPr>
              <w:t xml:space="preserve"> estimate</w:t>
            </w:r>
          </w:p>
        </w:tc>
        <w:tc>
          <w:tcPr>
            <w:tcW w:w="850" w:type="dxa"/>
            <w:tcBorders>
              <w:top w:val="nil"/>
              <w:left w:val="nil"/>
              <w:right w:val="nil"/>
            </w:tcBorders>
            <w:shd w:val="solid" w:color="000000" w:fill="auto"/>
            <w:vAlign w:val="bottom"/>
          </w:tcPr>
          <w:p w:rsidR="00697FCC" w:rsidRPr="00D26F19" w:rsidRDefault="00697FCC"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D26F19">
              <w:rPr>
                <w:rFonts w:ascii="Calibri" w:eastAsiaTheme="minorEastAsia" w:hAnsi="Calibri" w:cs="Calibri"/>
                <w:i/>
                <w:iCs/>
                <w:color w:val="FFFFFF"/>
                <w:sz w:val="17"/>
                <w:szCs w:val="19"/>
                <w:lang w:eastAsia="en-AU"/>
              </w:rPr>
              <w:t xml:space="preserve">2018-19 </w:t>
            </w:r>
          </w:p>
          <w:p w:rsidR="00697FCC" w:rsidRPr="00D26F19" w:rsidRDefault="00697FCC"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D26F19">
              <w:rPr>
                <w:rFonts w:ascii="Calibri" w:eastAsiaTheme="minorEastAsia" w:hAnsi="Calibri" w:cs="Calibri"/>
                <w:i/>
                <w:iCs/>
                <w:color w:val="FFFFFF"/>
                <w:sz w:val="17"/>
                <w:szCs w:val="19"/>
                <w:lang w:eastAsia="en-AU"/>
              </w:rPr>
              <w:t xml:space="preserve"> estimate</w:t>
            </w:r>
          </w:p>
        </w:tc>
        <w:tc>
          <w:tcPr>
            <w:tcW w:w="850" w:type="dxa"/>
            <w:tcBorders>
              <w:top w:val="nil"/>
              <w:left w:val="nil"/>
              <w:right w:val="nil"/>
            </w:tcBorders>
            <w:shd w:val="solid" w:color="000000" w:fill="auto"/>
            <w:vAlign w:val="bottom"/>
          </w:tcPr>
          <w:p w:rsidR="00697FCC" w:rsidRPr="00D26F19" w:rsidRDefault="00697FCC"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D26F19">
              <w:rPr>
                <w:rFonts w:ascii="Calibri" w:eastAsiaTheme="minorEastAsia" w:hAnsi="Calibri" w:cs="Calibri"/>
                <w:i/>
                <w:iCs/>
                <w:color w:val="FFFFFF"/>
                <w:sz w:val="17"/>
                <w:szCs w:val="19"/>
                <w:lang w:eastAsia="en-AU"/>
              </w:rPr>
              <w:t xml:space="preserve">2019-20 </w:t>
            </w:r>
          </w:p>
          <w:p w:rsidR="00697FCC" w:rsidRPr="00D26F19" w:rsidRDefault="00697FCC"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D26F19">
              <w:rPr>
                <w:rFonts w:ascii="Calibri" w:eastAsiaTheme="minorEastAsia" w:hAnsi="Calibri" w:cs="Calibri"/>
                <w:i/>
                <w:iCs/>
                <w:color w:val="FFFFFF"/>
                <w:sz w:val="17"/>
                <w:szCs w:val="19"/>
                <w:lang w:eastAsia="en-AU"/>
              </w:rPr>
              <w:t xml:space="preserve"> estimate</w:t>
            </w:r>
          </w:p>
        </w:tc>
      </w:tr>
      <w:tr w:rsidR="00697FCC" w:rsidRPr="00D26F19" w:rsidTr="006042B2">
        <w:trPr>
          <w:cantSplit/>
        </w:trPr>
        <w:tc>
          <w:tcPr>
            <w:tcW w:w="7765" w:type="dxa"/>
            <w:gridSpan w:val="6"/>
            <w:tcBorders>
              <w:top w:val="nil"/>
              <w:left w:val="nil"/>
              <w:right w:val="nil"/>
            </w:tcBorders>
            <w:shd w:val="clear" w:color="auto" w:fill="FFFFFF"/>
          </w:tcPr>
          <w:p w:rsidR="00697FCC" w:rsidRPr="00D26F19" w:rsidRDefault="00697FCC" w:rsidP="00697FCC">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Cash flows from operating activities</w:t>
            </w:r>
          </w:p>
        </w:tc>
      </w:tr>
      <w:tr w:rsidR="00697FCC" w:rsidRPr="00D26F19" w:rsidTr="006042B2">
        <w:trPr>
          <w:cantSplit/>
        </w:trPr>
        <w:tc>
          <w:tcPr>
            <w:tcW w:w="7765" w:type="dxa"/>
            <w:gridSpan w:val="6"/>
            <w:tcBorders>
              <w:top w:val="nil"/>
              <w:left w:val="nil"/>
              <w:right w:val="nil"/>
            </w:tcBorders>
            <w:shd w:val="clear" w:color="auto" w:fill="FFFFFF"/>
          </w:tcPr>
          <w:p w:rsidR="00697FCC" w:rsidRPr="00D26F19" w:rsidRDefault="00697FCC" w:rsidP="00697FCC">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Receipts</w:t>
            </w:r>
          </w:p>
        </w:tc>
      </w:tr>
      <w:tr w:rsidR="002C39A3" w:rsidRPr="00D26F19" w:rsidTr="00361FA9">
        <w:trPr>
          <w:cantSplit/>
        </w:trPr>
        <w:tc>
          <w:tcPr>
            <w:tcW w:w="3515"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Taxes received</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19 586</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21 089</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20 769</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21 848</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22 730</w:t>
            </w:r>
          </w:p>
        </w:tc>
      </w:tr>
      <w:tr w:rsidR="002C39A3" w:rsidRPr="00D26F19" w:rsidTr="00361FA9">
        <w:trPr>
          <w:cantSplit/>
        </w:trPr>
        <w:tc>
          <w:tcPr>
            <w:tcW w:w="3515"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Grants</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25 293</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27 277</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27 919</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28 704</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29 835</w:t>
            </w:r>
          </w:p>
        </w:tc>
      </w:tr>
      <w:tr w:rsidR="002C39A3" w:rsidRPr="00D26F19" w:rsidTr="00361FA9">
        <w:trPr>
          <w:cantSplit/>
        </w:trPr>
        <w:tc>
          <w:tcPr>
            <w:tcW w:w="3515"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7"/>
                <w:szCs w:val="19"/>
                <w:vertAlign w:val="superscript"/>
                <w:lang w:eastAsia="en-AU"/>
              </w:rPr>
            </w:pPr>
            <w:r w:rsidRPr="00D26F19">
              <w:rPr>
                <w:rFonts w:ascii="Calibri" w:eastAsiaTheme="minorEastAsia" w:hAnsi="Calibri" w:cs="Calibri"/>
                <w:color w:val="000000"/>
                <w:sz w:val="17"/>
                <w:szCs w:val="19"/>
                <w:lang w:eastAsia="en-AU"/>
              </w:rPr>
              <w:t xml:space="preserve">Sales of goods and services </w:t>
            </w:r>
            <w:r w:rsidRPr="00D26F19">
              <w:rPr>
                <w:rFonts w:ascii="Calibri" w:eastAsiaTheme="minorEastAsia" w:hAnsi="Calibri" w:cs="Calibri"/>
                <w:color w:val="000000"/>
                <w:sz w:val="17"/>
                <w:szCs w:val="19"/>
                <w:vertAlign w:val="superscript"/>
                <w:lang w:eastAsia="en-AU"/>
              </w:rPr>
              <w:t>(b)</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15 947</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21 857</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16 693</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16 825</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17 233</w:t>
            </w:r>
          </w:p>
        </w:tc>
      </w:tr>
      <w:tr w:rsidR="002C39A3" w:rsidRPr="00D26F19" w:rsidTr="00361FA9">
        <w:trPr>
          <w:cantSplit/>
        </w:trPr>
        <w:tc>
          <w:tcPr>
            <w:tcW w:w="3515"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Interest received</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535</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703</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776</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771</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800</w:t>
            </w:r>
          </w:p>
        </w:tc>
      </w:tr>
      <w:tr w:rsidR="002C39A3" w:rsidRPr="00D26F19" w:rsidTr="00361FA9">
        <w:trPr>
          <w:cantSplit/>
        </w:trPr>
        <w:tc>
          <w:tcPr>
            <w:tcW w:w="3515"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Dividends and</w:t>
            </w:r>
            <w:r w:rsidR="00697FCC">
              <w:rPr>
                <w:rFonts w:ascii="Calibri" w:eastAsiaTheme="minorEastAsia" w:hAnsi="Calibri" w:cs="Calibri"/>
                <w:color w:val="000000"/>
                <w:sz w:val="17"/>
                <w:szCs w:val="19"/>
                <w:lang w:eastAsia="en-AU"/>
              </w:rPr>
              <w:t xml:space="preserve"> income tax equivalent and rate </w:t>
            </w:r>
            <w:r w:rsidRPr="00D26F19">
              <w:rPr>
                <w:rFonts w:ascii="Calibri" w:eastAsiaTheme="minorEastAsia" w:hAnsi="Calibri" w:cs="Calibri"/>
                <w:color w:val="000000"/>
                <w:sz w:val="17"/>
                <w:szCs w:val="19"/>
                <w:lang w:eastAsia="en-AU"/>
              </w:rPr>
              <w:t>equivalent receipts</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1 302</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1 079</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1 163</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1 146</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1 192</w:t>
            </w:r>
          </w:p>
        </w:tc>
      </w:tr>
      <w:tr w:rsidR="002C39A3" w:rsidRPr="00D26F19" w:rsidTr="00361FA9">
        <w:trPr>
          <w:cantSplit/>
        </w:trPr>
        <w:tc>
          <w:tcPr>
            <w:tcW w:w="3515"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Other receipts</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2 344</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1 936</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2 285</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2 178</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2 227</w:t>
            </w:r>
          </w:p>
        </w:tc>
      </w:tr>
      <w:tr w:rsidR="002C39A3" w:rsidRPr="00D26F19" w:rsidTr="00361FA9">
        <w:trPr>
          <w:cantSplit/>
        </w:trPr>
        <w:tc>
          <w:tcPr>
            <w:tcW w:w="3515"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Total receipts</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65 006</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73 941</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69 604</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71 473</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74 017</w:t>
            </w:r>
          </w:p>
        </w:tc>
      </w:tr>
      <w:tr w:rsidR="00697FCC" w:rsidRPr="00D26F19" w:rsidTr="006042B2">
        <w:trPr>
          <w:cantSplit/>
        </w:trPr>
        <w:tc>
          <w:tcPr>
            <w:tcW w:w="7765" w:type="dxa"/>
            <w:gridSpan w:val="6"/>
            <w:tcBorders>
              <w:top w:val="nil"/>
              <w:left w:val="nil"/>
              <w:right w:val="nil"/>
            </w:tcBorders>
            <w:shd w:val="clear" w:color="auto" w:fill="FFFFFF"/>
          </w:tcPr>
          <w:p w:rsidR="00697FCC" w:rsidRPr="00D26F19" w:rsidRDefault="00697FCC" w:rsidP="00697FCC">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Payments</w:t>
            </w:r>
          </w:p>
        </w:tc>
      </w:tr>
      <w:tr w:rsidR="002C39A3" w:rsidRPr="00D26F19" w:rsidTr="00361FA9">
        <w:trPr>
          <w:cantSplit/>
        </w:trPr>
        <w:tc>
          <w:tcPr>
            <w:tcW w:w="3515"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Payments for employees</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(20 867)</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(21 980)</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(22 973)</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(23 896)</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(24 670)</w:t>
            </w:r>
          </w:p>
        </w:tc>
      </w:tr>
      <w:tr w:rsidR="002C39A3" w:rsidRPr="00D26F19" w:rsidTr="00361FA9">
        <w:trPr>
          <w:cantSplit/>
        </w:trPr>
        <w:tc>
          <w:tcPr>
            <w:tcW w:w="3515"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Superannuation</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(2 982)</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(3 117)</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(3 147)</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(3 232)</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(3 272)</w:t>
            </w:r>
          </w:p>
        </w:tc>
      </w:tr>
      <w:tr w:rsidR="002C39A3" w:rsidRPr="00D26F19" w:rsidTr="00361FA9">
        <w:trPr>
          <w:cantSplit/>
        </w:trPr>
        <w:tc>
          <w:tcPr>
            <w:tcW w:w="3515"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Interest paid</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(2 740)</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(2 982)</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(2 727)</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(2 776)</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(2 732)</w:t>
            </w:r>
          </w:p>
        </w:tc>
      </w:tr>
      <w:tr w:rsidR="002C39A3" w:rsidRPr="00D26F19" w:rsidTr="00361FA9">
        <w:trPr>
          <w:cantSplit/>
        </w:trPr>
        <w:tc>
          <w:tcPr>
            <w:tcW w:w="3515"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Grants and subsidies</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(5 366)</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(6 289)</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(6 310)</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(6 612)</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(6 768)</w:t>
            </w:r>
          </w:p>
        </w:tc>
      </w:tr>
      <w:tr w:rsidR="002C39A3" w:rsidRPr="00D26F19" w:rsidTr="00361FA9">
        <w:trPr>
          <w:cantSplit/>
        </w:trPr>
        <w:tc>
          <w:tcPr>
            <w:tcW w:w="3515"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7"/>
                <w:szCs w:val="19"/>
                <w:vertAlign w:val="superscript"/>
                <w:lang w:eastAsia="en-AU"/>
              </w:rPr>
            </w:pPr>
            <w:r w:rsidRPr="00D26F19">
              <w:rPr>
                <w:rFonts w:ascii="Calibri" w:eastAsiaTheme="minorEastAsia" w:hAnsi="Calibri" w:cs="Calibri"/>
                <w:color w:val="000000"/>
                <w:sz w:val="17"/>
                <w:szCs w:val="19"/>
                <w:lang w:eastAsia="en-AU"/>
              </w:rPr>
              <w:t xml:space="preserve">Goods and services </w:t>
            </w:r>
            <w:r w:rsidRPr="00D26F19">
              <w:rPr>
                <w:rFonts w:ascii="Calibri" w:eastAsiaTheme="minorEastAsia" w:hAnsi="Calibri" w:cs="Calibri"/>
                <w:color w:val="000000"/>
                <w:sz w:val="17"/>
                <w:szCs w:val="19"/>
                <w:vertAlign w:val="superscript"/>
                <w:lang w:eastAsia="en-AU"/>
              </w:rPr>
              <w:t>(a)</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(25 381)</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(26 341)</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(27 661)</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(27 391)</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(28 098)</w:t>
            </w:r>
          </w:p>
        </w:tc>
      </w:tr>
      <w:tr w:rsidR="002C39A3" w:rsidRPr="00D26F19" w:rsidTr="00361FA9">
        <w:trPr>
          <w:cantSplit/>
        </w:trPr>
        <w:tc>
          <w:tcPr>
            <w:tcW w:w="3515"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Other payments</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(569)</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(630)</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(653)</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(666)</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(709)</w:t>
            </w:r>
          </w:p>
        </w:tc>
      </w:tr>
      <w:tr w:rsidR="002C39A3" w:rsidRPr="00D26F19" w:rsidTr="00361FA9">
        <w:trPr>
          <w:cantSplit/>
        </w:trPr>
        <w:tc>
          <w:tcPr>
            <w:tcW w:w="3515"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Total payments</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(57 905)</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(61 340)</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(63 470)</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(64 572)</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(66 248)</w:t>
            </w:r>
          </w:p>
        </w:tc>
      </w:tr>
      <w:tr w:rsidR="002C39A3" w:rsidRPr="00D26F19" w:rsidTr="00361FA9">
        <w:trPr>
          <w:cantSplit/>
        </w:trPr>
        <w:tc>
          <w:tcPr>
            <w:tcW w:w="3515"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Net cash flows from operating activities</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7 101</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12 601</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6 134</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6 900</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7 768</w:t>
            </w:r>
          </w:p>
        </w:tc>
      </w:tr>
      <w:tr w:rsidR="00697FCC" w:rsidRPr="00D26F19" w:rsidTr="006042B2">
        <w:trPr>
          <w:cantSplit/>
        </w:trPr>
        <w:tc>
          <w:tcPr>
            <w:tcW w:w="7765" w:type="dxa"/>
            <w:gridSpan w:val="6"/>
            <w:tcBorders>
              <w:top w:val="nil"/>
              <w:left w:val="nil"/>
              <w:right w:val="nil"/>
            </w:tcBorders>
            <w:shd w:val="clear" w:color="auto" w:fill="FFFFFF"/>
          </w:tcPr>
          <w:p w:rsidR="00697FCC" w:rsidRPr="00D26F19" w:rsidRDefault="00697FCC" w:rsidP="00697FCC">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 xml:space="preserve">Cash flows from investing activities </w:t>
            </w:r>
          </w:p>
        </w:tc>
      </w:tr>
      <w:tr w:rsidR="002C39A3" w:rsidRPr="00D26F19" w:rsidTr="00361FA9">
        <w:trPr>
          <w:cantSplit/>
        </w:trPr>
        <w:tc>
          <w:tcPr>
            <w:tcW w:w="3515"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Net cash flows from investments in non-financial assets</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(5 976)</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(8 604)</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(8 692)</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(8 376)</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(7 417)</w:t>
            </w:r>
          </w:p>
        </w:tc>
      </w:tr>
      <w:tr w:rsidR="002C39A3" w:rsidRPr="00D26F19" w:rsidTr="00361FA9">
        <w:trPr>
          <w:cantSplit/>
        </w:trPr>
        <w:tc>
          <w:tcPr>
            <w:tcW w:w="3515"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Net cash flows from investments in financial assets for policy purposes</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44</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124</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76</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88</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78</w:t>
            </w:r>
          </w:p>
        </w:tc>
      </w:tr>
      <w:tr w:rsidR="002C39A3" w:rsidRPr="00D26F19" w:rsidTr="00361FA9">
        <w:trPr>
          <w:cantSplit/>
        </w:trPr>
        <w:tc>
          <w:tcPr>
            <w:tcW w:w="3515"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Net cash flows from investment in financial assets for liquidity management purposes</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(741)</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(504)</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676</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274</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(394)</w:t>
            </w:r>
          </w:p>
        </w:tc>
      </w:tr>
      <w:tr w:rsidR="002C39A3" w:rsidRPr="00D26F19" w:rsidTr="00361FA9">
        <w:trPr>
          <w:cantSplit/>
        </w:trPr>
        <w:tc>
          <w:tcPr>
            <w:tcW w:w="3515"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Net cash flows from investing activities</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(6 673)</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(8 984)</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(7 940)</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(8 014)</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(7 733)</w:t>
            </w:r>
          </w:p>
        </w:tc>
      </w:tr>
      <w:tr w:rsidR="00697FCC" w:rsidRPr="00D26F19" w:rsidTr="006042B2">
        <w:trPr>
          <w:cantSplit/>
        </w:trPr>
        <w:tc>
          <w:tcPr>
            <w:tcW w:w="7765" w:type="dxa"/>
            <w:gridSpan w:val="6"/>
            <w:tcBorders>
              <w:top w:val="nil"/>
              <w:left w:val="nil"/>
              <w:right w:val="nil"/>
            </w:tcBorders>
            <w:shd w:val="clear" w:color="auto" w:fill="FFFFFF"/>
          </w:tcPr>
          <w:p w:rsidR="00697FCC" w:rsidRPr="00D26F19" w:rsidRDefault="00697FCC" w:rsidP="00697FCC">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Cash flows from financing activities</w:t>
            </w:r>
          </w:p>
        </w:tc>
      </w:tr>
      <w:tr w:rsidR="002C39A3" w:rsidRPr="00D26F19" w:rsidTr="00361FA9">
        <w:trPr>
          <w:cantSplit/>
        </w:trPr>
        <w:tc>
          <w:tcPr>
            <w:tcW w:w="3515"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Advances received (net)</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(79)</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1</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1</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1</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1</w:t>
            </w:r>
          </w:p>
        </w:tc>
      </w:tr>
      <w:tr w:rsidR="002C39A3" w:rsidRPr="00D26F19" w:rsidTr="00361FA9">
        <w:trPr>
          <w:cantSplit/>
        </w:trPr>
        <w:tc>
          <w:tcPr>
            <w:tcW w:w="3515"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Net borrowings</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(732)</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(3 178)</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2 106</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1 575</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437</w:t>
            </w:r>
          </w:p>
        </w:tc>
      </w:tr>
      <w:tr w:rsidR="002C39A3" w:rsidRPr="00D26F19" w:rsidTr="00361FA9">
        <w:trPr>
          <w:cantSplit/>
        </w:trPr>
        <w:tc>
          <w:tcPr>
            <w:tcW w:w="3515"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Deposits received (net)</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4</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1</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3</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2</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(1)</w:t>
            </w:r>
          </w:p>
        </w:tc>
      </w:tr>
      <w:tr w:rsidR="002C39A3" w:rsidRPr="00D26F19" w:rsidTr="00361FA9">
        <w:trPr>
          <w:cantSplit/>
        </w:trPr>
        <w:tc>
          <w:tcPr>
            <w:tcW w:w="3515"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Net cash flows from financing activities</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(807)</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(3 177)</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2 110</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1 577</w:t>
            </w:r>
          </w:p>
        </w:tc>
        <w:tc>
          <w:tcPr>
            <w:tcW w:w="850" w:type="dxa"/>
            <w:tcBorders>
              <w:top w:val="single" w:sz="6" w:space="0" w:color="000000"/>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437</w:t>
            </w:r>
          </w:p>
        </w:tc>
      </w:tr>
      <w:tr w:rsidR="002C39A3" w:rsidRPr="00D26F19" w:rsidTr="00361FA9">
        <w:trPr>
          <w:cantSplit/>
        </w:trPr>
        <w:tc>
          <w:tcPr>
            <w:tcW w:w="3515"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Net increase/(decrease) in cash and cash equivalents</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(379)</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440</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303</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463</w:t>
            </w:r>
          </w:p>
        </w:tc>
        <w:tc>
          <w:tcPr>
            <w:tcW w:w="850" w:type="dxa"/>
            <w:tcBorders>
              <w:top w:val="single" w:sz="6" w:space="0" w:color="000000"/>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473</w:t>
            </w:r>
          </w:p>
        </w:tc>
      </w:tr>
      <w:tr w:rsidR="002C39A3" w:rsidRPr="00D26F19" w:rsidTr="00361FA9">
        <w:trPr>
          <w:cantSplit/>
        </w:trPr>
        <w:tc>
          <w:tcPr>
            <w:tcW w:w="3515"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Cash and cash equivalents at beginning of reporting period</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6 510</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6 132</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6 571</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6 875</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7 338</w:t>
            </w:r>
          </w:p>
        </w:tc>
      </w:tr>
      <w:tr w:rsidR="002C39A3" w:rsidRPr="00D26F19" w:rsidTr="00361FA9">
        <w:trPr>
          <w:cantSplit/>
        </w:trPr>
        <w:tc>
          <w:tcPr>
            <w:tcW w:w="3515"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 xml:space="preserve">Cash and cash </w:t>
            </w:r>
            <w:r w:rsidR="00697FCC">
              <w:rPr>
                <w:rFonts w:ascii="Calibri" w:eastAsiaTheme="minorEastAsia" w:hAnsi="Calibri" w:cs="Calibri"/>
                <w:b/>
                <w:bCs/>
                <w:color w:val="000000"/>
                <w:sz w:val="17"/>
                <w:szCs w:val="19"/>
                <w:lang w:eastAsia="en-AU"/>
              </w:rPr>
              <w:t>equivalents at end of reporting </w:t>
            </w:r>
            <w:r w:rsidRPr="00D26F19">
              <w:rPr>
                <w:rFonts w:ascii="Calibri" w:eastAsiaTheme="minorEastAsia" w:hAnsi="Calibri" w:cs="Calibri"/>
                <w:b/>
                <w:bCs/>
                <w:color w:val="000000"/>
                <w:sz w:val="17"/>
                <w:szCs w:val="19"/>
                <w:lang w:eastAsia="en-AU"/>
              </w:rPr>
              <w:t>period</w:t>
            </w:r>
          </w:p>
        </w:tc>
        <w:tc>
          <w:tcPr>
            <w:tcW w:w="850"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6 132</w:t>
            </w:r>
          </w:p>
        </w:tc>
        <w:tc>
          <w:tcPr>
            <w:tcW w:w="850"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6 571</w:t>
            </w:r>
          </w:p>
        </w:tc>
        <w:tc>
          <w:tcPr>
            <w:tcW w:w="850"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6 875</w:t>
            </w:r>
          </w:p>
        </w:tc>
        <w:tc>
          <w:tcPr>
            <w:tcW w:w="850"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7 338</w:t>
            </w:r>
          </w:p>
        </w:tc>
        <w:tc>
          <w:tcPr>
            <w:tcW w:w="850" w:type="dxa"/>
            <w:tcBorders>
              <w:top w:val="single" w:sz="6" w:space="0" w:color="000000"/>
              <w:left w:val="nil"/>
              <w:bottom w:val="single" w:sz="12"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7 811</w:t>
            </w:r>
          </w:p>
        </w:tc>
      </w:tr>
      <w:tr w:rsidR="00697FCC" w:rsidRPr="00D26F19" w:rsidTr="006042B2">
        <w:trPr>
          <w:cantSplit/>
          <w:trHeight w:hRule="exact" w:val="120"/>
        </w:trPr>
        <w:tc>
          <w:tcPr>
            <w:tcW w:w="7765" w:type="dxa"/>
            <w:gridSpan w:val="6"/>
            <w:tcBorders>
              <w:top w:val="single" w:sz="12" w:space="0" w:color="000000"/>
              <w:left w:val="nil"/>
              <w:right w:val="nil"/>
            </w:tcBorders>
            <w:shd w:val="clear" w:color="auto" w:fill="FFFFFF"/>
          </w:tcPr>
          <w:p w:rsidR="00697FCC" w:rsidRPr="00D26F19" w:rsidRDefault="00697FCC" w:rsidP="00361FA9">
            <w:pPr>
              <w:autoSpaceDE w:val="0"/>
              <w:autoSpaceDN w:val="0"/>
              <w:adjustRightInd w:val="0"/>
              <w:spacing w:after="0"/>
              <w:jc w:val="right"/>
              <w:rPr>
                <w:rFonts w:ascii="Calibri" w:eastAsiaTheme="minorEastAsia" w:hAnsi="Calibri" w:cs="Calibri"/>
                <w:color w:val="000000"/>
                <w:sz w:val="17"/>
                <w:szCs w:val="19"/>
                <w:lang w:eastAsia="en-AU"/>
              </w:rPr>
            </w:pPr>
          </w:p>
        </w:tc>
      </w:tr>
      <w:tr w:rsidR="00697FCC" w:rsidRPr="00D26F19" w:rsidTr="006042B2">
        <w:trPr>
          <w:cantSplit/>
        </w:trPr>
        <w:tc>
          <w:tcPr>
            <w:tcW w:w="7765" w:type="dxa"/>
            <w:gridSpan w:val="6"/>
            <w:tcBorders>
              <w:top w:val="nil"/>
              <w:left w:val="nil"/>
              <w:right w:val="nil"/>
            </w:tcBorders>
            <w:shd w:val="clear" w:color="auto" w:fill="FFFFFF"/>
          </w:tcPr>
          <w:p w:rsidR="00697FCC" w:rsidRPr="00D26F19" w:rsidRDefault="00697FCC" w:rsidP="00697FCC">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FISCAL AGGREGATES</w:t>
            </w:r>
          </w:p>
        </w:tc>
      </w:tr>
      <w:tr w:rsidR="002C39A3" w:rsidRPr="00D26F19" w:rsidTr="00361FA9">
        <w:trPr>
          <w:cantSplit/>
        </w:trPr>
        <w:tc>
          <w:tcPr>
            <w:tcW w:w="3515" w:type="dxa"/>
            <w:tcBorders>
              <w:top w:val="nil"/>
              <w:left w:val="nil"/>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Net cash flows from operating activities</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7 101</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12 601</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6 134</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6 900</w:t>
            </w:r>
          </w:p>
        </w:tc>
        <w:tc>
          <w:tcPr>
            <w:tcW w:w="850" w:type="dxa"/>
            <w:tcBorders>
              <w:top w:val="nil"/>
              <w:left w:val="nil"/>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7 768</w:t>
            </w:r>
          </w:p>
        </w:tc>
      </w:tr>
      <w:tr w:rsidR="002C39A3" w:rsidRPr="00D26F19" w:rsidTr="00361FA9">
        <w:trPr>
          <w:cantSplit/>
        </w:trPr>
        <w:tc>
          <w:tcPr>
            <w:tcW w:w="3515"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Net cash flows from investments in non-financial assets</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(5 976)</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(8 604)</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(8 692)</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(8 376)</w:t>
            </w:r>
          </w:p>
        </w:tc>
        <w:tc>
          <w:tcPr>
            <w:tcW w:w="850" w:type="dxa"/>
            <w:tcBorders>
              <w:top w:val="nil"/>
              <w:left w:val="nil"/>
              <w:bottom w:val="single" w:sz="6" w:space="0" w:color="000000"/>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D26F19">
              <w:rPr>
                <w:rFonts w:ascii="Calibri" w:eastAsiaTheme="minorEastAsia" w:hAnsi="Calibri" w:cs="Calibri"/>
                <w:color w:val="000000"/>
                <w:sz w:val="17"/>
                <w:szCs w:val="19"/>
                <w:lang w:eastAsia="en-AU"/>
              </w:rPr>
              <w:t>(7 417)</w:t>
            </w:r>
          </w:p>
        </w:tc>
      </w:tr>
      <w:tr w:rsidR="002C39A3" w:rsidRPr="00D26F19" w:rsidTr="00361FA9">
        <w:trPr>
          <w:cantSplit/>
        </w:trPr>
        <w:tc>
          <w:tcPr>
            <w:tcW w:w="3515" w:type="dxa"/>
            <w:tcBorders>
              <w:top w:val="single" w:sz="6" w:space="0" w:color="000000"/>
              <w:left w:val="nil"/>
              <w:bottom w:val="single" w:sz="12" w:space="0" w:color="auto"/>
              <w:right w:val="nil"/>
            </w:tcBorders>
            <w:shd w:val="clear" w:color="auto" w:fill="FFFFFF"/>
          </w:tcPr>
          <w:p w:rsidR="002C39A3" w:rsidRPr="00D26F19" w:rsidRDefault="002C39A3" w:rsidP="00361FA9">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Cash surplus/(deficit)</w:t>
            </w:r>
          </w:p>
        </w:tc>
        <w:tc>
          <w:tcPr>
            <w:tcW w:w="850" w:type="dxa"/>
            <w:tcBorders>
              <w:top w:val="single" w:sz="6" w:space="0" w:color="000000"/>
              <w:left w:val="nil"/>
              <w:bottom w:val="single" w:sz="12" w:space="0" w:color="auto"/>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1 124</w:t>
            </w:r>
          </w:p>
        </w:tc>
        <w:tc>
          <w:tcPr>
            <w:tcW w:w="850" w:type="dxa"/>
            <w:tcBorders>
              <w:top w:val="single" w:sz="6" w:space="0" w:color="000000"/>
              <w:left w:val="nil"/>
              <w:bottom w:val="single" w:sz="12" w:space="0" w:color="auto"/>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3 997</w:t>
            </w:r>
          </w:p>
        </w:tc>
        <w:tc>
          <w:tcPr>
            <w:tcW w:w="850" w:type="dxa"/>
            <w:tcBorders>
              <w:top w:val="single" w:sz="6" w:space="0" w:color="000000"/>
              <w:left w:val="nil"/>
              <w:bottom w:val="single" w:sz="12" w:space="0" w:color="auto"/>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(2 558)</w:t>
            </w:r>
          </w:p>
        </w:tc>
        <w:tc>
          <w:tcPr>
            <w:tcW w:w="850" w:type="dxa"/>
            <w:tcBorders>
              <w:top w:val="single" w:sz="6" w:space="0" w:color="000000"/>
              <w:left w:val="nil"/>
              <w:bottom w:val="single" w:sz="12" w:space="0" w:color="auto"/>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(1 476)</w:t>
            </w:r>
          </w:p>
        </w:tc>
        <w:tc>
          <w:tcPr>
            <w:tcW w:w="850" w:type="dxa"/>
            <w:tcBorders>
              <w:top w:val="single" w:sz="6" w:space="0" w:color="000000"/>
              <w:left w:val="nil"/>
              <w:bottom w:val="single" w:sz="12" w:space="0" w:color="auto"/>
              <w:right w:val="nil"/>
            </w:tcBorders>
            <w:shd w:val="clear" w:color="auto" w:fill="FFFFFF"/>
          </w:tcPr>
          <w:p w:rsidR="002C39A3" w:rsidRPr="00D26F19"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D26F19">
              <w:rPr>
                <w:rFonts w:ascii="Calibri" w:eastAsiaTheme="minorEastAsia" w:hAnsi="Calibri" w:cs="Calibri"/>
                <w:b/>
                <w:bCs/>
                <w:color w:val="000000"/>
                <w:sz w:val="17"/>
                <w:szCs w:val="19"/>
                <w:lang w:eastAsia="en-AU"/>
              </w:rPr>
              <w:t>351</w:t>
            </w:r>
          </w:p>
        </w:tc>
      </w:tr>
    </w:tbl>
    <w:p w:rsidR="002C39A3" w:rsidRDefault="002C39A3" w:rsidP="00361FA9">
      <w:pPr>
        <w:pStyle w:val="Source"/>
      </w:pPr>
      <w:r>
        <w:t>So</w:t>
      </w:r>
      <w:r w:rsidRPr="00727E5A">
        <w:t>urce: Department of Treasury and Finance</w:t>
      </w:r>
    </w:p>
    <w:p w:rsidR="002C39A3" w:rsidRPr="00912573" w:rsidRDefault="002C39A3" w:rsidP="00361FA9">
      <w:pPr>
        <w:pStyle w:val="Notes"/>
      </w:pPr>
      <w:r w:rsidRPr="00912573">
        <w:t>Notes:</w:t>
      </w:r>
    </w:p>
    <w:p w:rsidR="002C39A3" w:rsidRPr="00912573" w:rsidRDefault="002C39A3" w:rsidP="00361FA9">
      <w:pPr>
        <w:pStyle w:val="Notes"/>
      </w:pPr>
      <w:r>
        <w:t>(a)</w:t>
      </w:r>
      <w:r>
        <w:tab/>
      </w:r>
      <w:r w:rsidRPr="00912573">
        <w:t>Certain line items have been aggregated in the table above due to</w:t>
      </w:r>
      <w:r>
        <w:t xml:space="preserve"> the</w:t>
      </w:r>
      <w:r w:rsidRPr="00912573">
        <w:t xml:space="preserve"> commercial sensitivities of </w:t>
      </w:r>
      <w:r>
        <w:t xml:space="preserve">certain </w:t>
      </w:r>
      <w:r w:rsidRPr="00912573">
        <w:t>balances.</w:t>
      </w:r>
    </w:p>
    <w:p w:rsidR="002C39A3" w:rsidRPr="00912573" w:rsidRDefault="002C39A3" w:rsidP="00361FA9">
      <w:pPr>
        <w:pStyle w:val="Notes"/>
      </w:pPr>
      <w:r>
        <w:t>(b)</w:t>
      </w:r>
      <w:r>
        <w:tab/>
      </w:r>
      <w:r w:rsidRPr="00912573">
        <w:t>Inclusive of goods and services tax.</w:t>
      </w:r>
    </w:p>
    <w:p w:rsidR="002C39A3" w:rsidRDefault="002C39A3">
      <w:pPr>
        <w:spacing w:after="0"/>
        <w:rPr>
          <w:rFonts w:ascii="Calibri" w:hAnsi="Calibri"/>
          <w:b/>
        </w:rPr>
      </w:pPr>
    </w:p>
    <w:p w:rsidR="002C39A3" w:rsidRDefault="002C39A3" w:rsidP="00361FA9">
      <w:pPr>
        <w:pStyle w:val="Tableheading"/>
      </w:pPr>
      <w:r>
        <w:t>Table 2.22:</w:t>
      </w:r>
      <w:r>
        <w:tab/>
        <w:t>State of Victoria statement of changes in equity for the financial year ended 30 June</w:t>
      </w:r>
    </w:p>
    <w:p w:rsidR="002C39A3" w:rsidRPr="00422B32" w:rsidRDefault="002C39A3" w:rsidP="00361FA9">
      <w:pPr>
        <w:pStyle w:val="million"/>
        <w:rPr>
          <w:b/>
          <w:bCs/>
          <w:sz w:val="15"/>
          <w:lang w:val="en-US"/>
        </w:rPr>
      </w:pPr>
      <w:r>
        <w:t>($ million)</w:t>
      </w:r>
    </w:p>
    <w:tbl>
      <w:tblPr>
        <w:tblW w:w="7766" w:type="dxa"/>
        <w:tblInd w:w="45" w:type="dxa"/>
        <w:tblLayout w:type="fixed"/>
        <w:tblCellMar>
          <w:left w:w="45" w:type="dxa"/>
          <w:right w:w="45" w:type="dxa"/>
        </w:tblCellMar>
        <w:tblLook w:val="0000" w:firstRow="0" w:lastRow="0" w:firstColumn="0" w:lastColumn="0" w:noHBand="0" w:noVBand="0"/>
      </w:tblPr>
      <w:tblGrid>
        <w:gridCol w:w="4535"/>
        <w:gridCol w:w="1559"/>
        <w:gridCol w:w="1672"/>
      </w:tblGrid>
      <w:tr w:rsidR="002C39A3" w:rsidRPr="00422B32" w:rsidTr="00361FA9">
        <w:trPr>
          <w:tblHeader/>
        </w:trPr>
        <w:tc>
          <w:tcPr>
            <w:tcW w:w="4535" w:type="dxa"/>
            <w:tcBorders>
              <w:right w:val="nil"/>
            </w:tcBorders>
            <w:shd w:val="solid" w:color="000000" w:fill="auto"/>
            <w:vAlign w:val="bottom"/>
          </w:tcPr>
          <w:p w:rsidR="002C39A3" w:rsidRPr="00422B32" w:rsidRDefault="002C39A3" w:rsidP="00361FA9">
            <w:pPr>
              <w:pStyle w:val="Source"/>
              <w:spacing w:after="0"/>
              <w:rPr>
                <w:rFonts w:eastAsiaTheme="minorEastAsia" w:cs="Calibri"/>
                <w:iCs/>
                <w:color w:val="FFFFFF"/>
                <w:sz w:val="19"/>
                <w:szCs w:val="19"/>
                <w:lang w:eastAsia="en-AU"/>
              </w:rPr>
            </w:pPr>
            <w:r w:rsidRPr="00422B32">
              <w:rPr>
                <w:rFonts w:eastAsiaTheme="minorEastAsia" w:cs="Calibri"/>
                <w:iCs/>
                <w:color w:val="FFFFFF"/>
                <w:sz w:val="19"/>
                <w:szCs w:val="19"/>
                <w:lang w:eastAsia="en-AU"/>
              </w:rPr>
              <w:t xml:space="preserve"> </w:t>
            </w:r>
          </w:p>
        </w:tc>
        <w:tc>
          <w:tcPr>
            <w:tcW w:w="1559" w:type="dxa"/>
            <w:tcBorders>
              <w:left w:val="nil"/>
              <w:right w:val="nil"/>
            </w:tcBorders>
            <w:shd w:val="solid" w:color="000000" w:fill="auto"/>
            <w:vAlign w:val="bottom"/>
          </w:tcPr>
          <w:p w:rsidR="002C39A3" w:rsidRPr="00422B32"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Accumulated surplus/(deficit)</w:t>
            </w:r>
          </w:p>
        </w:tc>
        <w:tc>
          <w:tcPr>
            <w:tcW w:w="1672" w:type="dxa"/>
            <w:tcBorders>
              <w:left w:val="nil"/>
            </w:tcBorders>
            <w:shd w:val="solid" w:color="000000" w:fill="auto"/>
            <w:vAlign w:val="bottom"/>
          </w:tcPr>
          <w:p w:rsidR="002C39A3" w:rsidRPr="00422B32"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Non-controlling interest</w:t>
            </w:r>
          </w:p>
        </w:tc>
      </w:tr>
      <w:tr w:rsidR="00697FCC" w:rsidRPr="00422B32" w:rsidTr="006042B2">
        <w:tc>
          <w:tcPr>
            <w:tcW w:w="7766" w:type="dxa"/>
            <w:gridSpan w:val="3"/>
            <w:tcBorders>
              <w:top w:val="nil"/>
            </w:tcBorders>
            <w:shd w:val="clear" w:color="auto" w:fill="FFFFFF"/>
          </w:tcPr>
          <w:p w:rsidR="00697FCC" w:rsidRPr="00422B32" w:rsidRDefault="00697FCC" w:rsidP="00697FCC">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2015-16 revised</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Balance at 1 July 2015</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61 204</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50</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result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1 056</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comprehensive income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(1 761)</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Dividends paid</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Transfer to accumulated surplus </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Transactions with owners in their capacity as owners</w:t>
            </w:r>
          </w:p>
        </w:tc>
        <w:tc>
          <w:tcPr>
            <w:tcW w:w="1559"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672"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(50)</w:t>
            </w:r>
          </w:p>
        </w:tc>
      </w:tr>
      <w:tr w:rsidR="002C39A3" w:rsidRPr="00422B32" w:rsidTr="00361FA9">
        <w:tc>
          <w:tcPr>
            <w:tcW w:w="4535"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equity as at 30 June 2016</w:t>
            </w:r>
          </w:p>
        </w:tc>
        <w:tc>
          <w:tcPr>
            <w:tcW w:w="1559"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60 500</w:t>
            </w:r>
          </w:p>
        </w:tc>
        <w:tc>
          <w:tcPr>
            <w:tcW w:w="1672"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w:t>
            </w:r>
          </w:p>
        </w:tc>
      </w:tr>
      <w:tr w:rsidR="00697FCC" w:rsidRPr="00422B32" w:rsidTr="006042B2">
        <w:tc>
          <w:tcPr>
            <w:tcW w:w="7766" w:type="dxa"/>
            <w:gridSpan w:val="3"/>
            <w:tcBorders>
              <w:top w:val="single" w:sz="12" w:space="0" w:color="000000"/>
            </w:tcBorders>
            <w:shd w:val="clear" w:color="auto" w:fill="FFFFFF"/>
          </w:tcPr>
          <w:p w:rsidR="00697FCC" w:rsidRPr="00422B32" w:rsidRDefault="00697FCC" w:rsidP="00697FCC">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2016-17 budget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Balance at 1 July 2016</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60 500</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result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1 564</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comprehensive income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1 034</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Dividends paid</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Transfer to accumulated surplus </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4 094</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Transactions with owners in their capacity as owners</w:t>
            </w:r>
          </w:p>
        </w:tc>
        <w:tc>
          <w:tcPr>
            <w:tcW w:w="1559"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672"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4535"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equity as at 30 June 2017</w:t>
            </w:r>
          </w:p>
        </w:tc>
        <w:tc>
          <w:tcPr>
            <w:tcW w:w="1559"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67 192</w:t>
            </w:r>
          </w:p>
        </w:tc>
        <w:tc>
          <w:tcPr>
            <w:tcW w:w="1672"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w:t>
            </w:r>
          </w:p>
        </w:tc>
      </w:tr>
      <w:tr w:rsidR="00697FCC" w:rsidRPr="00422B32" w:rsidTr="006042B2">
        <w:tc>
          <w:tcPr>
            <w:tcW w:w="7766" w:type="dxa"/>
            <w:gridSpan w:val="3"/>
            <w:tcBorders>
              <w:top w:val="single" w:sz="12" w:space="0" w:color="000000"/>
            </w:tcBorders>
            <w:shd w:val="clear" w:color="auto" w:fill="FFFFFF"/>
          </w:tcPr>
          <w:p w:rsidR="00697FCC" w:rsidRPr="00422B32" w:rsidRDefault="00697FCC" w:rsidP="00697FCC">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2017-18 estimate</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Balance at 1 July 2017</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67 192</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result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1 122</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comprehensive income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869</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Dividends paid</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Transfer to accumulated surplus </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Transactions with owners in their capacity as owners</w:t>
            </w:r>
          </w:p>
        </w:tc>
        <w:tc>
          <w:tcPr>
            <w:tcW w:w="1559"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672"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4535"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equity as at 30 June 2018</w:t>
            </w:r>
          </w:p>
        </w:tc>
        <w:tc>
          <w:tcPr>
            <w:tcW w:w="1559"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69 184</w:t>
            </w:r>
          </w:p>
        </w:tc>
        <w:tc>
          <w:tcPr>
            <w:tcW w:w="1672"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w:t>
            </w:r>
          </w:p>
        </w:tc>
      </w:tr>
      <w:tr w:rsidR="00697FCC" w:rsidRPr="00422B32" w:rsidTr="006042B2">
        <w:tc>
          <w:tcPr>
            <w:tcW w:w="7766" w:type="dxa"/>
            <w:gridSpan w:val="3"/>
            <w:tcBorders>
              <w:top w:val="single" w:sz="12" w:space="0" w:color="000000"/>
            </w:tcBorders>
            <w:shd w:val="clear" w:color="auto" w:fill="FFFFFF"/>
          </w:tcPr>
          <w:p w:rsidR="00697FCC" w:rsidRPr="00422B32" w:rsidRDefault="00697FCC" w:rsidP="00697FCC">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2018-19 estimate</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Balance at 1 July 2018</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69 184</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result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1 479</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comprehensive income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899</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Dividends paid</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Transfer to accumulated surplus </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Transactions with owners in their capacity as owners</w:t>
            </w:r>
          </w:p>
        </w:tc>
        <w:tc>
          <w:tcPr>
            <w:tcW w:w="1559"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672"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4535"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equity as at 30 June 2019</w:t>
            </w:r>
          </w:p>
        </w:tc>
        <w:tc>
          <w:tcPr>
            <w:tcW w:w="1559"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71 562</w:t>
            </w:r>
          </w:p>
        </w:tc>
        <w:tc>
          <w:tcPr>
            <w:tcW w:w="1672"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w:t>
            </w:r>
          </w:p>
        </w:tc>
      </w:tr>
      <w:tr w:rsidR="00697FCC" w:rsidRPr="00422B32" w:rsidTr="006042B2">
        <w:tc>
          <w:tcPr>
            <w:tcW w:w="7766" w:type="dxa"/>
            <w:gridSpan w:val="3"/>
            <w:tcBorders>
              <w:top w:val="single" w:sz="12" w:space="0" w:color="000000"/>
            </w:tcBorders>
            <w:shd w:val="clear" w:color="auto" w:fill="FFFFFF"/>
          </w:tcPr>
          <w:p w:rsidR="00697FCC" w:rsidRPr="00422B32" w:rsidRDefault="00697FCC" w:rsidP="00697FCC">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2019-20 estimate</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Balance at 1 July 2019</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71 562</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Net result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2 122</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Other comprehensive income for the year</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899</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Dividends paid</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453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Transfer to accumulated surplus </w:t>
            </w:r>
          </w:p>
        </w:tc>
        <w:tc>
          <w:tcPr>
            <w:tcW w:w="1559"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1672"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453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Transactions with owners in their capacity as owners</w:t>
            </w:r>
          </w:p>
        </w:tc>
        <w:tc>
          <w:tcPr>
            <w:tcW w:w="1559"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1672"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4535" w:type="dxa"/>
            <w:tcBorders>
              <w:top w:val="single" w:sz="6" w:space="0" w:color="000000"/>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Total equity as at 30 June 2020</w:t>
            </w:r>
          </w:p>
        </w:tc>
        <w:tc>
          <w:tcPr>
            <w:tcW w:w="1559"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74 583</w:t>
            </w:r>
          </w:p>
        </w:tc>
        <w:tc>
          <w:tcPr>
            <w:tcW w:w="1672" w:type="dxa"/>
            <w:tcBorders>
              <w:top w:val="single" w:sz="6" w:space="0" w:color="000000"/>
              <w:left w:val="nil"/>
              <w:bottom w:val="single" w:sz="12" w:space="0" w:color="auto"/>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w:t>
            </w:r>
          </w:p>
        </w:tc>
      </w:tr>
    </w:tbl>
    <w:p w:rsidR="002C39A3" w:rsidRDefault="002C39A3" w:rsidP="00361FA9">
      <w:pPr>
        <w:pStyle w:val="Source"/>
      </w:pPr>
      <w:r>
        <w:t>Source: Department of Treasury and Finance</w:t>
      </w:r>
    </w:p>
    <w:p w:rsidR="002C39A3" w:rsidRDefault="002C39A3" w:rsidP="00361FA9"/>
    <w:p w:rsidR="002C39A3" w:rsidRDefault="002C39A3">
      <w:pPr>
        <w:spacing w:after="0"/>
      </w:pPr>
      <w:r>
        <w:br w:type="page"/>
      </w:r>
    </w:p>
    <w:p w:rsidR="002C39A3" w:rsidRDefault="002C39A3" w:rsidP="00361FA9">
      <w:pPr>
        <w:pStyle w:val="Tableheading"/>
      </w:pPr>
      <w:r>
        <w:br/>
      </w:r>
    </w:p>
    <w:p w:rsidR="002C39A3" w:rsidRPr="00422B32" w:rsidRDefault="002C39A3" w:rsidP="00361FA9">
      <w:pPr>
        <w:pStyle w:val="million"/>
        <w:rPr>
          <w:lang w:val="en-US"/>
        </w:rPr>
      </w:pPr>
    </w:p>
    <w:tbl>
      <w:tblPr>
        <w:tblW w:w="7773" w:type="dxa"/>
        <w:tblInd w:w="45" w:type="dxa"/>
        <w:tblLayout w:type="fixed"/>
        <w:tblCellMar>
          <w:left w:w="45" w:type="dxa"/>
          <w:right w:w="45" w:type="dxa"/>
        </w:tblCellMar>
        <w:tblLook w:val="0000" w:firstRow="0" w:lastRow="0" w:firstColumn="0" w:lastColumn="0" w:noHBand="0" w:noVBand="0"/>
      </w:tblPr>
      <w:tblGrid>
        <w:gridCol w:w="2591"/>
        <w:gridCol w:w="2591"/>
        <w:gridCol w:w="2591"/>
      </w:tblGrid>
      <w:tr w:rsidR="002C39A3" w:rsidRPr="00422B32" w:rsidTr="00361FA9">
        <w:trPr>
          <w:tblHeader/>
        </w:trPr>
        <w:tc>
          <w:tcPr>
            <w:tcW w:w="2591" w:type="dxa"/>
            <w:tcBorders>
              <w:right w:val="nil"/>
            </w:tcBorders>
            <w:shd w:val="solid" w:color="000000" w:fill="auto"/>
            <w:vAlign w:val="bottom"/>
          </w:tcPr>
          <w:p w:rsidR="002C39A3" w:rsidRPr="00422B32"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Non-financial assets </w:t>
            </w:r>
            <w:r w:rsidRPr="00422B32">
              <w:rPr>
                <w:rFonts w:ascii="Calibri" w:eastAsiaTheme="minorEastAsia" w:hAnsi="Calibri" w:cs="Calibri"/>
                <w:i/>
                <w:iCs/>
                <w:color w:val="FFFFFF"/>
                <w:sz w:val="19"/>
                <w:szCs w:val="19"/>
                <w:lang w:eastAsia="en-AU"/>
              </w:rPr>
              <w:br/>
              <w:t>revaluation surplus</w:t>
            </w:r>
          </w:p>
        </w:tc>
        <w:tc>
          <w:tcPr>
            <w:tcW w:w="2591" w:type="dxa"/>
            <w:tcBorders>
              <w:left w:val="nil"/>
              <w:right w:val="nil"/>
            </w:tcBorders>
            <w:shd w:val="solid" w:color="000000" w:fill="auto"/>
            <w:vAlign w:val="bottom"/>
          </w:tcPr>
          <w:p w:rsidR="002C39A3" w:rsidRPr="00422B32"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Other reserves</w:t>
            </w:r>
          </w:p>
        </w:tc>
        <w:tc>
          <w:tcPr>
            <w:tcW w:w="2591" w:type="dxa"/>
            <w:tcBorders>
              <w:left w:val="nil"/>
            </w:tcBorders>
            <w:shd w:val="solid" w:color="000000" w:fill="auto"/>
            <w:vAlign w:val="bottom"/>
          </w:tcPr>
          <w:p w:rsidR="002C39A3" w:rsidRPr="00422B32"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Total</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77 429</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1 201</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139 885</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1 056</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2 499</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742</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2591"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91"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91"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(50)</w:t>
            </w:r>
          </w:p>
        </w:tc>
      </w:tr>
      <w:tr w:rsidR="002C39A3" w:rsidRPr="00422B32" w:rsidTr="00361FA9">
        <w:tc>
          <w:tcPr>
            <w:tcW w:w="2591"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79 928</w:t>
            </w:r>
          </w:p>
        </w:tc>
        <w:tc>
          <w:tcPr>
            <w:tcW w:w="2591"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1 204</w:t>
            </w:r>
          </w:p>
        </w:tc>
        <w:tc>
          <w:tcPr>
            <w:tcW w:w="2591"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141 632</w:t>
            </w:r>
          </w:p>
        </w:tc>
      </w:tr>
      <w:tr w:rsidR="002C39A3" w:rsidRPr="00422B32" w:rsidTr="00361FA9">
        <w:tc>
          <w:tcPr>
            <w:tcW w:w="2591" w:type="dxa"/>
            <w:tcBorders>
              <w:top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91"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91" w:type="dxa"/>
            <w:tcBorders>
              <w:top w:val="single" w:sz="12"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79 928</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1 204</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141 632</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1 564</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2 790</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32</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3 855</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(4 094)</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2591"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2591"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2591"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2591"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78 624</w:t>
            </w:r>
          </w:p>
        </w:tc>
        <w:tc>
          <w:tcPr>
            <w:tcW w:w="2591"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1 236</w:t>
            </w:r>
          </w:p>
        </w:tc>
        <w:tc>
          <w:tcPr>
            <w:tcW w:w="2591"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147 052</w:t>
            </w:r>
          </w:p>
        </w:tc>
      </w:tr>
      <w:tr w:rsidR="002C39A3" w:rsidRPr="00422B32" w:rsidTr="00361FA9">
        <w:tc>
          <w:tcPr>
            <w:tcW w:w="2591" w:type="dxa"/>
            <w:tcBorders>
              <w:top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91"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91" w:type="dxa"/>
            <w:tcBorders>
              <w:top w:val="single" w:sz="12"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78 624</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1 236</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147 052</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1 122</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7 093</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28</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7 991</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2591"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2591"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2591"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2591"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85 717</w:t>
            </w:r>
          </w:p>
        </w:tc>
        <w:tc>
          <w:tcPr>
            <w:tcW w:w="2591"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1 264</w:t>
            </w:r>
          </w:p>
        </w:tc>
        <w:tc>
          <w:tcPr>
            <w:tcW w:w="2591"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156 165</w:t>
            </w:r>
          </w:p>
        </w:tc>
      </w:tr>
      <w:tr w:rsidR="002C39A3" w:rsidRPr="00422B32" w:rsidTr="00361FA9">
        <w:tc>
          <w:tcPr>
            <w:tcW w:w="2591" w:type="dxa"/>
            <w:tcBorders>
              <w:top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91"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91" w:type="dxa"/>
            <w:tcBorders>
              <w:top w:val="single" w:sz="12"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85 717</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1 264</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156 165</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1 479</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2 207</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36</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3 142</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2591"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2591"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2591"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2591" w:type="dxa"/>
            <w:tcBorders>
              <w:top w:val="single" w:sz="6" w:space="0" w:color="000000"/>
              <w:bottom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87 923</w:t>
            </w:r>
          </w:p>
        </w:tc>
        <w:tc>
          <w:tcPr>
            <w:tcW w:w="2591" w:type="dxa"/>
            <w:tcBorders>
              <w:top w:val="single" w:sz="6" w:space="0" w:color="000000"/>
              <w:left w:val="nil"/>
              <w:bottom w:val="single" w:sz="12"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1 300</w:t>
            </w:r>
          </w:p>
        </w:tc>
        <w:tc>
          <w:tcPr>
            <w:tcW w:w="2591" w:type="dxa"/>
            <w:tcBorders>
              <w:top w:val="single" w:sz="6" w:space="0" w:color="000000"/>
              <w:left w:val="nil"/>
              <w:bottom w:val="single" w:sz="12"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160 785</w:t>
            </w:r>
          </w:p>
        </w:tc>
      </w:tr>
      <w:tr w:rsidR="002C39A3" w:rsidRPr="00422B32" w:rsidTr="00361FA9">
        <w:tc>
          <w:tcPr>
            <w:tcW w:w="2591" w:type="dxa"/>
            <w:tcBorders>
              <w:top w:val="single" w:sz="12"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91" w:type="dxa"/>
            <w:tcBorders>
              <w:top w:val="single" w:sz="12" w:space="0" w:color="000000"/>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c>
          <w:tcPr>
            <w:tcW w:w="2591" w:type="dxa"/>
            <w:tcBorders>
              <w:top w:val="single" w:sz="12" w:space="0" w:color="000000"/>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 xml:space="preserve"> </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87 923</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1 300</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160 785</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2 122</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7 438</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29</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8 365</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2591"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91"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c>
          <w:tcPr>
            <w:tcW w:w="2591"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w:t>
            </w:r>
          </w:p>
        </w:tc>
      </w:tr>
      <w:tr w:rsidR="002C39A3" w:rsidRPr="00422B32" w:rsidTr="00361FA9">
        <w:tc>
          <w:tcPr>
            <w:tcW w:w="2591"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2591"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c>
          <w:tcPr>
            <w:tcW w:w="2591"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 </w:t>
            </w:r>
          </w:p>
        </w:tc>
      </w:tr>
      <w:tr w:rsidR="002C39A3" w:rsidRPr="00422B32" w:rsidTr="00361FA9">
        <w:tc>
          <w:tcPr>
            <w:tcW w:w="2591" w:type="dxa"/>
            <w:tcBorders>
              <w:top w:val="single" w:sz="6" w:space="0" w:color="000000"/>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95 361</w:t>
            </w:r>
          </w:p>
        </w:tc>
        <w:tc>
          <w:tcPr>
            <w:tcW w:w="2591"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1 329</w:t>
            </w:r>
          </w:p>
        </w:tc>
        <w:tc>
          <w:tcPr>
            <w:tcW w:w="2591" w:type="dxa"/>
            <w:tcBorders>
              <w:top w:val="single" w:sz="6" w:space="0" w:color="000000"/>
              <w:left w:val="nil"/>
              <w:bottom w:val="single" w:sz="12" w:space="0" w:color="auto"/>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171 272</w:t>
            </w:r>
          </w:p>
        </w:tc>
      </w:tr>
    </w:tbl>
    <w:p w:rsidR="002C39A3" w:rsidRDefault="002C39A3" w:rsidP="00361FA9"/>
    <w:p w:rsidR="002C39A3" w:rsidRPr="007270B7" w:rsidRDefault="002C39A3" w:rsidP="00361FA9"/>
    <w:p w:rsidR="002C39A3" w:rsidRDefault="002C39A3">
      <w:pPr>
        <w:spacing w:after="0"/>
        <w:rPr>
          <w:rFonts w:ascii="Calibri" w:hAnsi="Calibri"/>
          <w:b/>
        </w:rPr>
      </w:pPr>
      <w:r>
        <w:br w:type="page"/>
      </w:r>
    </w:p>
    <w:p w:rsidR="002C39A3" w:rsidRDefault="002C39A3" w:rsidP="00361FA9">
      <w:pPr>
        <w:pStyle w:val="Tableheading"/>
      </w:pPr>
      <w:r>
        <w:t>Table 2.23:</w:t>
      </w:r>
      <w:r>
        <w:tab/>
        <w:t>Derivation of whole of State GFS cash surplus/(deficit)</w:t>
      </w:r>
    </w:p>
    <w:p w:rsidR="002C39A3" w:rsidRPr="00422B32" w:rsidRDefault="002C39A3" w:rsidP="00361FA9">
      <w:pPr>
        <w:pStyle w:val="million"/>
        <w:rPr>
          <w:b/>
          <w:bCs/>
          <w:sz w:val="15"/>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697FCC" w:rsidRPr="00422B32" w:rsidTr="006042B2">
        <w:trPr>
          <w:trHeight w:val="464"/>
          <w:tblHeader/>
        </w:trPr>
        <w:tc>
          <w:tcPr>
            <w:tcW w:w="3515" w:type="dxa"/>
            <w:tcBorders>
              <w:right w:val="nil"/>
            </w:tcBorders>
            <w:shd w:val="solid" w:color="000000" w:fill="auto"/>
            <w:vAlign w:val="bottom"/>
          </w:tcPr>
          <w:p w:rsidR="00697FCC" w:rsidRPr="00422B32" w:rsidRDefault="00697FCC" w:rsidP="00697FCC">
            <w:pPr>
              <w:pStyle w:val="Source"/>
              <w:spacing w:after="0"/>
              <w:rPr>
                <w:rFonts w:eastAsiaTheme="minorEastAsia" w:cs="Calibri"/>
                <w:iCs/>
                <w:color w:val="FFFFFF"/>
                <w:sz w:val="19"/>
                <w:szCs w:val="19"/>
                <w:lang w:eastAsia="en-AU"/>
              </w:rPr>
            </w:pPr>
          </w:p>
        </w:tc>
        <w:tc>
          <w:tcPr>
            <w:tcW w:w="850" w:type="dxa"/>
            <w:tcBorders>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2015-16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revised</w:t>
            </w:r>
          </w:p>
        </w:tc>
        <w:tc>
          <w:tcPr>
            <w:tcW w:w="850" w:type="dxa"/>
            <w:tcBorders>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2016-17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budget</w:t>
            </w:r>
          </w:p>
        </w:tc>
        <w:tc>
          <w:tcPr>
            <w:tcW w:w="850" w:type="dxa"/>
            <w:tcBorders>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2017-18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2018-19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lef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2019-20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Cash surplus/(deficit)</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1 124</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3 997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(2 558)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(1 476)</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351</w:t>
            </w:r>
          </w:p>
        </w:tc>
      </w:tr>
      <w:tr w:rsidR="00697FCC" w:rsidRPr="00422B32" w:rsidTr="006042B2">
        <w:tc>
          <w:tcPr>
            <w:tcW w:w="7765" w:type="dxa"/>
            <w:gridSpan w:val="6"/>
            <w:tcBorders>
              <w:top w:val="nil"/>
            </w:tcBorders>
            <w:shd w:val="clear" w:color="auto" w:fill="FFFFFF"/>
          </w:tcPr>
          <w:p w:rsidR="00697FCC" w:rsidRPr="00422B32" w:rsidRDefault="00697FCC" w:rsidP="00697FCC">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 xml:space="preserve">Convergence differences: </w:t>
            </w:r>
            <w:r w:rsidRPr="00422B32">
              <w:rPr>
                <w:rFonts w:ascii="Calibri" w:eastAsiaTheme="minorEastAsia" w:hAnsi="Calibri" w:cs="Calibri"/>
                <w:color w:val="000000"/>
                <w:sz w:val="19"/>
                <w:szCs w:val="19"/>
                <w:vertAlign w:val="superscript"/>
                <w:lang w:eastAsia="en-AU"/>
              </w:rPr>
              <w:t>(a)</w:t>
            </w:r>
          </w:p>
        </w:tc>
      </w:tr>
      <w:tr w:rsidR="002C39A3" w:rsidRPr="00422B32" w:rsidTr="00361FA9">
        <w:tc>
          <w:tcPr>
            <w:tcW w:w="351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422B32">
              <w:rPr>
                <w:rFonts w:ascii="Calibri" w:eastAsiaTheme="minorEastAsia" w:hAnsi="Calibri" w:cs="Calibri"/>
                <w:color w:val="000000"/>
                <w:sz w:val="19"/>
                <w:szCs w:val="19"/>
                <w:lang w:eastAsia="en-AU"/>
              </w:rPr>
              <w:t xml:space="preserve">Acquisitions under finance leases and similar arrangements </w:t>
            </w:r>
            <w:r w:rsidRPr="00422B32">
              <w:rPr>
                <w:rFonts w:ascii="Calibri" w:eastAsiaTheme="minorEastAsia" w:hAnsi="Calibri" w:cs="Calibri"/>
                <w:color w:val="000000"/>
                <w:sz w:val="19"/>
                <w:szCs w:val="19"/>
                <w:vertAlign w:val="superscript"/>
                <w:lang w:eastAsia="en-AU"/>
              </w:rPr>
              <w:t>(b)</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(1 056)</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(517)</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(647)</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(596)</w:t>
            </w:r>
          </w:p>
        </w:tc>
        <w:tc>
          <w:tcPr>
            <w:tcW w:w="850"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(349)</w:t>
            </w:r>
          </w:p>
        </w:tc>
      </w:tr>
      <w:tr w:rsidR="002C39A3" w:rsidRPr="00422B32" w:rsidTr="00361FA9">
        <w:tc>
          <w:tcPr>
            <w:tcW w:w="3515" w:type="dxa"/>
            <w:tcBorders>
              <w:top w:val="single" w:sz="6" w:space="0" w:color="000000"/>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vertAlign w:val="superscript"/>
                <w:lang w:eastAsia="en-AU"/>
              </w:rPr>
            </w:pPr>
            <w:r w:rsidRPr="00422B32">
              <w:rPr>
                <w:rFonts w:ascii="Calibri" w:eastAsiaTheme="minorEastAsia" w:hAnsi="Calibri" w:cs="Calibri"/>
                <w:b/>
                <w:bCs/>
                <w:color w:val="000000"/>
                <w:sz w:val="19"/>
                <w:szCs w:val="19"/>
                <w:lang w:eastAsia="en-AU"/>
              </w:rPr>
              <w:t xml:space="preserve">GFS cash surplus/(deficit) </w:t>
            </w:r>
            <w:r w:rsidRPr="00422B32">
              <w:rPr>
                <w:rFonts w:ascii="Calibri" w:eastAsiaTheme="minorEastAsia" w:hAnsi="Calibri" w:cs="Calibri"/>
                <w:b/>
                <w:bCs/>
                <w:color w:val="000000"/>
                <w:sz w:val="19"/>
                <w:szCs w:val="19"/>
                <w:vertAlign w:val="superscript"/>
                <w:lang w:eastAsia="en-AU"/>
              </w:rPr>
              <w:t>(c)</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68</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3 480</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(3 205)</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(2 072)</w:t>
            </w:r>
          </w:p>
        </w:tc>
        <w:tc>
          <w:tcPr>
            <w:tcW w:w="850" w:type="dxa"/>
            <w:tcBorders>
              <w:top w:val="single" w:sz="6" w:space="0" w:color="000000"/>
              <w:left w:val="nil"/>
              <w:bottom w:val="single" w:sz="12" w:space="0" w:color="auto"/>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w:t>
            </w:r>
          </w:p>
        </w:tc>
      </w:tr>
    </w:tbl>
    <w:p w:rsidR="002C39A3" w:rsidRDefault="002C39A3" w:rsidP="00361FA9">
      <w:pPr>
        <w:pStyle w:val="Source"/>
      </w:pPr>
      <w:r w:rsidRPr="004E25B5">
        <w:t>Source: Department of Treasury and Finance</w:t>
      </w:r>
    </w:p>
    <w:p w:rsidR="002C39A3" w:rsidRPr="00F1763E" w:rsidRDefault="002C39A3" w:rsidP="00361FA9">
      <w:pPr>
        <w:pStyle w:val="Notes"/>
      </w:pPr>
      <w:r w:rsidRPr="00F1763E">
        <w:t>Notes:</w:t>
      </w:r>
    </w:p>
    <w:p w:rsidR="002C39A3" w:rsidRDefault="002C39A3" w:rsidP="00361FA9">
      <w:pPr>
        <w:pStyle w:val="Notes"/>
      </w:pPr>
      <w:r>
        <w:t>(a)</w:t>
      </w:r>
      <w:r>
        <w:tab/>
        <w:t>There may be convergence differences arising out of future commercial arrangements that will not crystalise until they are completed.</w:t>
      </w:r>
    </w:p>
    <w:p w:rsidR="002C39A3" w:rsidRPr="00F1763E" w:rsidRDefault="002C39A3" w:rsidP="00361FA9">
      <w:pPr>
        <w:pStyle w:val="Notes"/>
      </w:pPr>
      <w:r>
        <w:t>(b)</w:t>
      </w:r>
      <w:r>
        <w:tab/>
      </w:r>
      <w:r w:rsidRPr="00F1763E">
        <w:t>The finance lease acquisition in 2015-16 relates to the Victorian Comprehensive Cancer Centre and metropolitan Melbourne bus</w:t>
      </w:r>
      <w:r>
        <w:t>es contract</w:t>
      </w:r>
      <w:r w:rsidRPr="00F1763E">
        <w:t>. The 2016-17 figure relates to the new Bendigo Hospital project, the New Schools PPP project and the metropolitan Melbourne bus</w:t>
      </w:r>
      <w:r>
        <w:t>es contract</w:t>
      </w:r>
      <w:r w:rsidRPr="00F1763E">
        <w:t>. The 2017-18 estimate relates to the Ravenhall Prison project, the new Bendigo Hospital project and the New Schools PPP project</w:t>
      </w:r>
      <w:r>
        <w:t>.</w:t>
      </w:r>
      <w:r w:rsidRPr="00F1763E">
        <w:t xml:space="preserve"> The 2018-19 </w:t>
      </w:r>
      <w:r>
        <w:t xml:space="preserve">and 2019-20 </w:t>
      </w:r>
      <w:r w:rsidRPr="00F1763E">
        <w:t>estimate</w:t>
      </w:r>
      <w:r>
        <w:t>s predominantly relate to</w:t>
      </w:r>
      <w:r w:rsidRPr="00F1763E">
        <w:t xml:space="preserve"> </w:t>
      </w:r>
      <w:r>
        <w:t>the High Capacity Metro Trains Project.</w:t>
      </w:r>
    </w:p>
    <w:p w:rsidR="002C39A3" w:rsidRPr="00F1763E" w:rsidRDefault="002C39A3" w:rsidP="00361FA9">
      <w:pPr>
        <w:pStyle w:val="Notes"/>
      </w:pPr>
      <w:r>
        <w:t>(c)</w:t>
      </w:r>
      <w:r>
        <w:tab/>
      </w:r>
      <w:r w:rsidRPr="00F1763E">
        <w:t>Determined in accordance with the ABS GFS manual.</w:t>
      </w:r>
    </w:p>
    <w:p w:rsidR="002C39A3" w:rsidRDefault="002C39A3" w:rsidP="00361FA9"/>
    <w:p w:rsidR="002C39A3" w:rsidRDefault="002C39A3" w:rsidP="00361FA9"/>
    <w:p w:rsidR="002C39A3" w:rsidRDefault="002C39A3" w:rsidP="00361FA9">
      <w:pPr>
        <w:pStyle w:val="Tableheading"/>
      </w:pPr>
      <w:r>
        <w:t>Table 2.24:</w:t>
      </w:r>
      <w:r>
        <w:tab/>
        <w:t>Net acquisition of non</w:t>
      </w:r>
      <w:r>
        <w:noBreakHyphen/>
        <w:t>financial assets – State of Victoria</w:t>
      </w:r>
      <w:r w:rsidRPr="0003484F">
        <w:rPr>
          <w:vertAlign w:val="superscript"/>
        </w:rPr>
        <w:t>(</w:t>
      </w:r>
      <w:r w:rsidRPr="00912573">
        <w:rPr>
          <w:vertAlign w:val="superscript"/>
        </w:rPr>
        <w:t>a)</w:t>
      </w:r>
    </w:p>
    <w:p w:rsidR="002C39A3" w:rsidRPr="00422B32" w:rsidRDefault="002C39A3" w:rsidP="00361FA9">
      <w:pPr>
        <w:pStyle w:val="million"/>
        <w:rPr>
          <w:b/>
          <w:bCs/>
          <w:sz w:val="15"/>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251"/>
        <w:gridCol w:w="599"/>
        <w:gridCol w:w="850"/>
        <w:gridCol w:w="850"/>
        <w:gridCol w:w="850"/>
        <w:gridCol w:w="850"/>
      </w:tblGrid>
      <w:tr w:rsidR="00697FCC" w:rsidRPr="00422B32" w:rsidTr="006042B2">
        <w:trPr>
          <w:trHeight w:val="464"/>
          <w:tblHeader/>
        </w:trPr>
        <w:tc>
          <w:tcPr>
            <w:tcW w:w="3515" w:type="dxa"/>
            <w:tcBorders>
              <w:right w:val="nil"/>
            </w:tcBorders>
            <w:shd w:val="solid" w:color="000000" w:fill="auto"/>
            <w:vAlign w:val="bottom"/>
          </w:tcPr>
          <w:p w:rsidR="00697FCC" w:rsidRPr="00422B32" w:rsidRDefault="00697FCC" w:rsidP="00697FCC">
            <w:pPr>
              <w:pStyle w:val="Source"/>
              <w:spacing w:after="0"/>
              <w:rPr>
                <w:rFonts w:eastAsiaTheme="minorEastAsia" w:cs="Calibri"/>
                <w:iCs/>
                <w:color w:val="FFFFFF"/>
                <w:sz w:val="19"/>
                <w:szCs w:val="19"/>
                <w:lang w:eastAsia="en-AU"/>
              </w:rPr>
            </w:pPr>
          </w:p>
        </w:tc>
        <w:tc>
          <w:tcPr>
            <w:tcW w:w="850" w:type="dxa"/>
            <w:gridSpan w:val="2"/>
            <w:tcBorders>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2015-16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revised</w:t>
            </w:r>
          </w:p>
        </w:tc>
        <w:tc>
          <w:tcPr>
            <w:tcW w:w="850" w:type="dxa"/>
            <w:tcBorders>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2016-17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budget</w:t>
            </w:r>
          </w:p>
        </w:tc>
        <w:tc>
          <w:tcPr>
            <w:tcW w:w="850" w:type="dxa"/>
            <w:tcBorders>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2017-18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left w:val="nil"/>
              <w:righ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2018-19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c>
          <w:tcPr>
            <w:tcW w:w="850" w:type="dxa"/>
            <w:tcBorders>
              <w:left w:val="nil"/>
            </w:tcBorders>
            <w:shd w:val="solid" w:color="000000" w:fill="auto"/>
            <w:vAlign w:val="bottom"/>
          </w:tcPr>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2019-20 </w:t>
            </w:r>
          </w:p>
          <w:p w:rsidR="00697FCC" w:rsidRPr="00422B32" w:rsidRDefault="00697FCC"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 estimate</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Purchases of non-financial assets less sales of non-financial assets</w:t>
            </w:r>
            <w:r>
              <w:rPr>
                <w:rFonts w:ascii="Calibri" w:eastAsiaTheme="minorEastAsia" w:hAnsi="Calibri" w:cs="Calibri"/>
                <w:color w:val="000000"/>
                <w:sz w:val="19"/>
                <w:szCs w:val="19"/>
                <w:lang w:eastAsia="en-AU"/>
              </w:rPr>
              <w:t xml:space="preserve"> (including changes in inventories)</w:t>
            </w:r>
          </w:p>
        </w:tc>
        <w:tc>
          <w:tcPr>
            <w:tcW w:w="850"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5 980</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8 608</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8 697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8 381</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7 422</w:t>
            </w:r>
          </w:p>
        </w:tc>
      </w:tr>
      <w:tr w:rsidR="002C39A3" w:rsidRPr="00422B32" w:rsidTr="00361FA9">
        <w:tc>
          <w:tcPr>
            <w:tcW w:w="3515" w:type="dxa"/>
            <w:tcBorders>
              <w:top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Less: depreciation</w:t>
            </w:r>
          </w:p>
        </w:tc>
        <w:tc>
          <w:tcPr>
            <w:tcW w:w="850" w:type="dxa"/>
            <w:gridSpan w:val="2"/>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(4 665)</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(4 911)</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(5 087)</w:t>
            </w:r>
          </w:p>
        </w:tc>
        <w:tc>
          <w:tcPr>
            <w:tcW w:w="850"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(5 443)</w:t>
            </w:r>
          </w:p>
        </w:tc>
        <w:tc>
          <w:tcPr>
            <w:tcW w:w="850" w:type="dxa"/>
            <w:tcBorders>
              <w:top w:val="nil"/>
              <w:lef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(5 642)</w:t>
            </w:r>
          </w:p>
        </w:tc>
      </w:tr>
      <w:tr w:rsidR="002C39A3" w:rsidRPr="00422B32" w:rsidTr="00361FA9">
        <w:tc>
          <w:tcPr>
            <w:tcW w:w="3515" w:type="dxa"/>
            <w:tcBorders>
              <w:top w:val="nil"/>
              <w:bottom w:val="single" w:sz="6" w:space="0" w:color="000000"/>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422B32">
              <w:rPr>
                <w:rFonts w:ascii="Calibri" w:eastAsiaTheme="minorEastAsia" w:hAnsi="Calibri" w:cs="Calibri"/>
                <w:color w:val="000000"/>
                <w:sz w:val="19"/>
                <w:szCs w:val="19"/>
                <w:lang w:eastAsia="en-AU"/>
              </w:rPr>
              <w:t xml:space="preserve">Plus: other movements in non-financial assets </w:t>
            </w:r>
            <w:r w:rsidRPr="00422B32">
              <w:rPr>
                <w:rFonts w:ascii="Calibri" w:eastAsiaTheme="minorEastAsia" w:hAnsi="Calibri" w:cs="Calibri"/>
                <w:color w:val="000000"/>
                <w:sz w:val="19"/>
                <w:szCs w:val="19"/>
                <w:vertAlign w:val="superscript"/>
                <w:lang w:eastAsia="en-AU"/>
              </w:rPr>
              <w:t>(b)</w:t>
            </w:r>
          </w:p>
        </w:tc>
        <w:tc>
          <w:tcPr>
            <w:tcW w:w="850" w:type="dxa"/>
            <w:gridSpan w:val="2"/>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1 109</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687</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678</w:t>
            </w:r>
          </w:p>
        </w:tc>
        <w:tc>
          <w:tcPr>
            <w:tcW w:w="850" w:type="dxa"/>
            <w:tcBorders>
              <w:top w:val="nil"/>
              <w:left w:val="nil"/>
              <w:bottom w:val="single" w:sz="6" w:space="0" w:color="000000"/>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652</w:t>
            </w:r>
          </w:p>
        </w:tc>
        <w:tc>
          <w:tcPr>
            <w:tcW w:w="850" w:type="dxa"/>
            <w:tcBorders>
              <w:top w:val="nil"/>
              <w:left w:val="nil"/>
              <w:bottom w:val="single" w:sz="6" w:space="0" w:color="000000"/>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477</w:t>
            </w:r>
          </w:p>
        </w:tc>
      </w:tr>
      <w:tr w:rsidR="002C39A3" w:rsidRPr="00422B32" w:rsidTr="00361FA9">
        <w:tc>
          <w:tcPr>
            <w:tcW w:w="3766" w:type="dxa"/>
            <w:gridSpan w:val="2"/>
            <w:tcBorders>
              <w:top w:val="single" w:sz="6" w:space="0" w:color="000000"/>
              <w:bottom w:val="single" w:sz="12" w:space="0" w:color="auto"/>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vertAlign w:val="superscript"/>
                <w:lang w:eastAsia="en-AU"/>
              </w:rPr>
            </w:pPr>
            <w:r w:rsidRPr="00422B32">
              <w:rPr>
                <w:rFonts w:ascii="Calibri" w:eastAsiaTheme="minorEastAsia" w:hAnsi="Calibri" w:cs="Calibri"/>
                <w:b/>
                <w:bCs/>
                <w:color w:val="000000"/>
                <w:sz w:val="19"/>
                <w:szCs w:val="19"/>
                <w:lang w:eastAsia="en-AU"/>
              </w:rPr>
              <w:t xml:space="preserve">Total net acquisition of non-financial assets </w:t>
            </w:r>
            <w:r w:rsidRPr="00422B32">
              <w:rPr>
                <w:rFonts w:ascii="Calibri" w:eastAsiaTheme="minorEastAsia" w:hAnsi="Calibri" w:cs="Calibri"/>
                <w:b/>
                <w:bCs/>
                <w:color w:val="000000"/>
                <w:sz w:val="19"/>
                <w:szCs w:val="19"/>
                <w:vertAlign w:val="superscript"/>
                <w:lang w:eastAsia="en-AU"/>
              </w:rPr>
              <w:t>(b)</w:t>
            </w:r>
          </w:p>
        </w:tc>
        <w:tc>
          <w:tcPr>
            <w:tcW w:w="599"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2 424</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4 384</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4 287</w:t>
            </w:r>
          </w:p>
        </w:tc>
        <w:tc>
          <w:tcPr>
            <w:tcW w:w="850" w:type="dxa"/>
            <w:tcBorders>
              <w:top w:val="single" w:sz="6" w:space="0" w:color="000000"/>
              <w:left w:val="nil"/>
              <w:bottom w:val="single" w:sz="12"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3 590</w:t>
            </w:r>
          </w:p>
        </w:tc>
        <w:tc>
          <w:tcPr>
            <w:tcW w:w="850" w:type="dxa"/>
            <w:tcBorders>
              <w:top w:val="single" w:sz="6" w:space="0" w:color="000000"/>
              <w:left w:val="nil"/>
              <w:bottom w:val="single" w:sz="12" w:space="0" w:color="auto"/>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2 256</w:t>
            </w:r>
          </w:p>
        </w:tc>
      </w:tr>
    </w:tbl>
    <w:p w:rsidR="002C39A3" w:rsidRPr="00F1763E" w:rsidRDefault="002C39A3" w:rsidP="00361FA9">
      <w:pPr>
        <w:pStyle w:val="Source"/>
      </w:pPr>
      <w:r w:rsidRPr="00F1763E">
        <w:t>Source: Department of Treasury and Finance</w:t>
      </w:r>
    </w:p>
    <w:p w:rsidR="002C39A3" w:rsidRPr="00F1763E" w:rsidRDefault="002C39A3" w:rsidP="00361FA9">
      <w:pPr>
        <w:pStyle w:val="Notes"/>
      </w:pPr>
      <w:r w:rsidRPr="00F1763E">
        <w:t>Notes:</w:t>
      </w:r>
    </w:p>
    <w:p w:rsidR="002C39A3" w:rsidRPr="00F1763E" w:rsidRDefault="002C39A3" w:rsidP="00361FA9">
      <w:pPr>
        <w:pStyle w:val="Notes"/>
      </w:pPr>
      <w:r>
        <w:t>(a)</w:t>
      </w:r>
      <w:r>
        <w:tab/>
      </w:r>
      <w:r w:rsidRPr="00F1763E">
        <w:t xml:space="preserve">Certain line items have been aggregated in the table above due to </w:t>
      </w:r>
      <w:r>
        <w:t xml:space="preserve">the </w:t>
      </w:r>
      <w:r w:rsidRPr="00F1763E">
        <w:t xml:space="preserve">commercial sensitivities of </w:t>
      </w:r>
      <w:r>
        <w:t xml:space="preserve">certain </w:t>
      </w:r>
      <w:r w:rsidRPr="00F1763E">
        <w:t>balances.</w:t>
      </w:r>
    </w:p>
    <w:p w:rsidR="002C39A3" w:rsidRPr="00F1763E" w:rsidRDefault="002C39A3" w:rsidP="00361FA9">
      <w:pPr>
        <w:pStyle w:val="Notes"/>
      </w:pPr>
      <w:r>
        <w:t>(b)</w:t>
      </w:r>
      <w:r>
        <w:tab/>
      </w:r>
      <w:r w:rsidRPr="00F1763E">
        <w:t>The other movements in non-financial assets in 2015-16 predominantly relates to the recognition of finance lease arrangements for the Victorian Comprehensive Cancer Centre and metropolitan Melbourne bus</w:t>
      </w:r>
      <w:r>
        <w:t>es contract</w:t>
      </w:r>
      <w:r w:rsidRPr="00F1763E">
        <w:t xml:space="preserve">. The </w:t>
      </w:r>
      <w:r w:rsidR="006042B2">
        <w:t>2016</w:t>
      </w:r>
      <w:r w:rsidR="006042B2">
        <w:noBreakHyphen/>
      </w:r>
      <w:r w:rsidRPr="00F1763E">
        <w:t>17 estimate predominantly relates to the new Bendigo Hospital project,</w:t>
      </w:r>
      <w:r>
        <w:t xml:space="preserve"> the New Schools PPP project</w:t>
      </w:r>
      <w:r w:rsidRPr="00F1763E">
        <w:t xml:space="preserve"> and the metropolitan Melbourne bus</w:t>
      </w:r>
      <w:r>
        <w:t>es contract</w:t>
      </w:r>
      <w:r w:rsidRPr="00F1763E">
        <w:t>. The 2017-18 estimate predominantly relates to the Ravenhall Prison project, t</w:t>
      </w:r>
      <w:r>
        <w:t>he new Bendigo Hospital project</w:t>
      </w:r>
      <w:r w:rsidRPr="00F1763E">
        <w:t xml:space="preserve"> and the New Schools PPP project. The 2018-19 </w:t>
      </w:r>
      <w:r>
        <w:t xml:space="preserve">and 2019-20 </w:t>
      </w:r>
      <w:r w:rsidRPr="00F1763E">
        <w:t>estimate</w:t>
      </w:r>
      <w:r>
        <w:t>s</w:t>
      </w:r>
      <w:r w:rsidRPr="00F1763E">
        <w:t xml:space="preserve"> predominantly relate </w:t>
      </w:r>
      <w:r>
        <w:t xml:space="preserve">to the High Capacity Metro Trains Project. </w:t>
      </w:r>
    </w:p>
    <w:p w:rsidR="002C39A3" w:rsidRDefault="002C39A3">
      <w:pPr>
        <w:spacing w:after="0"/>
        <w:rPr>
          <w:rFonts w:ascii="Calibri" w:hAnsi="Calibri"/>
          <w:b/>
          <w:caps/>
          <w:sz w:val="26"/>
          <w:szCs w:val="22"/>
        </w:rPr>
      </w:pPr>
      <w:r>
        <w:br w:type="page"/>
      </w:r>
    </w:p>
    <w:p w:rsidR="002C39A3" w:rsidRPr="00A275EF" w:rsidRDefault="002C39A3" w:rsidP="00361FA9">
      <w:pPr>
        <w:pStyle w:val="Heading1"/>
      </w:pPr>
      <w:bookmarkStart w:id="34" w:name="_Toc449116193"/>
      <w:r w:rsidRPr="00A275EF">
        <w:t>Victoria</w:t>
      </w:r>
      <w:r w:rsidR="0097550F">
        <w:t>’</w:t>
      </w:r>
      <w:r w:rsidRPr="00A275EF">
        <w:t>s Loan Council Allocation</w:t>
      </w:r>
      <w:bookmarkEnd w:id="34"/>
    </w:p>
    <w:p w:rsidR="002C39A3" w:rsidRDefault="002C39A3" w:rsidP="00361FA9">
      <w:pPr>
        <w:rPr>
          <w:b/>
        </w:rPr>
      </w:pPr>
      <w:r w:rsidRPr="00B63AD7">
        <w:t xml:space="preserve">Under the </w:t>
      </w:r>
      <w:r>
        <w:t>Uniform Presentation Framework (UPF), Victoria is required to publish the Loan Council Allocation (LCA) estimates. The LCA is a measure of each government</w:t>
      </w:r>
      <w:r w:rsidR="0097550F">
        <w:t>’</w:t>
      </w:r>
      <w:r>
        <w:t xml:space="preserve">s net call on financial markets in a given financial year to meet its budget obligations. The method of public release is the responsibility of each jurisdiction. Victoria discloses its LCA information through the Financial Report for the State of Victoria, Budget Paper No. 5 </w:t>
      </w:r>
      <w:r>
        <w:rPr>
          <w:i/>
        </w:rPr>
        <w:t>Statement of Finances</w:t>
      </w:r>
      <w:r>
        <w:t xml:space="preserve"> and </w:t>
      </w:r>
      <w:r>
        <w:rPr>
          <w:i/>
        </w:rPr>
        <w:t>Budget Update</w:t>
      </w:r>
      <w:r>
        <w:t>.</w:t>
      </w:r>
    </w:p>
    <w:p w:rsidR="002C39A3" w:rsidRPr="00B63AD7" w:rsidRDefault="002C39A3" w:rsidP="00361FA9">
      <w:pPr>
        <w:rPr>
          <w:b/>
        </w:rPr>
      </w:pPr>
      <w:r>
        <w:t xml:space="preserve">Table 2.25 compares the Victorian 2016-17 LCA nomination (based on </w:t>
      </w:r>
      <w:r>
        <w:rPr>
          <w:i/>
        </w:rPr>
        <w:t>2015-16 Budget Update</w:t>
      </w:r>
      <w:r>
        <w:t xml:space="preserve"> estimates) approved by the Loan Council in April 2016, with the 2016-17 revised LCA based upon </w:t>
      </w:r>
      <w:r>
        <w:rPr>
          <w:i/>
        </w:rPr>
        <w:t>2016-17 Budget</w:t>
      </w:r>
      <w:r>
        <w:t xml:space="preserve"> estimates. </w:t>
      </w:r>
    </w:p>
    <w:p w:rsidR="002C39A3" w:rsidRDefault="002C39A3" w:rsidP="00361FA9">
      <w:pPr>
        <w:pStyle w:val="Tableheading"/>
      </w:pPr>
      <w:r>
        <w:t>Table 2.25:</w:t>
      </w:r>
      <w:r>
        <w:tab/>
        <w:t>Loan Council Allocation</w:t>
      </w:r>
    </w:p>
    <w:p w:rsidR="002C39A3" w:rsidRPr="00422B32" w:rsidRDefault="002C39A3" w:rsidP="00361FA9">
      <w:pPr>
        <w:pStyle w:val="million"/>
        <w:rPr>
          <w:rFonts w:eastAsiaTheme="minorEastAsia"/>
          <w:b/>
          <w:bCs/>
          <w:lang w:val="en-US" w:eastAsia="en-AU"/>
        </w:rPr>
      </w:pPr>
      <w:r>
        <w:t>($ million)</w:t>
      </w:r>
    </w:p>
    <w:tbl>
      <w:tblPr>
        <w:tblW w:w="7909" w:type="dxa"/>
        <w:tblInd w:w="45" w:type="dxa"/>
        <w:tblLayout w:type="fixed"/>
        <w:tblCellMar>
          <w:left w:w="45" w:type="dxa"/>
          <w:right w:w="45" w:type="dxa"/>
        </w:tblCellMar>
        <w:tblLook w:val="0000" w:firstRow="0" w:lastRow="0" w:firstColumn="0" w:lastColumn="0" w:noHBand="0" w:noVBand="0"/>
      </w:tblPr>
      <w:tblGrid>
        <w:gridCol w:w="5670"/>
        <w:gridCol w:w="1133"/>
        <w:gridCol w:w="1106"/>
      </w:tblGrid>
      <w:tr w:rsidR="006042B2" w:rsidRPr="00422B32" w:rsidTr="006042B2">
        <w:trPr>
          <w:trHeight w:val="464"/>
          <w:tblHeader/>
        </w:trPr>
        <w:tc>
          <w:tcPr>
            <w:tcW w:w="5670" w:type="dxa"/>
            <w:tcBorders>
              <w:top w:val="nil"/>
              <w:left w:val="nil"/>
              <w:right w:val="nil"/>
            </w:tcBorders>
            <w:shd w:val="solid" w:color="000000" w:fill="auto"/>
            <w:vAlign w:val="bottom"/>
          </w:tcPr>
          <w:p w:rsidR="006042B2" w:rsidRPr="00422B32" w:rsidRDefault="006042B2" w:rsidP="006042B2">
            <w:pPr>
              <w:pStyle w:val="Source"/>
              <w:spacing w:after="0"/>
              <w:rPr>
                <w:rFonts w:eastAsiaTheme="minorEastAsia" w:cs="Calibri"/>
                <w:iCs/>
                <w:color w:val="FFFFFF"/>
                <w:sz w:val="19"/>
                <w:szCs w:val="19"/>
                <w:lang w:eastAsia="en-AU"/>
              </w:rPr>
            </w:pPr>
          </w:p>
        </w:tc>
        <w:tc>
          <w:tcPr>
            <w:tcW w:w="1133" w:type="dxa"/>
            <w:tcBorders>
              <w:top w:val="nil"/>
              <w:left w:val="nil"/>
              <w:right w:val="nil"/>
            </w:tcBorders>
            <w:shd w:val="solid" w:color="000000" w:fill="auto"/>
            <w:vAlign w:val="bottom"/>
          </w:tcPr>
          <w:p w:rsidR="006042B2" w:rsidRPr="00422B32" w:rsidRDefault="006042B2"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2016-17</w:t>
            </w:r>
          </w:p>
          <w:p w:rsidR="006042B2" w:rsidRPr="00422B32" w:rsidRDefault="006042B2"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nomination</w:t>
            </w:r>
          </w:p>
        </w:tc>
        <w:tc>
          <w:tcPr>
            <w:tcW w:w="1106" w:type="dxa"/>
            <w:tcBorders>
              <w:top w:val="nil"/>
              <w:left w:val="nil"/>
              <w:right w:val="nil"/>
            </w:tcBorders>
            <w:shd w:val="solid" w:color="000000" w:fill="auto"/>
            <w:vAlign w:val="bottom"/>
          </w:tcPr>
          <w:p w:rsidR="006042B2" w:rsidRPr="00422B32" w:rsidRDefault="006042B2"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 xml:space="preserve">Budget </w:t>
            </w:r>
          </w:p>
          <w:p w:rsidR="006042B2" w:rsidRPr="00422B32" w:rsidRDefault="006042B2"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422B32">
              <w:rPr>
                <w:rFonts w:ascii="Calibri" w:eastAsiaTheme="minorEastAsia" w:hAnsi="Calibri" w:cs="Calibri"/>
                <w:i/>
                <w:iCs/>
                <w:color w:val="FFFFFF"/>
                <w:sz w:val="19"/>
                <w:szCs w:val="19"/>
                <w:lang w:eastAsia="en-AU"/>
              </w:rPr>
              <w:t>estimate</w:t>
            </w:r>
          </w:p>
        </w:tc>
      </w:tr>
      <w:tr w:rsidR="002C39A3" w:rsidRPr="00422B32" w:rsidTr="00361FA9">
        <w:tc>
          <w:tcPr>
            <w:tcW w:w="5670"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General government cash deficit (+) or surplus (-)</w:t>
            </w:r>
          </w:p>
        </w:tc>
        <w:tc>
          <w:tcPr>
            <w:tcW w:w="113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1 219</w:t>
            </w:r>
          </w:p>
        </w:tc>
        <w:tc>
          <w:tcPr>
            <w:tcW w:w="110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1 518</w:t>
            </w:r>
          </w:p>
        </w:tc>
      </w:tr>
      <w:tr w:rsidR="002C39A3" w:rsidRPr="00422B32" w:rsidTr="00361FA9">
        <w:tc>
          <w:tcPr>
            <w:tcW w:w="5670" w:type="dxa"/>
            <w:tcBorders>
              <w:top w:val="nil"/>
              <w:left w:val="nil"/>
              <w:bottom w:val="single" w:sz="6" w:space="0" w:color="auto"/>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Public non-financial corporations sector cash deficit (+) or surplus (-)</w:t>
            </w:r>
          </w:p>
        </w:tc>
        <w:tc>
          <w:tcPr>
            <w:tcW w:w="1133" w:type="dxa"/>
            <w:tcBorders>
              <w:top w:val="nil"/>
              <w:left w:val="nil"/>
              <w:bottom w:val="single" w:sz="6"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842</w:t>
            </w:r>
          </w:p>
        </w:tc>
        <w:tc>
          <w:tcPr>
            <w:tcW w:w="1106" w:type="dxa"/>
            <w:tcBorders>
              <w:top w:val="nil"/>
              <w:left w:val="nil"/>
              <w:bottom w:val="single" w:sz="6"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(4 869)</w:t>
            </w:r>
          </w:p>
        </w:tc>
      </w:tr>
      <w:tr w:rsidR="002C39A3" w:rsidRPr="00422B32" w:rsidTr="00361FA9">
        <w:tc>
          <w:tcPr>
            <w:tcW w:w="5670" w:type="dxa"/>
            <w:tcBorders>
              <w:top w:val="single" w:sz="6" w:space="0" w:color="auto"/>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422B32">
              <w:rPr>
                <w:rFonts w:ascii="Calibri" w:eastAsiaTheme="minorEastAsia" w:hAnsi="Calibri" w:cs="Calibri"/>
                <w:color w:val="000000"/>
                <w:sz w:val="19"/>
                <w:szCs w:val="19"/>
                <w:lang w:eastAsia="en-AU"/>
              </w:rPr>
              <w:t>Non-financial public sector cash deficit (+) or surplus (-)</w:t>
            </w:r>
            <w:r w:rsidRPr="00422B32">
              <w:rPr>
                <w:rFonts w:ascii="Calibri" w:eastAsiaTheme="minorEastAsia" w:hAnsi="Calibri" w:cs="Calibri"/>
                <w:color w:val="000000"/>
                <w:sz w:val="19"/>
                <w:szCs w:val="19"/>
                <w:vertAlign w:val="superscript"/>
                <w:lang w:eastAsia="en-AU"/>
              </w:rPr>
              <w:t>(a)</w:t>
            </w:r>
          </w:p>
        </w:tc>
        <w:tc>
          <w:tcPr>
            <w:tcW w:w="1133" w:type="dxa"/>
            <w:tcBorders>
              <w:top w:val="single" w:sz="6" w:space="0" w:color="auto"/>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2 077</w:t>
            </w:r>
          </w:p>
        </w:tc>
        <w:tc>
          <w:tcPr>
            <w:tcW w:w="1106" w:type="dxa"/>
            <w:tcBorders>
              <w:top w:val="single" w:sz="6" w:space="0" w:color="auto"/>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(3 369)</w:t>
            </w:r>
          </w:p>
        </w:tc>
      </w:tr>
      <w:tr w:rsidR="002C39A3" w:rsidRPr="00422B32" w:rsidTr="00361FA9">
        <w:tc>
          <w:tcPr>
            <w:tcW w:w="5670" w:type="dxa"/>
            <w:tcBorders>
              <w:top w:val="nil"/>
              <w:left w:val="nil"/>
              <w:bottom w:val="single" w:sz="6" w:space="0" w:color="auto"/>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Acquisitions under finance leases and similar arrangements</w:t>
            </w:r>
          </w:p>
        </w:tc>
        <w:tc>
          <w:tcPr>
            <w:tcW w:w="1133" w:type="dxa"/>
            <w:tcBorders>
              <w:top w:val="nil"/>
              <w:left w:val="nil"/>
              <w:bottom w:val="single" w:sz="6"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496</w:t>
            </w:r>
          </w:p>
        </w:tc>
        <w:tc>
          <w:tcPr>
            <w:tcW w:w="1106" w:type="dxa"/>
            <w:tcBorders>
              <w:top w:val="nil"/>
              <w:left w:val="nil"/>
              <w:bottom w:val="single" w:sz="6" w:space="0" w:color="auto"/>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517</w:t>
            </w:r>
          </w:p>
        </w:tc>
      </w:tr>
      <w:tr w:rsidR="002C39A3" w:rsidRPr="00422B32" w:rsidTr="00361FA9">
        <w:tc>
          <w:tcPr>
            <w:tcW w:w="5670" w:type="dxa"/>
            <w:tcBorders>
              <w:top w:val="single" w:sz="6" w:space="0" w:color="auto"/>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ABS GFS cash deficit (+) or surplus (-)</w:t>
            </w:r>
          </w:p>
        </w:tc>
        <w:tc>
          <w:tcPr>
            <w:tcW w:w="1133" w:type="dxa"/>
            <w:tcBorders>
              <w:top w:val="single" w:sz="6" w:space="0" w:color="auto"/>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2 573</w:t>
            </w:r>
          </w:p>
        </w:tc>
        <w:tc>
          <w:tcPr>
            <w:tcW w:w="1106" w:type="dxa"/>
            <w:tcBorders>
              <w:top w:val="single" w:sz="6" w:space="0" w:color="auto"/>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(2 852)</w:t>
            </w:r>
          </w:p>
        </w:tc>
      </w:tr>
      <w:tr w:rsidR="002C39A3" w:rsidRPr="00422B32" w:rsidTr="00361FA9">
        <w:tc>
          <w:tcPr>
            <w:tcW w:w="5670" w:type="dxa"/>
            <w:tcBorders>
              <w:top w:val="nil"/>
              <w:left w:val="nil"/>
              <w:right w:val="nil"/>
            </w:tcBorders>
            <w:shd w:val="clear" w:color="auto"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422B32">
              <w:rPr>
                <w:rFonts w:ascii="Calibri" w:eastAsiaTheme="minorEastAsia" w:hAnsi="Calibri" w:cs="Calibri"/>
                <w:i/>
                <w:iCs/>
                <w:color w:val="000000"/>
                <w:sz w:val="19"/>
                <w:szCs w:val="19"/>
                <w:lang w:eastAsia="en-AU"/>
              </w:rPr>
              <w:t>Less net cash flows from investments in financial assets for policy purposes</w:t>
            </w:r>
            <w:r w:rsidRPr="00422B32">
              <w:rPr>
                <w:rFonts w:ascii="Calibri" w:eastAsiaTheme="minorEastAsia" w:hAnsi="Calibri" w:cs="Calibri"/>
                <w:color w:val="000000"/>
                <w:sz w:val="19"/>
                <w:szCs w:val="19"/>
                <w:vertAlign w:val="superscript"/>
                <w:lang w:eastAsia="en-AU"/>
              </w:rPr>
              <w:t>(b)</w:t>
            </w:r>
          </w:p>
        </w:tc>
        <w:tc>
          <w:tcPr>
            <w:tcW w:w="1133"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59</w:t>
            </w:r>
          </w:p>
        </w:tc>
        <w:tc>
          <w:tcPr>
            <w:tcW w:w="1106" w:type="dxa"/>
            <w:tcBorders>
              <w:top w:val="nil"/>
              <w:left w:val="nil"/>
              <w:right w:val="nil"/>
            </w:tcBorders>
            <w:shd w:val="clear" w:color="auto"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107</w:t>
            </w:r>
          </w:p>
        </w:tc>
      </w:tr>
      <w:tr w:rsidR="002C39A3" w:rsidRPr="00422B32" w:rsidTr="00361FA9">
        <w:tc>
          <w:tcPr>
            <w:tcW w:w="5670" w:type="dxa"/>
            <w:tcBorders>
              <w:top w:val="nil"/>
              <w:left w:val="nil"/>
              <w:bottom w:val="single" w:sz="6" w:space="0" w:color="auto"/>
              <w:right w:val="nil"/>
            </w:tcBorders>
            <w:shd w:val="clear" w:color="000000"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422B32">
              <w:rPr>
                <w:rFonts w:ascii="Calibri" w:eastAsiaTheme="minorEastAsia" w:hAnsi="Calibri" w:cs="Calibri"/>
                <w:i/>
                <w:iCs/>
                <w:color w:val="000000"/>
                <w:sz w:val="19"/>
                <w:szCs w:val="19"/>
                <w:lang w:eastAsia="en-AU"/>
              </w:rPr>
              <w:t>Plus memorandum items</w:t>
            </w:r>
            <w:r w:rsidRPr="00422B32">
              <w:rPr>
                <w:rFonts w:ascii="Calibri" w:eastAsiaTheme="minorEastAsia" w:hAnsi="Calibri" w:cs="Calibri"/>
                <w:color w:val="000000"/>
                <w:sz w:val="19"/>
                <w:szCs w:val="19"/>
                <w:vertAlign w:val="superscript"/>
                <w:lang w:eastAsia="en-AU"/>
              </w:rPr>
              <w:t>(c)</w:t>
            </w:r>
          </w:p>
        </w:tc>
        <w:tc>
          <w:tcPr>
            <w:tcW w:w="1133" w:type="dxa"/>
            <w:tcBorders>
              <w:top w:val="nil"/>
              <w:left w:val="nil"/>
              <w:bottom w:val="single" w:sz="6" w:space="0" w:color="auto"/>
              <w:right w:val="nil"/>
            </w:tcBorders>
            <w:shd w:val="clear" w:color="000000"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484</w:t>
            </w:r>
          </w:p>
        </w:tc>
        <w:tc>
          <w:tcPr>
            <w:tcW w:w="1106" w:type="dxa"/>
            <w:tcBorders>
              <w:top w:val="nil"/>
              <w:left w:val="nil"/>
              <w:bottom w:val="single" w:sz="6" w:space="0" w:color="auto"/>
              <w:right w:val="nil"/>
            </w:tcBorders>
            <w:shd w:val="clear" w:color="000000"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494</w:t>
            </w:r>
          </w:p>
        </w:tc>
      </w:tr>
      <w:tr w:rsidR="002C39A3" w:rsidRPr="00422B32" w:rsidTr="00361FA9">
        <w:tc>
          <w:tcPr>
            <w:tcW w:w="5670" w:type="dxa"/>
            <w:tcBorders>
              <w:top w:val="single" w:sz="6" w:space="0" w:color="auto"/>
              <w:left w:val="nil"/>
              <w:bottom w:val="single" w:sz="6" w:space="0" w:color="auto"/>
              <w:right w:val="nil"/>
            </w:tcBorders>
            <w:shd w:val="clear" w:color="000000"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Loan Council Allocation</w:t>
            </w:r>
          </w:p>
        </w:tc>
        <w:tc>
          <w:tcPr>
            <w:tcW w:w="1133" w:type="dxa"/>
            <w:tcBorders>
              <w:top w:val="single" w:sz="6" w:space="0" w:color="auto"/>
              <w:left w:val="nil"/>
              <w:bottom w:val="single" w:sz="6" w:space="0" w:color="auto"/>
              <w:right w:val="nil"/>
            </w:tcBorders>
            <w:shd w:val="clear" w:color="000000"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2 998</w:t>
            </w:r>
          </w:p>
        </w:tc>
        <w:tc>
          <w:tcPr>
            <w:tcW w:w="1106" w:type="dxa"/>
            <w:tcBorders>
              <w:top w:val="single" w:sz="6" w:space="0" w:color="auto"/>
              <w:left w:val="nil"/>
              <w:bottom w:val="single" w:sz="6" w:space="0" w:color="auto"/>
              <w:right w:val="nil"/>
            </w:tcBorders>
            <w:shd w:val="clear" w:color="000000" w:fill="FFFFFF"/>
          </w:tcPr>
          <w:p w:rsidR="002C39A3" w:rsidRPr="00422B32"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422B32">
              <w:rPr>
                <w:rFonts w:ascii="Calibri" w:eastAsiaTheme="minorEastAsia" w:hAnsi="Calibri" w:cs="Calibri"/>
                <w:b/>
                <w:bCs/>
                <w:color w:val="000000"/>
                <w:sz w:val="19"/>
                <w:szCs w:val="19"/>
                <w:lang w:eastAsia="en-AU"/>
              </w:rPr>
              <w:t>(2 465)</w:t>
            </w:r>
          </w:p>
        </w:tc>
      </w:tr>
      <w:tr w:rsidR="002C39A3" w:rsidRPr="00422B32" w:rsidTr="00361FA9">
        <w:tc>
          <w:tcPr>
            <w:tcW w:w="5670" w:type="dxa"/>
            <w:tcBorders>
              <w:top w:val="single" w:sz="6" w:space="0" w:color="auto"/>
              <w:left w:val="nil"/>
              <w:bottom w:val="single" w:sz="12" w:space="0" w:color="auto"/>
              <w:right w:val="nil"/>
            </w:tcBorders>
            <w:shd w:val="clear" w:color="000000" w:fill="FFFFFF"/>
          </w:tcPr>
          <w:p w:rsidR="002C39A3" w:rsidRPr="00422B32"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422B32">
              <w:rPr>
                <w:rFonts w:ascii="Calibri" w:eastAsiaTheme="minorEastAsia" w:hAnsi="Calibri" w:cs="Calibri"/>
                <w:color w:val="000000"/>
                <w:sz w:val="19"/>
                <w:szCs w:val="19"/>
                <w:lang w:eastAsia="en-AU"/>
              </w:rPr>
              <w:t>Tolerance limit (2 per cent of non-financial public sector cash receipts from operating activities)</w:t>
            </w:r>
            <w:r w:rsidRPr="00422B32">
              <w:rPr>
                <w:rFonts w:ascii="Calibri" w:eastAsiaTheme="minorEastAsia" w:hAnsi="Calibri" w:cs="Calibri"/>
                <w:color w:val="000000"/>
                <w:sz w:val="19"/>
                <w:szCs w:val="19"/>
                <w:vertAlign w:val="superscript"/>
                <w:lang w:eastAsia="en-AU"/>
              </w:rPr>
              <w:t>(d)</w:t>
            </w:r>
          </w:p>
        </w:tc>
        <w:tc>
          <w:tcPr>
            <w:tcW w:w="1133" w:type="dxa"/>
            <w:tcBorders>
              <w:top w:val="single" w:sz="6" w:space="0" w:color="auto"/>
              <w:left w:val="nil"/>
              <w:bottom w:val="single" w:sz="12" w:space="0" w:color="auto"/>
              <w:right w:val="nil"/>
            </w:tcBorders>
            <w:shd w:val="clear" w:color="000000"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1 217</w:t>
            </w:r>
          </w:p>
        </w:tc>
        <w:tc>
          <w:tcPr>
            <w:tcW w:w="1106" w:type="dxa"/>
            <w:tcBorders>
              <w:top w:val="single" w:sz="6" w:space="0" w:color="auto"/>
              <w:left w:val="nil"/>
              <w:bottom w:val="single" w:sz="12" w:space="0" w:color="auto"/>
              <w:right w:val="nil"/>
            </w:tcBorders>
            <w:shd w:val="clear" w:color="000000" w:fill="FFFFFF"/>
          </w:tcPr>
          <w:p w:rsidR="002C39A3" w:rsidRPr="00422B32"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422B32">
              <w:rPr>
                <w:rFonts w:ascii="Calibri" w:eastAsiaTheme="minorEastAsia" w:hAnsi="Calibri" w:cs="Calibri"/>
                <w:color w:val="000000"/>
                <w:sz w:val="19"/>
                <w:szCs w:val="19"/>
                <w:lang w:eastAsia="en-AU"/>
              </w:rPr>
              <w:t>1 385</w:t>
            </w:r>
          </w:p>
        </w:tc>
      </w:tr>
    </w:tbl>
    <w:p w:rsidR="002C39A3" w:rsidRDefault="002C39A3" w:rsidP="00361FA9">
      <w:pPr>
        <w:pStyle w:val="Source"/>
      </w:pPr>
      <w:r>
        <w:t>Source: Department of Treasury and Finance</w:t>
      </w:r>
      <w:r w:rsidRPr="00D633F6">
        <w:t xml:space="preserve"> </w:t>
      </w:r>
    </w:p>
    <w:p w:rsidR="002C39A3" w:rsidRDefault="002C39A3" w:rsidP="00361FA9">
      <w:pPr>
        <w:pStyle w:val="Notes"/>
      </w:pPr>
      <w:r w:rsidRPr="00D0375F">
        <w:t>Notes</w:t>
      </w:r>
      <w:r>
        <w:t>:</w:t>
      </w:r>
    </w:p>
    <w:p w:rsidR="002C39A3" w:rsidRDefault="002C39A3" w:rsidP="00361FA9">
      <w:pPr>
        <w:pStyle w:val="Notes"/>
      </w:pPr>
      <w:r>
        <w:t xml:space="preserve">(a) </w:t>
      </w:r>
      <w:r>
        <w:tab/>
        <w:t>The sum of the general government and public non</w:t>
      </w:r>
      <w:r>
        <w:noBreakHyphen/>
        <w:t>financial corporation sectors does not directly equal the non</w:t>
      </w:r>
      <w:r>
        <w:noBreakHyphen/>
        <w:t>financial public sector cash deficit due to inter</w:t>
      </w:r>
      <w:r>
        <w:noBreakHyphen/>
        <w:t>sectoral transfers, which are netted out in the calculation of the non</w:t>
      </w:r>
      <w:r>
        <w:noBreakHyphen/>
        <w:t>financial public sector figure. The non</w:t>
      </w:r>
      <w:r>
        <w:noBreakHyphen/>
        <w:t>financial public sector cash total excludes finance lease acquisitions.</w:t>
      </w:r>
    </w:p>
    <w:p w:rsidR="002C39A3" w:rsidRDefault="002C39A3" w:rsidP="00361FA9">
      <w:pPr>
        <w:pStyle w:val="Notes"/>
      </w:pPr>
      <w:r>
        <w:t xml:space="preserve">(b) </w:t>
      </w:r>
      <w:r>
        <w:tab/>
        <w:t>The ABS GFS cash deficit is adjusted to include in the LCA the impact of net cash flows from investments in financial assets for policy purposes.</w:t>
      </w:r>
    </w:p>
    <w:p w:rsidR="002C39A3" w:rsidRDefault="002C39A3" w:rsidP="00361FA9">
      <w:pPr>
        <w:pStyle w:val="Notes"/>
      </w:pPr>
      <w:r>
        <w:t xml:space="preserve">(c) </w:t>
      </w:r>
      <w:r>
        <w:tab/>
        <w:t>The ABS GFS cash deficit is adjusted to include in the LCA the impact of memorandum items, which include certain transactions that have many of the characteristics of public sector borrowings but do not constitute formal borrowings (e.g. operating leases). They also include, where appropriate, transactions that the Loan Council has agreed should not be included in the LCA (e.g. the over/under funding of employers</w:t>
      </w:r>
      <w:r w:rsidR="0097550F">
        <w:t>’</w:t>
      </w:r>
      <w:r>
        <w:t xml:space="preserve"> emerging costs under public sector superannuation schemes, or borrowings by entities such as statutory marketing authorities).</w:t>
      </w:r>
    </w:p>
    <w:p w:rsidR="002C39A3" w:rsidRDefault="002C39A3" w:rsidP="00361FA9">
      <w:pPr>
        <w:pStyle w:val="Notes"/>
      </w:pPr>
      <w:r>
        <w:t xml:space="preserve">(d) </w:t>
      </w:r>
      <w:r>
        <w:tab/>
        <w:t>A tolerance limit equal to 2 per cent of total non</w:t>
      </w:r>
      <w:r>
        <w:noBreakHyphen/>
        <w:t>financial public sector cash receipt from operating activities applies to the movement between a jurisdiction</w:t>
      </w:r>
      <w:r w:rsidR="0097550F">
        <w:t>’</w:t>
      </w:r>
      <w:r>
        <w:t xml:space="preserve">s LCA nomination and LCA budget estimate (calculated using estimates in the </w:t>
      </w:r>
      <w:r>
        <w:rPr>
          <w:i w:val="0"/>
        </w:rPr>
        <w:t>2015-16</w:t>
      </w:r>
      <w:r w:rsidRPr="004121EF">
        <w:rPr>
          <w:i w:val="0"/>
        </w:rPr>
        <w:t xml:space="preserve"> Budget Update</w:t>
      </w:r>
      <w:r>
        <w:t xml:space="preserve">), and again between the LCA budget estimate and LCA outcome (calculated using estimates in the </w:t>
      </w:r>
      <w:r>
        <w:rPr>
          <w:i w:val="0"/>
        </w:rPr>
        <w:t>2016-17</w:t>
      </w:r>
      <w:r w:rsidRPr="004121EF">
        <w:rPr>
          <w:i w:val="0"/>
        </w:rPr>
        <w:t xml:space="preserve"> Budget</w:t>
      </w:r>
      <w:r>
        <w:t>). The tolerance limit applying to the movement between Victoria</w:t>
      </w:r>
      <w:r w:rsidR="0097550F">
        <w:t>’</w:t>
      </w:r>
      <w:r>
        <w:t xml:space="preserve">s 2016-17 LCA nomination and its LCA budget </w:t>
      </w:r>
      <w:r w:rsidRPr="005C78CD">
        <w:t xml:space="preserve">estimate is </w:t>
      </w:r>
      <w:r>
        <w:t>$1 217</w:t>
      </w:r>
      <w:r w:rsidRPr="005C78CD">
        <w:t> million (2 per cent of $60 844 </w:t>
      </w:r>
      <w:r w:rsidRPr="0013143B">
        <w:t>million). The tolerance limit applying to the movement between Victoria</w:t>
      </w:r>
      <w:r w:rsidR="0097550F">
        <w:t>’</w:t>
      </w:r>
      <w:r w:rsidRPr="0013143B">
        <w:t xml:space="preserve">s 2016-17 LCA budget estimate and LCA outcome is </w:t>
      </w:r>
      <w:r>
        <w:t>$1 385</w:t>
      </w:r>
      <w:r w:rsidRPr="0013143B">
        <w:t> million (2 per cent of $6</w:t>
      </w:r>
      <w:r>
        <w:t>9</w:t>
      </w:r>
      <w:r w:rsidRPr="0013143B">
        <w:t xml:space="preserve"> </w:t>
      </w:r>
      <w:r>
        <w:t>243</w:t>
      </w:r>
      <w:r w:rsidRPr="0013143B">
        <w:t> million).</w:t>
      </w:r>
    </w:p>
    <w:p w:rsidR="002C39A3" w:rsidRDefault="002C39A3">
      <w:pPr>
        <w:spacing w:after="0"/>
      </w:pPr>
      <w:r>
        <w:br w:type="page"/>
      </w:r>
    </w:p>
    <w:p w:rsidR="002C39A3" w:rsidRDefault="002C39A3">
      <w:pPr>
        <w:spacing w:after="0"/>
        <w:rPr>
          <w:rFonts w:ascii="Calibri" w:hAnsi="Calibri"/>
          <w:b/>
          <w:caps/>
          <w:sz w:val="26"/>
          <w:szCs w:val="22"/>
        </w:rPr>
      </w:pPr>
      <w:r>
        <w:t>As part of the Loan Council arrangements, the Council has agreed that if at any time a state or territory finds that it is likely to exceed its tolerance limit, in either direction, it is required to provide an explanation to the Council and, in line with the emphasis of increased transparency, to make the explanation public. Victoria</w:t>
      </w:r>
      <w:r w:rsidR="0097550F">
        <w:t>’</w:t>
      </w:r>
      <w:r>
        <w:t xml:space="preserve">s 2016-17 LCA budget estimate (a surplus </w:t>
      </w:r>
      <w:r w:rsidRPr="00D352A5">
        <w:t>of $</w:t>
      </w:r>
      <w:r>
        <w:t>2.5 bill</w:t>
      </w:r>
      <w:r w:rsidRPr="00447473">
        <w:t xml:space="preserve">ion) exceeds the tolerance limit established under the LCA nomination process due </w:t>
      </w:r>
      <w:r>
        <w:t>to the re-phasing of the Port of Melbourne lease transaction proceeds from 2015-16 to 2016-17.</w:t>
      </w:r>
    </w:p>
    <w:p w:rsidR="002C39A3" w:rsidRDefault="002C39A3" w:rsidP="00361FA9">
      <w:pPr>
        <w:pStyle w:val="Heading1"/>
      </w:pPr>
      <w:bookmarkStart w:id="35" w:name="_Toc449116194"/>
      <w:r>
        <w:t>New infrastructure projects with private sector involvement</w:t>
      </w:r>
      <w:bookmarkEnd w:id="35"/>
    </w:p>
    <w:p w:rsidR="002C39A3" w:rsidRPr="005E4074" w:rsidRDefault="002C39A3" w:rsidP="00361FA9">
      <w:r w:rsidRPr="005E4074">
        <w:t>In the interests of transparency, the State is required to disclose new infrastructure projects with private sector involvement that are expected to be contracted during the LCA year, and to report the full contingent exposure, if any. Exposure is measured by the Government</w:t>
      </w:r>
      <w:r w:rsidR="0097550F">
        <w:t>’</w:t>
      </w:r>
      <w:r w:rsidRPr="005E4074">
        <w:t>s termination liabilities in a case of a private sector default and disclosed as a footnote to, rather than a component of, the LCA. The amount payable will not exceed the fair market value of the project (which is usually calculated by an independent valuer) less any costs incurred by the Government as a result of the default.</w:t>
      </w:r>
    </w:p>
    <w:p w:rsidR="002C39A3" w:rsidRDefault="002C39A3" w:rsidP="00361FA9">
      <w:r w:rsidRPr="005E4074">
        <w:t>Listed below are details of the public private partnership (PPP) projects</w:t>
      </w:r>
      <w:r>
        <w:t xml:space="preserve"> greater than $5 million </w:t>
      </w:r>
      <w:r w:rsidRPr="005E4074">
        <w:t>that are expected to be contracted in the 2016-17 financial year.</w:t>
      </w:r>
    </w:p>
    <w:p w:rsidR="002C39A3" w:rsidRPr="00E548D4" w:rsidRDefault="002C39A3" w:rsidP="00361FA9">
      <w:pPr>
        <w:pStyle w:val="Heading2"/>
      </w:pPr>
      <w:r w:rsidRPr="00E548D4">
        <w:t>Casey Hospital expansion</w:t>
      </w:r>
    </w:p>
    <w:p w:rsidR="002C39A3" w:rsidRDefault="002C39A3" w:rsidP="00361FA9">
      <w:r w:rsidRPr="005E4074">
        <w:t>The Casey Hospital expansion project was allocated $106.3 million in the 2015-16 Budget. The expansion will increase the floor area of the existi</w:t>
      </w:r>
      <w:r>
        <w:t>ng facility by about 12 700 square metres (35 </w:t>
      </w:r>
      <w:r w:rsidRPr="005E4074">
        <w:t>per cent) through a new multi-storey tower that connects with the existing hospital. The scope of the expansion will add 96 beds, four new operating theatres and a new central sterile services department. The expansion will provide significant benefits in improving local access for patients and providing an increased range of acute services, provide improved and sustainable patient outcomes, and allow for improved operational efficiency.</w:t>
      </w:r>
    </w:p>
    <w:p w:rsidR="002C39A3" w:rsidRPr="005E4074" w:rsidRDefault="002C39A3" w:rsidP="00361FA9">
      <w:r>
        <w:t>Negotiations are progressing to deliver the expansion as a modification under the current PPP contract with Plenary Health that expires in 2029. The expansion is expected to be operational in 2019.</w:t>
      </w:r>
    </w:p>
    <w:p w:rsidR="002C39A3" w:rsidRDefault="002C39A3">
      <w:pPr>
        <w:spacing w:after="0"/>
        <w:rPr>
          <w:rFonts w:ascii="Calibri" w:hAnsi="Calibri"/>
          <w:b/>
          <w:kern w:val="28"/>
          <w:sz w:val="26"/>
          <w:szCs w:val="22"/>
        </w:rPr>
      </w:pPr>
      <w:r>
        <w:br w:type="page"/>
      </w:r>
    </w:p>
    <w:p w:rsidR="002C39A3" w:rsidRPr="00E548D4" w:rsidRDefault="002C39A3" w:rsidP="00361FA9">
      <w:pPr>
        <w:pStyle w:val="Heading2"/>
      </w:pPr>
      <w:r>
        <w:t>High Capacity Metro</w:t>
      </w:r>
      <w:r w:rsidRPr="00E548D4">
        <w:t xml:space="preserve"> Trains</w:t>
      </w:r>
    </w:p>
    <w:p w:rsidR="002C39A3" w:rsidRPr="005E4074" w:rsidRDefault="002C39A3" w:rsidP="00361FA9">
      <w:r>
        <w:t>The High Capacity Metro</w:t>
      </w:r>
      <w:r w:rsidRPr="005E4074">
        <w:t xml:space="preserve"> Trains Project will provide a dedicated fleet to meet</w:t>
      </w:r>
      <w:r>
        <w:t xml:space="preserve"> the</w:t>
      </w:r>
      <w:r w:rsidRPr="005E4074">
        <w:t xml:space="preserve"> growing demand on the Cranbourne-Pakenham corridor, and later on the Sunbury Line</w:t>
      </w:r>
      <w:r>
        <w:t>, and will provide the train</w:t>
      </w:r>
      <w:r w:rsidRPr="005E4074">
        <w:t>s required for the</w:t>
      </w:r>
      <w:r>
        <w:t xml:space="preserve"> Melbourne Metro Rail Project. </w:t>
      </w:r>
      <w:r w:rsidRPr="005E4074">
        <w:t>The new train depot in Pakenham East and the Light Service Facility at Calder Park will have the flexibility to cater to the future rolling stock maintenance needs of the network. Associated infrastructure will be separately delivered by the State.</w:t>
      </w:r>
    </w:p>
    <w:p w:rsidR="002C39A3" w:rsidRPr="005E4074" w:rsidRDefault="002C39A3" w:rsidP="00361FA9">
      <w:r w:rsidRPr="005E4074">
        <w:t xml:space="preserve">The project is being procured as an availability-based </w:t>
      </w:r>
      <w:r>
        <w:t xml:space="preserve">PPP project. </w:t>
      </w:r>
      <w:r w:rsidRPr="005E4074">
        <w:t xml:space="preserve">The successful consortium will be contracted to undertake the design, financing, manufacture and commissioning </w:t>
      </w:r>
      <w:r>
        <w:t>of 65 High Capacity Metro</w:t>
      </w:r>
      <w:r w:rsidRPr="005E4074">
        <w:t xml:space="preserve"> Trains (HCMTs</w:t>
      </w:r>
      <w:r>
        <w:t>), with a priced option for an additional 35</w:t>
      </w:r>
      <w:r w:rsidRPr="005E4074">
        <w:t>, the Pakenham East Depot and Simulator, and the Calder Park Light Service Facility. The consortium will also be responsible for the operating and maintenance activities over the maintenance phase of the contract (commencing from Provisional Acceptance of the first HCMT and ending 30 years post completion of</w:t>
      </w:r>
      <w:r>
        <w:t xml:space="preserve"> Provisional Acceptance of the f</w:t>
      </w:r>
      <w:r w:rsidRPr="005E4074">
        <w:t xml:space="preserve">leet). The contract is expected to be executed in November 2016, with the first train to be delivered in 2018. </w:t>
      </w:r>
    </w:p>
    <w:p w:rsidR="002C39A3" w:rsidRPr="005E4074" w:rsidRDefault="002C39A3" w:rsidP="00361FA9">
      <w:r>
        <w:t>The expanded scope will have a nominal capital cost of $2.2 billion (excluding financing costs).</w:t>
      </w:r>
    </w:p>
    <w:p w:rsidR="002C39A3" w:rsidRPr="00E548D4" w:rsidRDefault="002C39A3" w:rsidP="00361FA9">
      <w:pPr>
        <w:pStyle w:val="Heading2"/>
      </w:pPr>
      <w:r w:rsidRPr="00E548D4">
        <w:t>Melbourne C</w:t>
      </w:r>
      <w:r>
        <w:t>onvention and Exhibition Centre – St</w:t>
      </w:r>
      <w:r w:rsidRPr="00E548D4">
        <w:t xml:space="preserve">age 2 </w:t>
      </w:r>
      <w:r>
        <w:t>d</w:t>
      </w:r>
      <w:r w:rsidRPr="00E548D4">
        <w:t>evelopment</w:t>
      </w:r>
    </w:p>
    <w:p w:rsidR="002C39A3" w:rsidRPr="005E4074" w:rsidRDefault="002C39A3" w:rsidP="00361FA9">
      <w:r w:rsidRPr="005E4074">
        <w:t>The M</w:t>
      </w:r>
      <w:r>
        <w:t>elbourne Convention and Exhibition Centre – Stage 2 development p</w:t>
      </w:r>
      <w:r w:rsidRPr="005E4074">
        <w:t xml:space="preserve">roject provides for construction of </w:t>
      </w:r>
      <w:r>
        <w:t>an additional 9 000 square metre</w:t>
      </w:r>
      <w:r w:rsidRPr="005E4074">
        <w:t>s of flexible exhibition space including a multi-purpose facility with 900 retractable seats and 200 additional moveable seats, concourse, exhibitor and support areas. A hub space connecting the existing buildings will be constructed with cafes, informal meeting spaces, courtyard and ancillary spaces. The project will also provide meeting rooms and a ba</w:t>
      </w:r>
      <w:r>
        <w:t xml:space="preserve">nquet room seating 450 people. </w:t>
      </w:r>
      <w:r w:rsidRPr="005E4074">
        <w:t>This expansion will provide additional capacity to Melbourne Convention</w:t>
      </w:r>
      <w:r>
        <w:t xml:space="preserve"> and Exhibition Centre (MCEC).</w:t>
      </w:r>
    </w:p>
    <w:p w:rsidR="002C39A3" w:rsidRDefault="002C39A3" w:rsidP="00361FA9">
      <w:r>
        <w:t>The project will be delivered as a modification under the current PPP contract with Plenary Group, that expires in 2034. The expansion works will interface with third-party developments, namely a car park and hotel. The project is expected to draw significant economic benefits to the precinct. These benefits include additional interstate and international delegates visiting Victoria. This will enable MCEC to attract new business. Furthermore, MCEC</w:t>
      </w:r>
      <w:r w:rsidR="0097550F">
        <w:t>’</w:t>
      </w:r>
      <w:r>
        <w:t>s added capacity will reduce turn-away business.</w:t>
      </w:r>
    </w:p>
    <w:p w:rsidR="002C39A3" w:rsidRPr="005E4074" w:rsidRDefault="002C39A3" w:rsidP="00361FA9"/>
    <w:p w:rsidR="002C39A3" w:rsidRDefault="002C39A3">
      <w:pPr>
        <w:spacing w:after="0"/>
      </w:pPr>
      <w:r>
        <w:br w:type="page"/>
      </w:r>
    </w:p>
    <w:p w:rsidR="002C39A3" w:rsidRPr="00507425" w:rsidRDefault="002C39A3" w:rsidP="00361FA9"/>
    <w:p w:rsidR="002C39A3" w:rsidRDefault="002C39A3" w:rsidP="00273B20">
      <w:pPr>
        <w:rPr>
          <w:rFonts w:eastAsiaTheme="minorHAnsi"/>
        </w:rPr>
        <w:sectPr w:rsidR="002C39A3" w:rsidSect="00273B20">
          <w:footerReference w:type="even" r:id="rId28"/>
          <w:footerReference w:type="default" r:id="rId29"/>
          <w:type w:val="oddPage"/>
          <w:pgSz w:w="9979" w:h="14181" w:code="138"/>
          <w:pgMar w:top="1138" w:right="1138" w:bottom="1138" w:left="1138" w:header="720" w:footer="432" w:gutter="0"/>
          <w:cols w:space="708"/>
          <w:docGrid w:linePitch="360"/>
        </w:sectPr>
      </w:pPr>
    </w:p>
    <w:p w:rsidR="002C39A3" w:rsidRPr="00235B52" w:rsidRDefault="002C39A3" w:rsidP="00361FA9">
      <w:pPr>
        <w:pStyle w:val="ChapterHeading"/>
        <w:rPr>
          <w:rFonts w:eastAsiaTheme="minorHAnsi"/>
        </w:rPr>
      </w:pPr>
      <w:bookmarkStart w:id="36" w:name="_Toc449116195"/>
      <w:r w:rsidRPr="00235B52">
        <w:rPr>
          <w:rFonts w:eastAsiaTheme="minorHAnsi"/>
        </w:rPr>
        <w:t>Chapter 3 – Departmental financial statements</w:t>
      </w:r>
      <w:bookmarkEnd w:id="36"/>
    </w:p>
    <w:p w:rsidR="002C39A3" w:rsidRPr="001A16E9" w:rsidRDefault="002C39A3" w:rsidP="00361FA9">
      <w:pPr>
        <w:rPr>
          <w:rFonts w:eastAsiaTheme="minorHAnsi"/>
        </w:rPr>
      </w:pPr>
      <w:r w:rsidRPr="001A16E9">
        <w:rPr>
          <w:rFonts w:eastAsiaTheme="minorHAnsi"/>
        </w:rPr>
        <w:t>This chapter should be read in conjunction with Budg</w:t>
      </w:r>
      <w:r>
        <w:rPr>
          <w:rFonts w:eastAsiaTheme="minorHAnsi"/>
        </w:rPr>
        <w:t xml:space="preserve">et Paper No. 3 </w:t>
      </w:r>
      <w:r w:rsidRPr="00C70F27">
        <w:rPr>
          <w:rFonts w:eastAsiaTheme="minorHAnsi"/>
          <w:i/>
        </w:rPr>
        <w:t>Service Delivery</w:t>
      </w:r>
      <w:r>
        <w:rPr>
          <w:rFonts w:eastAsiaTheme="minorHAnsi"/>
        </w:rPr>
        <w:t xml:space="preserve"> which </w:t>
      </w:r>
      <w:r w:rsidRPr="001A16E9">
        <w:rPr>
          <w:rFonts w:eastAsiaTheme="minorHAnsi"/>
        </w:rPr>
        <w:t>overview</w:t>
      </w:r>
      <w:r>
        <w:rPr>
          <w:rFonts w:eastAsiaTheme="minorHAnsi"/>
        </w:rPr>
        <w:t>s</w:t>
      </w:r>
      <w:r w:rsidRPr="001A16E9">
        <w:rPr>
          <w:rFonts w:eastAsiaTheme="minorHAnsi"/>
        </w:rPr>
        <w:t xml:space="preserve"> the goods and services </w:t>
      </w:r>
      <w:r>
        <w:rPr>
          <w:rFonts w:eastAsiaTheme="minorHAnsi"/>
        </w:rPr>
        <w:t xml:space="preserve">funded by the Government and </w:t>
      </w:r>
      <w:r w:rsidRPr="001A16E9">
        <w:rPr>
          <w:rFonts w:eastAsiaTheme="minorHAnsi"/>
        </w:rPr>
        <w:t>delivered by departments in the coming financial year.</w:t>
      </w:r>
    </w:p>
    <w:p w:rsidR="002C39A3" w:rsidRPr="001A16E9" w:rsidRDefault="002C39A3" w:rsidP="00361FA9">
      <w:pPr>
        <w:rPr>
          <w:rFonts w:eastAsiaTheme="minorHAnsi"/>
        </w:rPr>
      </w:pPr>
      <w:r w:rsidRPr="001A16E9">
        <w:rPr>
          <w:rFonts w:eastAsiaTheme="minorHAnsi"/>
        </w:rPr>
        <w:t>The following tables help to outline each department</w:t>
      </w:r>
      <w:r w:rsidR="0097550F">
        <w:rPr>
          <w:rFonts w:eastAsiaTheme="minorHAnsi"/>
        </w:rPr>
        <w:t>’</w:t>
      </w:r>
      <w:r w:rsidRPr="001A16E9">
        <w:rPr>
          <w:rFonts w:eastAsiaTheme="minorHAnsi"/>
        </w:rPr>
        <w:t>s forecast financial performance:</w:t>
      </w:r>
    </w:p>
    <w:p w:rsidR="002C39A3" w:rsidRDefault="002C39A3" w:rsidP="00361FA9">
      <w:pPr>
        <w:pStyle w:val="BulletText"/>
        <w:rPr>
          <w:rFonts w:eastAsiaTheme="minorHAnsi"/>
        </w:rPr>
      </w:pPr>
      <w:r w:rsidRPr="001A16E9">
        <w:rPr>
          <w:rFonts w:eastAsiaTheme="minorHAnsi"/>
        </w:rPr>
        <w:t>the comprehensive operating statement details the department</w:t>
      </w:r>
      <w:r w:rsidR="0097550F">
        <w:rPr>
          <w:rFonts w:eastAsiaTheme="minorHAnsi"/>
        </w:rPr>
        <w:t>’</w:t>
      </w:r>
      <w:r w:rsidRPr="001A16E9">
        <w:rPr>
          <w:rFonts w:eastAsiaTheme="minorHAnsi"/>
        </w:rPr>
        <w:t>s revenue</w:t>
      </w:r>
      <w:r>
        <w:rPr>
          <w:rFonts w:eastAsiaTheme="minorHAnsi"/>
        </w:rPr>
        <w:t xml:space="preserve"> </w:t>
      </w:r>
      <w:r w:rsidRPr="001A16E9">
        <w:rPr>
          <w:rFonts w:eastAsiaTheme="minorHAnsi"/>
        </w:rPr>
        <w:t>and expenses on an accrual basis reflecting the cost of providing its outputs;</w:t>
      </w:r>
    </w:p>
    <w:p w:rsidR="002C39A3" w:rsidRPr="00D11C2F" w:rsidRDefault="002C39A3" w:rsidP="00361FA9">
      <w:pPr>
        <w:pStyle w:val="BulletText"/>
        <w:rPr>
          <w:rFonts w:eastAsiaTheme="minorHAnsi"/>
        </w:rPr>
      </w:pPr>
      <w:r w:rsidRPr="00D11C2F">
        <w:rPr>
          <w:rFonts w:eastAsiaTheme="minorHAnsi"/>
        </w:rPr>
        <w:t>the balance sheet shows all controlled assets and liabilities of the department. The</w:t>
      </w:r>
      <w:r>
        <w:rPr>
          <w:rFonts w:eastAsiaTheme="minorHAnsi"/>
        </w:rPr>
        <w:t xml:space="preserve"> </w:t>
      </w:r>
      <w:r w:rsidRPr="00D11C2F">
        <w:rPr>
          <w:rFonts w:eastAsiaTheme="minorHAnsi"/>
        </w:rPr>
        <w:t xml:space="preserve">difference between these </w:t>
      </w:r>
      <w:r>
        <w:rPr>
          <w:rFonts w:eastAsiaTheme="minorHAnsi"/>
        </w:rPr>
        <w:t>is</w:t>
      </w:r>
      <w:r w:rsidRPr="00D11C2F">
        <w:rPr>
          <w:rFonts w:eastAsiaTheme="minorHAnsi"/>
        </w:rPr>
        <w:t xml:space="preserve"> the net asset position, </w:t>
      </w:r>
      <w:r>
        <w:rPr>
          <w:rFonts w:eastAsiaTheme="minorHAnsi"/>
        </w:rPr>
        <w:t>being</w:t>
      </w:r>
      <w:r w:rsidRPr="00D11C2F">
        <w:rPr>
          <w:rFonts w:eastAsiaTheme="minorHAnsi"/>
        </w:rPr>
        <w:t xml:space="preserve"> the State</w:t>
      </w:r>
      <w:r w:rsidR="0097550F">
        <w:rPr>
          <w:rFonts w:eastAsiaTheme="minorHAnsi"/>
        </w:rPr>
        <w:t>’</w:t>
      </w:r>
      <w:r w:rsidRPr="00D11C2F">
        <w:rPr>
          <w:rFonts w:eastAsiaTheme="minorHAnsi"/>
        </w:rPr>
        <w:t>s equity interest in the department;</w:t>
      </w:r>
    </w:p>
    <w:p w:rsidR="002C39A3" w:rsidRPr="00D11C2F" w:rsidRDefault="002C39A3" w:rsidP="00361FA9">
      <w:pPr>
        <w:pStyle w:val="BulletText"/>
        <w:rPr>
          <w:rFonts w:eastAsiaTheme="minorHAnsi"/>
        </w:rPr>
      </w:pPr>
      <w:r w:rsidRPr="00D11C2F">
        <w:rPr>
          <w:rFonts w:eastAsiaTheme="minorHAnsi"/>
        </w:rPr>
        <w:t>the cash flow statement shows cash receipts and payments, including the cash impact</w:t>
      </w:r>
      <w:r>
        <w:rPr>
          <w:rFonts w:eastAsiaTheme="minorHAnsi"/>
        </w:rPr>
        <w:t xml:space="preserve"> </w:t>
      </w:r>
      <w:r w:rsidRPr="00D11C2F">
        <w:rPr>
          <w:rFonts w:eastAsiaTheme="minorHAnsi"/>
        </w:rPr>
        <w:t>of operating, financing and investing activities on departmental resources;</w:t>
      </w:r>
    </w:p>
    <w:p w:rsidR="002C39A3" w:rsidRPr="00D11C2F" w:rsidRDefault="002C39A3" w:rsidP="00361FA9">
      <w:pPr>
        <w:pStyle w:val="BulletText"/>
        <w:rPr>
          <w:rFonts w:eastAsiaTheme="minorHAnsi"/>
        </w:rPr>
      </w:pPr>
      <w:r w:rsidRPr="00D11C2F">
        <w:rPr>
          <w:rFonts w:eastAsiaTheme="minorHAnsi"/>
        </w:rPr>
        <w:t>the statement of changes in equity shows the impact of the net result and other comprehensive income items, such as the revaluation of non</w:t>
      </w:r>
      <w:r>
        <w:rPr>
          <w:rFonts w:eastAsiaTheme="minorHAnsi"/>
        </w:rPr>
        <w:noBreakHyphen/>
      </w:r>
      <w:r w:rsidRPr="00D11C2F">
        <w:rPr>
          <w:rFonts w:eastAsiaTheme="minorHAnsi"/>
        </w:rPr>
        <w:t>financial assets, and</w:t>
      </w:r>
      <w:r>
        <w:rPr>
          <w:rFonts w:eastAsiaTheme="minorHAnsi"/>
        </w:rPr>
        <w:t xml:space="preserve"> </w:t>
      </w:r>
      <w:r w:rsidRPr="00D11C2F">
        <w:rPr>
          <w:rFonts w:eastAsiaTheme="minorHAnsi"/>
        </w:rPr>
        <w:t>owner contributions, on the total equity of the department;</w:t>
      </w:r>
    </w:p>
    <w:p w:rsidR="002C39A3" w:rsidRPr="00D11C2F" w:rsidRDefault="002C39A3" w:rsidP="00361FA9">
      <w:pPr>
        <w:pStyle w:val="BulletText"/>
        <w:rPr>
          <w:rFonts w:eastAsiaTheme="minorHAnsi"/>
        </w:rPr>
      </w:pPr>
      <w:r w:rsidRPr="00D11C2F">
        <w:rPr>
          <w:rFonts w:eastAsiaTheme="minorHAnsi"/>
        </w:rPr>
        <w:t>the administered items statement provides details of the department</w:t>
      </w:r>
      <w:r w:rsidR="0097550F">
        <w:rPr>
          <w:rFonts w:eastAsiaTheme="minorHAnsi"/>
        </w:rPr>
        <w:t>’</w:t>
      </w:r>
      <w:r w:rsidRPr="00D11C2F">
        <w:rPr>
          <w:rFonts w:eastAsiaTheme="minorHAnsi"/>
        </w:rPr>
        <w:t xml:space="preserve">s administered revenue and expenses, and its administered assets and liabilities. </w:t>
      </w:r>
      <w:r>
        <w:rPr>
          <w:rFonts w:eastAsiaTheme="minorHAnsi"/>
        </w:rPr>
        <w:t>M</w:t>
      </w:r>
      <w:r w:rsidRPr="00D11C2F">
        <w:rPr>
          <w:rFonts w:eastAsiaTheme="minorHAnsi"/>
        </w:rPr>
        <w:t>ost</w:t>
      </w:r>
      <w:r>
        <w:rPr>
          <w:rFonts w:eastAsiaTheme="minorHAnsi"/>
        </w:rPr>
        <w:t xml:space="preserve"> </w:t>
      </w:r>
      <w:r w:rsidRPr="00D11C2F">
        <w:rPr>
          <w:rFonts w:eastAsiaTheme="minorHAnsi"/>
        </w:rPr>
        <w:t>administered expenses are paid in cash in the year in which the item is recognised. Therefore, an administered departmental cash flow statement is not provided; and</w:t>
      </w:r>
    </w:p>
    <w:p w:rsidR="002C39A3" w:rsidRDefault="002C39A3" w:rsidP="00361FA9">
      <w:pPr>
        <w:pStyle w:val="BulletText"/>
        <w:rPr>
          <w:rFonts w:eastAsiaTheme="minorHAnsi"/>
        </w:rPr>
      </w:pPr>
      <w:r w:rsidRPr="00D11C2F">
        <w:rPr>
          <w:rFonts w:eastAsiaTheme="minorHAnsi"/>
        </w:rPr>
        <w:t>payments on behalf of the State (where applicable) details payments made by the department on behalf of the State Government, not directly reflecting the</w:t>
      </w:r>
      <w:r>
        <w:rPr>
          <w:rFonts w:eastAsiaTheme="minorHAnsi"/>
        </w:rPr>
        <w:t xml:space="preserve"> </w:t>
      </w:r>
      <w:r w:rsidRPr="00D11C2F">
        <w:rPr>
          <w:rFonts w:eastAsiaTheme="minorHAnsi"/>
        </w:rPr>
        <w:t>operations of the department.</w:t>
      </w:r>
    </w:p>
    <w:p w:rsidR="002C39A3" w:rsidRDefault="002C39A3" w:rsidP="00361FA9">
      <w:pPr>
        <w:rPr>
          <w:rFonts w:eastAsiaTheme="minorHAnsi"/>
        </w:rPr>
      </w:pPr>
      <w:r>
        <w:rPr>
          <w:rFonts w:eastAsiaTheme="minorHAnsi"/>
        </w:rPr>
        <w:t>The 2015</w:t>
      </w:r>
      <w:r>
        <w:rPr>
          <w:rFonts w:eastAsiaTheme="minorHAnsi"/>
        </w:rPr>
        <w:noBreakHyphen/>
        <w:t>16 budget figures have been restated to reflect the 2014</w:t>
      </w:r>
      <w:r>
        <w:rPr>
          <w:rFonts w:eastAsiaTheme="minorHAnsi"/>
        </w:rPr>
        <w:noBreakHyphen/>
        <w:t>15 actual closing balances.</w:t>
      </w:r>
    </w:p>
    <w:p w:rsidR="002C39A3" w:rsidRDefault="002C39A3">
      <w:pPr>
        <w:spacing w:after="0"/>
        <w:rPr>
          <w:rFonts w:eastAsiaTheme="minorHAnsi"/>
        </w:rPr>
      </w:pPr>
      <w:r>
        <w:rPr>
          <w:rFonts w:eastAsiaTheme="minorHAnsi"/>
        </w:rPr>
        <w:br w:type="page"/>
      </w:r>
    </w:p>
    <w:p w:rsidR="002C39A3" w:rsidRPr="00534C9F" w:rsidRDefault="002C39A3" w:rsidP="00361FA9">
      <w:pPr>
        <w:rPr>
          <w:rFonts w:eastAsiaTheme="minorHAnsi"/>
        </w:rPr>
      </w:pPr>
      <w:r>
        <w:rPr>
          <w:rFonts w:eastAsiaTheme="minorHAnsi"/>
        </w:rPr>
        <w:t>Machinery of government changes took effect from 1 January 2015. The departmental financial statements published in this chapter are organised according to the new structure of the Victorian Public Service as detailed below:</w:t>
      </w:r>
    </w:p>
    <w:tbl>
      <w:tblPr>
        <w:tblStyle w:val="TableGrid"/>
        <w:tblW w:w="7767" w:type="dxa"/>
        <w:tblInd w:w="45" w:type="dxa"/>
        <w:tblLayout w:type="fixed"/>
        <w:tblCellMar>
          <w:left w:w="45" w:type="dxa"/>
          <w:right w:w="45" w:type="dxa"/>
        </w:tblCellMar>
        <w:tblLook w:val="04A0" w:firstRow="1" w:lastRow="0" w:firstColumn="1" w:lastColumn="0" w:noHBand="0" w:noVBand="1"/>
      </w:tblPr>
      <w:tblGrid>
        <w:gridCol w:w="3883"/>
        <w:gridCol w:w="3884"/>
      </w:tblGrid>
      <w:tr w:rsidR="002C39A3" w:rsidRPr="00C70F27" w:rsidTr="00361F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83" w:type="dxa"/>
            <w:tcBorders>
              <w:bottom w:val="single" w:sz="4" w:space="0" w:color="auto"/>
            </w:tcBorders>
          </w:tcPr>
          <w:p w:rsidR="002C39A3" w:rsidRPr="00C70F27" w:rsidRDefault="002C39A3" w:rsidP="00361FA9">
            <w:pPr>
              <w:spacing w:before="0" w:after="0"/>
              <w:jc w:val="left"/>
              <w:rPr>
                <w:rFonts w:ascii="Calibri" w:hAnsi="Calibri"/>
                <w:color w:val="FFFFFF"/>
                <w:sz w:val="19"/>
              </w:rPr>
            </w:pPr>
            <w:r w:rsidRPr="00C70F27">
              <w:rPr>
                <w:rFonts w:ascii="Calibri" w:hAnsi="Calibri"/>
                <w:color w:val="FFFFFF"/>
                <w:sz w:val="19"/>
              </w:rPr>
              <w:t xml:space="preserve">Old Department </w:t>
            </w:r>
          </w:p>
        </w:tc>
        <w:tc>
          <w:tcPr>
            <w:tcW w:w="3884" w:type="dxa"/>
            <w:tcBorders>
              <w:bottom w:val="single" w:sz="4" w:space="0" w:color="auto"/>
            </w:tcBorders>
          </w:tcPr>
          <w:p w:rsidR="002C39A3" w:rsidRPr="00C70F27" w:rsidRDefault="002C39A3" w:rsidP="00361FA9">
            <w:pPr>
              <w:spacing w:before="0" w:after="0"/>
              <w:jc w:val="left"/>
              <w:cnfStyle w:val="100000000000" w:firstRow="1" w:lastRow="0" w:firstColumn="0" w:lastColumn="0" w:oddVBand="0" w:evenVBand="0" w:oddHBand="0" w:evenHBand="0" w:firstRowFirstColumn="0" w:firstRowLastColumn="0" w:lastRowFirstColumn="0" w:lastRowLastColumn="0"/>
              <w:rPr>
                <w:rFonts w:ascii="Calibri" w:hAnsi="Calibri"/>
                <w:color w:val="FFFFFF"/>
                <w:sz w:val="19"/>
              </w:rPr>
            </w:pPr>
            <w:r w:rsidRPr="00C70F27">
              <w:rPr>
                <w:rFonts w:ascii="Calibri" w:hAnsi="Calibri"/>
                <w:color w:val="FFFFFF"/>
                <w:sz w:val="19"/>
              </w:rPr>
              <w:t>New Department</w:t>
            </w:r>
          </w:p>
        </w:tc>
      </w:tr>
      <w:tr w:rsidR="002C39A3" w:rsidRPr="00C70F27" w:rsidTr="00361FA9">
        <w:tc>
          <w:tcPr>
            <w:cnfStyle w:val="001000000000" w:firstRow="0" w:lastRow="0" w:firstColumn="1" w:lastColumn="0" w:oddVBand="0" w:evenVBand="0" w:oddHBand="0" w:evenHBand="0" w:firstRowFirstColumn="0" w:firstRowLastColumn="0" w:lastRowFirstColumn="0" w:lastRowLastColumn="0"/>
            <w:tcW w:w="3883" w:type="dxa"/>
            <w:tcBorders>
              <w:top w:val="single" w:sz="4" w:space="0" w:color="auto"/>
              <w:left w:val="nil"/>
              <w:bottom w:val="single" w:sz="6" w:space="0" w:color="auto"/>
              <w:right w:val="nil"/>
            </w:tcBorders>
            <w:shd w:val="clear" w:color="auto" w:fill="FFFFFF"/>
          </w:tcPr>
          <w:p w:rsidR="002C39A3" w:rsidRPr="00C70F27" w:rsidRDefault="002C39A3" w:rsidP="00361FA9">
            <w:pPr>
              <w:spacing w:before="0" w:after="0"/>
              <w:ind w:left="227" w:hanging="227"/>
              <w:rPr>
                <w:rFonts w:ascii="Calibri" w:hAnsi="Calibri"/>
                <w:sz w:val="19"/>
              </w:rPr>
            </w:pPr>
            <w:r w:rsidRPr="00C70F27">
              <w:rPr>
                <w:rFonts w:ascii="Calibri" w:hAnsi="Calibri"/>
                <w:sz w:val="19"/>
              </w:rPr>
              <w:t>Department of State Development, Business and Innovation</w:t>
            </w:r>
          </w:p>
        </w:tc>
        <w:tc>
          <w:tcPr>
            <w:tcW w:w="3884" w:type="dxa"/>
            <w:tcBorders>
              <w:top w:val="single" w:sz="4" w:space="0" w:color="auto"/>
              <w:left w:val="nil"/>
              <w:bottom w:val="single" w:sz="6" w:space="0" w:color="auto"/>
              <w:right w:val="nil"/>
            </w:tcBorders>
            <w:shd w:val="clear" w:color="auto" w:fill="FFFFFF"/>
          </w:tcPr>
          <w:p w:rsidR="002C39A3" w:rsidRPr="00C70F27" w:rsidRDefault="002C39A3" w:rsidP="00361FA9">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sz w:val="19"/>
              </w:rPr>
            </w:pPr>
            <w:r w:rsidRPr="00C70F27">
              <w:rPr>
                <w:rFonts w:ascii="Calibri" w:hAnsi="Calibri"/>
                <w:sz w:val="19"/>
              </w:rPr>
              <w:t>Department of Econom</w:t>
            </w:r>
            <w:r>
              <w:rPr>
                <w:rFonts w:ascii="Calibri" w:hAnsi="Calibri"/>
                <w:sz w:val="19"/>
              </w:rPr>
              <w:t>ic Development, Jobs, Transport</w:t>
            </w:r>
            <w:r w:rsidRPr="00C70F27">
              <w:rPr>
                <w:rFonts w:ascii="Calibri" w:hAnsi="Calibri"/>
                <w:sz w:val="19"/>
              </w:rPr>
              <w:t xml:space="preserve"> and Resources</w:t>
            </w:r>
          </w:p>
        </w:tc>
      </w:tr>
      <w:tr w:rsidR="002C39A3" w:rsidRPr="00C70F27" w:rsidTr="00361FA9">
        <w:tc>
          <w:tcPr>
            <w:cnfStyle w:val="001000000000" w:firstRow="0" w:lastRow="0" w:firstColumn="1" w:lastColumn="0" w:oddVBand="0" w:evenVBand="0" w:oddHBand="0" w:evenHBand="0" w:firstRowFirstColumn="0" w:firstRowLastColumn="0" w:lastRowFirstColumn="0" w:lastRowLastColumn="0"/>
            <w:tcW w:w="3883" w:type="dxa"/>
            <w:tcBorders>
              <w:top w:val="single" w:sz="6" w:space="0" w:color="auto"/>
              <w:left w:val="nil"/>
              <w:bottom w:val="single" w:sz="6" w:space="0" w:color="auto"/>
              <w:right w:val="nil"/>
            </w:tcBorders>
            <w:shd w:val="clear" w:color="auto" w:fill="FFFFFF"/>
          </w:tcPr>
          <w:p w:rsidR="002C39A3" w:rsidRPr="00C70F27" w:rsidRDefault="002C39A3" w:rsidP="00361FA9">
            <w:pPr>
              <w:spacing w:before="0" w:after="0"/>
              <w:ind w:left="227" w:hanging="227"/>
              <w:rPr>
                <w:rFonts w:ascii="Calibri" w:hAnsi="Calibri"/>
                <w:sz w:val="19"/>
              </w:rPr>
            </w:pPr>
            <w:r w:rsidRPr="00C70F27">
              <w:rPr>
                <w:rFonts w:ascii="Calibri" w:hAnsi="Calibri"/>
                <w:sz w:val="19"/>
              </w:rPr>
              <w:t>Department of Education and Early Childhood Development</w:t>
            </w:r>
          </w:p>
        </w:tc>
        <w:tc>
          <w:tcPr>
            <w:tcW w:w="3884" w:type="dxa"/>
            <w:tcBorders>
              <w:top w:val="single" w:sz="6" w:space="0" w:color="auto"/>
              <w:left w:val="nil"/>
              <w:bottom w:val="single" w:sz="6" w:space="0" w:color="auto"/>
              <w:right w:val="nil"/>
            </w:tcBorders>
            <w:shd w:val="clear" w:color="auto" w:fill="FFFFFF"/>
          </w:tcPr>
          <w:p w:rsidR="002C39A3" w:rsidRPr="00C70F27" w:rsidRDefault="002C39A3" w:rsidP="00361FA9">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sz w:val="19"/>
              </w:rPr>
            </w:pPr>
            <w:r w:rsidRPr="00C70F27">
              <w:rPr>
                <w:rFonts w:ascii="Calibri" w:hAnsi="Calibri"/>
                <w:sz w:val="19"/>
              </w:rPr>
              <w:t>Department of Education and Training</w:t>
            </w:r>
          </w:p>
        </w:tc>
      </w:tr>
      <w:tr w:rsidR="002C39A3" w:rsidRPr="00C70F27" w:rsidTr="00361FA9">
        <w:tc>
          <w:tcPr>
            <w:cnfStyle w:val="001000000000" w:firstRow="0" w:lastRow="0" w:firstColumn="1" w:lastColumn="0" w:oddVBand="0" w:evenVBand="0" w:oddHBand="0" w:evenHBand="0" w:firstRowFirstColumn="0" w:firstRowLastColumn="0" w:lastRowFirstColumn="0" w:lastRowLastColumn="0"/>
            <w:tcW w:w="3883" w:type="dxa"/>
            <w:tcBorders>
              <w:top w:val="single" w:sz="6" w:space="0" w:color="auto"/>
              <w:left w:val="nil"/>
              <w:bottom w:val="single" w:sz="6" w:space="0" w:color="auto"/>
              <w:right w:val="nil"/>
            </w:tcBorders>
            <w:shd w:val="clear" w:color="auto" w:fill="FFFFFF"/>
          </w:tcPr>
          <w:p w:rsidR="002C39A3" w:rsidRPr="00C70F27" w:rsidRDefault="002C39A3" w:rsidP="00361FA9">
            <w:pPr>
              <w:spacing w:before="0" w:after="0"/>
              <w:ind w:left="227" w:hanging="227"/>
              <w:rPr>
                <w:rFonts w:ascii="Calibri" w:hAnsi="Calibri"/>
                <w:sz w:val="19"/>
              </w:rPr>
            </w:pPr>
            <w:r w:rsidRPr="00C70F27">
              <w:rPr>
                <w:rFonts w:ascii="Calibri" w:hAnsi="Calibri"/>
                <w:sz w:val="19"/>
              </w:rPr>
              <w:t>Department of Environment and Primary Industries</w:t>
            </w:r>
          </w:p>
        </w:tc>
        <w:tc>
          <w:tcPr>
            <w:tcW w:w="3884" w:type="dxa"/>
            <w:tcBorders>
              <w:top w:val="single" w:sz="6" w:space="0" w:color="auto"/>
              <w:left w:val="nil"/>
              <w:bottom w:val="single" w:sz="6" w:space="0" w:color="auto"/>
              <w:right w:val="nil"/>
            </w:tcBorders>
            <w:shd w:val="clear" w:color="auto" w:fill="FFFFFF"/>
          </w:tcPr>
          <w:p w:rsidR="002C39A3" w:rsidRPr="00C70F27" w:rsidRDefault="002C39A3" w:rsidP="00361FA9">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sz w:val="19"/>
              </w:rPr>
            </w:pPr>
            <w:r w:rsidRPr="00C70F27">
              <w:rPr>
                <w:rFonts w:ascii="Calibri" w:hAnsi="Calibri"/>
                <w:sz w:val="19"/>
              </w:rPr>
              <w:t>Department of Environment, Land, Water and Planning</w:t>
            </w:r>
          </w:p>
        </w:tc>
      </w:tr>
      <w:tr w:rsidR="002C39A3" w:rsidRPr="00C70F27" w:rsidTr="00361FA9">
        <w:tc>
          <w:tcPr>
            <w:cnfStyle w:val="001000000000" w:firstRow="0" w:lastRow="0" w:firstColumn="1" w:lastColumn="0" w:oddVBand="0" w:evenVBand="0" w:oddHBand="0" w:evenHBand="0" w:firstRowFirstColumn="0" w:firstRowLastColumn="0" w:lastRowFirstColumn="0" w:lastRowLastColumn="0"/>
            <w:tcW w:w="3883" w:type="dxa"/>
            <w:tcBorders>
              <w:top w:val="single" w:sz="6" w:space="0" w:color="auto"/>
              <w:left w:val="nil"/>
              <w:bottom w:val="single" w:sz="6" w:space="0" w:color="auto"/>
              <w:right w:val="nil"/>
            </w:tcBorders>
            <w:shd w:val="clear" w:color="auto" w:fill="FFFFFF"/>
          </w:tcPr>
          <w:p w:rsidR="002C39A3" w:rsidRPr="00C70F27" w:rsidRDefault="002C39A3" w:rsidP="00361FA9">
            <w:pPr>
              <w:spacing w:before="0" w:after="0"/>
              <w:ind w:left="227" w:hanging="227"/>
              <w:rPr>
                <w:rFonts w:ascii="Calibri" w:hAnsi="Calibri"/>
                <w:sz w:val="19"/>
              </w:rPr>
            </w:pPr>
            <w:r w:rsidRPr="00C70F27">
              <w:rPr>
                <w:rFonts w:ascii="Calibri" w:hAnsi="Calibri"/>
                <w:sz w:val="19"/>
              </w:rPr>
              <w:t>Department of Justice</w:t>
            </w:r>
          </w:p>
        </w:tc>
        <w:tc>
          <w:tcPr>
            <w:tcW w:w="3884" w:type="dxa"/>
            <w:tcBorders>
              <w:top w:val="single" w:sz="6" w:space="0" w:color="auto"/>
              <w:left w:val="nil"/>
              <w:bottom w:val="single" w:sz="6" w:space="0" w:color="auto"/>
              <w:right w:val="nil"/>
            </w:tcBorders>
            <w:shd w:val="clear" w:color="auto" w:fill="FFFFFF"/>
          </w:tcPr>
          <w:p w:rsidR="002C39A3" w:rsidRPr="00C70F27" w:rsidRDefault="002C39A3" w:rsidP="00361FA9">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sz w:val="19"/>
              </w:rPr>
            </w:pPr>
            <w:r w:rsidRPr="00C70F27">
              <w:rPr>
                <w:rFonts w:ascii="Calibri" w:hAnsi="Calibri"/>
                <w:sz w:val="19"/>
              </w:rPr>
              <w:t>Department of Justice and Regulation</w:t>
            </w:r>
          </w:p>
        </w:tc>
      </w:tr>
      <w:tr w:rsidR="002C39A3" w:rsidRPr="00C70F27" w:rsidTr="00361FA9">
        <w:tc>
          <w:tcPr>
            <w:cnfStyle w:val="001000000000" w:firstRow="0" w:lastRow="0" w:firstColumn="1" w:lastColumn="0" w:oddVBand="0" w:evenVBand="0" w:oddHBand="0" w:evenHBand="0" w:firstRowFirstColumn="0" w:firstRowLastColumn="0" w:lastRowFirstColumn="0" w:lastRowLastColumn="0"/>
            <w:tcW w:w="3883" w:type="dxa"/>
            <w:tcBorders>
              <w:top w:val="single" w:sz="6" w:space="0" w:color="auto"/>
              <w:left w:val="nil"/>
              <w:bottom w:val="single" w:sz="12" w:space="0" w:color="auto"/>
              <w:right w:val="nil"/>
            </w:tcBorders>
            <w:shd w:val="clear" w:color="auto" w:fill="FFFFFF"/>
          </w:tcPr>
          <w:p w:rsidR="002C39A3" w:rsidRPr="00C70F27" w:rsidRDefault="002C39A3" w:rsidP="00361FA9">
            <w:pPr>
              <w:spacing w:before="0" w:after="0"/>
              <w:ind w:left="227" w:hanging="227"/>
              <w:rPr>
                <w:rFonts w:ascii="Calibri" w:hAnsi="Calibri"/>
                <w:sz w:val="19"/>
              </w:rPr>
            </w:pPr>
            <w:r w:rsidRPr="00C70F27">
              <w:rPr>
                <w:rFonts w:ascii="Calibri" w:hAnsi="Calibri"/>
                <w:sz w:val="19"/>
              </w:rPr>
              <w:t>Department of Health</w:t>
            </w:r>
          </w:p>
        </w:tc>
        <w:tc>
          <w:tcPr>
            <w:tcW w:w="3884" w:type="dxa"/>
            <w:tcBorders>
              <w:top w:val="single" w:sz="6" w:space="0" w:color="auto"/>
              <w:left w:val="nil"/>
              <w:bottom w:val="single" w:sz="12" w:space="0" w:color="auto"/>
              <w:right w:val="nil"/>
            </w:tcBorders>
            <w:shd w:val="clear" w:color="auto" w:fill="FFFFFF"/>
          </w:tcPr>
          <w:p w:rsidR="002C39A3" w:rsidRPr="00C70F27" w:rsidRDefault="002C39A3" w:rsidP="00361FA9">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sz w:val="19"/>
              </w:rPr>
            </w:pPr>
            <w:r w:rsidRPr="00C70F27">
              <w:rPr>
                <w:rFonts w:ascii="Calibri" w:hAnsi="Calibri"/>
                <w:sz w:val="19"/>
              </w:rPr>
              <w:t>Department of Health and Human Services</w:t>
            </w:r>
          </w:p>
        </w:tc>
      </w:tr>
    </w:tbl>
    <w:p w:rsidR="002C39A3" w:rsidRDefault="002C39A3" w:rsidP="00361FA9">
      <w:pPr>
        <w:rPr>
          <w:rFonts w:eastAsiaTheme="minorHAnsi"/>
        </w:rPr>
      </w:pPr>
    </w:p>
    <w:p w:rsidR="002C39A3" w:rsidRDefault="002C39A3" w:rsidP="00361FA9">
      <w:pPr>
        <w:rPr>
          <w:rFonts w:eastAsiaTheme="minorHAnsi"/>
        </w:rPr>
        <w:sectPr w:rsidR="002C39A3" w:rsidSect="00361FA9">
          <w:headerReference w:type="even" r:id="rId30"/>
          <w:headerReference w:type="default" r:id="rId31"/>
          <w:footerReference w:type="even" r:id="rId32"/>
          <w:footerReference w:type="default" r:id="rId33"/>
          <w:headerReference w:type="first" r:id="rId34"/>
          <w:footerReference w:type="first" r:id="rId35"/>
          <w:type w:val="continuous"/>
          <w:pgSz w:w="9979" w:h="14175" w:code="34"/>
          <w:pgMar w:top="1140" w:right="1140" w:bottom="1140" w:left="1140" w:header="720" w:footer="431" w:gutter="0"/>
          <w:cols w:space="708"/>
          <w:docGrid w:linePitch="360"/>
        </w:sectPr>
      </w:pPr>
      <w:r>
        <w:rPr>
          <w:rFonts w:eastAsiaTheme="minorHAnsi"/>
        </w:rPr>
        <w:t>The former Department of Transport, Planning and Local Infrastructure and the former Department of Human Services</w:t>
      </w:r>
      <w:r w:rsidR="0097550F">
        <w:rPr>
          <w:rFonts w:eastAsiaTheme="minorHAnsi"/>
        </w:rPr>
        <w:t>’</w:t>
      </w:r>
      <w:r>
        <w:rPr>
          <w:rFonts w:eastAsiaTheme="minorHAnsi"/>
        </w:rPr>
        <w:t xml:space="preserve"> 2014-15 outcomes were published in the Department of Economic Development, Jobs, Transport and Resources, and Department of Health and Human Services</w:t>
      </w:r>
      <w:r w:rsidR="0097550F">
        <w:rPr>
          <w:rFonts w:eastAsiaTheme="minorHAnsi"/>
        </w:rPr>
        <w:t>’</w:t>
      </w:r>
      <w:r>
        <w:rPr>
          <w:rFonts w:eastAsiaTheme="minorHAnsi"/>
        </w:rPr>
        <w:t xml:space="preserve"> 2014-15 annual reports.</w:t>
      </w:r>
    </w:p>
    <w:p w:rsidR="002C39A3" w:rsidRDefault="002C39A3" w:rsidP="00361FA9">
      <w:pPr>
        <w:pStyle w:val="Heading1"/>
        <w:rPr>
          <w:rFonts w:eastAsiaTheme="minorHAnsi"/>
        </w:rPr>
      </w:pPr>
      <w:bookmarkStart w:id="37" w:name="_Toc449116196"/>
      <w:r>
        <w:rPr>
          <w:rFonts w:eastAsiaTheme="minorHAnsi"/>
        </w:rPr>
        <w:t>Department of Economic Development, Jobs, Transport and Resources</w:t>
      </w:r>
      <w:bookmarkEnd w:id="37"/>
    </w:p>
    <w:p w:rsidR="002C39A3" w:rsidRDefault="002C39A3" w:rsidP="00361FA9">
      <w:pPr>
        <w:pStyle w:val="Heading2"/>
        <w:rPr>
          <w:rFonts w:eastAsiaTheme="minorHAnsi"/>
        </w:rPr>
      </w:pPr>
      <w:r>
        <w:rPr>
          <w:rFonts w:eastAsiaTheme="minorHAnsi"/>
        </w:rPr>
        <w:t>Operating performance</w:t>
      </w:r>
    </w:p>
    <w:p w:rsidR="002C39A3" w:rsidRDefault="002C39A3" w:rsidP="00361FA9">
      <w:pPr>
        <w:rPr>
          <w:rFonts w:eastAsiaTheme="minorHAnsi"/>
        </w:rPr>
      </w:pPr>
      <w:r w:rsidRPr="002104E5">
        <w:rPr>
          <w:rFonts w:eastAsiaTheme="minorHAnsi"/>
        </w:rPr>
        <w:t xml:space="preserve">The Department of Economic Development, Jobs, Transport and Resources is expected </w:t>
      </w:r>
      <w:r w:rsidRPr="00AA5BB7">
        <w:rPr>
          <w:rFonts w:eastAsiaTheme="minorHAnsi"/>
        </w:rPr>
        <w:t xml:space="preserve">to report a net result from transactions of $1 075 million </w:t>
      </w:r>
      <w:r>
        <w:rPr>
          <w:rFonts w:eastAsiaTheme="minorHAnsi"/>
        </w:rPr>
        <w:t>in</w:t>
      </w:r>
      <w:r w:rsidRPr="00AA5BB7">
        <w:rPr>
          <w:rFonts w:eastAsiaTheme="minorHAnsi"/>
        </w:rPr>
        <w:t xml:space="preserve"> 2016-17, an $885 million</w:t>
      </w:r>
      <w:r>
        <w:rPr>
          <w:rFonts w:eastAsiaTheme="minorHAnsi"/>
        </w:rPr>
        <w:t xml:space="preserve"> increase compared to the 2015-16 revised budget. This is largely the result of:</w:t>
      </w:r>
    </w:p>
    <w:p w:rsidR="002C39A3" w:rsidRDefault="002C39A3" w:rsidP="00361FA9">
      <w:pPr>
        <w:pStyle w:val="BulletText"/>
        <w:rPr>
          <w:rFonts w:eastAsiaTheme="minorHAnsi"/>
        </w:rPr>
      </w:pPr>
      <w:r>
        <w:rPr>
          <w:rFonts w:eastAsiaTheme="minorHAnsi"/>
        </w:rPr>
        <w:t xml:space="preserve">an expected increase in </w:t>
      </w:r>
      <w:r w:rsidRPr="002104E5">
        <w:rPr>
          <w:rFonts w:eastAsiaTheme="minorHAnsi"/>
        </w:rPr>
        <w:t xml:space="preserve">Commonwealth funding for road projects being recognised as </w:t>
      </w:r>
      <w:r>
        <w:rPr>
          <w:rFonts w:eastAsiaTheme="minorHAnsi"/>
        </w:rPr>
        <w:t>operating income but invested for capital purposes;</w:t>
      </w:r>
    </w:p>
    <w:p w:rsidR="002C39A3" w:rsidRDefault="002C39A3" w:rsidP="00361FA9">
      <w:pPr>
        <w:pStyle w:val="BulletText"/>
        <w:rPr>
          <w:rFonts w:eastAsiaTheme="minorHAnsi"/>
        </w:rPr>
      </w:pPr>
      <w:r>
        <w:rPr>
          <w:rFonts w:eastAsiaTheme="minorHAnsi"/>
        </w:rPr>
        <w:t>grants expected to be received from the Victorian Transport Fund to deliver the Level Crossing Removal Program; and</w:t>
      </w:r>
    </w:p>
    <w:p w:rsidR="002C39A3" w:rsidRPr="002104E5" w:rsidRDefault="002C39A3" w:rsidP="00361FA9">
      <w:pPr>
        <w:pStyle w:val="BulletText"/>
        <w:rPr>
          <w:rFonts w:eastAsiaTheme="minorHAnsi"/>
        </w:rPr>
      </w:pPr>
      <w:r>
        <w:rPr>
          <w:rFonts w:eastAsiaTheme="minorHAnsi"/>
        </w:rPr>
        <w:t xml:space="preserve">an expected increase in grants from the Transport Accident Commission to VicRoads for </w:t>
      </w:r>
      <w:r w:rsidRPr="00FD6FAE">
        <w:rPr>
          <w:rFonts w:eastAsiaTheme="minorHAnsi"/>
        </w:rPr>
        <w:t>Road Saf</w:t>
      </w:r>
      <w:r>
        <w:rPr>
          <w:rFonts w:eastAsiaTheme="minorHAnsi"/>
        </w:rPr>
        <w:t>ety.</w:t>
      </w:r>
    </w:p>
    <w:p w:rsidR="002C39A3" w:rsidRDefault="002C39A3" w:rsidP="00361FA9">
      <w:pPr>
        <w:rPr>
          <w:rFonts w:eastAsiaTheme="minorHAnsi"/>
        </w:rPr>
      </w:pPr>
      <w:r w:rsidRPr="002104E5">
        <w:rPr>
          <w:rFonts w:eastAsiaTheme="minorHAnsi"/>
        </w:rPr>
        <w:t xml:space="preserve">Total budgeted income and expenses for </w:t>
      </w:r>
      <w:r>
        <w:rPr>
          <w:rFonts w:eastAsiaTheme="minorHAnsi"/>
        </w:rPr>
        <w:t>2016</w:t>
      </w:r>
      <w:r>
        <w:rPr>
          <w:rFonts w:eastAsiaTheme="minorHAnsi"/>
        </w:rPr>
        <w:noBreakHyphen/>
        <w:t>17</w:t>
      </w:r>
      <w:r w:rsidRPr="002104E5">
        <w:rPr>
          <w:rFonts w:eastAsiaTheme="minorHAnsi"/>
        </w:rPr>
        <w:t xml:space="preserve"> includes funding for initiatives announced in the </w:t>
      </w:r>
      <w:r w:rsidRPr="002104E5">
        <w:rPr>
          <w:rFonts w:eastAsiaTheme="minorHAnsi"/>
          <w:i/>
        </w:rPr>
        <w:t>2016</w:t>
      </w:r>
      <w:r w:rsidRPr="002104E5">
        <w:rPr>
          <w:rFonts w:eastAsiaTheme="minorHAnsi"/>
          <w:i/>
        </w:rPr>
        <w:noBreakHyphen/>
        <w:t>17 Budget</w:t>
      </w:r>
      <w:r w:rsidRPr="002104E5">
        <w:rPr>
          <w:rFonts w:eastAsiaTheme="minorHAnsi"/>
        </w:rPr>
        <w:t>, including:</w:t>
      </w:r>
    </w:p>
    <w:p w:rsidR="002C39A3" w:rsidRDefault="002C39A3" w:rsidP="00361FA9">
      <w:pPr>
        <w:pStyle w:val="BulletText"/>
        <w:rPr>
          <w:rFonts w:eastAsiaTheme="minorHAnsi"/>
        </w:rPr>
      </w:pPr>
      <w:r w:rsidRPr="00155F91">
        <w:rPr>
          <w:rFonts w:eastAsiaTheme="minorHAnsi"/>
        </w:rPr>
        <w:t>Road Restoration and Road Surface Replacement</w:t>
      </w:r>
      <w:r>
        <w:rPr>
          <w:rFonts w:eastAsiaTheme="minorHAnsi"/>
        </w:rPr>
        <w:t xml:space="preserve">; </w:t>
      </w:r>
    </w:p>
    <w:p w:rsidR="002C39A3" w:rsidRDefault="002C39A3" w:rsidP="00361FA9">
      <w:pPr>
        <w:pStyle w:val="BulletText"/>
        <w:rPr>
          <w:rFonts w:eastAsiaTheme="minorHAnsi"/>
        </w:rPr>
      </w:pPr>
      <w:r>
        <w:rPr>
          <w:rFonts w:eastAsiaTheme="minorEastAsia"/>
          <w:lang w:eastAsia="en-AU"/>
        </w:rPr>
        <w:t>Support for cultural agencies;</w:t>
      </w:r>
    </w:p>
    <w:p w:rsidR="002C39A3" w:rsidRDefault="002C39A3" w:rsidP="00361FA9">
      <w:pPr>
        <w:pStyle w:val="BulletText"/>
        <w:rPr>
          <w:rFonts w:eastAsiaTheme="minorHAnsi"/>
        </w:rPr>
      </w:pPr>
      <w:r w:rsidRPr="001157F7">
        <w:rPr>
          <w:rFonts w:eastAsiaTheme="minorHAnsi"/>
        </w:rPr>
        <w:t>Guarantee</w:t>
      </w:r>
      <w:r>
        <w:rPr>
          <w:rFonts w:eastAsiaTheme="minorHAnsi"/>
        </w:rPr>
        <w:t>ing Victoria</w:t>
      </w:r>
      <w:r w:rsidR="0097550F">
        <w:rPr>
          <w:rFonts w:eastAsiaTheme="minorHAnsi"/>
        </w:rPr>
        <w:t>’</w:t>
      </w:r>
      <w:r>
        <w:rPr>
          <w:rFonts w:eastAsiaTheme="minorHAnsi"/>
        </w:rPr>
        <w:t>s Food Future;</w:t>
      </w:r>
    </w:p>
    <w:p w:rsidR="002C39A3" w:rsidRPr="001157F7" w:rsidRDefault="002C39A3" w:rsidP="00361FA9">
      <w:pPr>
        <w:pStyle w:val="BulletText"/>
        <w:rPr>
          <w:rFonts w:eastAsiaTheme="minorHAnsi"/>
        </w:rPr>
      </w:pPr>
      <w:r>
        <w:rPr>
          <w:rFonts w:eastAsiaTheme="minorEastAsia"/>
          <w:lang w:eastAsia="en-AU"/>
        </w:rPr>
        <w:t>More m</w:t>
      </w:r>
      <w:r w:rsidRPr="0077595E">
        <w:rPr>
          <w:rFonts w:eastAsiaTheme="minorEastAsia"/>
          <w:lang w:eastAsia="en-AU"/>
        </w:rPr>
        <w:t xml:space="preserve">etropolitan </w:t>
      </w:r>
      <w:r>
        <w:rPr>
          <w:rFonts w:eastAsiaTheme="minorEastAsia"/>
          <w:lang w:eastAsia="en-AU"/>
        </w:rPr>
        <w:t xml:space="preserve">train </w:t>
      </w:r>
      <w:r w:rsidRPr="0077595E">
        <w:rPr>
          <w:rFonts w:eastAsiaTheme="minorEastAsia"/>
          <w:lang w:eastAsia="en-AU"/>
        </w:rPr>
        <w:t>services</w:t>
      </w:r>
      <w:r>
        <w:rPr>
          <w:rFonts w:eastAsiaTheme="minorEastAsia"/>
          <w:lang w:eastAsia="en-AU"/>
        </w:rPr>
        <w:t>;</w:t>
      </w:r>
    </w:p>
    <w:p w:rsidR="002C39A3" w:rsidRDefault="002C39A3" w:rsidP="00361FA9">
      <w:pPr>
        <w:pStyle w:val="BulletText"/>
        <w:rPr>
          <w:rFonts w:eastAsiaTheme="minorHAnsi"/>
        </w:rPr>
      </w:pPr>
      <w:r w:rsidRPr="00FD6FAE">
        <w:rPr>
          <w:rFonts w:eastAsiaTheme="minorHAnsi"/>
        </w:rPr>
        <w:t>Road Saf</w:t>
      </w:r>
      <w:r>
        <w:rPr>
          <w:rFonts w:eastAsiaTheme="minorHAnsi"/>
        </w:rPr>
        <w:t>ety;</w:t>
      </w:r>
    </w:p>
    <w:p w:rsidR="002C39A3" w:rsidRDefault="002C39A3" w:rsidP="00361FA9">
      <w:pPr>
        <w:pStyle w:val="BulletText"/>
        <w:rPr>
          <w:rFonts w:eastAsiaTheme="minorHAnsi"/>
        </w:rPr>
      </w:pPr>
      <w:r>
        <w:rPr>
          <w:rFonts w:eastAsiaTheme="minorEastAsia"/>
          <w:lang w:eastAsia="en-AU"/>
        </w:rPr>
        <w:t>More r</w:t>
      </w:r>
      <w:r w:rsidRPr="0077595E">
        <w:rPr>
          <w:rFonts w:eastAsiaTheme="minorEastAsia"/>
          <w:lang w:eastAsia="en-AU"/>
        </w:rPr>
        <w:t>eg</w:t>
      </w:r>
      <w:r>
        <w:rPr>
          <w:rFonts w:eastAsiaTheme="minorEastAsia"/>
          <w:lang w:eastAsia="en-AU"/>
        </w:rPr>
        <w:t>ional trains; and</w:t>
      </w:r>
    </w:p>
    <w:p w:rsidR="002C39A3" w:rsidRPr="001157F7" w:rsidRDefault="002C39A3" w:rsidP="00361FA9">
      <w:pPr>
        <w:pStyle w:val="BulletText"/>
        <w:rPr>
          <w:rFonts w:eastAsiaTheme="minorHAnsi"/>
        </w:rPr>
      </w:pPr>
      <w:r w:rsidRPr="00155F91">
        <w:rPr>
          <w:rFonts w:eastAsiaTheme="minorHAnsi"/>
        </w:rPr>
        <w:t xml:space="preserve">Regional </w:t>
      </w:r>
      <w:r>
        <w:rPr>
          <w:rFonts w:eastAsiaTheme="minorHAnsi"/>
        </w:rPr>
        <w:t>rail sustainability.</w:t>
      </w:r>
    </w:p>
    <w:p w:rsidR="002C39A3" w:rsidRDefault="002C39A3" w:rsidP="00361FA9">
      <w:pPr>
        <w:pStyle w:val="Heading2"/>
        <w:rPr>
          <w:rFonts w:eastAsiaTheme="minorHAnsi"/>
        </w:rPr>
      </w:pPr>
      <w:r>
        <w:rPr>
          <w:rFonts w:eastAsiaTheme="minorHAnsi"/>
        </w:rPr>
        <w:t>Balance sheet</w:t>
      </w:r>
    </w:p>
    <w:p w:rsidR="002C39A3" w:rsidRPr="004C5B99" w:rsidRDefault="002C39A3" w:rsidP="00361FA9">
      <w:pPr>
        <w:rPr>
          <w:rFonts w:eastAsiaTheme="minorHAnsi"/>
          <w:b/>
        </w:rPr>
      </w:pPr>
      <w:r w:rsidRPr="002104E5">
        <w:rPr>
          <w:rFonts w:eastAsiaTheme="minorHAnsi"/>
        </w:rPr>
        <w:t>The Department</w:t>
      </w:r>
      <w:r w:rsidR="0097550F">
        <w:rPr>
          <w:rFonts w:eastAsiaTheme="minorHAnsi"/>
        </w:rPr>
        <w:t>’</w:t>
      </w:r>
      <w:r w:rsidRPr="002104E5">
        <w:rPr>
          <w:rFonts w:eastAsiaTheme="minorHAnsi"/>
        </w:rPr>
        <w:t>s net asset position is estimated to increase by $</w:t>
      </w:r>
      <w:r>
        <w:rPr>
          <w:rFonts w:eastAsiaTheme="minorHAnsi"/>
        </w:rPr>
        <w:t>900 </w:t>
      </w:r>
      <w:r w:rsidRPr="002104E5">
        <w:rPr>
          <w:rFonts w:eastAsiaTheme="minorHAnsi"/>
        </w:rPr>
        <w:t xml:space="preserve">million in </w:t>
      </w:r>
      <w:r>
        <w:rPr>
          <w:rFonts w:eastAsiaTheme="minorHAnsi"/>
        </w:rPr>
        <w:t>2016</w:t>
      </w:r>
      <w:r>
        <w:rPr>
          <w:rFonts w:eastAsiaTheme="minorHAnsi"/>
        </w:rPr>
        <w:noBreakHyphen/>
        <w:t>17</w:t>
      </w:r>
      <w:r w:rsidRPr="002104E5">
        <w:rPr>
          <w:rFonts w:eastAsiaTheme="minorHAnsi"/>
        </w:rPr>
        <w:t xml:space="preserve"> compared to the </w:t>
      </w:r>
      <w:r>
        <w:rPr>
          <w:rFonts w:eastAsiaTheme="minorHAnsi"/>
        </w:rPr>
        <w:t>2015</w:t>
      </w:r>
      <w:r>
        <w:rPr>
          <w:rFonts w:eastAsiaTheme="minorHAnsi"/>
        </w:rPr>
        <w:noBreakHyphen/>
        <w:t>16</w:t>
      </w:r>
      <w:r w:rsidRPr="002104E5">
        <w:rPr>
          <w:rFonts w:eastAsiaTheme="minorHAnsi"/>
        </w:rPr>
        <w:t xml:space="preserve"> revised budget. This </w:t>
      </w:r>
      <w:r>
        <w:rPr>
          <w:rFonts w:eastAsiaTheme="minorHAnsi"/>
        </w:rPr>
        <w:t>primarily reflects an</w:t>
      </w:r>
      <w:r w:rsidRPr="002104E5">
        <w:rPr>
          <w:rFonts w:eastAsiaTheme="minorHAnsi"/>
        </w:rPr>
        <w:t xml:space="preserve"> estimated increase in total assets of $</w:t>
      </w:r>
      <w:r>
        <w:rPr>
          <w:rFonts w:eastAsiaTheme="minorHAnsi"/>
        </w:rPr>
        <w:t>933</w:t>
      </w:r>
      <w:r w:rsidRPr="002104E5">
        <w:rPr>
          <w:rFonts w:eastAsiaTheme="minorHAnsi"/>
        </w:rPr>
        <w:t xml:space="preserve"> million.</w:t>
      </w:r>
      <w:r>
        <w:rPr>
          <w:rFonts w:eastAsiaTheme="minorHAnsi"/>
          <w:b/>
        </w:rPr>
        <w:t xml:space="preserve"> </w:t>
      </w:r>
      <w:r w:rsidRPr="002104E5">
        <w:rPr>
          <w:rFonts w:eastAsiaTheme="minorHAnsi"/>
        </w:rPr>
        <w:t xml:space="preserve">Major movements in total assets include the construction of new roads and public transport infrastructure, as highlighted </w:t>
      </w:r>
      <w:r>
        <w:rPr>
          <w:rFonts w:eastAsiaTheme="minorHAnsi"/>
        </w:rPr>
        <w:t>in the investing and financing section</w:t>
      </w:r>
      <w:r w:rsidRPr="002104E5">
        <w:rPr>
          <w:rFonts w:eastAsiaTheme="minorHAnsi"/>
        </w:rPr>
        <w:t>.</w:t>
      </w:r>
    </w:p>
    <w:p w:rsidR="002C39A3" w:rsidRDefault="002C39A3">
      <w:pPr>
        <w:spacing w:after="0"/>
        <w:rPr>
          <w:rFonts w:ascii="Calibri" w:eastAsiaTheme="minorHAnsi" w:hAnsi="Calibri"/>
          <w:b/>
          <w:kern w:val="28"/>
          <w:sz w:val="26"/>
          <w:szCs w:val="22"/>
        </w:rPr>
      </w:pPr>
      <w:r>
        <w:rPr>
          <w:rFonts w:eastAsiaTheme="minorHAnsi"/>
        </w:rPr>
        <w:br w:type="page"/>
      </w:r>
    </w:p>
    <w:p w:rsidR="002C39A3" w:rsidRDefault="002C39A3" w:rsidP="00361FA9">
      <w:pPr>
        <w:pStyle w:val="Heading2"/>
        <w:rPr>
          <w:rFonts w:eastAsiaTheme="minorHAnsi"/>
        </w:rPr>
      </w:pPr>
      <w:r>
        <w:rPr>
          <w:rFonts w:eastAsiaTheme="minorHAnsi"/>
        </w:rPr>
        <w:t>Investing and financing</w:t>
      </w:r>
    </w:p>
    <w:p w:rsidR="002C39A3" w:rsidRPr="002104E5" w:rsidRDefault="002C39A3" w:rsidP="00361FA9">
      <w:pPr>
        <w:rPr>
          <w:rFonts w:eastAsiaTheme="minorHAnsi"/>
        </w:rPr>
      </w:pPr>
      <w:r w:rsidRPr="002104E5">
        <w:rPr>
          <w:rFonts w:eastAsiaTheme="minorHAnsi"/>
        </w:rPr>
        <w:t xml:space="preserve">Cash flows from operating activities are </w:t>
      </w:r>
      <w:r>
        <w:rPr>
          <w:rFonts w:eastAsiaTheme="minorHAnsi"/>
        </w:rPr>
        <w:t xml:space="preserve">largely </w:t>
      </w:r>
      <w:r w:rsidRPr="002104E5">
        <w:rPr>
          <w:rFonts w:eastAsiaTheme="minorHAnsi"/>
        </w:rPr>
        <w:t xml:space="preserve">consistent with the </w:t>
      </w:r>
      <w:r>
        <w:rPr>
          <w:rFonts w:eastAsiaTheme="minorHAnsi"/>
        </w:rPr>
        <w:t>movements in the operating statement</w:t>
      </w:r>
      <w:r w:rsidRPr="002104E5">
        <w:rPr>
          <w:rFonts w:eastAsiaTheme="minorHAnsi"/>
        </w:rPr>
        <w:t xml:space="preserve">. </w:t>
      </w:r>
    </w:p>
    <w:p w:rsidR="002C39A3" w:rsidRPr="002104E5" w:rsidRDefault="002C39A3" w:rsidP="00361FA9">
      <w:pPr>
        <w:rPr>
          <w:rFonts w:eastAsiaTheme="minorHAnsi"/>
        </w:rPr>
      </w:pPr>
      <w:r w:rsidRPr="002104E5">
        <w:rPr>
          <w:rFonts w:eastAsiaTheme="minorHAnsi"/>
        </w:rPr>
        <w:t xml:space="preserve">The expected investments in property, plant and equipment in </w:t>
      </w:r>
      <w:r>
        <w:rPr>
          <w:rFonts w:eastAsiaTheme="minorHAnsi"/>
        </w:rPr>
        <w:t>2016</w:t>
      </w:r>
      <w:r>
        <w:rPr>
          <w:rFonts w:eastAsiaTheme="minorHAnsi"/>
        </w:rPr>
        <w:noBreakHyphen/>
        <w:t>17</w:t>
      </w:r>
      <w:r w:rsidRPr="002104E5">
        <w:rPr>
          <w:rFonts w:eastAsiaTheme="minorHAnsi"/>
        </w:rPr>
        <w:t xml:space="preserve"> reflect cash flows for existing road, public transport and related asset projects</w:t>
      </w:r>
      <w:r>
        <w:rPr>
          <w:rFonts w:eastAsiaTheme="minorHAnsi"/>
        </w:rPr>
        <w:t xml:space="preserve"> such as the Level Crossing Removal Program,</w:t>
      </w:r>
      <w:r w:rsidRPr="002104E5">
        <w:rPr>
          <w:rFonts w:eastAsiaTheme="minorHAnsi"/>
        </w:rPr>
        <w:t xml:space="preserve"> and new initiatives announced in the </w:t>
      </w:r>
      <w:r w:rsidRPr="002104E5">
        <w:rPr>
          <w:rFonts w:eastAsiaTheme="minorHAnsi"/>
          <w:i/>
        </w:rPr>
        <w:t>2016</w:t>
      </w:r>
      <w:r w:rsidRPr="002104E5">
        <w:rPr>
          <w:rFonts w:eastAsiaTheme="minorHAnsi"/>
          <w:i/>
        </w:rPr>
        <w:noBreakHyphen/>
        <w:t>17 Budget</w:t>
      </w:r>
      <w:r w:rsidRPr="002104E5">
        <w:rPr>
          <w:rFonts w:eastAsiaTheme="minorHAnsi"/>
        </w:rPr>
        <w:t>, including:</w:t>
      </w:r>
    </w:p>
    <w:p w:rsidR="002C39A3" w:rsidRPr="007F35D6" w:rsidRDefault="002C39A3" w:rsidP="00361FA9">
      <w:pPr>
        <w:pStyle w:val="BulletText"/>
        <w:rPr>
          <w:rFonts w:eastAsiaTheme="minorHAnsi"/>
        </w:rPr>
      </w:pPr>
      <w:r>
        <w:rPr>
          <w:rFonts w:eastAsiaTheme="minorHAnsi"/>
        </w:rPr>
        <w:t>Additional X</w:t>
      </w:r>
      <w:r w:rsidR="0097550F">
        <w:rPr>
          <w:rFonts w:eastAsiaTheme="minorHAnsi"/>
        </w:rPr>
        <w:t>’</w:t>
      </w:r>
      <w:r>
        <w:rPr>
          <w:rFonts w:eastAsiaTheme="minorHAnsi"/>
        </w:rPr>
        <w:t>Trapolis trains;</w:t>
      </w:r>
    </w:p>
    <w:p w:rsidR="002C39A3" w:rsidRDefault="002C39A3" w:rsidP="00361FA9">
      <w:pPr>
        <w:pStyle w:val="BulletText"/>
        <w:rPr>
          <w:rFonts w:eastAsiaTheme="minorHAnsi"/>
        </w:rPr>
      </w:pPr>
      <w:r w:rsidRPr="00155F91">
        <w:rPr>
          <w:rFonts w:eastAsiaTheme="minorHAnsi"/>
        </w:rPr>
        <w:t xml:space="preserve">Road Restoration and </w:t>
      </w:r>
      <w:r>
        <w:rPr>
          <w:rFonts w:eastAsiaTheme="minorHAnsi"/>
        </w:rPr>
        <w:t>Road Surface Replacement;</w:t>
      </w:r>
    </w:p>
    <w:p w:rsidR="002C39A3" w:rsidRPr="0032385A" w:rsidRDefault="002C39A3" w:rsidP="00361FA9">
      <w:pPr>
        <w:pStyle w:val="BulletText"/>
        <w:rPr>
          <w:rFonts w:eastAsiaTheme="minorHAnsi"/>
        </w:rPr>
      </w:pPr>
      <w:r w:rsidRPr="008C16D2">
        <w:rPr>
          <w:rFonts w:eastAsiaTheme="minorEastAsia"/>
          <w:color w:val="000000"/>
          <w:lang w:eastAsia="en-AU"/>
        </w:rPr>
        <w:t xml:space="preserve">Ballarat </w:t>
      </w:r>
      <w:r>
        <w:rPr>
          <w:rFonts w:eastAsiaTheme="minorEastAsia"/>
          <w:color w:val="000000"/>
          <w:lang w:eastAsia="en-AU"/>
        </w:rPr>
        <w:t>line upgrade project;</w:t>
      </w:r>
      <w:r w:rsidRPr="008C16D2">
        <w:rPr>
          <w:rFonts w:eastAsiaTheme="minorEastAsia"/>
          <w:color w:val="000000"/>
          <w:lang w:eastAsia="en-AU"/>
        </w:rPr>
        <w:t xml:space="preserve"> </w:t>
      </w:r>
    </w:p>
    <w:p w:rsidR="002C39A3" w:rsidRDefault="002C39A3" w:rsidP="00361FA9">
      <w:pPr>
        <w:pStyle w:val="BulletText"/>
        <w:rPr>
          <w:rFonts w:eastAsiaTheme="minorHAnsi"/>
        </w:rPr>
      </w:pPr>
      <w:r w:rsidRPr="008C16D2">
        <w:rPr>
          <w:rFonts w:eastAsiaTheme="minorHAnsi"/>
        </w:rPr>
        <w:t>Major periodic maintenance</w:t>
      </w:r>
      <w:r>
        <w:rPr>
          <w:rFonts w:eastAsiaTheme="minorHAnsi"/>
        </w:rPr>
        <w:t>;</w:t>
      </w:r>
    </w:p>
    <w:p w:rsidR="002C39A3" w:rsidRDefault="002C39A3" w:rsidP="00361FA9">
      <w:pPr>
        <w:pStyle w:val="BulletText"/>
        <w:rPr>
          <w:rFonts w:eastAsiaTheme="minorHAnsi"/>
        </w:rPr>
      </w:pPr>
      <w:r>
        <w:rPr>
          <w:rFonts w:eastAsiaTheme="minorHAnsi"/>
        </w:rPr>
        <w:t>More regional trains; and</w:t>
      </w:r>
    </w:p>
    <w:p w:rsidR="002C39A3" w:rsidRDefault="002C39A3" w:rsidP="00361FA9">
      <w:pPr>
        <w:pStyle w:val="BulletText"/>
        <w:rPr>
          <w:rFonts w:eastAsiaTheme="minorHAnsi"/>
        </w:rPr>
      </w:pPr>
      <w:r w:rsidRPr="00FD6FAE">
        <w:rPr>
          <w:rFonts w:eastAsiaTheme="minorHAnsi"/>
        </w:rPr>
        <w:t>Road Saf</w:t>
      </w:r>
      <w:r>
        <w:rPr>
          <w:rFonts w:eastAsiaTheme="minorHAnsi"/>
        </w:rPr>
        <w:t>ety.</w:t>
      </w:r>
    </w:p>
    <w:p w:rsidR="002C39A3" w:rsidRDefault="002C39A3" w:rsidP="00361FA9">
      <w:pPr>
        <w:pStyle w:val="Heading2"/>
        <w:rPr>
          <w:rFonts w:eastAsiaTheme="minorHAnsi"/>
        </w:rPr>
      </w:pPr>
      <w:r>
        <w:rPr>
          <w:rFonts w:eastAsiaTheme="minorHAnsi"/>
        </w:rPr>
        <w:t>Administered items statement</w:t>
      </w:r>
    </w:p>
    <w:p w:rsidR="002C39A3" w:rsidRDefault="002C39A3" w:rsidP="00361FA9">
      <w:pPr>
        <w:rPr>
          <w:rFonts w:eastAsiaTheme="minorHAnsi"/>
        </w:rPr>
      </w:pPr>
      <w:r w:rsidRPr="002104E5">
        <w:rPr>
          <w:rFonts w:eastAsiaTheme="minorHAnsi"/>
        </w:rPr>
        <w:t xml:space="preserve">Transactions administered by the Department on behalf of the State in </w:t>
      </w:r>
      <w:r>
        <w:rPr>
          <w:rFonts w:eastAsiaTheme="minorHAnsi"/>
        </w:rPr>
        <w:t>2016-17</w:t>
      </w:r>
      <w:r w:rsidRPr="002104E5">
        <w:rPr>
          <w:rFonts w:eastAsiaTheme="minorHAnsi"/>
        </w:rPr>
        <w:t xml:space="preserve"> include </w:t>
      </w:r>
      <w:r>
        <w:rPr>
          <w:rFonts w:eastAsiaTheme="minorHAnsi"/>
        </w:rPr>
        <w:t>collecting</w:t>
      </w:r>
      <w:r w:rsidRPr="002104E5">
        <w:rPr>
          <w:rFonts w:eastAsiaTheme="minorHAnsi"/>
        </w:rPr>
        <w:t xml:space="preserve"> road and public transport regulatory fees and fines revenues. The estimates also progressive</w:t>
      </w:r>
      <w:r>
        <w:rPr>
          <w:rFonts w:eastAsiaTheme="minorHAnsi"/>
        </w:rPr>
        <w:t>ly</w:t>
      </w:r>
      <w:r w:rsidRPr="002104E5">
        <w:rPr>
          <w:rFonts w:eastAsiaTheme="minorHAnsi"/>
        </w:rPr>
        <w:t xml:space="preserve"> recogni</w:t>
      </w:r>
      <w:r>
        <w:rPr>
          <w:rFonts w:eastAsiaTheme="minorHAnsi"/>
        </w:rPr>
        <w:t>se</w:t>
      </w:r>
      <w:r w:rsidRPr="002104E5">
        <w:rPr>
          <w:rFonts w:eastAsiaTheme="minorHAnsi"/>
        </w:rPr>
        <w:t xml:space="preserve"> concession fees paid in advance by Transurban under the CityLink contract. </w:t>
      </w:r>
    </w:p>
    <w:p w:rsidR="002C39A3" w:rsidRDefault="002C39A3" w:rsidP="00361FA9">
      <w:pPr>
        <w:rPr>
          <w:rFonts w:eastAsiaTheme="minorHAnsi"/>
        </w:rPr>
      </w:pPr>
      <w:r w:rsidRPr="002104E5">
        <w:rPr>
          <w:rFonts w:eastAsiaTheme="minorHAnsi"/>
        </w:rPr>
        <w:t>The administered appropriation and interest expense</w:t>
      </w:r>
      <w:r>
        <w:rPr>
          <w:rFonts w:eastAsiaTheme="minorHAnsi"/>
        </w:rPr>
        <w:t xml:space="preserve"> include</w:t>
      </w:r>
      <w:r w:rsidRPr="002104E5">
        <w:rPr>
          <w:rFonts w:eastAsiaTheme="minorHAnsi"/>
        </w:rPr>
        <w:t xml:space="preserve"> the quarterly service payments associated with the Melbourne Exhibition and Convention Centre. The Department has previously recognised an administered liability for the lease payments and a loan receivable from the Melbourne Convention and Exhibition Trust.</w:t>
      </w:r>
      <w:r>
        <w:rPr>
          <w:rFonts w:eastAsiaTheme="minorHAnsi"/>
        </w:rPr>
        <w:t xml:space="preserve"> </w:t>
      </w:r>
    </w:p>
    <w:p w:rsidR="002C39A3" w:rsidRDefault="002C39A3" w:rsidP="00361FA9">
      <w:pPr>
        <w:rPr>
          <w:rFonts w:eastAsiaTheme="minorHAnsi"/>
        </w:rPr>
      </w:pPr>
      <w:r>
        <w:rPr>
          <w:rFonts w:eastAsiaTheme="minorHAnsi"/>
        </w:rPr>
        <w:t>The 2015-16 expected deficit is primarily driven by the anticipated transfer of the Australian Synchrotron from the State of Victoria to the Australian Nuclear Science and Technology Organisation (ANSTO).</w:t>
      </w:r>
    </w:p>
    <w:p w:rsidR="002C39A3" w:rsidRDefault="002C39A3" w:rsidP="00361FA9">
      <w:pPr>
        <w:rPr>
          <w:rFonts w:eastAsiaTheme="minorHAnsi"/>
        </w:rPr>
      </w:pPr>
    </w:p>
    <w:p w:rsidR="002C39A3" w:rsidRDefault="002C39A3" w:rsidP="00361FA9">
      <w:pPr>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3.1.1:</w:t>
      </w:r>
      <w:r>
        <w:rPr>
          <w:rFonts w:eastAsiaTheme="minorHAnsi"/>
        </w:rPr>
        <w:tab/>
        <w:t>Comprehensive operating statement</w:t>
      </w:r>
    </w:p>
    <w:p w:rsidR="002C39A3" w:rsidRPr="00AC6103" w:rsidRDefault="002C39A3" w:rsidP="00361FA9">
      <w:pPr>
        <w:pStyle w:val="million"/>
        <w:rPr>
          <w:rFonts w:eastAsiaTheme="minorEastAsia"/>
          <w:lang w:val="en-US" w:eastAsia="en-AU"/>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B60680" w:rsidRPr="00AC6103" w:rsidTr="00B04358">
        <w:trPr>
          <w:trHeight w:val="464"/>
          <w:tblHeader/>
        </w:trPr>
        <w:tc>
          <w:tcPr>
            <w:tcW w:w="4365" w:type="dxa"/>
            <w:tcBorders>
              <w:left w:val="nil"/>
              <w:right w:val="nil"/>
            </w:tcBorders>
            <w:shd w:val="solid" w:color="000000" w:fill="auto"/>
            <w:vAlign w:val="bottom"/>
          </w:tcPr>
          <w:p w:rsidR="00B60680" w:rsidRPr="00AC6103" w:rsidRDefault="00B60680" w:rsidP="00B60680">
            <w:pPr>
              <w:pStyle w:val="Source"/>
              <w:spacing w:after="0"/>
              <w:rPr>
                <w:rFonts w:eastAsiaTheme="minorEastAsia" w:cs="Calibri"/>
                <w:color w:val="FFFFFF"/>
                <w:sz w:val="19"/>
                <w:lang w:eastAsia="en-AU"/>
              </w:rPr>
            </w:pPr>
          </w:p>
        </w:tc>
        <w:tc>
          <w:tcPr>
            <w:tcW w:w="850" w:type="dxa"/>
            <w:tcBorders>
              <w:left w:val="nil"/>
              <w:right w:val="nil"/>
            </w:tcBorders>
            <w:shd w:val="solid" w:color="000000" w:fill="auto"/>
            <w:vAlign w:val="bottom"/>
          </w:tcPr>
          <w:p w:rsidR="00B60680" w:rsidRPr="00AC6103" w:rsidRDefault="00B60680"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2014-15</w:t>
            </w:r>
          </w:p>
          <w:p w:rsidR="00B60680" w:rsidRPr="00AC6103" w:rsidRDefault="00B60680"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actual</w:t>
            </w:r>
          </w:p>
        </w:tc>
        <w:tc>
          <w:tcPr>
            <w:tcW w:w="850" w:type="dxa"/>
            <w:tcBorders>
              <w:left w:val="nil"/>
              <w:right w:val="nil"/>
            </w:tcBorders>
            <w:shd w:val="solid" w:color="000000" w:fill="auto"/>
            <w:vAlign w:val="bottom"/>
          </w:tcPr>
          <w:p w:rsidR="00B60680" w:rsidRPr="00AC6103" w:rsidRDefault="00B60680"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B60680" w:rsidRPr="00AC6103" w:rsidRDefault="00B60680"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B60680" w:rsidRPr="00AC6103" w:rsidRDefault="00B60680"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B60680" w:rsidRPr="00AC6103" w:rsidRDefault="00B60680"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B60680" w:rsidRPr="00AC6103" w:rsidRDefault="00B60680"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2016-17</w:t>
            </w:r>
          </w:p>
          <w:p w:rsidR="00B60680" w:rsidRPr="00AC6103" w:rsidRDefault="00B60680"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r>
      <w:tr w:rsidR="00B60680" w:rsidRPr="00AC6103" w:rsidTr="00B04358">
        <w:tc>
          <w:tcPr>
            <w:tcW w:w="7765" w:type="dxa"/>
            <w:gridSpan w:val="5"/>
            <w:tcBorders>
              <w:top w:val="single" w:sz="6" w:space="0" w:color="auto"/>
              <w:left w:val="nil"/>
              <w:right w:val="nil"/>
            </w:tcBorders>
            <w:shd w:val="clear" w:color="auto" w:fill="FFFFFF"/>
          </w:tcPr>
          <w:p w:rsidR="00B60680" w:rsidRPr="00AC6103" w:rsidRDefault="00B60680" w:rsidP="00B60680">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Net re</w:t>
            </w:r>
            <w:r>
              <w:rPr>
                <w:rFonts w:ascii="Calibri" w:eastAsiaTheme="minorEastAsia" w:hAnsi="Calibri" w:cs="Calibri"/>
                <w:b/>
                <w:bCs/>
                <w:color w:val="000000"/>
                <w:sz w:val="19"/>
                <w:lang w:eastAsia="en-AU"/>
              </w:rPr>
              <w:t>sult from continuing operations</w:t>
            </w:r>
          </w:p>
        </w:tc>
      </w:tr>
      <w:tr w:rsidR="00B60680" w:rsidRPr="00AC6103" w:rsidTr="00B04358">
        <w:tc>
          <w:tcPr>
            <w:tcW w:w="7765" w:type="dxa"/>
            <w:gridSpan w:val="5"/>
            <w:tcBorders>
              <w:top w:val="nil"/>
              <w:left w:val="nil"/>
              <w:right w:val="nil"/>
            </w:tcBorders>
            <w:shd w:val="clear" w:color="auto" w:fill="FFFFFF"/>
          </w:tcPr>
          <w:p w:rsidR="00B60680" w:rsidRPr="00AC6103" w:rsidRDefault="00B60680" w:rsidP="00B60680">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Income from transactions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Output appropriations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3 737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7 177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7 216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7 759</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Special appropriations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Interest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17</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Sale of goods and services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400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511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489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481</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Grants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249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319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407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1 187</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 xml:space="preserve">Fair value of assets and services received </w:t>
            </w:r>
            <w:r w:rsidR="00B60680">
              <w:rPr>
                <w:rFonts w:ascii="Calibri" w:eastAsiaTheme="minorEastAsia" w:hAnsi="Calibri" w:cs="Calibri"/>
                <w:color w:val="000000"/>
                <w:sz w:val="19"/>
                <w:lang w:eastAsia="en-AU"/>
              </w:rPr>
              <w:br/>
            </w:r>
            <w:r w:rsidRPr="00AC6103">
              <w:rPr>
                <w:rFonts w:ascii="Calibri" w:eastAsiaTheme="minorEastAsia" w:hAnsi="Calibri" w:cs="Calibri"/>
                <w:color w:val="000000"/>
                <w:sz w:val="19"/>
                <w:lang w:eastAsia="en-AU"/>
              </w:rPr>
              <w:t>free of charge or for nominal consideration</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55</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income</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202</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153</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161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159</w:t>
            </w:r>
          </w:p>
        </w:tc>
      </w:tr>
      <w:tr w:rsidR="002C39A3" w:rsidRPr="00AC6103" w:rsidTr="00361FA9">
        <w:tc>
          <w:tcPr>
            <w:tcW w:w="4365"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income from transactions</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4 674</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8 236</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8 385</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9 664</w:t>
            </w:r>
          </w:p>
        </w:tc>
      </w:tr>
      <w:tr w:rsidR="00B60680" w:rsidRPr="00AC6103" w:rsidTr="00B04358">
        <w:tc>
          <w:tcPr>
            <w:tcW w:w="7765" w:type="dxa"/>
            <w:gridSpan w:val="5"/>
            <w:tcBorders>
              <w:top w:val="nil"/>
              <w:left w:val="nil"/>
              <w:right w:val="nil"/>
            </w:tcBorders>
            <w:shd w:val="clear" w:color="auto" w:fill="FFFFFF"/>
          </w:tcPr>
          <w:p w:rsidR="00B60680" w:rsidRPr="00AC6103" w:rsidRDefault="00B60680" w:rsidP="00B60680">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Expenses from transactions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Employee benefits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511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831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839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855</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 xml:space="preserve">Depreciation </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386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817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767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781</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Interest expense</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150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146</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Grants and other transfers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1 649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2 832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3 049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3 177</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Capital asset charge</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215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215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226</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operating expenses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1 903</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3 146</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3 176</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3 404</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expenses from transactions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4 641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7 992</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8 195</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8 588</w:t>
            </w:r>
          </w:p>
        </w:tc>
      </w:tr>
      <w:tr w:rsidR="002C39A3" w:rsidRPr="00AC6103" w:rsidTr="00361FA9">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result from transactions (net operating balance)</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33</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244</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190</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1 075</w:t>
            </w:r>
          </w:p>
        </w:tc>
      </w:tr>
      <w:tr w:rsidR="00B60680" w:rsidRPr="00AC6103" w:rsidTr="00B04358">
        <w:tc>
          <w:tcPr>
            <w:tcW w:w="7765" w:type="dxa"/>
            <w:gridSpan w:val="5"/>
            <w:tcBorders>
              <w:top w:val="single" w:sz="12" w:space="0" w:color="auto"/>
              <w:left w:val="nil"/>
              <w:right w:val="nil"/>
            </w:tcBorders>
            <w:shd w:val="clear" w:color="auto" w:fill="FFFFFF"/>
          </w:tcPr>
          <w:p w:rsidR="00B60680" w:rsidRPr="00AC6103" w:rsidRDefault="00B60680" w:rsidP="00B60680">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Other economic flows included in net result</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Net gain/(loss) on non-financial assets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65" w:type="dxa"/>
            <w:tcBorders>
              <w:top w:val="nil"/>
              <w:left w:val="nil"/>
              <w:right w:val="nil"/>
            </w:tcBorders>
            <w:shd w:val="clear" w:color="auto" w:fill="FFFFFF"/>
          </w:tcPr>
          <w:p w:rsidR="002C39A3" w:rsidRPr="00AC6103" w:rsidRDefault="002C39A3" w:rsidP="00B60680">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Net gain/(loss) on financial instruments and statutory</w:t>
            </w:r>
            <w:r w:rsidR="00B60680">
              <w:rPr>
                <w:rFonts w:ascii="Calibri" w:eastAsiaTheme="minorEastAsia" w:hAnsi="Calibri" w:cs="Calibri"/>
                <w:color w:val="000000"/>
                <w:sz w:val="19"/>
                <w:lang w:eastAsia="en-AU"/>
              </w:rPr>
              <w:t> </w:t>
            </w:r>
            <w:r w:rsidRPr="00AC6103">
              <w:rPr>
                <w:rFonts w:ascii="Calibri" w:eastAsiaTheme="minorEastAsia" w:hAnsi="Calibri" w:cs="Calibri"/>
                <w:color w:val="000000"/>
                <w:sz w:val="19"/>
                <w:lang w:eastAsia="en-AU"/>
              </w:rPr>
              <w:t>receivables/payables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gains/(losses) from economic flows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(42)</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other economic flows included in net result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(152)</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result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(119)</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244</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196</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1 075</w:t>
            </w:r>
          </w:p>
        </w:tc>
      </w:tr>
      <w:tr w:rsidR="00B60680" w:rsidRPr="00AC6103" w:rsidTr="00B04358">
        <w:tc>
          <w:tcPr>
            <w:tcW w:w="7765" w:type="dxa"/>
            <w:gridSpan w:val="5"/>
            <w:tcBorders>
              <w:top w:val="single" w:sz="6" w:space="0" w:color="auto"/>
              <w:left w:val="nil"/>
              <w:right w:val="nil"/>
            </w:tcBorders>
            <w:shd w:val="clear" w:color="auto" w:fill="FFFFFF"/>
          </w:tcPr>
          <w:p w:rsidR="00B60680" w:rsidRPr="00AC6103" w:rsidRDefault="00B60680" w:rsidP="00B60680">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Other economic flows – other comprehensive income</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Changes in non-financial assets revaluation surplus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1 394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27</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(197)</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(16)</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 xml:space="preserve">Total other economic flows – </w:t>
            </w:r>
            <w:r w:rsidR="00B60680">
              <w:rPr>
                <w:rFonts w:ascii="Calibri" w:eastAsiaTheme="minorEastAsia" w:hAnsi="Calibri" w:cs="Calibri"/>
                <w:b/>
                <w:bCs/>
                <w:color w:val="000000"/>
                <w:sz w:val="19"/>
                <w:lang w:eastAsia="en-AU"/>
              </w:rPr>
              <w:br/>
            </w:r>
            <w:r w:rsidRPr="00AC6103">
              <w:rPr>
                <w:rFonts w:ascii="Calibri" w:eastAsiaTheme="minorEastAsia" w:hAnsi="Calibri" w:cs="Calibri"/>
                <w:b/>
                <w:bCs/>
                <w:color w:val="000000"/>
                <w:sz w:val="19"/>
                <w:lang w:eastAsia="en-AU"/>
              </w:rPr>
              <w:t>other comprehensive income</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1 197</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69</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69</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31</w:t>
            </w:r>
          </w:p>
        </w:tc>
      </w:tr>
      <w:tr w:rsidR="002C39A3" w:rsidRPr="00AC6103" w:rsidTr="00361FA9">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Comprehensive result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1 077</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313</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265</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1 106</w:t>
            </w:r>
          </w:p>
        </w:tc>
      </w:tr>
    </w:tbl>
    <w:p w:rsidR="002C39A3" w:rsidRDefault="002C39A3" w:rsidP="00361FA9">
      <w:pPr>
        <w:pStyle w:val="Source"/>
        <w:rPr>
          <w:rFonts w:eastAsiaTheme="minorHAnsi"/>
        </w:rPr>
      </w:pPr>
      <w:r w:rsidRPr="00623837">
        <w:rPr>
          <w:rFonts w:eastAsiaTheme="minorHAnsi"/>
        </w:rPr>
        <w:t>Sources: Departments of Economic Development</w:t>
      </w:r>
      <w:r>
        <w:rPr>
          <w:rFonts w:eastAsiaTheme="minorHAnsi"/>
        </w:rPr>
        <w:t>,</w:t>
      </w:r>
      <w:r w:rsidRPr="00623837">
        <w:rPr>
          <w:rFonts w:eastAsiaTheme="minorHAnsi"/>
        </w:rPr>
        <w:t xml:space="preserve"> Jobs</w:t>
      </w:r>
      <w:r>
        <w:rPr>
          <w:rFonts w:eastAsiaTheme="minorHAnsi"/>
        </w:rPr>
        <w:t>,</w:t>
      </w:r>
      <w:r w:rsidRPr="00623837">
        <w:rPr>
          <w:rFonts w:eastAsiaTheme="minorHAnsi"/>
        </w:rPr>
        <w:t xml:space="preserve"> Transport and Resources</w:t>
      </w:r>
      <w:r>
        <w:rPr>
          <w:rFonts w:eastAsiaTheme="minorHAnsi"/>
        </w:rPr>
        <w:t>,</w:t>
      </w:r>
      <w:r w:rsidRPr="00623837">
        <w:rPr>
          <w:rFonts w:eastAsiaTheme="minorHAnsi"/>
        </w:rPr>
        <w:t xml:space="preserve"> and Treasury and Finance</w:t>
      </w:r>
    </w:p>
    <w:p w:rsidR="002C39A3" w:rsidRDefault="002C39A3" w:rsidP="00361FA9">
      <w:pPr>
        <w:pStyle w:val="Notes"/>
        <w:rPr>
          <w:rFonts w:eastAsiaTheme="minorHAnsi"/>
        </w:rPr>
      </w:pPr>
      <w:r>
        <w:rPr>
          <w:rFonts w:eastAsiaTheme="minorHAnsi"/>
        </w:rPr>
        <w:br w:type="page"/>
      </w:r>
    </w:p>
    <w:p w:rsidR="002C39A3" w:rsidRDefault="002C39A3" w:rsidP="00361FA9">
      <w:pPr>
        <w:pStyle w:val="Tableheading"/>
        <w:rPr>
          <w:rFonts w:eastAsiaTheme="minorHAnsi"/>
        </w:rPr>
      </w:pPr>
      <w:r>
        <w:rPr>
          <w:rFonts w:eastAsiaTheme="minorHAnsi"/>
        </w:rPr>
        <w:t>Table 3.1.2:</w:t>
      </w:r>
      <w:r>
        <w:rPr>
          <w:rFonts w:eastAsiaTheme="minorHAnsi"/>
        </w:rPr>
        <w:tab/>
        <w:t>Balance sheet</w:t>
      </w:r>
    </w:p>
    <w:p w:rsidR="002C39A3" w:rsidRPr="00AC6103" w:rsidRDefault="002C39A3" w:rsidP="00361FA9">
      <w:pPr>
        <w:pStyle w:val="million"/>
        <w:rPr>
          <w:rFonts w:eastAsiaTheme="minorHAnsi"/>
          <w:b/>
          <w:bCs/>
          <w:sz w:val="15"/>
          <w:lang w:val="en-US"/>
        </w:rPr>
      </w:pPr>
      <w:r>
        <w:rPr>
          <w:rFonts w:eastAsiaTheme="minorHAnsi"/>
        </w:rPr>
        <w:t>($ million)</w:t>
      </w:r>
    </w:p>
    <w:tbl>
      <w:tblPr>
        <w:tblW w:w="7768" w:type="dxa"/>
        <w:tblInd w:w="45" w:type="dxa"/>
        <w:tblLayout w:type="fixed"/>
        <w:tblCellMar>
          <w:left w:w="45" w:type="dxa"/>
          <w:right w:w="45" w:type="dxa"/>
        </w:tblCellMar>
        <w:tblLook w:val="0000" w:firstRow="0" w:lastRow="0" w:firstColumn="0" w:lastColumn="0" w:noHBand="0" w:noVBand="0"/>
      </w:tblPr>
      <w:tblGrid>
        <w:gridCol w:w="4252"/>
        <w:gridCol w:w="879"/>
        <w:gridCol w:w="7"/>
        <w:gridCol w:w="872"/>
        <w:gridCol w:w="879"/>
        <w:gridCol w:w="879"/>
      </w:tblGrid>
      <w:tr w:rsidR="00B60680" w:rsidRPr="00AC6103" w:rsidTr="00B04358">
        <w:trPr>
          <w:cantSplit/>
          <w:tblHeader/>
        </w:trPr>
        <w:tc>
          <w:tcPr>
            <w:tcW w:w="4252" w:type="dxa"/>
            <w:tcBorders>
              <w:bottom w:val="nil"/>
              <w:right w:val="nil"/>
            </w:tcBorders>
            <w:shd w:val="solid" w:color="000000" w:fill="auto"/>
            <w:vAlign w:val="bottom"/>
          </w:tcPr>
          <w:p w:rsidR="00B60680" w:rsidRPr="00AC6103" w:rsidRDefault="00B60680" w:rsidP="00361FA9">
            <w:pPr>
              <w:pStyle w:val="Source"/>
              <w:spacing w:after="0"/>
              <w:rPr>
                <w:rFonts w:eastAsiaTheme="minorEastAsia" w:cs="Calibri"/>
                <w:iCs/>
                <w:color w:val="FFFFFF"/>
                <w:sz w:val="19"/>
                <w:lang w:eastAsia="en-AU"/>
              </w:rPr>
            </w:pPr>
            <w:r w:rsidRPr="00AC6103">
              <w:rPr>
                <w:rFonts w:eastAsiaTheme="minorEastAsia" w:cs="Calibri"/>
                <w:iCs/>
                <w:color w:val="FFFFFF"/>
                <w:sz w:val="19"/>
                <w:lang w:eastAsia="en-AU"/>
              </w:rPr>
              <w:t xml:space="preserve"> </w:t>
            </w:r>
          </w:p>
        </w:tc>
        <w:tc>
          <w:tcPr>
            <w:tcW w:w="886" w:type="dxa"/>
            <w:gridSpan w:val="2"/>
            <w:tcBorders>
              <w:left w:val="nil"/>
              <w:bottom w:val="nil"/>
              <w:right w:val="nil"/>
            </w:tcBorders>
            <w:shd w:val="solid" w:color="000000" w:fill="auto"/>
            <w:vAlign w:val="bottom"/>
          </w:tcPr>
          <w:p w:rsidR="00B60680" w:rsidRPr="00AC6103" w:rsidRDefault="00B60680" w:rsidP="00361FA9">
            <w:pPr>
              <w:autoSpaceDE w:val="0"/>
              <w:autoSpaceDN w:val="0"/>
              <w:adjustRightInd w:val="0"/>
              <w:spacing w:after="0"/>
              <w:jc w:val="right"/>
              <w:rPr>
                <w:rFonts w:ascii="Calibri" w:eastAsiaTheme="minorEastAsia" w:hAnsi="Calibri" w:cs="Calibri"/>
                <w:color w:val="FFFFFF"/>
                <w:sz w:val="19"/>
                <w:lang w:eastAsia="en-AU"/>
              </w:rPr>
            </w:pPr>
            <w:r w:rsidRPr="00AC6103">
              <w:rPr>
                <w:rFonts w:ascii="Calibri" w:eastAsiaTheme="minorEastAsia" w:hAnsi="Calibri" w:cs="Calibri"/>
                <w:color w:val="FFFFFF"/>
                <w:sz w:val="19"/>
                <w:lang w:eastAsia="en-AU"/>
              </w:rPr>
              <w:t xml:space="preserve">  </w:t>
            </w:r>
          </w:p>
        </w:tc>
        <w:tc>
          <w:tcPr>
            <w:tcW w:w="2630" w:type="dxa"/>
            <w:gridSpan w:val="3"/>
            <w:tcBorders>
              <w:left w:val="nil"/>
              <w:bottom w:val="nil"/>
            </w:tcBorders>
            <w:shd w:val="solid" w:color="000000" w:fill="auto"/>
            <w:vAlign w:val="bottom"/>
          </w:tcPr>
          <w:p w:rsidR="00B60680" w:rsidRPr="00AC6103" w:rsidRDefault="00B60680" w:rsidP="00B60680">
            <w:pPr>
              <w:autoSpaceDE w:val="0"/>
              <w:autoSpaceDN w:val="0"/>
              <w:adjustRightInd w:val="0"/>
              <w:spacing w:after="0"/>
              <w:jc w:val="center"/>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Estimated as at 30 June</w:t>
            </w:r>
          </w:p>
        </w:tc>
      </w:tr>
      <w:tr w:rsidR="00B60680" w:rsidRPr="00AC6103" w:rsidTr="00B04358">
        <w:trPr>
          <w:cantSplit/>
          <w:trHeight w:val="464"/>
          <w:tblHeader/>
        </w:trPr>
        <w:tc>
          <w:tcPr>
            <w:tcW w:w="4252" w:type="dxa"/>
            <w:tcBorders>
              <w:top w:val="nil"/>
              <w:right w:val="nil"/>
            </w:tcBorders>
            <w:shd w:val="solid" w:color="000000" w:fill="auto"/>
            <w:vAlign w:val="bottom"/>
          </w:tcPr>
          <w:p w:rsidR="00B60680" w:rsidRPr="00AC6103" w:rsidRDefault="00B60680" w:rsidP="00361FA9">
            <w:pPr>
              <w:autoSpaceDE w:val="0"/>
              <w:autoSpaceDN w:val="0"/>
              <w:adjustRightInd w:val="0"/>
              <w:spacing w:after="0"/>
              <w:rPr>
                <w:rFonts w:ascii="Calibri" w:eastAsiaTheme="minorEastAsia" w:hAnsi="Calibri" w:cs="Calibri"/>
                <w:color w:val="FFFFFF"/>
                <w:sz w:val="19"/>
                <w:lang w:eastAsia="en-AU"/>
              </w:rPr>
            </w:pPr>
          </w:p>
        </w:tc>
        <w:tc>
          <w:tcPr>
            <w:tcW w:w="879" w:type="dxa"/>
            <w:tcBorders>
              <w:top w:val="nil"/>
              <w:left w:val="nil"/>
              <w:right w:val="nil"/>
            </w:tcBorders>
            <w:shd w:val="solid" w:color="000000" w:fill="auto"/>
            <w:vAlign w:val="bottom"/>
          </w:tcPr>
          <w:p w:rsidR="00B60680" w:rsidRPr="00AC6103" w:rsidRDefault="00B60680"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w:t>
            </w:r>
          </w:p>
          <w:p w:rsidR="00B60680" w:rsidRPr="00AC6103" w:rsidRDefault="00B60680"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actual</w:t>
            </w:r>
          </w:p>
        </w:tc>
        <w:tc>
          <w:tcPr>
            <w:tcW w:w="879" w:type="dxa"/>
            <w:gridSpan w:val="2"/>
            <w:tcBorders>
              <w:top w:val="nil"/>
              <w:left w:val="nil"/>
              <w:right w:val="single" w:sz="6" w:space="0" w:color="auto"/>
            </w:tcBorders>
            <w:shd w:val="solid" w:color="000000" w:fill="auto"/>
            <w:vAlign w:val="bottom"/>
          </w:tcPr>
          <w:p w:rsidR="00B60680" w:rsidRPr="00AC6103" w:rsidRDefault="00B60680"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w:t>
            </w:r>
          </w:p>
          <w:p w:rsidR="00B60680" w:rsidRPr="00AC6103" w:rsidRDefault="00B60680"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79" w:type="dxa"/>
            <w:tcBorders>
              <w:top w:val="nil"/>
              <w:left w:val="nil"/>
              <w:right w:val="single" w:sz="6" w:space="0" w:color="auto"/>
            </w:tcBorders>
            <w:shd w:val="solid" w:color="000000" w:fill="auto"/>
            <w:vAlign w:val="bottom"/>
          </w:tcPr>
          <w:p w:rsidR="00B60680" w:rsidRPr="00AC6103" w:rsidRDefault="00B60680"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w:t>
            </w:r>
          </w:p>
          <w:p w:rsidR="00B60680" w:rsidRPr="00AC6103" w:rsidRDefault="00B60680"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79" w:type="dxa"/>
            <w:tcBorders>
              <w:top w:val="nil"/>
              <w:left w:val="nil"/>
            </w:tcBorders>
            <w:shd w:val="solid" w:color="000000" w:fill="auto"/>
            <w:vAlign w:val="bottom"/>
          </w:tcPr>
          <w:p w:rsidR="00B60680" w:rsidRPr="00AC6103" w:rsidRDefault="00B60680"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2017</w:t>
            </w:r>
          </w:p>
          <w:p w:rsidR="00B60680" w:rsidRPr="00AC6103" w:rsidRDefault="00B60680"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r>
      <w:tr w:rsidR="00B60680" w:rsidRPr="00AC6103" w:rsidTr="00B04358">
        <w:trPr>
          <w:cantSplit/>
        </w:trPr>
        <w:tc>
          <w:tcPr>
            <w:tcW w:w="7768" w:type="dxa"/>
            <w:gridSpan w:val="6"/>
            <w:tcBorders>
              <w:top w:val="single" w:sz="6" w:space="0" w:color="auto"/>
              <w:left w:val="nil"/>
              <w:right w:val="nil"/>
            </w:tcBorders>
            <w:shd w:val="clear" w:color="auto" w:fill="FFFFFF"/>
          </w:tcPr>
          <w:p w:rsidR="00B60680" w:rsidRPr="00AC6103" w:rsidRDefault="00B60680" w:rsidP="00B60680">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Assets</w:t>
            </w:r>
          </w:p>
        </w:tc>
      </w:tr>
      <w:tr w:rsidR="00B60680" w:rsidRPr="00AC6103" w:rsidTr="00B04358">
        <w:trPr>
          <w:cantSplit/>
        </w:trPr>
        <w:tc>
          <w:tcPr>
            <w:tcW w:w="7768" w:type="dxa"/>
            <w:gridSpan w:val="6"/>
            <w:tcBorders>
              <w:top w:val="nil"/>
              <w:left w:val="nil"/>
              <w:right w:val="nil"/>
            </w:tcBorders>
            <w:shd w:val="clear" w:color="auto" w:fill="FFFFFF"/>
          </w:tcPr>
          <w:p w:rsidR="00B60680" w:rsidRPr="00AC6103" w:rsidRDefault="00B60680" w:rsidP="00B60680">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Financial assets</w:t>
            </w:r>
          </w:p>
        </w:tc>
      </w:tr>
      <w:tr w:rsidR="002C39A3" w:rsidRPr="00AC6103" w:rsidTr="00361FA9">
        <w:trPr>
          <w:cantSplit/>
        </w:trPr>
        <w:tc>
          <w:tcPr>
            <w:tcW w:w="4252"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Cash and deposits</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1 614</w:t>
            </w:r>
          </w:p>
        </w:tc>
        <w:tc>
          <w:tcPr>
            <w:tcW w:w="879"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1 925</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1 931</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2 043</w:t>
            </w:r>
          </w:p>
        </w:tc>
      </w:tr>
      <w:tr w:rsidR="002C39A3" w:rsidRPr="00AC6103" w:rsidTr="00361FA9">
        <w:trPr>
          <w:cantSplit/>
        </w:trPr>
        <w:tc>
          <w:tcPr>
            <w:tcW w:w="4252"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Receivables</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1 416</w:t>
            </w:r>
          </w:p>
        </w:tc>
        <w:tc>
          <w:tcPr>
            <w:tcW w:w="879"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1 502</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1 567</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1 682</w:t>
            </w:r>
          </w:p>
        </w:tc>
      </w:tr>
      <w:tr w:rsidR="002C39A3" w:rsidRPr="00AC6103" w:rsidTr="00361FA9">
        <w:trPr>
          <w:cantSplit/>
        </w:trPr>
        <w:tc>
          <w:tcPr>
            <w:tcW w:w="4252"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financial assets</w:t>
            </w:r>
          </w:p>
        </w:tc>
        <w:tc>
          <w:tcPr>
            <w:tcW w:w="879"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148</w:t>
            </w:r>
          </w:p>
        </w:tc>
        <w:tc>
          <w:tcPr>
            <w:tcW w:w="879"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146</w:t>
            </w:r>
          </w:p>
        </w:tc>
        <w:tc>
          <w:tcPr>
            <w:tcW w:w="879"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152</w:t>
            </w:r>
          </w:p>
        </w:tc>
        <w:tc>
          <w:tcPr>
            <w:tcW w:w="879"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145</w:t>
            </w:r>
          </w:p>
        </w:tc>
      </w:tr>
      <w:tr w:rsidR="002C39A3" w:rsidRPr="00AC6103" w:rsidTr="00361FA9">
        <w:trPr>
          <w:cantSplit/>
        </w:trPr>
        <w:tc>
          <w:tcPr>
            <w:tcW w:w="4252"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financial assets</w:t>
            </w:r>
          </w:p>
        </w:tc>
        <w:tc>
          <w:tcPr>
            <w:tcW w:w="879"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3 178</w:t>
            </w:r>
          </w:p>
        </w:tc>
        <w:tc>
          <w:tcPr>
            <w:tcW w:w="879" w:type="dxa"/>
            <w:gridSpan w:val="2"/>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3 573</w:t>
            </w:r>
          </w:p>
        </w:tc>
        <w:tc>
          <w:tcPr>
            <w:tcW w:w="879"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3 650</w:t>
            </w:r>
          </w:p>
        </w:tc>
        <w:tc>
          <w:tcPr>
            <w:tcW w:w="879"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3 871</w:t>
            </w:r>
          </w:p>
        </w:tc>
      </w:tr>
      <w:tr w:rsidR="00B60680" w:rsidRPr="00AC6103" w:rsidTr="00B04358">
        <w:trPr>
          <w:cantSplit/>
        </w:trPr>
        <w:tc>
          <w:tcPr>
            <w:tcW w:w="7768" w:type="dxa"/>
            <w:gridSpan w:val="6"/>
            <w:tcBorders>
              <w:top w:val="single" w:sz="6" w:space="0" w:color="auto"/>
              <w:left w:val="nil"/>
              <w:right w:val="nil"/>
            </w:tcBorders>
            <w:shd w:val="clear" w:color="auto" w:fill="FFFFFF"/>
          </w:tcPr>
          <w:p w:rsidR="00B60680" w:rsidRPr="00AC6103" w:rsidRDefault="00B60680" w:rsidP="00B60680">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Non-financial assets</w:t>
            </w:r>
          </w:p>
        </w:tc>
      </w:tr>
      <w:tr w:rsidR="002C39A3" w:rsidRPr="00AC6103" w:rsidTr="00361FA9">
        <w:trPr>
          <w:cantSplit/>
        </w:trPr>
        <w:tc>
          <w:tcPr>
            <w:tcW w:w="4252"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Inventories</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w:t>
            </w:r>
          </w:p>
        </w:tc>
        <w:tc>
          <w:tcPr>
            <w:tcW w:w="879"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42</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31</w:t>
            </w:r>
          </w:p>
        </w:tc>
      </w:tr>
      <w:tr w:rsidR="002C39A3" w:rsidRPr="00AC6103" w:rsidTr="00361FA9">
        <w:trPr>
          <w:cantSplit/>
        </w:trPr>
        <w:tc>
          <w:tcPr>
            <w:tcW w:w="4252"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Property, plant and equipment</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56 195</w:t>
            </w:r>
          </w:p>
        </w:tc>
        <w:tc>
          <w:tcPr>
            <w:tcW w:w="879"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56 628</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56 479</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57 210</w:t>
            </w:r>
          </w:p>
        </w:tc>
      </w:tr>
      <w:tr w:rsidR="002C39A3" w:rsidRPr="00AC6103" w:rsidTr="00361FA9">
        <w:trPr>
          <w:cantSplit/>
        </w:trPr>
        <w:tc>
          <w:tcPr>
            <w:tcW w:w="4252"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Biological assets</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c>
          <w:tcPr>
            <w:tcW w:w="879"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r>
      <w:tr w:rsidR="002C39A3" w:rsidRPr="00AC6103" w:rsidTr="00361FA9">
        <w:trPr>
          <w:cantSplit/>
        </w:trPr>
        <w:tc>
          <w:tcPr>
            <w:tcW w:w="4252"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Investment properties</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w:t>
            </w:r>
          </w:p>
        </w:tc>
        <w:tc>
          <w:tcPr>
            <w:tcW w:w="879"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rPr>
          <w:cantSplit/>
        </w:trPr>
        <w:tc>
          <w:tcPr>
            <w:tcW w:w="4252"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Intangible assets</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121</w:t>
            </w:r>
          </w:p>
        </w:tc>
        <w:tc>
          <w:tcPr>
            <w:tcW w:w="879"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109</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111</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102</w:t>
            </w:r>
          </w:p>
        </w:tc>
      </w:tr>
      <w:tr w:rsidR="002C39A3" w:rsidRPr="00AC6103" w:rsidTr="00361FA9">
        <w:trPr>
          <w:cantSplit/>
        </w:trPr>
        <w:tc>
          <w:tcPr>
            <w:tcW w:w="4252"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w:t>
            </w:r>
          </w:p>
        </w:tc>
        <w:tc>
          <w:tcPr>
            <w:tcW w:w="879"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35</w:t>
            </w:r>
          </w:p>
        </w:tc>
        <w:tc>
          <w:tcPr>
            <w:tcW w:w="879"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36</w:t>
            </w:r>
          </w:p>
        </w:tc>
        <w:tc>
          <w:tcPr>
            <w:tcW w:w="879"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37</w:t>
            </w:r>
          </w:p>
        </w:tc>
        <w:tc>
          <w:tcPr>
            <w:tcW w:w="879"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39</w:t>
            </w:r>
          </w:p>
        </w:tc>
      </w:tr>
      <w:tr w:rsidR="002C39A3" w:rsidRPr="00AC6103" w:rsidTr="00361FA9">
        <w:trPr>
          <w:cantSplit/>
        </w:trPr>
        <w:tc>
          <w:tcPr>
            <w:tcW w:w="4252"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non-financial assets</w:t>
            </w:r>
          </w:p>
        </w:tc>
        <w:tc>
          <w:tcPr>
            <w:tcW w:w="879"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56 370</w:t>
            </w:r>
          </w:p>
        </w:tc>
        <w:tc>
          <w:tcPr>
            <w:tcW w:w="879" w:type="dxa"/>
            <w:gridSpan w:val="2"/>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56 792</w:t>
            </w:r>
          </w:p>
        </w:tc>
        <w:tc>
          <w:tcPr>
            <w:tcW w:w="879"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56 670</w:t>
            </w:r>
          </w:p>
        </w:tc>
        <w:tc>
          <w:tcPr>
            <w:tcW w:w="879"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57 382</w:t>
            </w:r>
          </w:p>
        </w:tc>
      </w:tr>
      <w:tr w:rsidR="002C39A3" w:rsidRPr="00AC6103" w:rsidTr="00361FA9">
        <w:trPr>
          <w:cantSplit/>
        </w:trPr>
        <w:tc>
          <w:tcPr>
            <w:tcW w:w="4252"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assets</w:t>
            </w:r>
          </w:p>
        </w:tc>
        <w:tc>
          <w:tcPr>
            <w:tcW w:w="879"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59 548</w:t>
            </w:r>
          </w:p>
        </w:tc>
        <w:tc>
          <w:tcPr>
            <w:tcW w:w="879" w:type="dxa"/>
            <w:gridSpan w:val="2"/>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60 365</w:t>
            </w:r>
          </w:p>
        </w:tc>
        <w:tc>
          <w:tcPr>
            <w:tcW w:w="879"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60 320</w:t>
            </w:r>
          </w:p>
        </w:tc>
        <w:tc>
          <w:tcPr>
            <w:tcW w:w="879"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61 253</w:t>
            </w:r>
          </w:p>
        </w:tc>
      </w:tr>
      <w:tr w:rsidR="00B60680" w:rsidRPr="00AC6103" w:rsidTr="00B04358">
        <w:trPr>
          <w:cantSplit/>
        </w:trPr>
        <w:tc>
          <w:tcPr>
            <w:tcW w:w="7768" w:type="dxa"/>
            <w:gridSpan w:val="6"/>
            <w:tcBorders>
              <w:top w:val="single" w:sz="6" w:space="0" w:color="auto"/>
              <w:left w:val="nil"/>
              <w:right w:val="nil"/>
            </w:tcBorders>
            <w:shd w:val="clear" w:color="auto" w:fill="FFFFFF"/>
          </w:tcPr>
          <w:p w:rsidR="00B60680" w:rsidRPr="00AC6103" w:rsidRDefault="00B60680" w:rsidP="00B60680">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Liabilities</w:t>
            </w:r>
          </w:p>
        </w:tc>
      </w:tr>
      <w:tr w:rsidR="002C39A3" w:rsidRPr="00AC6103" w:rsidTr="00361FA9">
        <w:trPr>
          <w:cantSplit/>
        </w:trPr>
        <w:tc>
          <w:tcPr>
            <w:tcW w:w="4252"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Payables</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1 218</w:t>
            </w:r>
          </w:p>
        </w:tc>
        <w:tc>
          <w:tcPr>
            <w:tcW w:w="879"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1 207</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1 265</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1 275</w:t>
            </w:r>
          </w:p>
        </w:tc>
      </w:tr>
      <w:tr w:rsidR="002C39A3" w:rsidRPr="00AC6103" w:rsidTr="00361FA9">
        <w:trPr>
          <w:cantSplit/>
        </w:trPr>
        <w:tc>
          <w:tcPr>
            <w:tcW w:w="4252"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Borrowings</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1 523</w:t>
            </w:r>
          </w:p>
        </w:tc>
        <w:tc>
          <w:tcPr>
            <w:tcW w:w="879"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1 488</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1 497</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1 495</w:t>
            </w:r>
          </w:p>
        </w:tc>
      </w:tr>
      <w:tr w:rsidR="002C39A3" w:rsidRPr="00AC6103" w:rsidTr="00361FA9">
        <w:trPr>
          <w:cantSplit/>
        </w:trPr>
        <w:tc>
          <w:tcPr>
            <w:tcW w:w="4252"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Provisions</w:t>
            </w:r>
          </w:p>
        </w:tc>
        <w:tc>
          <w:tcPr>
            <w:tcW w:w="879"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723</w:t>
            </w:r>
          </w:p>
        </w:tc>
        <w:tc>
          <w:tcPr>
            <w:tcW w:w="879"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749</w:t>
            </w:r>
          </w:p>
        </w:tc>
        <w:tc>
          <w:tcPr>
            <w:tcW w:w="879"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747</w:t>
            </w:r>
          </w:p>
        </w:tc>
        <w:tc>
          <w:tcPr>
            <w:tcW w:w="879"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772</w:t>
            </w:r>
          </w:p>
        </w:tc>
      </w:tr>
      <w:tr w:rsidR="002C39A3" w:rsidRPr="00AC6103" w:rsidTr="00361FA9">
        <w:trPr>
          <w:cantSplit/>
        </w:trPr>
        <w:tc>
          <w:tcPr>
            <w:tcW w:w="4252"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liabilities</w:t>
            </w:r>
          </w:p>
        </w:tc>
        <w:tc>
          <w:tcPr>
            <w:tcW w:w="879"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3 464</w:t>
            </w:r>
          </w:p>
        </w:tc>
        <w:tc>
          <w:tcPr>
            <w:tcW w:w="879" w:type="dxa"/>
            <w:gridSpan w:val="2"/>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3 444</w:t>
            </w:r>
          </w:p>
        </w:tc>
        <w:tc>
          <w:tcPr>
            <w:tcW w:w="879"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3 509</w:t>
            </w:r>
          </w:p>
        </w:tc>
        <w:tc>
          <w:tcPr>
            <w:tcW w:w="879"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3 542</w:t>
            </w:r>
          </w:p>
        </w:tc>
      </w:tr>
      <w:tr w:rsidR="002C39A3" w:rsidRPr="00AC6103" w:rsidTr="00361FA9">
        <w:trPr>
          <w:cantSplit/>
        </w:trPr>
        <w:tc>
          <w:tcPr>
            <w:tcW w:w="4252"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assets</w:t>
            </w:r>
          </w:p>
        </w:tc>
        <w:tc>
          <w:tcPr>
            <w:tcW w:w="879"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56 084</w:t>
            </w:r>
          </w:p>
        </w:tc>
        <w:tc>
          <w:tcPr>
            <w:tcW w:w="879" w:type="dxa"/>
            <w:gridSpan w:val="2"/>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56 921</w:t>
            </w:r>
          </w:p>
        </w:tc>
        <w:tc>
          <w:tcPr>
            <w:tcW w:w="879"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56 811</w:t>
            </w:r>
          </w:p>
        </w:tc>
        <w:tc>
          <w:tcPr>
            <w:tcW w:w="879"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57 711</w:t>
            </w:r>
          </w:p>
        </w:tc>
      </w:tr>
      <w:tr w:rsidR="00B60680" w:rsidRPr="00AC6103" w:rsidTr="00B04358">
        <w:trPr>
          <w:cantSplit/>
        </w:trPr>
        <w:tc>
          <w:tcPr>
            <w:tcW w:w="7768" w:type="dxa"/>
            <w:gridSpan w:val="6"/>
            <w:tcBorders>
              <w:top w:val="single" w:sz="12" w:space="0" w:color="auto"/>
              <w:left w:val="nil"/>
              <w:right w:val="nil"/>
            </w:tcBorders>
            <w:shd w:val="clear" w:color="auto" w:fill="FFFFFF"/>
          </w:tcPr>
          <w:p w:rsidR="00B60680" w:rsidRPr="00AC6103" w:rsidRDefault="00B60680" w:rsidP="00B60680">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Equity</w:t>
            </w:r>
          </w:p>
        </w:tc>
      </w:tr>
      <w:tr w:rsidR="002C39A3" w:rsidRPr="00AC6103" w:rsidTr="00361FA9">
        <w:trPr>
          <w:cantSplit/>
        </w:trPr>
        <w:tc>
          <w:tcPr>
            <w:tcW w:w="4252"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Accumulated surplus/(deficit)</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16 001</w:t>
            </w:r>
          </w:p>
        </w:tc>
        <w:tc>
          <w:tcPr>
            <w:tcW w:w="879"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16 234</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16 345</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17 420</w:t>
            </w:r>
          </w:p>
        </w:tc>
      </w:tr>
      <w:tr w:rsidR="002C39A3" w:rsidRPr="00AC6103" w:rsidTr="00361FA9">
        <w:trPr>
          <w:cantSplit/>
        </w:trPr>
        <w:tc>
          <w:tcPr>
            <w:tcW w:w="4252"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Reserves</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19 872</w:t>
            </w:r>
          </w:p>
        </w:tc>
        <w:tc>
          <w:tcPr>
            <w:tcW w:w="879"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19 952</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19 921</w:t>
            </w:r>
          </w:p>
        </w:tc>
        <w:tc>
          <w:tcPr>
            <w:tcW w:w="8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19 951</w:t>
            </w:r>
          </w:p>
        </w:tc>
      </w:tr>
      <w:tr w:rsidR="002C39A3" w:rsidRPr="00AC6103" w:rsidTr="00361FA9">
        <w:trPr>
          <w:cantSplit/>
        </w:trPr>
        <w:tc>
          <w:tcPr>
            <w:tcW w:w="4252"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Contributed capital</w:t>
            </w:r>
          </w:p>
        </w:tc>
        <w:tc>
          <w:tcPr>
            <w:tcW w:w="879"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20 210</w:t>
            </w:r>
          </w:p>
        </w:tc>
        <w:tc>
          <w:tcPr>
            <w:tcW w:w="879"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20 735</w:t>
            </w:r>
          </w:p>
        </w:tc>
        <w:tc>
          <w:tcPr>
            <w:tcW w:w="879"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20 546</w:t>
            </w:r>
          </w:p>
        </w:tc>
        <w:tc>
          <w:tcPr>
            <w:tcW w:w="879"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20 340</w:t>
            </w:r>
          </w:p>
        </w:tc>
      </w:tr>
      <w:tr w:rsidR="002C39A3" w:rsidRPr="00AC6103" w:rsidTr="00361FA9">
        <w:trPr>
          <w:cantSplit/>
        </w:trPr>
        <w:tc>
          <w:tcPr>
            <w:tcW w:w="4252"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equity</w:t>
            </w:r>
          </w:p>
        </w:tc>
        <w:tc>
          <w:tcPr>
            <w:tcW w:w="879"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56 084</w:t>
            </w:r>
          </w:p>
        </w:tc>
        <w:tc>
          <w:tcPr>
            <w:tcW w:w="879" w:type="dxa"/>
            <w:gridSpan w:val="2"/>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56 921</w:t>
            </w:r>
          </w:p>
        </w:tc>
        <w:tc>
          <w:tcPr>
            <w:tcW w:w="879"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56 811</w:t>
            </w:r>
          </w:p>
        </w:tc>
        <w:tc>
          <w:tcPr>
            <w:tcW w:w="879"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57 711</w:t>
            </w:r>
          </w:p>
        </w:tc>
      </w:tr>
    </w:tbl>
    <w:p w:rsidR="002C39A3" w:rsidRDefault="002C39A3" w:rsidP="00361FA9">
      <w:pPr>
        <w:pStyle w:val="Source"/>
        <w:rPr>
          <w:rFonts w:eastAsiaTheme="minorHAnsi"/>
        </w:rPr>
      </w:pPr>
      <w:r w:rsidRPr="00623837">
        <w:rPr>
          <w:rFonts w:eastAsiaTheme="minorHAnsi"/>
        </w:rPr>
        <w:t xml:space="preserve">Sources: </w:t>
      </w:r>
      <w:r w:rsidRPr="006C0346">
        <w:rPr>
          <w:rFonts w:eastAsiaTheme="minorHAnsi"/>
        </w:rPr>
        <w:t>Departments of Economic Development, Jobs, Transport and Resources, and Treasury and Finance</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3.1.3:</w:t>
      </w:r>
      <w:r>
        <w:rPr>
          <w:rFonts w:eastAsiaTheme="minorHAnsi"/>
        </w:rPr>
        <w:tab/>
        <w:t>Statement of cash flows</w:t>
      </w:r>
    </w:p>
    <w:p w:rsidR="002C39A3" w:rsidRPr="00AC6103" w:rsidRDefault="002C39A3" w:rsidP="00361FA9">
      <w:pPr>
        <w:pStyle w:val="million"/>
        <w:rPr>
          <w:rFonts w:eastAsiaTheme="minorHAnsi"/>
          <w:b/>
          <w:bCs/>
          <w:lang w:val="en-US"/>
        </w:rPr>
      </w:pPr>
      <w:r>
        <w:rPr>
          <w:rFonts w:eastAsiaTheme="minorHAnsi"/>
        </w:rPr>
        <w:t>($ million)</w:t>
      </w:r>
    </w:p>
    <w:tbl>
      <w:tblPr>
        <w:tblW w:w="7764" w:type="dxa"/>
        <w:tblInd w:w="45" w:type="dxa"/>
        <w:tblLayout w:type="fixed"/>
        <w:tblCellMar>
          <w:left w:w="45" w:type="dxa"/>
          <w:right w:w="45" w:type="dxa"/>
        </w:tblCellMar>
        <w:tblLook w:val="0000" w:firstRow="0" w:lastRow="0" w:firstColumn="0" w:lastColumn="0" w:noHBand="0" w:noVBand="0"/>
      </w:tblPr>
      <w:tblGrid>
        <w:gridCol w:w="4252"/>
        <w:gridCol w:w="143"/>
        <w:gridCol w:w="141"/>
        <w:gridCol w:w="678"/>
        <w:gridCol w:w="850"/>
        <w:gridCol w:w="850"/>
        <w:gridCol w:w="850"/>
      </w:tblGrid>
      <w:tr w:rsidR="00B60680" w:rsidRPr="00AC6103" w:rsidTr="00B04358">
        <w:trPr>
          <w:trHeight w:val="464"/>
          <w:tblHeader/>
        </w:trPr>
        <w:tc>
          <w:tcPr>
            <w:tcW w:w="4252" w:type="dxa"/>
            <w:tcBorders>
              <w:left w:val="nil"/>
              <w:right w:val="nil"/>
            </w:tcBorders>
            <w:shd w:val="solid" w:color="000000" w:fill="auto"/>
            <w:vAlign w:val="bottom"/>
          </w:tcPr>
          <w:p w:rsidR="00B60680" w:rsidRPr="00AC6103" w:rsidRDefault="00B60680" w:rsidP="00361FA9">
            <w:pPr>
              <w:pStyle w:val="million"/>
              <w:jc w:val="left"/>
              <w:rPr>
                <w:rFonts w:eastAsiaTheme="minorEastAsia" w:cs="Calibri"/>
                <w:color w:val="FFFFFF"/>
                <w:sz w:val="19"/>
                <w:lang w:eastAsia="en-AU"/>
              </w:rPr>
            </w:pPr>
            <w:r w:rsidRPr="00AC6103">
              <w:rPr>
                <w:rFonts w:eastAsiaTheme="minorEastAsia" w:cs="Calibri"/>
                <w:color w:val="FFFFFF"/>
                <w:sz w:val="19"/>
                <w:lang w:eastAsia="en-AU"/>
              </w:rPr>
              <w:t xml:space="preserve"> </w:t>
            </w:r>
          </w:p>
          <w:p w:rsidR="00B60680" w:rsidRPr="00AC6103" w:rsidRDefault="00B60680" w:rsidP="00361FA9">
            <w:pPr>
              <w:autoSpaceDE w:val="0"/>
              <w:autoSpaceDN w:val="0"/>
              <w:adjustRightInd w:val="0"/>
              <w:spacing w:after="0"/>
              <w:rPr>
                <w:rFonts w:eastAsiaTheme="minorEastAsia" w:cs="Calibri"/>
                <w:color w:val="FFFFFF"/>
                <w:sz w:val="19"/>
                <w:lang w:eastAsia="en-AU"/>
              </w:rPr>
            </w:pPr>
            <w:r w:rsidRPr="00AC6103">
              <w:rPr>
                <w:rFonts w:ascii="Calibri" w:eastAsiaTheme="minorEastAsia" w:hAnsi="Calibri" w:cs="Calibri"/>
                <w:color w:val="FFFFFF"/>
                <w:sz w:val="19"/>
                <w:lang w:eastAsia="en-AU"/>
              </w:rPr>
              <w:t xml:space="preserve"> </w:t>
            </w:r>
          </w:p>
        </w:tc>
        <w:tc>
          <w:tcPr>
            <w:tcW w:w="962" w:type="dxa"/>
            <w:gridSpan w:val="3"/>
            <w:tcBorders>
              <w:left w:val="nil"/>
              <w:right w:val="nil"/>
            </w:tcBorders>
            <w:shd w:val="solid" w:color="000000" w:fill="auto"/>
            <w:vAlign w:val="bottom"/>
          </w:tcPr>
          <w:p w:rsidR="00B60680" w:rsidRPr="00AC6103" w:rsidRDefault="00B60680"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2014-15</w:t>
            </w:r>
          </w:p>
          <w:p w:rsidR="00B60680" w:rsidRPr="00AC6103" w:rsidRDefault="00B60680"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actual</w:t>
            </w:r>
          </w:p>
        </w:tc>
        <w:tc>
          <w:tcPr>
            <w:tcW w:w="850" w:type="dxa"/>
            <w:tcBorders>
              <w:left w:val="nil"/>
              <w:right w:val="nil"/>
            </w:tcBorders>
            <w:shd w:val="solid" w:color="000000" w:fill="auto"/>
            <w:vAlign w:val="bottom"/>
          </w:tcPr>
          <w:p w:rsidR="00B60680" w:rsidRPr="00AC6103" w:rsidRDefault="00B60680"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B60680" w:rsidRPr="00AC6103" w:rsidRDefault="00B60680"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B60680" w:rsidRPr="00AC6103" w:rsidRDefault="00B60680"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B60680" w:rsidRPr="00AC6103" w:rsidRDefault="00B60680"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B60680" w:rsidRPr="00AC6103" w:rsidRDefault="00B60680"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2016-17</w:t>
            </w:r>
          </w:p>
          <w:p w:rsidR="00B60680" w:rsidRPr="00AC6103" w:rsidRDefault="00B60680"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r>
      <w:tr w:rsidR="00B60680" w:rsidRPr="00AC6103" w:rsidTr="00B04358">
        <w:tc>
          <w:tcPr>
            <w:tcW w:w="7764" w:type="dxa"/>
            <w:gridSpan w:val="7"/>
            <w:tcBorders>
              <w:top w:val="single" w:sz="6" w:space="0" w:color="auto"/>
              <w:left w:val="nil"/>
              <w:right w:val="nil"/>
            </w:tcBorders>
            <w:shd w:val="clear" w:color="auto" w:fill="FFFFFF"/>
          </w:tcPr>
          <w:p w:rsidR="00B60680" w:rsidRPr="00AC6103" w:rsidRDefault="00B60680" w:rsidP="00B60680">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Cash flows from operating activities</w:t>
            </w:r>
          </w:p>
        </w:tc>
      </w:tr>
      <w:tr w:rsidR="00B60680" w:rsidRPr="00AC6103" w:rsidTr="00B04358">
        <w:tc>
          <w:tcPr>
            <w:tcW w:w="7764" w:type="dxa"/>
            <w:gridSpan w:val="7"/>
            <w:tcBorders>
              <w:top w:val="nil"/>
              <w:left w:val="nil"/>
              <w:right w:val="nil"/>
            </w:tcBorders>
            <w:shd w:val="clear" w:color="auto" w:fill="FFFFFF"/>
          </w:tcPr>
          <w:p w:rsidR="00B60680" w:rsidRPr="00AC6103" w:rsidRDefault="00B60680" w:rsidP="00B60680">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Receipts</w:t>
            </w:r>
          </w:p>
        </w:tc>
      </w:tr>
      <w:tr w:rsidR="002C39A3" w:rsidRPr="00AC6103" w:rsidTr="00361FA9">
        <w:tc>
          <w:tcPr>
            <w:tcW w:w="4252"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AC6103">
              <w:rPr>
                <w:rFonts w:ascii="Calibri" w:eastAsiaTheme="minorEastAsia" w:hAnsi="Calibri" w:cs="Calibri"/>
                <w:color w:val="000000"/>
                <w:sz w:val="19"/>
                <w:lang w:eastAsia="en-AU"/>
              </w:rPr>
              <w:t>Receipts from Government</w:t>
            </w:r>
          </w:p>
        </w:tc>
        <w:tc>
          <w:tcPr>
            <w:tcW w:w="962" w:type="dxa"/>
            <w:gridSpan w:val="3"/>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3 607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7 103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7 057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7 671</w:t>
            </w:r>
          </w:p>
        </w:tc>
      </w:tr>
      <w:tr w:rsidR="002C39A3" w:rsidRPr="00AC6103" w:rsidTr="00361FA9">
        <w:tc>
          <w:tcPr>
            <w:tcW w:w="4252"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Receipts from other entities</w:t>
            </w:r>
          </w:p>
        </w:tc>
        <w:tc>
          <w:tcPr>
            <w:tcW w:w="962" w:type="dxa"/>
            <w:gridSpan w:val="3"/>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574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857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907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1 691</w:t>
            </w:r>
          </w:p>
        </w:tc>
      </w:tr>
      <w:tr w:rsidR="002C39A3" w:rsidRPr="00AC6103" w:rsidTr="00361FA9">
        <w:tc>
          <w:tcPr>
            <w:tcW w:w="4252"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Interest received</w:t>
            </w:r>
          </w:p>
        </w:tc>
        <w:tc>
          <w:tcPr>
            <w:tcW w:w="962" w:type="dxa"/>
            <w:gridSpan w:val="3"/>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17</w:t>
            </w:r>
          </w:p>
        </w:tc>
      </w:tr>
      <w:tr w:rsidR="002C39A3" w:rsidRPr="00AC6103" w:rsidTr="00361FA9">
        <w:tc>
          <w:tcPr>
            <w:tcW w:w="4252"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receipts</w:t>
            </w:r>
          </w:p>
        </w:tc>
        <w:tc>
          <w:tcPr>
            <w:tcW w:w="962" w:type="dxa"/>
            <w:gridSpan w:val="3"/>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256</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120</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125</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121</w:t>
            </w:r>
          </w:p>
        </w:tc>
      </w:tr>
      <w:tr w:rsidR="002C39A3" w:rsidRPr="00AC6103" w:rsidTr="00361FA9">
        <w:tc>
          <w:tcPr>
            <w:tcW w:w="4252"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receipts</w:t>
            </w:r>
          </w:p>
        </w:tc>
        <w:tc>
          <w:tcPr>
            <w:tcW w:w="962" w:type="dxa"/>
            <w:gridSpan w:val="3"/>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4 450</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8 095</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8 105</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9 501</w:t>
            </w:r>
          </w:p>
        </w:tc>
      </w:tr>
      <w:tr w:rsidR="00B60680" w:rsidRPr="00AC6103" w:rsidTr="00B04358">
        <w:tc>
          <w:tcPr>
            <w:tcW w:w="7764" w:type="dxa"/>
            <w:gridSpan w:val="7"/>
            <w:tcBorders>
              <w:top w:val="nil"/>
              <w:left w:val="nil"/>
              <w:right w:val="nil"/>
            </w:tcBorders>
            <w:shd w:val="clear" w:color="auto" w:fill="FFFFFF"/>
          </w:tcPr>
          <w:p w:rsidR="00B60680" w:rsidRPr="00AC6103" w:rsidRDefault="00B60680" w:rsidP="00B60680">
            <w:pPr>
              <w:autoSpaceDE w:val="0"/>
              <w:autoSpaceDN w:val="0"/>
              <w:adjustRightInd w:val="0"/>
              <w:spacing w:after="0"/>
              <w:ind w:left="227" w:hanging="227"/>
              <w:rPr>
                <w:rFonts w:ascii="Calibri" w:eastAsiaTheme="minorEastAsia" w:hAnsi="Calibri" w:cs="Calibri"/>
                <w:color w:val="000000"/>
                <w:sz w:val="19"/>
                <w:lang w:eastAsia="en-AU"/>
              </w:rPr>
            </w:pPr>
            <w:r>
              <w:rPr>
                <w:rFonts w:ascii="Calibri" w:eastAsiaTheme="minorEastAsia" w:hAnsi="Calibri" w:cs="Calibri"/>
                <w:b/>
                <w:bCs/>
                <w:color w:val="000000"/>
                <w:sz w:val="19"/>
                <w:lang w:eastAsia="en-AU"/>
              </w:rPr>
              <w:t>Payments</w:t>
            </w:r>
          </w:p>
        </w:tc>
      </w:tr>
      <w:tr w:rsidR="002C39A3" w:rsidRPr="00AC6103" w:rsidTr="00361FA9">
        <w:tc>
          <w:tcPr>
            <w:tcW w:w="4252"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Payments of grants and other transfers</w:t>
            </w:r>
          </w:p>
        </w:tc>
        <w:tc>
          <w:tcPr>
            <w:tcW w:w="962" w:type="dxa"/>
            <w:gridSpan w:val="3"/>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(1 623)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(2 832)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(3 062)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(3 177)</w:t>
            </w:r>
          </w:p>
        </w:tc>
      </w:tr>
      <w:tr w:rsidR="002C39A3" w:rsidRPr="00AC6103" w:rsidTr="00361FA9">
        <w:tc>
          <w:tcPr>
            <w:tcW w:w="4252"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Payments to suppliers and employees</w:t>
            </w:r>
          </w:p>
        </w:tc>
        <w:tc>
          <w:tcPr>
            <w:tcW w:w="962" w:type="dxa"/>
            <w:gridSpan w:val="3"/>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(2 590)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(3 923)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(3 858)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(4 188)</w:t>
            </w:r>
          </w:p>
        </w:tc>
      </w:tr>
      <w:tr w:rsidR="002C39A3" w:rsidRPr="00AC6103" w:rsidTr="00361FA9">
        <w:tc>
          <w:tcPr>
            <w:tcW w:w="4252"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Capital asset charge</w:t>
            </w:r>
          </w:p>
        </w:tc>
        <w:tc>
          <w:tcPr>
            <w:tcW w:w="962" w:type="dxa"/>
            <w:gridSpan w:val="3"/>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(215)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(215)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(226)</w:t>
            </w:r>
          </w:p>
        </w:tc>
      </w:tr>
      <w:tr w:rsidR="002C39A3" w:rsidRPr="00AC6103" w:rsidTr="00361FA9">
        <w:tc>
          <w:tcPr>
            <w:tcW w:w="4252"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Interest and other costs of finance paid</w:t>
            </w:r>
          </w:p>
        </w:tc>
        <w:tc>
          <w:tcPr>
            <w:tcW w:w="962" w:type="dxa"/>
            <w:gridSpan w:val="3"/>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(77)</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(151)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(148)</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(146)</w:t>
            </w:r>
          </w:p>
        </w:tc>
      </w:tr>
      <w:tr w:rsidR="002C39A3" w:rsidRPr="00AC6103" w:rsidTr="00361FA9">
        <w:tc>
          <w:tcPr>
            <w:tcW w:w="4252"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payments</w:t>
            </w:r>
          </w:p>
        </w:tc>
        <w:tc>
          <w:tcPr>
            <w:tcW w:w="962" w:type="dxa"/>
            <w:gridSpan w:val="3"/>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(4 405)</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(7 121)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(7 285)</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(7 735)</w:t>
            </w:r>
          </w:p>
        </w:tc>
      </w:tr>
      <w:tr w:rsidR="002C39A3" w:rsidRPr="00AC6103" w:rsidTr="00361FA9">
        <w:tc>
          <w:tcPr>
            <w:tcW w:w="4252"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cash flows from/(used in) operating activities</w:t>
            </w:r>
          </w:p>
        </w:tc>
        <w:tc>
          <w:tcPr>
            <w:tcW w:w="962" w:type="dxa"/>
            <w:gridSpan w:val="3"/>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45</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974</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821</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1 765</w:t>
            </w:r>
          </w:p>
        </w:tc>
      </w:tr>
      <w:tr w:rsidR="00B60680" w:rsidRPr="00AC6103" w:rsidTr="00B04358">
        <w:tc>
          <w:tcPr>
            <w:tcW w:w="7764" w:type="dxa"/>
            <w:gridSpan w:val="7"/>
            <w:tcBorders>
              <w:top w:val="nil"/>
              <w:left w:val="nil"/>
              <w:right w:val="nil"/>
            </w:tcBorders>
            <w:shd w:val="clear" w:color="auto" w:fill="FFFFFF"/>
          </w:tcPr>
          <w:p w:rsidR="00B60680" w:rsidRPr="00AC6103" w:rsidRDefault="00B60680" w:rsidP="00B60680">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Cash flows from investing activities</w:t>
            </w:r>
          </w:p>
        </w:tc>
      </w:tr>
      <w:tr w:rsidR="002C39A3" w:rsidRPr="00AC6103" w:rsidTr="00361FA9">
        <w:tc>
          <w:tcPr>
            <w:tcW w:w="4252"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AC6103">
              <w:rPr>
                <w:rFonts w:ascii="Calibri" w:eastAsiaTheme="minorEastAsia" w:hAnsi="Calibri" w:cs="Calibri"/>
                <w:color w:val="000000"/>
                <w:sz w:val="19"/>
                <w:lang w:eastAsia="en-AU"/>
              </w:rPr>
              <w:t>Net investment</w:t>
            </w:r>
          </w:p>
        </w:tc>
        <w:tc>
          <w:tcPr>
            <w:tcW w:w="962" w:type="dxa"/>
            <w:gridSpan w:val="3"/>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w:t>
            </w:r>
          </w:p>
        </w:tc>
      </w:tr>
      <w:tr w:rsidR="002C39A3" w:rsidRPr="00AC6103" w:rsidTr="00361FA9">
        <w:tc>
          <w:tcPr>
            <w:tcW w:w="4252"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Payments for non-financial assets</w:t>
            </w:r>
          </w:p>
        </w:tc>
        <w:tc>
          <w:tcPr>
            <w:tcW w:w="962" w:type="dxa"/>
            <w:gridSpan w:val="3"/>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(936)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(2 194)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(2 438)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(3 447)</w:t>
            </w:r>
          </w:p>
        </w:tc>
      </w:tr>
      <w:tr w:rsidR="002C39A3" w:rsidRPr="00AC6103" w:rsidTr="00361FA9">
        <w:tc>
          <w:tcPr>
            <w:tcW w:w="4252"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Proceeds from sale of non-financial assets</w:t>
            </w:r>
          </w:p>
        </w:tc>
        <w:tc>
          <w:tcPr>
            <w:tcW w:w="962" w:type="dxa"/>
            <w:gridSpan w:val="3"/>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252"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Net loans to other parties</w:t>
            </w:r>
          </w:p>
        </w:tc>
        <w:tc>
          <w:tcPr>
            <w:tcW w:w="962" w:type="dxa"/>
            <w:gridSpan w:val="3"/>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r>
      <w:tr w:rsidR="002C39A3" w:rsidRPr="00AC6103" w:rsidTr="00361FA9">
        <w:tc>
          <w:tcPr>
            <w:tcW w:w="4395"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 xml:space="preserve">Net (purchase)/disposal of investments – </w:t>
            </w:r>
            <w:r w:rsidR="00B60680">
              <w:rPr>
                <w:rFonts w:ascii="Calibri" w:eastAsiaTheme="minorEastAsia" w:hAnsi="Calibri" w:cs="Calibri"/>
                <w:color w:val="000000"/>
                <w:sz w:val="19"/>
                <w:lang w:eastAsia="en-AU"/>
              </w:rPr>
              <w:br/>
            </w:r>
            <w:r w:rsidRPr="00AC6103">
              <w:rPr>
                <w:rFonts w:ascii="Calibri" w:eastAsiaTheme="minorEastAsia" w:hAnsi="Calibri" w:cs="Calibri"/>
                <w:color w:val="000000"/>
                <w:sz w:val="19"/>
                <w:lang w:eastAsia="en-AU"/>
              </w:rPr>
              <w:t>policy purposes</w:t>
            </w:r>
          </w:p>
        </w:tc>
        <w:tc>
          <w:tcPr>
            <w:tcW w:w="819"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35</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252"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cash flow from/(used in) investing activities</w:t>
            </w:r>
          </w:p>
        </w:tc>
        <w:tc>
          <w:tcPr>
            <w:tcW w:w="962" w:type="dxa"/>
            <w:gridSpan w:val="3"/>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(897)</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(2 180)</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(2 440)</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(3 437)</w:t>
            </w:r>
          </w:p>
        </w:tc>
      </w:tr>
      <w:tr w:rsidR="00B60680" w:rsidRPr="00AC6103" w:rsidTr="00B04358">
        <w:tc>
          <w:tcPr>
            <w:tcW w:w="7764" w:type="dxa"/>
            <w:gridSpan w:val="7"/>
            <w:tcBorders>
              <w:top w:val="nil"/>
              <w:left w:val="nil"/>
              <w:right w:val="nil"/>
            </w:tcBorders>
            <w:shd w:val="clear" w:color="auto" w:fill="FFFFFF"/>
          </w:tcPr>
          <w:p w:rsidR="00B60680" w:rsidRPr="00AC6103" w:rsidRDefault="00B60680" w:rsidP="00B60680">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Cash flows from financing activities</w:t>
            </w:r>
          </w:p>
        </w:tc>
      </w:tr>
      <w:tr w:rsidR="002C39A3" w:rsidRPr="00AC6103" w:rsidTr="00361FA9">
        <w:tc>
          <w:tcPr>
            <w:tcW w:w="4252"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Owner contributions by State Government</w:t>
            </w:r>
          </w:p>
        </w:tc>
        <w:tc>
          <w:tcPr>
            <w:tcW w:w="962" w:type="dxa"/>
            <w:gridSpan w:val="3"/>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2 045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1 554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1 940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1 827</w:t>
            </w:r>
          </w:p>
        </w:tc>
      </w:tr>
      <w:tr w:rsidR="002C39A3" w:rsidRPr="00AC6103" w:rsidTr="00361FA9">
        <w:tc>
          <w:tcPr>
            <w:tcW w:w="4252"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Repayment of finance leases</w:t>
            </w:r>
          </w:p>
        </w:tc>
        <w:tc>
          <w:tcPr>
            <w:tcW w:w="962" w:type="dxa"/>
            <w:gridSpan w:val="3"/>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(34)</w:t>
            </w:r>
          </w:p>
        </w:tc>
      </w:tr>
      <w:tr w:rsidR="002C39A3" w:rsidRPr="00AC6103" w:rsidTr="00361FA9">
        <w:tc>
          <w:tcPr>
            <w:tcW w:w="4252"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Net borrowings</w:t>
            </w:r>
          </w:p>
        </w:tc>
        <w:tc>
          <w:tcPr>
            <w:tcW w:w="962" w:type="dxa"/>
            <w:gridSpan w:val="3"/>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34</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28</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w:t>
            </w:r>
          </w:p>
        </w:tc>
      </w:tr>
      <w:tr w:rsidR="002C39A3" w:rsidRPr="00AC6103" w:rsidTr="00361FA9">
        <w:tc>
          <w:tcPr>
            <w:tcW w:w="4252"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cash flows from/(used in) financing activities</w:t>
            </w:r>
          </w:p>
        </w:tc>
        <w:tc>
          <w:tcPr>
            <w:tcW w:w="962" w:type="dxa"/>
            <w:gridSpan w:val="3"/>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2 049</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1 517</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1 936</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1 784</w:t>
            </w:r>
          </w:p>
        </w:tc>
      </w:tr>
      <w:tr w:rsidR="002C39A3" w:rsidRPr="00AC6103" w:rsidTr="00361FA9">
        <w:tc>
          <w:tcPr>
            <w:tcW w:w="4536" w:type="dxa"/>
            <w:gridSpan w:val="3"/>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increase/(decrease) in cash and cash equivalents</w:t>
            </w:r>
          </w:p>
        </w:tc>
        <w:tc>
          <w:tcPr>
            <w:tcW w:w="678" w:type="dxa"/>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1 197</w:t>
            </w:r>
          </w:p>
        </w:tc>
        <w:tc>
          <w:tcPr>
            <w:tcW w:w="850" w:type="dxa"/>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311</w:t>
            </w:r>
          </w:p>
        </w:tc>
        <w:tc>
          <w:tcPr>
            <w:tcW w:w="850" w:type="dxa"/>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317</w:t>
            </w:r>
          </w:p>
        </w:tc>
        <w:tc>
          <w:tcPr>
            <w:tcW w:w="850" w:type="dxa"/>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112</w:t>
            </w:r>
          </w:p>
        </w:tc>
      </w:tr>
      <w:tr w:rsidR="002C39A3" w:rsidRPr="00AC6103" w:rsidTr="00361FA9">
        <w:tc>
          <w:tcPr>
            <w:tcW w:w="4252" w:type="dxa"/>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Cash and cash equivalents at the beginning of the financial year</w:t>
            </w:r>
          </w:p>
        </w:tc>
        <w:tc>
          <w:tcPr>
            <w:tcW w:w="962" w:type="dxa"/>
            <w:gridSpan w:val="3"/>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417</w:t>
            </w:r>
          </w:p>
        </w:tc>
        <w:tc>
          <w:tcPr>
            <w:tcW w:w="850" w:type="dxa"/>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1 614</w:t>
            </w:r>
          </w:p>
        </w:tc>
        <w:tc>
          <w:tcPr>
            <w:tcW w:w="850" w:type="dxa"/>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1 614</w:t>
            </w:r>
          </w:p>
        </w:tc>
        <w:tc>
          <w:tcPr>
            <w:tcW w:w="850" w:type="dxa"/>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1 931</w:t>
            </w:r>
          </w:p>
        </w:tc>
      </w:tr>
      <w:tr w:rsidR="002C39A3" w:rsidRPr="00AC6103" w:rsidTr="00361FA9">
        <w:tc>
          <w:tcPr>
            <w:tcW w:w="4252" w:type="dxa"/>
            <w:tcBorders>
              <w:top w:val="single" w:sz="6" w:space="0" w:color="auto"/>
              <w:left w:val="nil"/>
              <w:bottom w:val="single" w:sz="12" w:space="0" w:color="auto"/>
              <w:right w:val="nil"/>
            </w:tcBorders>
            <w:shd w:val="solid" w:color="FFFFFF" w:fill="FFFFFF"/>
          </w:tcPr>
          <w:p w:rsidR="002C39A3" w:rsidRPr="00AC6103" w:rsidRDefault="002C39A3" w:rsidP="00B60680">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Cash and cash equivalents at the end of the financial</w:t>
            </w:r>
            <w:r w:rsidR="00B60680">
              <w:rPr>
                <w:rFonts w:ascii="Calibri" w:eastAsiaTheme="minorEastAsia" w:hAnsi="Calibri" w:cs="Calibri"/>
                <w:b/>
                <w:bCs/>
                <w:color w:val="000000"/>
                <w:sz w:val="19"/>
                <w:lang w:eastAsia="en-AU"/>
              </w:rPr>
              <w:t> </w:t>
            </w:r>
            <w:r w:rsidRPr="00AC6103">
              <w:rPr>
                <w:rFonts w:ascii="Calibri" w:eastAsiaTheme="minorEastAsia" w:hAnsi="Calibri" w:cs="Calibri"/>
                <w:b/>
                <w:bCs/>
                <w:color w:val="000000"/>
                <w:sz w:val="19"/>
                <w:lang w:eastAsia="en-AU"/>
              </w:rPr>
              <w:t>year</w:t>
            </w:r>
          </w:p>
        </w:tc>
        <w:tc>
          <w:tcPr>
            <w:tcW w:w="962" w:type="dxa"/>
            <w:gridSpan w:val="3"/>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1 614</w:t>
            </w:r>
          </w:p>
        </w:tc>
        <w:tc>
          <w:tcPr>
            <w:tcW w:w="850"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1 925</w:t>
            </w:r>
          </w:p>
        </w:tc>
        <w:tc>
          <w:tcPr>
            <w:tcW w:w="850"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1 931</w:t>
            </w:r>
          </w:p>
        </w:tc>
        <w:tc>
          <w:tcPr>
            <w:tcW w:w="850"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2 043</w:t>
            </w:r>
          </w:p>
        </w:tc>
      </w:tr>
    </w:tbl>
    <w:p w:rsidR="002C39A3" w:rsidRDefault="002C39A3" w:rsidP="00361FA9">
      <w:pPr>
        <w:pStyle w:val="Source"/>
        <w:rPr>
          <w:rFonts w:eastAsiaTheme="minorHAnsi"/>
        </w:rPr>
      </w:pPr>
      <w:r w:rsidRPr="00623837">
        <w:rPr>
          <w:rFonts w:eastAsiaTheme="minorHAnsi"/>
        </w:rPr>
        <w:t xml:space="preserve">Sources: </w:t>
      </w:r>
      <w:r w:rsidRPr="006C0346">
        <w:rPr>
          <w:rFonts w:eastAsiaTheme="minorHAnsi"/>
        </w:rPr>
        <w:t>Departments of Economic Development, Jobs, Transport and Resources, and Treasury and Finance</w:t>
      </w:r>
    </w:p>
    <w:p w:rsidR="002C39A3" w:rsidRDefault="002C39A3" w:rsidP="00361FA9">
      <w:pPr>
        <w:pStyle w:val="Notes"/>
        <w:rPr>
          <w:rFonts w:eastAsiaTheme="minorHAnsi"/>
        </w:rPr>
      </w:pPr>
      <w:r>
        <w:rPr>
          <w:rFonts w:eastAsiaTheme="minorHAnsi"/>
        </w:rPr>
        <w:t xml:space="preserve">  </w:t>
      </w:r>
      <w:r>
        <w:rPr>
          <w:rFonts w:eastAsiaTheme="minorHAnsi"/>
        </w:rPr>
        <w:br w:type="page"/>
      </w:r>
    </w:p>
    <w:p w:rsidR="002C39A3" w:rsidRDefault="002C39A3" w:rsidP="00361FA9">
      <w:pPr>
        <w:pStyle w:val="Tableheading"/>
        <w:rPr>
          <w:rFonts w:eastAsiaTheme="minorHAnsi"/>
        </w:rPr>
      </w:pPr>
      <w:r>
        <w:rPr>
          <w:rFonts w:eastAsiaTheme="minorHAnsi"/>
        </w:rPr>
        <w:t>Table 3.1.4:</w:t>
      </w:r>
      <w:r>
        <w:rPr>
          <w:rFonts w:eastAsiaTheme="minorHAnsi"/>
        </w:rPr>
        <w:tab/>
        <w:t>Statement of changes in equity</w:t>
      </w:r>
    </w:p>
    <w:p w:rsidR="002C39A3" w:rsidRPr="00AC6103" w:rsidRDefault="002C39A3" w:rsidP="00361FA9">
      <w:pPr>
        <w:pStyle w:val="million"/>
        <w:rPr>
          <w:rFonts w:eastAsiaTheme="minorEastAsia"/>
          <w:b/>
          <w:bCs/>
          <w:lang w:val="en-US" w:eastAsia="en-AU"/>
        </w:rPr>
      </w:pPr>
      <w:r>
        <w:rPr>
          <w:rFonts w:eastAsiaTheme="minorHAnsi"/>
        </w:rPr>
        <w:t>($ million)</w:t>
      </w:r>
    </w:p>
    <w:tbl>
      <w:tblPr>
        <w:tblW w:w="7760" w:type="dxa"/>
        <w:tblInd w:w="45" w:type="dxa"/>
        <w:tblLayout w:type="fixed"/>
        <w:tblCellMar>
          <w:left w:w="45" w:type="dxa"/>
          <w:right w:w="45" w:type="dxa"/>
        </w:tblCellMar>
        <w:tblLook w:val="0000" w:firstRow="0" w:lastRow="0" w:firstColumn="0" w:lastColumn="0" w:noHBand="0" w:noVBand="0"/>
      </w:tblPr>
      <w:tblGrid>
        <w:gridCol w:w="2551"/>
        <w:gridCol w:w="567"/>
        <w:gridCol w:w="850"/>
        <w:gridCol w:w="1134"/>
        <w:gridCol w:w="1071"/>
        <w:gridCol w:w="771"/>
        <w:gridCol w:w="816"/>
      </w:tblGrid>
      <w:tr w:rsidR="002C39A3" w:rsidRPr="00AC6103" w:rsidTr="00361FA9">
        <w:trPr>
          <w:tblHeader/>
        </w:trPr>
        <w:tc>
          <w:tcPr>
            <w:tcW w:w="2551" w:type="dxa"/>
            <w:tcBorders>
              <w:left w:val="nil"/>
              <w:bottom w:val="single" w:sz="6" w:space="0" w:color="auto"/>
              <w:right w:val="nil"/>
            </w:tcBorders>
            <w:shd w:val="solid" w:color="000000" w:fill="auto"/>
            <w:vAlign w:val="bottom"/>
          </w:tcPr>
          <w:p w:rsidR="002C39A3" w:rsidRPr="00AC6103" w:rsidRDefault="002C39A3" w:rsidP="00361FA9">
            <w:pPr>
              <w:pStyle w:val="Source"/>
              <w:spacing w:after="0"/>
              <w:rPr>
                <w:rFonts w:eastAsiaTheme="minorEastAsia" w:cs="Calibri"/>
                <w:color w:val="FFFFFF"/>
                <w:sz w:val="19"/>
                <w:lang w:eastAsia="en-AU"/>
              </w:rPr>
            </w:pPr>
            <w:r w:rsidRPr="00AC6103">
              <w:rPr>
                <w:rFonts w:eastAsiaTheme="minorEastAsia" w:cs="Calibri"/>
                <w:color w:val="FFFFFF"/>
                <w:sz w:val="19"/>
                <w:lang w:eastAsia="en-AU"/>
              </w:rPr>
              <w:t xml:space="preserve"> </w:t>
            </w:r>
          </w:p>
        </w:tc>
        <w:tc>
          <w:tcPr>
            <w:tcW w:w="1417" w:type="dxa"/>
            <w:gridSpan w:val="2"/>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Accumulated surplus/(deficit)</w:t>
            </w:r>
          </w:p>
        </w:tc>
        <w:tc>
          <w:tcPr>
            <w:tcW w:w="1134" w:type="dxa"/>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Contributions by owner</w:t>
            </w:r>
          </w:p>
        </w:tc>
        <w:tc>
          <w:tcPr>
            <w:tcW w:w="1071" w:type="dxa"/>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Revaluation surplus</w:t>
            </w:r>
          </w:p>
        </w:tc>
        <w:tc>
          <w:tcPr>
            <w:tcW w:w="771" w:type="dxa"/>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Other reserves</w:t>
            </w:r>
          </w:p>
        </w:tc>
        <w:tc>
          <w:tcPr>
            <w:tcW w:w="816" w:type="dxa"/>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 xml:space="preserve">Total equity </w:t>
            </w:r>
          </w:p>
        </w:tc>
      </w:tr>
      <w:tr w:rsidR="002C39A3" w:rsidRPr="00AC6103" w:rsidTr="00361FA9">
        <w:tc>
          <w:tcPr>
            <w:tcW w:w="3118" w:type="dxa"/>
            <w:gridSpan w:val="2"/>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Opening balance 1 July 2014</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189</w:t>
            </w:r>
          </w:p>
        </w:tc>
        <w:tc>
          <w:tcPr>
            <w:tcW w:w="1134"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931</w:t>
            </w:r>
          </w:p>
        </w:tc>
        <w:tc>
          <w:tcPr>
            <w:tcW w:w="10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26</w:t>
            </w:r>
          </w:p>
        </w:tc>
        <w:tc>
          <w:tcPr>
            <w:tcW w:w="7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16"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1 146</w:t>
            </w:r>
          </w:p>
        </w:tc>
      </w:tr>
      <w:tr w:rsidR="002C39A3" w:rsidRPr="00AC6103" w:rsidTr="00361FA9">
        <w:tc>
          <w:tcPr>
            <w:tcW w:w="3118"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(341)</w:t>
            </w:r>
          </w:p>
        </w:tc>
        <w:tc>
          <w:tcPr>
            <w:tcW w:w="1134"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1 418</w:t>
            </w:r>
          </w:p>
        </w:tc>
        <w:tc>
          <w:tcPr>
            <w:tcW w:w="7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1 077</w:t>
            </w:r>
          </w:p>
        </w:tc>
      </w:tr>
      <w:tr w:rsidR="002C39A3" w:rsidRPr="00AC6103" w:rsidTr="00361FA9">
        <w:tc>
          <w:tcPr>
            <w:tcW w:w="3118"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16 153</w:t>
            </w:r>
          </w:p>
        </w:tc>
        <w:tc>
          <w:tcPr>
            <w:tcW w:w="1134"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19 279</w:t>
            </w:r>
          </w:p>
        </w:tc>
        <w:tc>
          <w:tcPr>
            <w:tcW w:w="10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18 389</w:t>
            </w:r>
          </w:p>
        </w:tc>
        <w:tc>
          <w:tcPr>
            <w:tcW w:w="7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40</w:t>
            </w:r>
          </w:p>
        </w:tc>
        <w:tc>
          <w:tcPr>
            <w:tcW w:w="81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53 860</w:t>
            </w:r>
          </w:p>
        </w:tc>
      </w:tr>
      <w:tr w:rsidR="002C39A3" w:rsidRPr="00AC6103" w:rsidTr="00361FA9">
        <w:tc>
          <w:tcPr>
            <w:tcW w:w="3118" w:type="dxa"/>
            <w:gridSpan w:val="2"/>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vertAlign w:val="superscript"/>
                <w:lang w:eastAsia="en-AU"/>
              </w:rPr>
            </w:pPr>
            <w:r w:rsidRPr="00AC6103">
              <w:rPr>
                <w:rFonts w:ascii="Calibri" w:eastAsiaTheme="minorEastAsia" w:hAnsi="Calibri" w:cs="Calibri"/>
                <w:b/>
                <w:bCs/>
                <w:color w:val="000000"/>
                <w:sz w:val="19"/>
                <w:lang w:eastAsia="en-AU"/>
              </w:rPr>
              <w:t>Closing balance 30 June 2015 (actual)</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16 001</w:t>
            </w:r>
          </w:p>
        </w:tc>
        <w:tc>
          <w:tcPr>
            <w:tcW w:w="1134"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20 210</w:t>
            </w:r>
          </w:p>
        </w:tc>
        <w:tc>
          <w:tcPr>
            <w:tcW w:w="10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19 832</w:t>
            </w:r>
          </w:p>
        </w:tc>
        <w:tc>
          <w:tcPr>
            <w:tcW w:w="7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40</w:t>
            </w:r>
          </w:p>
        </w:tc>
        <w:tc>
          <w:tcPr>
            <w:tcW w:w="816"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56 084</w:t>
            </w:r>
          </w:p>
        </w:tc>
      </w:tr>
      <w:tr w:rsidR="002C39A3" w:rsidRPr="00AC6103" w:rsidTr="00361FA9">
        <w:tc>
          <w:tcPr>
            <w:tcW w:w="3118"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233</w:t>
            </w:r>
          </w:p>
        </w:tc>
        <w:tc>
          <w:tcPr>
            <w:tcW w:w="1134"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63</w:t>
            </w:r>
          </w:p>
        </w:tc>
        <w:tc>
          <w:tcPr>
            <w:tcW w:w="7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17</w:t>
            </w:r>
          </w:p>
        </w:tc>
        <w:tc>
          <w:tcPr>
            <w:tcW w:w="816"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313</w:t>
            </w:r>
          </w:p>
        </w:tc>
      </w:tr>
      <w:tr w:rsidR="002C39A3" w:rsidRPr="00AC6103" w:rsidTr="00361FA9">
        <w:tc>
          <w:tcPr>
            <w:tcW w:w="3118"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134"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525</w:t>
            </w:r>
          </w:p>
        </w:tc>
        <w:tc>
          <w:tcPr>
            <w:tcW w:w="10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525</w:t>
            </w:r>
          </w:p>
        </w:tc>
      </w:tr>
      <w:tr w:rsidR="002C39A3" w:rsidRPr="00AC6103" w:rsidTr="00361FA9">
        <w:tc>
          <w:tcPr>
            <w:tcW w:w="3118" w:type="dxa"/>
            <w:gridSpan w:val="2"/>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Closing balance 30 June 2016 (budget)</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16 234</w:t>
            </w:r>
          </w:p>
        </w:tc>
        <w:tc>
          <w:tcPr>
            <w:tcW w:w="1134"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20 735</w:t>
            </w:r>
          </w:p>
        </w:tc>
        <w:tc>
          <w:tcPr>
            <w:tcW w:w="10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19 895</w:t>
            </w:r>
          </w:p>
        </w:tc>
        <w:tc>
          <w:tcPr>
            <w:tcW w:w="7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57</w:t>
            </w:r>
          </w:p>
        </w:tc>
        <w:tc>
          <w:tcPr>
            <w:tcW w:w="816"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56 921</w:t>
            </w:r>
          </w:p>
        </w:tc>
      </w:tr>
      <w:tr w:rsidR="002C39A3" w:rsidRPr="00AC6103" w:rsidTr="00361FA9">
        <w:tc>
          <w:tcPr>
            <w:tcW w:w="3118"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217</w:t>
            </w:r>
          </w:p>
        </w:tc>
        <w:tc>
          <w:tcPr>
            <w:tcW w:w="1134"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65</w:t>
            </w:r>
          </w:p>
        </w:tc>
        <w:tc>
          <w:tcPr>
            <w:tcW w:w="7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(16)</w:t>
            </w:r>
          </w:p>
        </w:tc>
        <w:tc>
          <w:tcPr>
            <w:tcW w:w="816"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265</w:t>
            </w:r>
          </w:p>
        </w:tc>
      </w:tr>
      <w:tr w:rsidR="002C39A3" w:rsidRPr="00AC6103" w:rsidTr="00361FA9">
        <w:tc>
          <w:tcPr>
            <w:tcW w:w="3118"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127</w:t>
            </w:r>
          </w:p>
        </w:tc>
        <w:tc>
          <w:tcPr>
            <w:tcW w:w="1134"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335</w:t>
            </w:r>
          </w:p>
        </w:tc>
        <w:tc>
          <w:tcPr>
            <w:tcW w:w="10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462</w:t>
            </w:r>
          </w:p>
        </w:tc>
      </w:tr>
      <w:tr w:rsidR="002C39A3" w:rsidRPr="00AC6103" w:rsidTr="00361FA9">
        <w:tc>
          <w:tcPr>
            <w:tcW w:w="3118" w:type="dxa"/>
            <w:gridSpan w:val="2"/>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Closing balance 30 June 2016 (revised)</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16 345</w:t>
            </w:r>
          </w:p>
        </w:tc>
        <w:tc>
          <w:tcPr>
            <w:tcW w:w="1134"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20 546</w:t>
            </w:r>
          </w:p>
        </w:tc>
        <w:tc>
          <w:tcPr>
            <w:tcW w:w="10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19 897</w:t>
            </w:r>
          </w:p>
        </w:tc>
        <w:tc>
          <w:tcPr>
            <w:tcW w:w="7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24</w:t>
            </w:r>
          </w:p>
        </w:tc>
        <w:tc>
          <w:tcPr>
            <w:tcW w:w="816"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56 811</w:t>
            </w:r>
          </w:p>
        </w:tc>
      </w:tr>
      <w:tr w:rsidR="002C39A3" w:rsidRPr="00AC6103" w:rsidTr="00361FA9">
        <w:tc>
          <w:tcPr>
            <w:tcW w:w="3118"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1 075</w:t>
            </w:r>
          </w:p>
        </w:tc>
        <w:tc>
          <w:tcPr>
            <w:tcW w:w="1134"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27</w:t>
            </w:r>
          </w:p>
        </w:tc>
        <w:tc>
          <w:tcPr>
            <w:tcW w:w="7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w:t>
            </w:r>
          </w:p>
        </w:tc>
        <w:tc>
          <w:tcPr>
            <w:tcW w:w="816"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1 106</w:t>
            </w:r>
          </w:p>
        </w:tc>
      </w:tr>
      <w:tr w:rsidR="002C39A3" w:rsidRPr="00AC6103" w:rsidTr="00361FA9">
        <w:tc>
          <w:tcPr>
            <w:tcW w:w="3118"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134"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(206)</w:t>
            </w:r>
          </w:p>
        </w:tc>
        <w:tc>
          <w:tcPr>
            <w:tcW w:w="10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(206)</w:t>
            </w:r>
          </w:p>
        </w:tc>
      </w:tr>
      <w:tr w:rsidR="002C39A3" w:rsidRPr="00AC6103" w:rsidTr="00361FA9">
        <w:tc>
          <w:tcPr>
            <w:tcW w:w="3118" w:type="dxa"/>
            <w:gridSpan w:val="2"/>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Closing balance 30 June 2017 (budget)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17 420</w:t>
            </w:r>
          </w:p>
        </w:tc>
        <w:tc>
          <w:tcPr>
            <w:tcW w:w="1134"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20 340</w:t>
            </w:r>
          </w:p>
        </w:tc>
        <w:tc>
          <w:tcPr>
            <w:tcW w:w="1071"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19 923</w:t>
            </w:r>
          </w:p>
        </w:tc>
        <w:tc>
          <w:tcPr>
            <w:tcW w:w="771"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28</w:t>
            </w:r>
          </w:p>
        </w:tc>
        <w:tc>
          <w:tcPr>
            <w:tcW w:w="816"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57 711</w:t>
            </w:r>
          </w:p>
        </w:tc>
      </w:tr>
    </w:tbl>
    <w:p w:rsidR="002C39A3" w:rsidRDefault="002C39A3" w:rsidP="00361FA9">
      <w:pPr>
        <w:pStyle w:val="Source"/>
        <w:rPr>
          <w:rFonts w:eastAsiaTheme="minorHAnsi"/>
        </w:rPr>
      </w:pPr>
      <w:r w:rsidRPr="00623837">
        <w:rPr>
          <w:rFonts w:eastAsiaTheme="minorHAnsi"/>
        </w:rPr>
        <w:t xml:space="preserve">Sources: </w:t>
      </w:r>
      <w:r w:rsidRPr="006C0346">
        <w:rPr>
          <w:rFonts w:eastAsiaTheme="minorHAnsi"/>
        </w:rPr>
        <w:t>Departments of Economic Development, Jobs, Transport and Resources, and Treasury and Finance</w:t>
      </w:r>
    </w:p>
    <w:p w:rsidR="002C39A3" w:rsidRPr="009F1DA4" w:rsidRDefault="002C39A3" w:rsidP="00361FA9">
      <w:pPr>
        <w:pStyle w:val="ListParagraph"/>
        <w:numPr>
          <w:ilvl w:val="0"/>
          <w:numId w:val="8"/>
        </w:numPr>
        <w:spacing w:after="0"/>
        <w:rPr>
          <w:rFonts w:ascii="Calibri" w:eastAsiaTheme="minorHAnsi" w:hAnsi="Calibri"/>
          <w:b/>
        </w:rPr>
      </w:pPr>
      <w:r w:rsidRPr="009F1DA4">
        <w:rPr>
          <w:rFonts w:eastAsiaTheme="minorHAnsi"/>
        </w:rPr>
        <w:br w:type="page"/>
      </w:r>
    </w:p>
    <w:p w:rsidR="002C39A3" w:rsidRDefault="002C39A3" w:rsidP="00361FA9">
      <w:pPr>
        <w:pStyle w:val="Tableheading"/>
        <w:rPr>
          <w:rFonts w:eastAsiaTheme="minorHAnsi"/>
        </w:rPr>
      </w:pPr>
      <w:r>
        <w:rPr>
          <w:rFonts w:eastAsiaTheme="minorHAnsi"/>
        </w:rPr>
        <w:t>Table 3.1.5:</w:t>
      </w:r>
      <w:r>
        <w:rPr>
          <w:rFonts w:eastAsiaTheme="minorHAnsi"/>
        </w:rPr>
        <w:tab/>
        <w:t>Administered items statement</w:t>
      </w:r>
    </w:p>
    <w:p w:rsidR="002C39A3" w:rsidRPr="00AC6103" w:rsidRDefault="002C39A3" w:rsidP="00361FA9">
      <w:pPr>
        <w:pStyle w:val="million"/>
        <w:rPr>
          <w:rFonts w:eastAsiaTheme="minorHAnsi"/>
          <w:b/>
          <w:bCs/>
          <w:lang w:val="en-US"/>
        </w:rPr>
      </w:pPr>
      <w:r>
        <w:rPr>
          <w:rFonts w:eastAsiaTheme="minorHAnsi"/>
        </w:rPr>
        <w:t>($ million)</w:t>
      </w:r>
    </w:p>
    <w:tbl>
      <w:tblPr>
        <w:tblW w:w="7767" w:type="dxa"/>
        <w:tblInd w:w="45" w:type="dxa"/>
        <w:tblLayout w:type="fixed"/>
        <w:tblCellMar>
          <w:left w:w="45" w:type="dxa"/>
          <w:right w:w="45" w:type="dxa"/>
        </w:tblCellMar>
        <w:tblLook w:val="0000" w:firstRow="0" w:lastRow="0" w:firstColumn="0" w:lastColumn="0" w:noHBand="0" w:noVBand="0"/>
      </w:tblPr>
      <w:tblGrid>
        <w:gridCol w:w="4397"/>
        <w:gridCol w:w="820"/>
        <w:gridCol w:w="850"/>
        <w:gridCol w:w="850"/>
        <w:gridCol w:w="850"/>
      </w:tblGrid>
      <w:tr w:rsidR="00E045DA" w:rsidRPr="00AC6103" w:rsidTr="00B04358">
        <w:trPr>
          <w:trHeight w:val="464"/>
          <w:tblHeader/>
        </w:trPr>
        <w:tc>
          <w:tcPr>
            <w:tcW w:w="4397" w:type="dxa"/>
            <w:tcBorders>
              <w:left w:val="nil"/>
              <w:right w:val="nil"/>
            </w:tcBorders>
            <w:shd w:val="solid" w:color="000000" w:fill="auto"/>
            <w:vAlign w:val="bottom"/>
          </w:tcPr>
          <w:p w:rsidR="00E045DA" w:rsidRPr="00AC6103" w:rsidRDefault="00E045DA" w:rsidP="00E045DA">
            <w:pPr>
              <w:pStyle w:val="million"/>
              <w:jc w:val="left"/>
              <w:rPr>
                <w:rFonts w:eastAsiaTheme="minorEastAsia" w:cs="Calibri"/>
                <w:color w:val="FFFFFF"/>
                <w:sz w:val="19"/>
                <w:lang w:eastAsia="en-AU"/>
              </w:rPr>
            </w:pPr>
          </w:p>
        </w:tc>
        <w:tc>
          <w:tcPr>
            <w:tcW w:w="820" w:type="dxa"/>
            <w:tcBorders>
              <w:left w:val="nil"/>
              <w:right w:val="nil"/>
            </w:tcBorders>
            <w:shd w:val="solid" w:color="000000" w:fill="auto"/>
            <w:vAlign w:val="bottom"/>
          </w:tcPr>
          <w:p w:rsidR="00E045DA" w:rsidRPr="00AC6103"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2014-15</w:t>
            </w:r>
          </w:p>
          <w:p w:rsidR="00E045DA" w:rsidRPr="00AC6103"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actual</w:t>
            </w:r>
          </w:p>
        </w:tc>
        <w:tc>
          <w:tcPr>
            <w:tcW w:w="850" w:type="dxa"/>
            <w:tcBorders>
              <w:left w:val="nil"/>
              <w:right w:val="nil"/>
            </w:tcBorders>
            <w:shd w:val="solid" w:color="000000" w:fill="auto"/>
            <w:vAlign w:val="bottom"/>
          </w:tcPr>
          <w:p w:rsidR="00E045DA" w:rsidRPr="00AC6103"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E045DA" w:rsidRPr="00AC6103"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E045DA" w:rsidRPr="00AC6103"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E045DA" w:rsidRPr="00AC6103"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E045DA" w:rsidRPr="00AC6103"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2016-17</w:t>
            </w:r>
          </w:p>
          <w:p w:rsidR="00E045DA" w:rsidRPr="00AC6103"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r>
      <w:tr w:rsidR="00E045DA" w:rsidRPr="00AC6103" w:rsidTr="00B04358">
        <w:tc>
          <w:tcPr>
            <w:tcW w:w="7767" w:type="dxa"/>
            <w:gridSpan w:val="5"/>
            <w:tcBorders>
              <w:top w:val="single" w:sz="6" w:space="0" w:color="auto"/>
              <w:left w:val="nil"/>
              <w:right w:val="nil"/>
            </w:tcBorders>
            <w:shd w:val="clear" w:color="auto" w:fill="FFFFFF"/>
          </w:tcPr>
          <w:p w:rsidR="00E045DA" w:rsidRPr="00AC6103" w:rsidRDefault="00E045DA" w:rsidP="00E045DA">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Administered income</w:t>
            </w:r>
          </w:p>
        </w:tc>
      </w:tr>
      <w:tr w:rsidR="002C39A3" w:rsidRPr="00AC6103" w:rsidTr="00E045DA">
        <w:tc>
          <w:tcPr>
            <w:tcW w:w="4397"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Appropriations – Payments made on behalf of the State</w:t>
            </w:r>
          </w:p>
        </w:tc>
        <w:tc>
          <w:tcPr>
            <w:tcW w:w="82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71</w:t>
            </w:r>
          </w:p>
        </w:tc>
      </w:tr>
      <w:tr w:rsidR="002C39A3" w:rsidRPr="00AC6103" w:rsidTr="00E045DA">
        <w:tc>
          <w:tcPr>
            <w:tcW w:w="4397"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Sale of goods and services</w:t>
            </w:r>
          </w:p>
        </w:tc>
        <w:tc>
          <w:tcPr>
            <w:tcW w:w="82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285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284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246</w:t>
            </w:r>
          </w:p>
        </w:tc>
      </w:tr>
      <w:tr w:rsidR="002C39A3" w:rsidRPr="00AC6103" w:rsidTr="00E045DA">
        <w:tc>
          <w:tcPr>
            <w:tcW w:w="4397"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Grants</w:t>
            </w:r>
          </w:p>
        </w:tc>
        <w:tc>
          <w:tcPr>
            <w:tcW w:w="82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r>
      <w:tr w:rsidR="002C39A3" w:rsidRPr="00AC6103" w:rsidTr="00E045DA">
        <w:tc>
          <w:tcPr>
            <w:tcW w:w="4397"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Interest</w:t>
            </w:r>
          </w:p>
        </w:tc>
        <w:tc>
          <w:tcPr>
            <w:tcW w:w="82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w:t>
            </w:r>
          </w:p>
        </w:tc>
      </w:tr>
      <w:tr w:rsidR="002C39A3" w:rsidRPr="00AC6103" w:rsidTr="00E045DA">
        <w:tc>
          <w:tcPr>
            <w:tcW w:w="4397"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income</w:t>
            </w:r>
          </w:p>
        </w:tc>
        <w:tc>
          <w:tcPr>
            <w:tcW w:w="82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1 196</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2 412</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2 451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2 504</w:t>
            </w:r>
          </w:p>
        </w:tc>
      </w:tr>
      <w:tr w:rsidR="002C39A3" w:rsidRPr="00AC6103" w:rsidTr="00E045DA">
        <w:tc>
          <w:tcPr>
            <w:tcW w:w="4397"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administered income</w:t>
            </w:r>
          </w:p>
        </w:tc>
        <w:tc>
          <w:tcPr>
            <w:tcW w:w="82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1 415</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2 775</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2 813</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2 834</w:t>
            </w:r>
          </w:p>
        </w:tc>
      </w:tr>
      <w:tr w:rsidR="00E045DA" w:rsidRPr="00AC6103" w:rsidTr="00B04358">
        <w:trPr>
          <w:trHeight w:hRule="exact" w:val="120"/>
        </w:trPr>
        <w:tc>
          <w:tcPr>
            <w:tcW w:w="7767" w:type="dxa"/>
            <w:gridSpan w:val="5"/>
            <w:tcBorders>
              <w:top w:val="single" w:sz="6" w:space="0" w:color="auto"/>
              <w:left w:val="nil"/>
              <w:right w:val="nil"/>
            </w:tcBorders>
            <w:shd w:val="clear" w:color="auto" w:fill="FFFFFF"/>
          </w:tcPr>
          <w:p w:rsidR="00E045DA" w:rsidRPr="00AC6103" w:rsidRDefault="00E045DA" w:rsidP="00361FA9">
            <w:pPr>
              <w:autoSpaceDE w:val="0"/>
              <w:autoSpaceDN w:val="0"/>
              <w:adjustRightInd w:val="0"/>
              <w:spacing w:after="0"/>
              <w:jc w:val="right"/>
              <w:rPr>
                <w:rFonts w:ascii="Calibri" w:eastAsiaTheme="minorEastAsia" w:hAnsi="Calibri" w:cs="Calibri"/>
                <w:color w:val="000000"/>
                <w:sz w:val="19"/>
                <w:lang w:eastAsia="en-AU"/>
              </w:rPr>
            </w:pPr>
          </w:p>
        </w:tc>
      </w:tr>
      <w:tr w:rsidR="00E045DA" w:rsidRPr="00AC6103" w:rsidTr="00B04358">
        <w:tc>
          <w:tcPr>
            <w:tcW w:w="7767" w:type="dxa"/>
            <w:gridSpan w:val="5"/>
            <w:tcBorders>
              <w:top w:val="nil"/>
              <w:left w:val="nil"/>
              <w:right w:val="nil"/>
            </w:tcBorders>
            <w:shd w:val="clear" w:color="auto" w:fill="FFFFFF"/>
          </w:tcPr>
          <w:p w:rsidR="00E045DA" w:rsidRPr="00AC6103" w:rsidRDefault="00E045DA" w:rsidP="00E045DA">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Administered expenses</w:t>
            </w:r>
          </w:p>
        </w:tc>
      </w:tr>
      <w:tr w:rsidR="002C39A3" w:rsidRPr="00AC6103" w:rsidTr="00E045DA">
        <w:tc>
          <w:tcPr>
            <w:tcW w:w="4397"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Expenses on behalf of the State</w:t>
            </w:r>
          </w:p>
        </w:tc>
        <w:tc>
          <w:tcPr>
            <w:tcW w:w="82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243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58</w:t>
            </w:r>
          </w:p>
        </w:tc>
      </w:tr>
      <w:tr w:rsidR="002C39A3" w:rsidRPr="00AC6103" w:rsidTr="00E045DA">
        <w:tc>
          <w:tcPr>
            <w:tcW w:w="4397"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Grants and other transfers</w:t>
            </w:r>
          </w:p>
        </w:tc>
        <w:tc>
          <w:tcPr>
            <w:tcW w:w="82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w:t>
            </w:r>
          </w:p>
        </w:tc>
      </w:tr>
      <w:tr w:rsidR="002C39A3" w:rsidRPr="00AC6103" w:rsidTr="00E045DA">
        <w:tc>
          <w:tcPr>
            <w:tcW w:w="4397"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Payments into the Consolidated Fund</w:t>
            </w:r>
          </w:p>
        </w:tc>
        <w:tc>
          <w:tcPr>
            <w:tcW w:w="82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1 377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2 656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2 789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2 764</w:t>
            </w:r>
          </w:p>
        </w:tc>
      </w:tr>
      <w:tr w:rsidR="002C39A3" w:rsidRPr="00AC6103" w:rsidTr="00E045DA">
        <w:tc>
          <w:tcPr>
            <w:tcW w:w="4397"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Interest expense</w:t>
            </w:r>
          </w:p>
        </w:tc>
        <w:tc>
          <w:tcPr>
            <w:tcW w:w="82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55</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73</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73</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73</w:t>
            </w:r>
          </w:p>
        </w:tc>
      </w:tr>
      <w:tr w:rsidR="002C39A3" w:rsidRPr="00AC6103" w:rsidTr="00E045DA">
        <w:tc>
          <w:tcPr>
            <w:tcW w:w="4397"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administered expenses</w:t>
            </w:r>
          </w:p>
        </w:tc>
        <w:tc>
          <w:tcPr>
            <w:tcW w:w="82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1 459</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2 751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3 111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2 902</w:t>
            </w:r>
          </w:p>
        </w:tc>
      </w:tr>
      <w:tr w:rsidR="002C39A3" w:rsidRPr="00AC6103" w:rsidTr="00E045DA">
        <w:tc>
          <w:tcPr>
            <w:tcW w:w="4397"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Income less expenses</w:t>
            </w:r>
          </w:p>
        </w:tc>
        <w:tc>
          <w:tcPr>
            <w:tcW w:w="82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(44)</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23</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(299)</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(68)</w:t>
            </w:r>
          </w:p>
        </w:tc>
      </w:tr>
      <w:tr w:rsidR="00E045DA" w:rsidRPr="00AC6103" w:rsidTr="00B04358">
        <w:tc>
          <w:tcPr>
            <w:tcW w:w="7767" w:type="dxa"/>
            <w:gridSpan w:val="5"/>
            <w:tcBorders>
              <w:top w:val="single" w:sz="6" w:space="0" w:color="auto"/>
              <w:left w:val="nil"/>
              <w:right w:val="nil"/>
            </w:tcBorders>
            <w:shd w:val="clear" w:color="auto" w:fill="FFFFFF"/>
          </w:tcPr>
          <w:p w:rsidR="00E045DA" w:rsidRPr="00AC6103" w:rsidRDefault="00E045DA" w:rsidP="00E045DA">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Other economic flows included in net result</w:t>
            </w:r>
          </w:p>
        </w:tc>
      </w:tr>
      <w:tr w:rsidR="002C39A3" w:rsidRPr="00AC6103" w:rsidTr="00E045DA">
        <w:tc>
          <w:tcPr>
            <w:tcW w:w="4397"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Net gain/(loss) on non-financial assets</w:t>
            </w:r>
          </w:p>
        </w:tc>
        <w:tc>
          <w:tcPr>
            <w:tcW w:w="82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w:t>
            </w:r>
          </w:p>
        </w:tc>
      </w:tr>
      <w:tr w:rsidR="002C39A3" w:rsidRPr="00AC6103" w:rsidTr="00E045DA">
        <w:tc>
          <w:tcPr>
            <w:tcW w:w="4397"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gains/(losses) from other economic flows</w:t>
            </w:r>
          </w:p>
        </w:tc>
        <w:tc>
          <w:tcPr>
            <w:tcW w:w="82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(16)</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(16)</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(16)</w:t>
            </w:r>
          </w:p>
        </w:tc>
      </w:tr>
      <w:tr w:rsidR="002C39A3" w:rsidRPr="00AC6103" w:rsidTr="00E045DA">
        <w:tc>
          <w:tcPr>
            <w:tcW w:w="4397"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other economic flows included in net result</w:t>
            </w:r>
          </w:p>
        </w:tc>
        <w:tc>
          <w:tcPr>
            <w:tcW w:w="82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36</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(14)</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(12)</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w:t>
            </w:r>
          </w:p>
        </w:tc>
      </w:tr>
      <w:tr w:rsidR="002C39A3" w:rsidRPr="00AC6103" w:rsidTr="00E045DA">
        <w:tc>
          <w:tcPr>
            <w:tcW w:w="4397"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result</w:t>
            </w:r>
          </w:p>
        </w:tc>
        <w:tc>
          <w:tcPr>
            <w:tcW w:w="82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(311)</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(77)</w:t>
            </w:r>
          </w:p>
        </w:tc>
      </w:tr>
      <w:tr w:rsidR="00E045DA" w:rsidRPr="00AC6103" w:rsidTr="00B04358">
        <w:trPr>
          <w:trHeight w:hRule="exact" w:val="120"/>
        </w:trPr>
        <w:tc>
          <w:tcPr>
            <w:tcW w:w="7767" w:type="dxa"/>
            <w:gridSpan w:val="5"/>
            <w:tcBorders>
              <w:top w:val="single" w:sz="12" w:space="0" w:color="auto"/>
              <w:left w:val="nil"/>
              <w:right w:val="nil"/>
            </w:tcBorders>
            <w:shd w:val="clear" w:color="auto" w:fill="FFFFFF"/>
          </w:tcPr>
          <w:p w:rsidR="00E045DA" w:rsidRPr="00AC6103" w:rsidRDefault="00E045DA" w:rsidP="00361FA9">
            <w:pPr>
              <w:autoSpaceDE w:val="0"/>
              <w:autoSpaceDN w:val="0"/>
              <w:adjustRightInd w:val="0"/>
              <w:spacing w:after="0"/>
              <w:jc w:val="right"/>
              <w:rPr>
                <w:rFonts w:ascii="Calibri" w:eastAsiaTheme="minorEastAsia" w:hAnsi="Calibri" w:cs="Calibri"/>
                <w:b/>
                <w:bCs/>
                <w:color w:val="000000"/>
                <w:sz w:val="19"/>
                <w:lang w:eastAsia="en-AU"/>
              </w:rPr>
            </w:pPr>
          </w:p>
        </w:tc>
      </w:tr>
      <w:tr w:rsidR="00E045DA" w:rsidRPr="00AC6103" w:rsidTr="00B04358">
        <w:tc>
          <w:tcPr>
            <w:tcW w:w="7767" w:type="dxa"/>
            <w:gridSpan w:val="5"/>
            <w:tcBorders>
              <w:top w:val="nil"/>
              <w:left w:val="nil"/>
              <w:right w:val="nil"/>
            </w:tcBorders>
            <w:shd w:val="clear" w:color="auto" w:fill="FFFFFF"/>
          </w:tcPr>
          <w:p w:rsidR="00E045DA" w:rsidRPr="00AC6103" w:rsidRDefault="00E045DA" w:rsidP="00E045DA">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Other economic flows – other comprehensive income</w:t>
            </w:r>
          </w:p>
        </w:tc>
      </w:tr>
      <w:tr w:rsidR="002C39A3" w:rsidRPr="00AC6103" w:rsidTr="00E045DA">
        <w:tc>
          <w:tcPr>
            <w:tcW w:w="4397"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w:t>
            </w:r>
          </w:p>
        </w:tc>
        <w:tc>
          <w:tcPr>
            <w:tcW w:w="82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99</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E045DA">
        <w:tc>
          <w:tcPr>
            <w:tcW w:w="4397" w:type="dxa"/>
            <w:tcBorders>
              <w:top w:val="single" w:sz="6" w:space="0" w:color="auto"/>
              <w:left w:val="nil"/>
              <w:bottom w:val="single" w:sz="6" w:space="0" w:color="auto"/>
              <w:right w:val="nil"/>
            </w:tcBorders>
            <w:shd w:val="clear" w:color="auto" w:fill="FFFFFF"/>
          </w:tcPr>
          <w:p w:rsidR="002C39A3" w:rsidRPr="00AC6103" w:rsidRDefault="002C39A3" w:rsidP="00E045DA">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 xml:space="preserve">Total other economic flows – </w:t>
            </w:r>
            <w:r w:rsidR="00E045DA">
              <w:rPr>
                <w:rFonts w:ascii="Calibri" w:eastAsiaTheme="minorEastAsia" w:hAnsi="Calibri" w:cs="Calibri"/>
                <w:b/>
                <w:bCs/>
                <w:color w:val="000000"/>
                <w:sz w:val="19"/>
                <w:lang w:eastAsia="en-AU"/>
              </w:rPr>
              <w:br/>
            </w:r>
            <w:r w:rsidRPr="00AC6103">
              <w:rPr>
                <w:rFonts w:ascii="Calibri" w:eastAsiaTheme="minorEastAsia" w:hAnsi="Calibri" w:cs="Calibri"/>
                <w:b/>
                <w:bCs/>
                <w:color w:val="000000"/>
                <w:sz w:val="19"/>
                <w:lang w:eastAsia="en-AU"/>
              </w:rPr>
              <w:t>other comprehensive income</w:t>
            </w:r>
          </w:p>
        </w:tc>
        <w:tc>
          <w:tcPr>
            <w:tcW w:w="82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99</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E045DA">
        <w:tc>
          <w:tcPr>
            <w:tcW w:w="4397"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Comprehensive result</w:t>
            </w:r>
          </w:p>
        </w:tc>
        <w:tc>
          <w:tcPr>
            <w:tcW w:w="82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90</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(311)</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(77)</w:t>
            </w:r>
          </w:p>
        </w:tc>
      </w:tr>
      <w:tr w:rsidR="00E045DA" w:rsidRPr="00AC6103" w:rsidTr="00B04358">
        <w:trPr>
          <w:trHeight w:hRule="exact" w:val="120"/>
        </w:trPr>
        <w:tc>
          <w:tcPr>
            <w:tcW w:w="7767" w:type="dxa"/>
            <w:gridSpan w:val="5"/>
            <w:tcBorders>
              <w:top w:val="single" w:sz="12" w:space="0" w:color="auto"/>
              <w:left w:val="nil"/>
              <w:right w:val="nil"/>
            </w:tcBorders>
            <w:shd w:val="clear" w:color="auto" w:fill="FFFFFF"/>
          </w:tcPr>
          <w:p w:rsidR="00E045DA" w:rsidRPr="00AC6103" w:rsidRDefault="00E045DA" w:rsidP="00361FA9">
            <w:pPr>
              <w:autoSpaceDE w:val="0"/>
              <w:autoSpaceDN w:val="0"/>
              <w:adjustRightInd w:val="0"/>
              <w:spacing w:after="0"/>
              <w:jc w:val="right"/>
              <w:rPr>
                <w:rFonts w:ascii="Calibri" w:eastAsiaTheme="minorEastAsia" w:hAnsi="Calibri" w:cs="Calibri"/>
                <w:b/>
                <w:bCs/>
                <w:color w:val="000000"/>
                <w:sz w:val="19"/>
                <w:lang w:eastAsia="en-AU"/>
              </w:rPr>
            </w:pPr>
          </w:p>
        </w:tc>
      </w:tr>
      <w:tr w:rsidR="00E045DA" w:rsidRPr="00AC6103" w:rsidTr="00B04358">
        <w:tc>
          <w:tcPr>
            <w:tcW w:w="7767" w:type="dxa"/>
            <w:gridSpan w:val="5"/>
            <w:tcBorders>
              <w:top w:val="nil"/>
              <w:left w:val="nil"/>
              <w:right w:val="nil"/>
            </w:tcBorders>
            <w:shd w:val="clear" w:color="auto" w:fill="FFFFFF"/>
          </w:tcPr>
          <w:p w:rsidR="00E045DA" w:rsidRPr="00AC6103" w:rsidRDefault="00E045DA" w:rsidP="00E045DA">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Administered assets</w:t>
            </w:r>
          </w:p>
        </w:tc>
      </w:tr>
      <w:tr w:rsidR="002C39A3" w:rsidRPr="00AC6103" w:rsidTr="00E045DA">
        <w:tc>
          <w:tcPr>
            <w:tcW w:w="4397"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Cash and deposits</w:t>
            </w:r>
          </w:p>
        </w:tc>
        <w:tc>
          <w:tcPr>
            <w:tcW w:w="82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w:t>
            </w:r>
          </w:p>
        </w:tc>
      </w:tr>
      <w:tr w:rsidR="002C39A3" w:rsidRPr="00AC6103" w:rsidTr="00E045DA">
        <w:tc>
          <w:tcPr>
            <w:tcW w:w="4397"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Receivables</w:t>
            </w:r>
          </w:p>
        </w:tc>
        <w:tc>
          <w:tcPr>
            <w:tcW w:w="82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402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405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403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405</w:t>
            </w:r>
          </w:p>
        </w:tc>
      </w:tr>
      <w:tr w:rsidR="002C39A3" w:rsidRPr="00AC6103" w:rsidTr="00E045DA">
        <w:tc>
          <w:tcPr>
            <w:tcW w:w="4397"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financial assets</w:t>
            </w:r>
          </w:p>
        </w:tc>
        <w:tc>
          <w:tcPr>
            <w:tcW w:w="82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r>
      <w:tr w:rsidR="002C39A3" w:rsidRPr="00AC6103" w:rsidTr="00E045DA">
        <w:tc>
          <w:tcPr>
            <w:tcW w:w="4397"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administered assets</w:t>
            </w:r>
          </w:p>
        </w:tc>
        <w:tc>
          <w:tcPr>
            <w:tcW w:w="82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419</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422</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420</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422</w:t>
            </w:r>
          </w:p>
        </w:tc>
      </w:tr>
      <w:tr w:rsidR="00E045DA" w:rsidRPr="00AC6103" w:rsidTr="00B04358">
        <w:trPr>
          <w:trHeight w:hRule="exact" w:val="120"/>
        </w:trPr>
        <w:tc>
          <w:tcPr>
            <w:tcW w:w="7767" w:type="dxa"/>
            <w:gridSpan w:val="5"/>
            <w:tcBorders>
              <w:top w:val="single" w:sz="6" w:space="0" w:color="auto"/>
              <w:left w:val="nil"/>
              <w:right w:val="nil"/>
            </w:tcBorders>
            <w:shd w:val="clear" w:color="auto" w:fill="FFFFFF"/>
          </w:tcPr>
          <w:p w:rsidR="00E045DA" w:rsidRPr="00AC6103" w:rsidRDefault="00E045DA" w:rsidP="00361FA9">
            <w:pPr>
              <w:autoSpaceDE w:val="0"/>
              <w:autoSpaceDN w:val="0"/>
              <w:adjustRightInd w:val="0"/>
              <w:spacing w:after="0"/>
              <w:jc w:val="right"/>
              <w:rPr>
                <w:rFonts w:ascii="Calibri" w:eastAsiaTheme="minorEastAsia" w:hAnsi="Calibri" w:cs="Calibri"/>
                <w:color w:val="000000"/>
                <w:sz w:val="19"/>
                <w:lang w:eastAsia="en-AU"/>
              </w:rPr>
            </w:pPr>
          </w:p>
        </w:tc>
      </w:tr>
      <w:tr w:rsidR="00E045DA" w:rsidRPr="00AC6103" w:rsidTr="00B04358">
        <w:tc>
          <w:tcPr>
            <w:tcW w:w="7767" w:type="dxa"/>
            <w:gridSpan w:val="5"/>
            <w:tcBorders>
              <w:top w:val="nil"/>
              <w:left w:val="nil"/>
              <w:right w:val="nil"/>
            </w:tcBorders>
            <w:shd w:val="clear" w:color="auto" w:fill="FFFFFF"/>
          </w:tcPr>
          <w:p w:rsidR="00E045DA" w:rsidRPr="00AC6103" w:rsidRDefault="00E045DA" w:rsidP="00E045DA">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Administered liabilities</w:t>
            </w:r>
          </w:p>
        </w:tc>
      </w:tr>
      <w:tr w:rsidR="002C39A3" w:rsidRPr="00AC6103" w:rsidTr="00E045DA">
        <w:tc>
          <w:tcPr>
            <w:tcW w:w="4397"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Payables</w:t>
            </w:r>
          </w:p>
        </w:tc>
        <w:tc>
          <w:tcPr>
            <w:tcW w:w="82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460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457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566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658</w:t>
            </w:r>
          </w:p>
        </w:tc>
      </w:tr>
      <w:tr w:rsidR="002C39A3" w:rsidRPr="00AC6103" w:rsidTr="00E045DA">
        <w:tc>
          <w:tcPr>
            <w:tcW w:w="4397"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Borrowings</w:t>
            </w:r>
          </w:p>
        </w:tc>
        <w:tc>
          <w:tcPr>
            <w:tcW w:w="82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458</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455</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455</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451</w:t>
            </w:r>
          </w:p>
        </w:tc>
      </w:tr>
      <w:tr w:rsidR="002C39A3" w:rsidRPr="00AC6103" w:rsidTr="00E045DA">
        <w:tc>
          <w:tcPr>
            <w:tcW w:w="4397"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administered liabilities</w:t>
            </w:r>
          </w:p>
        </w:tc>
        <w:tc>
          <w:tcPr>
            <w:tcW w:w="82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918</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912</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1 021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1 109</w:t>
            </w:r>
          </w:p>
        </w:tc>
      </w:tr>
      <w:tr w:rsidR="002C39A3" w:rsidRPr="00AC6103" w:rsidTr="00E045DA">
        <w:tc>
          <w:tcPr>
            <w:tcW w:w="4397"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assets</w:t>
            </w:r>
          </w:p>
        </w:tc>
        <w:tc>
          <w:tcPr>
            <w:tcW w:w="82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(500)</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(491)</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(601)</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(687)</w:t>
            </w:r>
          </w:p>
        </w:tc>
      </w:tr>
    </w:tbl>
    <w:p w:rsidR="002C39A3" w:rsidRDefault="002C39A3" w:rsidP="00361FA9">
      <w:pPr>
        <w:pStyle w:val="Source"/>
        <w:rPr>
          <w:rFonts w:eastAsiaTheme="minorHAnsi"/>
        </w:rPr>
      </w:pPr>
      <w:r w:rsidRPr="00623837">
        <w:rPr>
          <w:rFonts w:eastAsiaTheme="minorHAnsi"/>
        </w:rPr>
        <w:t xml:space="preserve">Sources: </w:t>
      </w:r>
      <w:r w:rsidRPr="006C0346">
        <w:rPr>
          <w:rFonts w:eastAsiaTheme="minorHAnsi"/>
        </w:rPr>
        <w:t>Departments of Economic Development, Jobs, Transport and Resources, and Treasury and Finance</w:t>
      </w:r>
    </w:p>
    <w:p w:rsidR="002C39A3" w:rsidRDefault="002C39A3" w:rsidP="00361FA9">
      <w:pPr>
        <w:pStyle w:val="Notes"/>
        <w:rPr>
          <w:rFonts w:eastAsiaTheme="minorHAnsi"/>
        </w:rPr>
      </w:pPr>
    </w:p>
    <w:p w:rsidR="002C39A3" w:rsidRDefault="002C39A3" w:rsidP="00361FA9">
      <w:pPr>
        <w:pStyle w:val="Notes"/>
        <w:rPr>
          <w:rFonts w:eastAsiaTheme="minorHAnsi"/>
        </w:rPr>
      </w:pPr>
    </w:p>
    <w:p w:rsidR="002C39A3" w:rsidRDefault="002C39A3" w:rsidP="00361FA9">
      <w:pPr>
        <w:rPr>
          <w:rFonts w:eastAsiaTheme="minorHAnsi"/>
        </w:rPr>
      </w:pPr>
      <w:r>
        <w:rPr>
          <w:rFonts w:eastAsiaTheme="minorHAnsi"/>
        </w:rPr>
        <w:br w:type="page"/>
      </w:r>
    </w:p>
    <w:p w:rsidR="002C39A3" w:rsidRDefault="002C39A3" w:rsidP="00361FA9">
      <w:pPr>
        <w:pStyle w:val="Tableheading"/>
        <w:rPr>
          <w:rFonts w:eastAsiaTheme="minorHAnsi"/>
        </w:rPr>
      </w:pPr>
      <w:r>
        <w:rPr>
          <w:rFonts w:eastAsiaTheme="minorHAnsi"/>
        </w:rPr>
        <w:t>Table 3.1.6:</w:t>
      </w:r>
      <w:r>
        <w:rPr>
          <w:rFonts w:eastAsiaTheme="minorHAnsi"/>
        </w:rPr>
        <w:tab/>
        <w:t>Payments made on behalf of the State</w:t>
      </w:r>
    </w:p>
    <w:p w:rsidR="002C39A3" w:rsidRPr="00AC6103" w:rsidRDefault="002C39A3" w:rsidP="00361FA9">
      <w:pPr>
        <w:pStyle w:val="million"/>
        <w:rPr>
          <w:rFonts w:eastAsiaTheme="minorHAnsi"/>
          <w:b/>
          <w:bCs/>
          <w:lang w:val="en-US"/>
        </w:rPr>
      </w:pPr>
      <w:r>
        <w:rPr>
          <w:rFonts w:eastAsiaTheme="minorHAnsi"/>
        </w:rPr>
        <w:t xml:space="preserve">($ </w:t>
      </w:r>
      <w:r w:rsidRPr="00CD086D">
        <w:rPr>
          <w:rFonts w:eastAsiaTheme="minorHAnsi"/>
        </w:rPr>
        <w:t>million</w:t>
      </w:r>
      <w:r>
        <w:rPr>
          <w:rFonts w:eastAsiaTheme="minorHAnsi"/>
        </w:rPr>
        <w:t>)</w:t>
      </w:r>
    </w:p>
    <w:tbl>
      <w:tblPr>
        <w:tblW w:w="7766" w:type="dxa"/>
        <w:tblInd w:w="45" w:type="dxa"/>
        <w:tblLayout w:type="fixed"/>
        <w:tblCellMar>
          <w:left w:w="45" w:type="dxa"/>
          <w:right w:w="45" w:type="dxa"/>
        </w:tblCellMar>
        <w:tblLook w:val="0000" w:firstRow="0" w:lastRow="0" w:firstColumn="0" w:lastColumn="0" w:noHBand="0" w:noVBand="0"/>
      </w:tblPr>
      <w:tblGrid>
        <w:gridCol w:w="5216"/>
        <w:gridCol w:w="850"/>
        <w:gridCol w:w="850"/>
        <w:gridCol w:w="850"/>
      </w:tblGrid>
      <w:tr w:rsidR="00E045DA" w:rsidRPr="00AC6103" w:rsidTr="00B04358">
        <w:trPr>
          <w:trHeight w:val="464"/>
          <w:tblHeader/>
        </w:trPr>
        <w:tc>
          <w:tcPr>
            <w:tcW w:w="5216" w:type="dxa"/>
            <w:tcBorders>
              <w:left w:val="nil"/>
              <w:right w:val="nil"/>
            </w:tcBorders>
            <w:shd w:val="solid" w:color="000000" w:fill="auto"/>
            <w:vAlign w:val="bottom"/>
          </w:tcPr>
          <w:p w:rsidR="00E045DA" w:rsidRPr="00AC6103" w:rsidRDefault="00E045DA" w:rsidP="00361FA9">
            <w:pPr>
              <w:autoSpaceDE w:val="0"/>
              <w:autoSpaceDN w:val="0"/>
              <w:adjustRightInd w:val="0"/>
              <w:spacing w:after="0"/>
              <w:rPr>
                <w:rFonts w:eastAsiaTheme="minorEastAsia" w:cs="Calibri"/>
                <w:iCs/>
                <w:color w:val="FFFFFF"/>
                <w:sz w:val="19"/>
                <w:lang w:eastAsia="en-AU"/>
              </w:rPr>
            </w:pPr>
            <w:r w:rsidRPr="00AC6103">
              <w:rPr>
                <w:rFonts w:ascii="Calibri" w:eastAsiaTheme="minorEastAsia" w:hAnsi="Calibri" w:cs="Calibri"/>
                <w:i/>
                <w:iCs/>
                <w:color w:val="FFFFFF"/>
                <w:sz w:val="19"/>
                <w:lang w:eastAsia="en-AU"/>
              </w:rPr>
              <w:t>Accounts</w:t>
            </w:r>
          </w:p>
        </w:tc>
        <w:tc>
          <w:tcPr>
            <w:tcW w:w="850" w:type="dxa"/>
            <w:tcBorders>
              <w:left w:val="nil"/>
              <w:right w:val="nil"/>
            </w:tcBorders>
            <w:shd w:val="solid" w:color="000000" w:fill="auto"/>
            <w:vAlign w:val="bottom"/>
          </w:tcPr>
          <w:p w:rsidR="00E045DA" w:rsidRPr="00AC6103"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E045DA" w:rsidRPr="00AC6103"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E045DA" w:rsidRPr="00AC6103"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E045DA" w:rsidRPr="00AC6103"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E045DA" w:rsidRPr="00AC6103"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2016-17</w:t>
            </w:r>
          </w:p>
          <w:p w:rsidR="00E045DA" w:rsidRPr="00AC6103"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r>
      <w:tr w:rsidR="002C39A3" w:rsidRPr="00AC6103" w:rsidTr="00361FA9">
        <w:tc>
          <w:tcPr>
            <w:tcW w:w="5216"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 xml:space="preserve">Finance lease interest </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42</w:t>
            </w:r>
          </w:p>
        </w:tc>
      </w:tr>
      <w:tr w:rsidR="002C39A3" w:rsidRPr="00AC6103" w:rsidTr="00361FA9">
        <w:tc>
          <w:tcPr>
            <w:tcW w:w="5216"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Grants to public non-financial corporations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r>
      <w:tr w:rsidR="002C39A3" w:rsidRPr="00AC6103" w:rsidTr="00361FA9">
        <w:tc>
          <w:tcPr>
            <w:tcW w:w="5216"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Finance lease liability</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w:t>
            </w:r>
          </w:p>
        </w:tc>
      </w:tr>
      <w:tr w:rsidR="002C39A3" w:rsidRPr="00AC6103" w:rsidTr="00361FA9">
        <w:tc>
          <w:tcPr>
            <w:tcW w:w="5216"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Anzac Day administered trust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r>
      <w:tr w:rsidR="002C39A3" w:rsidRPr="00AC6103" w:rsidTr="00361FA9">
        <w:tc>
          <w:tcPr>
            <w:tcW w:w="521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17</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17</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18</w:t>
            </w:r>
          </w:p>
        </w:tc>
      </w:tr>
      <w:tr w:rsidR="002C39A3" w:rsidRPr="00AC6103" w:rsidTr="00361FA9">
        <w:tc>
          <w:tcPr>
            <w:tcW w:w="5216"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67</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68</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71</w:t>
            </w:r>
          </w:p>
        </w:tc>
      </w:tr>
    </w:tbl>
    <w:p w:rsidR="002C39A3" w:rsidRDefault="002C39A3" w:rsidP="00361FA9">
      <w:pPr>
        <w:pStyle w:val="Source"/>
        <w:rPr>
          <w:rFonts w:eastAsiaTheme="minorHAnsi"/>
        </w:rPr>
      </w:pPr>
      <w:r w:rsidRPr="00623837">
        <w:rPr>
          <w:rFonts w:eastAsiaTheme="minorHAnsi"/>
        </w:rPr>
        <w:t xml:space="preserve">Sources: </w:t>
      </w:r>
      <w:r w:rsidRPr="006C0346">
        <w:rPr>
          <w:rFonts w:eastAsiaTheme="minorHAnsi"/>
        </w:rPr>
        <w:t>Departments of Economic Development, Jobs, Transport and Resources, and Treasury and Finance</w:t>
      </w:r>
    </w:p>
    <w:p w:rsidR="002C39A3" w:rsidRDefault="002C39A3" w:rsidP="00361FA9">
      <w:pPr>
        <w:rPr>
          <w:rFonts w:eastAsiaTheme="minorHAnsi"/>
        </w:rPr>
      </w:pPr>
    </w:p>
    <w:p w:rsidR="002C39A3" w:rsidRDefault="002C39A3" w:rsidP="00361FA9">
      <w:pPr>
        <w:rPr>
          <w:rFonts w:eastAsiaTheme="minorHAnsi"/>
        </w:rPr>
        <w:sectPr w:rsidR="002C39A3" w:rsidSect="00361FA9">
          <w:footerReference w:type="even" r:id="rId36"/>
          <w:footerReference w:type="default" r:id="rId37"/>
          <w:pgSz w:w="9979" w:h="14181" w:code="138"/>
          <w:pgMar w:top="1140" w:right="1140" w:bottom="1140" w:left="1140" w:header="720" w:footer="431" w:gutter="0"/>
          <w:cols w:space="708"/>
          <w:docGrid w:linePitch="360"/>
        </w:sectPr>
      </w:pPr>
    </w:p>
    <w:p w:rsidR="002C39A3" w:rsidRPr="00D746AE" w:rsidRDefault="002C39A3" w:rsidP="00D746AE">
      <w:pPr>
        <w:pStyle w:val="Heading1"/>
        <w:rPr>
          <w:rFonts w:eastAsiaTheme="minorHAnsi"/>
        </w:rPr>
      </w:pPr>
      <w:bookmarkStart w:id="38" w:name="_Toc449116197"/>
      <w:r w:rsidRPr="00D746AE">
        <w:rPr>
          <w:rFonts w:eastAsiaTheme="minorHAnsi"/>
        </w:rPr>
        <w:t>Department of Education and Training</w:t>
      </w:r>
      <w:bookmarkEnd w:id="38"/>
    </w:p>
    <w:p w:rsidR="002C39A3" w:rsidRDefault="002C39A3" w:rsidP="00361FA9">
      <w:pPr>
        <w:pStyle w:val="Heading2"/>
        <w:rPr>
          <w:rFonts w:eastAsiaTheme="minorHAnsi"/>
        </w:rPr>
      </w:pPr>
      <w:r>
        <w:rPr>
          <w:rFonts w:eastAsiaTheme="minorHAnsi"/>
        </w:rPr>
        <w:t>Operating performance</w:t>
      </w:r>
    </w:p>
    <w:p w:rsidR="002C39A3" w:rsidRDefault="002C39A3" w:rsidP="00361FA9">
      <w:r>
        <w:t>The Department of Education and Training is expected to report a net result from transactions of $89 million in 2016-17.</w:t>
      </w:r>
    </w:p>
    <w:p w:rsidR="002C39A3" w:rsidRDefault="002C39A3" w:rsidP="00361FA9">
      <w:r>
        <w:t xml:space="preserve">The operating statement shows an increase in total income from transactions to $13 578 million in 2016-17, compared to the 2015-16 revised budget of $12 981 million (5 per cent). This is primarily a result of indexation on existing income, allocation of Education State funding, school enrolment based funding for the 2016 calendar year, and additional initiatives including: </w:t>
      </w:r>
    </w:p>
    <w:p w:rsidR="002C39A3" w:rsidRDefault="002C39A3" w:rsidP="00361FA9">
      <w:pPr>
        <w:pStyle w:val="BulletText"/>
      </w:pPr>
      <w:r>
        <w:t>Maintaining the essential Maternal and Child Health Service; and</w:t>
      </w:r>
    </w:p>
    <w:p w:rsidR="002C39A3" w:rsidRPr="009A3B76" w:rsidRDefault="002C39A3" w:rsidP="00361FA9">
      <w:pPr>
        <w:pStyle w:val="BulletText"/>
        <w:rPr>
          <w:rFonts w:eastAsiaTheme="minorHAnsi"/>
        </w:rPr>
      </w:pPr>
      <w:r>
        <w:t xml:space="preserve">Respectful relationships for children and youth. </w:t>
      </w:r>
    </w:p>
    <w:p w:rsidR="002C39A3" w:rsidRPr="00066B63" w:rsidRDefault="002C39A3" w:rsidP="00361FA9">
      <w:pPr>
        <w:rPr>
          <w:rFonts w:eastAsiaTheme="minorHAnsi"/>
        </w:rPr>
      </w:pPr>
      <w:r w:rsidRPr="00186FB5">
        <w:t>Total operating expenses are budgeted to increase by $63</w:t>
      </w:r>
      <w:r>
        <w:t>9</w:t>
      </w:r>
      <w:r w:rsidRPr="00186FB5">
        <w:t xml:space="preserve"> </w:t>
      </w:r>
      <w:r>
        <w:t>million to $13 490 million (5 </w:t>
      </w:r>
      <w:r w:rsidRPr="00186FB5">
        <w:t>per cent) between the 2015-16 revised budget and the 2016-17 budget in line with the increase in revenue for the year.</w:t>
      </w:r>
    </w:p>
    <w:p w:rsidR="002C39A3" w:rsidRDefault="002C39A3" w:rsidP="00361FA9">
      <w:pPr>
        <w:pStyle w:val="Heading2"/>
        <w:rPr>
          <w:rFonts w:eastAsiaTheme="minorHAnsi"/>
        </w:rPr>
      </w:pPr>
      <w:r>
        <w:rPr>
          <w:rFonts w:eastAsiaTheme="minorHAnsi"/>
        </w:rPr>
        <w:t>Balance sheet</w:t>
      </w:r>
    </w:p>
    <w:p w:rsidR="002C39A3" w:rsidRDefault="002C39A3" w:rsidP="00361FA9">
      <w:r>
        <w:t>The Department</w:t>
      </w:r>
      <w:r w:rsidR="0097550F">
        <w:t>’</w:t>
      </w:r>
      <w:r>
        <w:t xml:space="preserve">s net asset position as at 30 June 2017 is expected to increase by $339 million compared to the 2015-16 revised budget, reflecting a projected increase in total assets of $608 million and an increase in total liabilities of $269 million. </w:t>
      </w:r>
    </w:p>
    <w:p w:rsidR="002C39A3" w:rsidRPr="00066B63" w:rsidRDefault="002C39A3" w:rsidP="00361FA9">
      <w:pPr>
        <w:rPr>
          <w:rFonts w:eastAsiaTheme="minorHAnsi"/>
        </w:rPr>
      </w:pPr>
      <w:r>
        <w:t>The expected increase in total assets reflects the Government</w:t>
      </w:r>
      <w:r w:rsidR="0097550F">
        <w:t>’</w:t>
      </w:r>
      <w:r>
        <w:t>s continued investment for major upgrades in existing schools, and the construction of new schools. The projected increase in total liabilities largely reflects the impact of new schools being built under a public private partnership.</w:t>
      </w:r>
    </w:p>
    <w:p w:rsidR="002C39A3" w:rsidRDefault="002C39A3" w:rsidP="00361FA9">
      <w:pPr>
        <w:pStyle w:val="Heading2"/>
        <w:rPr>
          <w:rFonts w:eastAsiaTheme="minorHAnsi"/>
        </w:rPr>
      </w:pPr>
      <w:r>
        <w:rPr>
          <w:rFonts w:eastAsiaTheme="minorHAnsi"/>
        </w:rPr>
        <w:t>Investing and financing</w:t>
      </w:r>
    </w:p>
    <w:p w:rsidR="002C39A3" w:rsidRDefault="002C39A3" w:rsidP="00361FA9">
      <w:r>
        <w:t>Cash flows from operating activities are consistent with the trends discussed in the statement of operating performance.</w:t>
      </w:r>
    </w:p>
    <w:p w:rsidR="002C39A3" w:rsidRDefault="002C39A3" w:rsidP="00361FA9">
      <w:r>
        <w:t>Cash flows from investing activities primarily reflect a significant increase in purchases of property, plant and equipment for the continued asset commitment in schools, including:</w:t>
      </w:r>
    </w:p>
    <w:p w:rsidR="002C39A3" w:rsidRDefault="002C39A3" w:rsidP="00361FA9">
      <w:pPr>
        <w:pStyle w:val="BulletText"/>
      </w:pPr>
      <w:r>
        <w:t>New schools construction;</w:t>
      </w:r>
    </w:p>
    <w:p w:rsidR="002C39A3" w:rsidRDefault="002C39A3" w:rsidP="00361FA9">
      <w:pPr>
        <w:pStyle w:val="BulletText"/>
      </w:pPr>
      <w:r>
        <w:t>Metro, rural and regional school upgrades;</w:t>
      </w:r>
    </w:p>
    <w:p w:rsidR="002C39A3" w:rsidRDefault="002C39A3" w:rsidP="00361FA9">
      <w:pPr>
        <w:pStyle w:val="BulletText"/>
      </w:pPr>
      <w:r>
        <w:t>Land acquisition; and</w:t>
      </w:r>
    </w:p>
    <w:p w:rsidR="002C39A3" w:rsidRPr="00066B63" w:rsidRDefault="002C39A3" w:rsidP="00361FA9">
      <w:pPr>
        <w:pStyle w:val="BulletText"/>
      </w:pPr>
      <w:r>
        <w:t>Relocatable classrooms.</w:t>
      </w:r>
    </w:p>
    <w:p w:rsidR="002C39A3" w:rsidRDefault="002C39A3">
      <w:pPr>
        <w:spacing w:after="0"/>
        <w:rPr>
          <w:rFonts w:ascii="Calibri" w:eastAsiaTheme="minorHAnsi" w:hAnsi="Calibri"/>
          <w:b/>
          <w:kern w:val="28"/>
          <w:sz w:val="26"/>
          <w:szCs w:val="22"/>
        </w:rPr>
      </w:pPr>
      <w:r>
        <w:rPr>
          <w:rFonts w:eastAsiaTheme="minorHAnsi"/>
        </w:rPr>
        <w:br w:type="page"/>
      </w:r>
    </w:p>
    <w:p w:rsidR="002C39A3" w:rsidRDefault="002C39A3" w:rsidP="00361FA9">
      <w:pPr>
        <w:pStyle w:val="Heading2"/>
        <w:rPr>
          <w:rFonts w:eastAsiaTheme="minorHAnsi"/>
        </w:rPr>
      </w:pPr>
      <w:r>
        <w:rPr>
          <w:rFonts w:eastAsiaTheme="minorHAnsi"/>
        </w:rPr>
        <w:t>Administered items statement</w:t>
      </w:r>
    </w:p>
    <w:p w:rsidR="002C39A3" w:rsidRDefault="002C39A3" w:rsidP="00361FA9">
      <w:pPr>
        <w:spacing w:after="80"/>
      </w:pPr>
      <w:r>
        <w:t>Total income from transactions administered by the Department on behalf of the State is expected to increase by $211 million in 2016-17 compared to the 2015-16 revised budget. This reflects an increase in recurrent Commonwealth funding provided to the non</w:t>
      </w:r>
      <w:r>
        <w:noBreakHyphen/>
        <w:t>government school sector under the School Funding Reform framework as part of the Commonwealth</w:t>
      </w:r>
      <w:r w:rsidR="0097550F">
        <w:t>’</w:t>
      </w:r>
      <w:r>
        <w:t xml:space="preserve">s </w:t>
      </w:r>
      <w:r w:rsidRPr="00A25614">
        <w:rPr>
          <w:i/>
        </w:rPr>
        <w:t>Australian Education Act 2013</w:t>
      </w:r>
      <w:r>
        <w:t>.</w:t>
      </w:r>
    </w:p>
    <w:p w:rsidR="002C39A3" w:rsidRDefault="002C39A3" w:rsidP="00361FA9">
      <w:pPr>
        <w:spacing w:after="0"/>
      </w:pPr>
      <w:r>
        <w:t>Total administered expenses are expected to increase in line with the anticipated increase in administered income.</w:t>
      </w:r>
    </w:p>
    <w:p w:rsidR="002C39A3" w:rsidRDefault="002C39A3" w:rsidP="00361FA9">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3.2.1:</w:t>
      </w:r>
      <w:r>
        <w:rPr>
          <w:rFonts w:eastAsiaTheme="minorHAnsi"/>
        </w:rPr>
        <w:tab/>
        <w:t>Comprehensive operating statement</w:t>
      </w:r>
    </w:p>
    <w:p w:rsidR="002C39A3" w:rsidRPr="00947365" w:rsidRDefault="002C39A3" w:rsidP="00361FA9">
      <w:pPr>
        <w:pStyle w:val="million"/>
        <w:rPr>
          <w:rFonts w:eastAsiaTheme="minorHAnsi"/>
          <w:b/>
          <w:bCs/>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E045DA" w:rsidRPr="009754AC" w:rsidTr="00B04358">
        <w:trPr>
          <w:cantSplit/>
          <w:trHeight w:val="464"/>
          <w:tblHeader/>
        </w:trPr>
        <w:tc>
          <w:tcPr>
            <w:tcW w:w="4365" w:type="dxa"/>
            <w:tcBorders>
              <w:left w:val="nil"/>
              <w:right w:val="nil"/>
            </w:tcBorders>
            <w:shd w:val="solid" w:color="000000" w:fill="auto"/>
            <w:vAlign w:val="bottom"/>
          </w:tcPr>
          <w:p w:rsidR="00E045DA" w:rsidRPr="009754AC" w:rsidRDefault="00E045DA" w:rsidP="00E045DA">
            <w:pPr>
              <w:pStyle w:val="million"/>
              <w:jc w:val="left"/>
              <w:rPr>
                <w:rFonts w:eastAsiaTheme="minorEastAsia" w:cs="Calibri"/>
                <w:color w:val="FFFFFF"/>
                <w:sz w:val="19"/>
                <w:lang w:eastAsia="en-AU"/>
              </w:rPr>
            </w:pPr>
          </w:p>
        </w:tc>
        <w:tc>
          <w:tcPr>
            <w:tcW w:w="850" w:type="dxa"/>
            <w:tcBorders>
              <w:left w:val="nil"/>
              <w:right w:val="nil"/>
            </w:tcBorders>
            <w:shd w:val="solid" w:color="000000" w:fill="auto"/>
            <w:vAlign w:val="bottom"/>
          </w:tcPr>
          <w:p w:rsidR="00E045DA" w:rsidRPr="009754AC"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2014-15</w:t>
            </w:r>
          </w:p>
          <w:p w:rsidR="00E045DA" w:rsidRPr="009754AC"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actual</w:t>
            </w:r>
          </w:p>
        </w:tc>
        <w:tc>
          <w:tcPr>
            <w:tcW w:w="850" w:type="dxa"/>
            <w:tcBorders>
              <w:left w:val="nil"/>
              <w:right w:val="nil"/>
            </w:tcBorders>
            <w:shd w:val="solid" w:color="000000" w:fill="auto"/>
            <w:vAlign w:val="bottom"/>
          </w:tcPr>
          <w:p w:rsidR="00E045DA" w:rsidRPr="009754AC"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2015-16</w:t>
            </w:r>
          </w:p>
          <w:p w:rsidR="00E045DA" w:rsidRPr="009754AC"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E045DA" w:rsidRPr="009754AC"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2015-16</w:t>
            </w:r>
          </w:p>
          <w:p w:rsidR="00E045DA" w:rsidRPr="009754AC"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E045DA" w:rsidRPr="009754AC"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2016-17</w:t>
            </w:r>
          </w:p>
          <w:p w:rsidR="00E045DA" w:rsidRPr="009754AC"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budget</w:t>
            </w:r>
          </w:p>
        </w:tc>
      </w:tr>
      <w:tr w:rsidR="00E045DA" w:rsidRPr="009754AC" w:rsidTr="00B04358">
        <w:trPr>
          <w:cantSplit/>
        </w:trPr>
        <w:tc>
          <w:tcPr>
            <w:tcW w:w="7765" w:type="dxa"/>
            <w:gridSpan w:val="5"/>
            <w:tcBorders>
              <w:top w:val="single" w:sz="6" w:space="0" w:color="auto"/>
              <w:left w:val="nil"/>
              <w:right w:val="nil"/>
            </w:tcBorders>
            <w:shd w:val="clear" w:color="auto" w:fill="FFFFFF"/>
          </w:tcPr>
          <w:p w:rsidR="00E045DA" w:rsidRPr="009754AC" w:rsidRDefault="00E045DA" w:rsidP="00E045DA">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b/>
                <w:bCs/>
                <w:color w:val="000000"/>
                <w:sz w:val="19"/>
                <w:lang w:eastAsia="en-AU"/>
              </w:rPr>
              <w:t>Net re</w:t>
            </w:r>
            <w:r>
              <w:rPr>
                <w:rFonts w:ascii="Calibri" w:eastAsiaTheme="minorEastAsia" w:hAnsi="Calibri" w:cs="Calibri"/>
                <w:b/>
                <w:bCs/>
                <w:color w:val="000000"/>
                <w:sz w:val="19"/>
                <w:lang w:eastAsia="en-AU"/>
              </w:rPr>
              <w:t>sult from continuing operations</w:t>
            </w:r>
          </w:p>
        </w:tc>
      </w:tr>
      <w:tr w:rsidR="00E045DA" w:rsidRPr="009754AC" w:rsidTr="00B04358">
        <w:trPr>
          <w:cantSplit/>
        </w:trPr>
        <w:tc>
          <w:tcPr>
            <w:tcW w:w="7765" w:type="dxa"/>
            <w:gridSpan w:val="5"/>
            <w:tcBorders>
              <w:top w:val="nil"/>
              <w:left w:val="nil"/>
              <w:right w:val="nil"/>
            </w:tcBorders>
            <w:shd w:val="clear" w:color="auto" w:fill="FFFFFF"/>
          </w:tcPr>
          <w:p w:rsidR="00E045DA" w:rsidRPr="009754AC" w:rsidRDefault="00E045DA" w:rsidP="00E045DA">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b/>
                <w:bCs/>
                <w:color w:val="000000"/>
                <w:sz w:val="19"/>
                <w:lang w:eastAsia="en-AU"/>
              </w:rPr>
              <w:t>Income from transactions</w:t>
            </w:r>
          </w:p>
        </w:tc>
      </w:tr>
      <w:tr w:rsidR="002C39A3" w:rsidRPr="009754AC" w:rsidTr="00361FA9">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Output appropriations</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10 683</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11 408</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11 563</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12 149</w:t>
            </w:r>
          </w:p>
        </w:tc>
      </w:tr>
      <w:tr w:rsidR="002C39A3" w:rsidRPr="009754AC" w:rsidTr="00361FA9">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Special appropriations</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13</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22</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12</w:t>
            </w:r>
          </w:p>
        </w:tc>
      </w:tr>
      <w:tr w:rsidR="002C39A3" w:rsidRPr="009754AC" w:rsidTr="00361FA9">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Interest</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29</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29</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29</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30</w:t>
            </w:r>
          </w:p>
        </w:tc>
      </w:tr>
      <w:tr w:rsidR="002C39A3" w:rsidRPr="009754AC" w:rsidTr="00361FA9">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Sale of goods and services</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684</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764</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764</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774</w:t>
            </w:r>
          </w:p>
        </w:tc>
      </w:tr>
      <w:tr w:rsidR="002C39A3" w:rsidRPr="009754AC" w:rsidTr="00361FA9">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Grants</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43</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w:t>
            </w:r>
          </w:p>
        </w:tc>
      </w:tr>
      <w:tr w:rsidR="002C39A3" w:rsidRPr="009754AC" w:rsidTr="00361FA9">
        <w:trPr>
          <w:cantSplit/>
        </w:trPr>
        <w:tc>
          <w:tcPr>
            <w:tcW w:w="4365"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Other income</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561</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594</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594</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607</w:t>
            </w:r>
          </w:p>
        </w:tc>
      </w:tr>
      <w:tr w:rsidR="002C39A3" w:rsidRPr="009754AC" w:rsidTr="00361FA9">
        <w:trPr>
          <w:cantSplit/>
        </w:trPr>
        <w:tc>
          <w:tcPr>
            <w:tcW w:w="4365"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Total income from transactions</w:t>
            </w:r>
          </w:p>
        </w:tc>
        <w:tc>
          <w:tcPr>
            <w:tcW w:w="850"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12 001</w:t>
            </w:r>
          </w:p>
        </w:tc>
        <w:tc>
          <w:tcPr>
            <w:tcW w:w="850"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12 816</w:t>
            </w:r>
          </w:p>
        </w:tc>
        <w:tc>
          <w:tcPr>
            <w:tcW w:w="850"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12 981</w:t>
            </w:r>
          </w:p>
        </w:tc>
        <w:tc>
          <w:tcPr>
            <w:tcW w:w="850"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13 578</w:t>
            </w:r>
          </w:p>
        </w:tc>
      </w:tr>
      <w:tr w:rsidR="00E045DA" w:rsidRPr="009754AC" w:rsidTr="00B04358">
        <w:trPr>
          <w:cantSplit/>
        </w:trPr>
        <w:tc>
          <w:tcPr>
            <w:tcW w:w="7765" w:type="dxa"/>
            <w:gridSpan w:val="5"/>
            <w:tcBorders>
              <w:top w:val="nil"/>
              <w:left w:val="nil"/>
              <w:right w:val="nil"/>
            </w:tcBorders>
            <w:shd w:val="clear" w:color="auto" w:fill="FFFFFF"/>
          </w:tcPr>
          <w:p w:rsidR="00E045DA" w:rsidRPr="009754AC" w:rsidRDefault="00E045DA" w:rsidP="00E045DA">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b/>
                <w:bCs/>
                <w:color w:val="000000"/>
                <w:sz w:val="19"/>
                <w:lang w:eastAsia="en-AU"/>
              </w:rPr>
              <w:t>Expenses from transactions</w:t>
            </w:r>
          </w:p>
        </w:tc>
      </w:tr>
      <w:tr w:rsidR="002C39A3" w:rsidRPr="009754AC" w:rsidTr="00361FA9">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Employee benefits</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6 178</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6 444</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6 633</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6 936</w:t>
            </w:r>
          </w:p>
        </w:tc>
      </w:tr>
      <w:tr w:rsidR="002C39A3" w:rsidRPr="009754AC" w:rsidTr="00361FA9">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 xml:space="preserve">Depreciation </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388</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420</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391</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397</w:t>
            </w:r>
          </w:p>
        </w:tc>
      </w:tr>
      <w:tr w:rsidR="002C39A3" w:rsidRPr="009754AC" w:rsidTr="00361FA9">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Interest expense</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16</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15</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15</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21</w:t>
            </w:r>
          </w:p>
        </w:tc>
      </w:tr>
      <w:tr w:rsidR="002C39A3" w:rsidRPr="009754AC" w:rsidTr="00361FA9">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Grants and other transfers</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796</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899</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875</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1 020</w:t>
            </w:r>
          </w:p>
        </w:tc>
      </w:tr>
      <w:tr w:rsidR="002C39A3" w:rsidRPr="009754AC" w:rsidTr="00361FA9">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Capital asset charge</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1 287</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1 292</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1 292</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1 317</w:t>
            </w:r>
          </w:p>
        </w:tc>
      </w:tr>
      <w:tr w:rsidR="002C39A3" w:rsidRPr="009754AC" w:rsidTr="00361FA9">
        <w:trPr>
          <w:cantSplit/>
        </w:trPr>
        <w:tc>
          <w:tcPr>
            <w:tcW w:w="4365"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Other operating expenses</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3 214</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3 630</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3 644</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3 798</w:t>
            </w:r>
          </w:p>
        </w:tc>
      </w:tr>
      <w:tr w:rsidR="002C39A3" w:rsidRPr="009754AC" w:rsidTr="00361FA9">
        <w:trPr>
          <w:cantSplit/>
        </w:trPr>
        <w:tc>
          <w:tcPr>
            <w:tcW w:w="4365"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Total expenses from transactions</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11 879</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12 700</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12 851</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13 490</w:t>
            </w:r>
          </w:p>
        </w:tc>
      </w:tr>
      <w:tr w:rsidR="002C39A3" w:rsidRPr="009754AC" w:rsidTr="00361FA9">
        <w:trPr>
          <w:cantSplit/>
        </w:trPr>
        <w:tc>
          <w:tcPr>
            <w:tcW w:w="4365"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Net result from transactions (net operating balance)</w:t>
            </w:r>
          </w:p>
        </w:tc>
        <w:tc>
          <w:tcPr>
            <w:tcW w:w="850"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122</w:t>
            </w:r>
          </w:p>
        </w:tc>
        <w:tc>
          <w:tcPr>
            <w:tcW w:w="850"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116</w:t>
            </w:r>
          </w:p>
        </w:tc>
        <w:tc>
          <w:tcPr>
            <w:tcW w:w="850"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130</w:t>
            </w:r>
          </w:p>
        </w:tc>
        <w:tc>
          <w:tcPr>
            <w:tcW w:w="850"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89</w:t>
            </w:r>
          </w:p>
        </w:tc>
      </w:tr>
      <w:tr w:rsidR="00E045DA" w:rsidRPr="009754AC" w:rsidTr="00B04358">
        <w:trPr>
          <w:cantSplit/>
        </w:trPr>
        <w:tc>
          <w:tcPr>
            <w:tcW w:w="7765" w:type="dxa"/>
            <w:gridSpan w:val="5"/>
            <w:tcBorders>
              <w:top w:val="single" w:sz="12" w:space="0" w:color="auto"/>
              <w:left w:val="nil"/>
              <w:right w:val="nil"/>
            </w:tcBorders>
            <w:shd w:val="clear" w:color="auto" w:fill="FFFFFF"/>
          </w:tcPr>
          <w:p w:rsidR="00E045DA" w:rsidRPr="009754AC" w:rsidRDefault="00E045DA" w:rsidP="00E045DA">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Other economic flows included in net result</w:t>
            </w:r>
          </w:p>
        </w:tc>
      </w:tr>
      <w:tr w:rsidR="002C39A3" w:rsidRPr="009754AC" w:rsidTr="00361FA9">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Net gain/(loss) on non-financial assets</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(18)</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w:t>
            </w:r>
          </w:p>
        </w:tc>
      </w:tr>
      <w:tr w:rsidR="002C39A3" w:rsidRPr="009754AC" w:rsidTr="00361FA9">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Net gain/(loss) on financial instruments and</w:t>
            </w:r>
            <w:r w:rsidR="00E045DA">
              <w:rPr>
                <w:rFonts w:ascii="Calibri" w:eastAsiaTheme="minorEastAsia" w:hAnsi="Calibri" w:cs="Calibri"/>
                <w:color w:val="000000"/>
                <w:sz w:val="19"/>
                <w:lang w:eastAsia="en-AU"/>
              </w:rPr>
              <w:t xml:space="preserve"> statutory </w:t>
            </w:r>
            <w:r w:rsidRPr="009754AC">
              <w:rPr>
                <w:rFonts w:ascii="Calibri" w:eastAsiaTheme="minorEastAsia" w:hAnsi="Calibri" w:cs="Calibri"/>
                <w:color w:val="000000"/>
                <w:sz w:val="19"/>
                <w:lang w:eastAsia="en-AU"/>
              </w:rPr>
              <w:t>receivables/payables</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(10)</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r>
      <w:tr w:rsidR="002C39A3" w:rsidRPr="009754AC" w:rsidTr="00361FA9">
        <w:trPr>
          <w:cantSplit/>
        </w:trPr>
        <w:tc>
          <w:tcPr>
            <w:tcW w:w="4365"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Other gains/(losses) from economic flows</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(36)</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19</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r>
      <w:tr w:rsidR="002C39A3" w:rsidRPr="009754AC" w:rsidTr="00361FA9">
        <w:trPr>
          <w:cantSplit/>
        </w:trPr>
        <w:tc>
          <w:tcPr>
            <w:tcW w:w="4365"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Total other economic flows included in net result</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(64)</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17</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w:t>
            </w:r>
          </w:p>
        </w:tc>
      </w:tr>
      <w:tr w:rsidR="002C39A3" w:rsidRPr="009754AC" w:rsidTr="00361FA9">
        <w:trPr>
          <w:cantSplit/>
        </w:trPr>
        <w:tc>
          <w:tcPr>
            <w:tcW w:w="4365"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Net result</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58</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114</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147</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87</w:t>
            </w:r>
          </w:p>
        </w:tc>
      </w:tr>
      <w:tr w:rsidR="00E045DA" w:rsidRPr="009754AC" w:rsidTr="00B04358">
        <w:trPr>
          <w:cantSplit/>
        </w:trPr>
        <w:tc>
          <w:tcPr>
            <w:tcW w:w="7765" w:type="dxa"/>
            <w:gridSpan w:val="5"/>
            <w:tcBorders>
              <w:top w:val="single" w:sz="6" w:space="0" w:color="auto"/>
              <w:left w:val="nil"/>
              <w:right w:val="nil"/>
            </w:tcBorders>
            <w:shd w:val="clear" w:color="auto" w:fill="FFFFFF"/>
          </w:tcPr>
          <w:p w:rsidR="00E045DA" w:rsidRPr="009754AC" w:rsidRDefault="00E045DA" w:rsidP="00E045DA">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Other economic flows – other comprehensive income</w:t>
            </w:r>
          </w:p>
        </w:tc>
      </w:tr>
      <w:tr w:rsidR="002C39A3" w:rsidRPr="009754AC" w:rsidTr="00361FA9">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Changes in non-financial assets revaluation surplus</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830</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10</w:t>
            </w:r>
          </w:p>
        </w:tc>
      </w:tr>
      <w:tr w:rsidR="002C39A3" w:rsidRPr="009754AC" w:rsidTr="00361FA9">
        <w:trPr>
          <w:cantSplit/>
        </w:trPr>
        <w:tc>
          <w:tcPr>
            <w:tcW w:w="4365"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Other</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49</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r>
      <w:tr w:rsidR="002C39A3" w:rsidRPr="009754AC" w:rsidTr="00361FA9">
        <w:trPr>
          <w:cantSplit/>
        </w:trPr>
        <w:tc>
          <w:tcPr>
            <w:tcW w:w="4365"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 xml:space="preserve">Total other economic flows – </w:t>
            </w:r>
            <w:r w:rsidR="00E045DA">
              <w:rPr>
                <w:rFonts w:ascii="Calibri" w:eastAsiaTheme="minorEastAsia" w:hAnsi="Calibri" w:cs="Calibri"/>
                <w:b/>
                <w:bCs/>
                <w:color w:val="000000"/>
                <w:sz w:val="19"/>
                <w:lang w:eastAsia="en-AU"/>
              </w:rPr>
              <w:br/>
            </w:r>
            <w:r w:rsidRPr="009754AC">
              <w:rPr>
                <w:rFonts w:ascii="Calibri" w:eastAsiaTheme="minorEastAsia" w:hAnsi="Calibri" w:cs="Calibri"/>
                <w:b/>
                <w:bCs/>
                <w:color w:val="000000"/>
                <w:sz w:val="19"/>
                <w:lang w:eastAsia="en-AU"/>
              </w:rPr>
              <w:t>other comprehensive income</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879</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6</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6</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10</w:t>
            </w:r>
          </w:p>
        </w:tc>
      </w:tr>
      <w:tr w:rsidR="002C39A3" w:rsidRPr="009754AC" w:rsidTr="00361FA9">
        <w:trPr>
          <w:cantSplit/>
        </w:trPr>
        <w:tc>
          <w:tcPr>
            <w:tcW w:w="4365"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Comprehensive result</w:t>
            </w:r>
          </w:p>
        </w:tc>
        <w:tc>
          <w:tcPr>
            <w:tcW w:w="850"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937</w:t>
            </w:r>
          </w:p>
        </w:tc>
        <w:tc>
          <w:tcPr>
            <w:tcW w:w="850"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120</w:t>
            </w:r>
          </w:p>
        </w:tc>
        <w:tc>
          <w:tcPr>
            <w:tcW w:w="850"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153</w:t>
            </w:r>
          </w:p>
        </w:tc>
        <w:tc>
          <w:tcPr>
            <w:tcW w:w="850"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97</w:t>
            </w:r>
          </w:p>
        </w:tc>
      </w:tr>
    </w:tbl>
    <w:p w:rsidR="002C39A3" w:rsidRDefault="002C39A3" w:rsidP="00361FA9">
      <w:pPr>
        <w:pStyle w:val="Source"/>
        <w:rPr>
          <w:rFonts w:eastAsiaTheme="minorHAnsi"/>
        </w:rPr>
      </w:pPr>
      <w:r w:rsidRPr="00306142">
        <w:rPr>
          <w:rFonts w:eastAsiaTheme="minorHAnsi"/>
        </w:rPr>
        <w:t xml:space="preserve">Sources: Departments of Education and </w:t>
      </w:r>
      <w:r>
        <w:rPr>
          <w:rFonts w:eastAsiaTheme="minorHAnsi"/>
        </w:rPr>
        <w:t>Training,</w:t>
      </w:r>
      <w:r w:rsidRPr="00306142">
        <w:rPr>
          <w:rFonts w:eastAsiaTheme="minorHAnsi"/>
        </w:rPr>
        <w:t xml:space="preserve"> and Treasury and Finance</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3.2.2:</w:t>
      </w:r>
      <w:r>
        <w:rPr>
          <w:rFonts w:eastAsiaTheme="minorHAnsi"/>
        </w:rPr>
        <w:tab/>
        <w:t>Balance sheet</w:t>
      </w:r>
    </w:p>
    <w:p w:rsidR="002C39A3" w:rsidRPr="00947365" w:rsidRDefault="002C39A3" w:rsidP="00361FA9">
      <w:pPr>
        <w:pStyle w:val="million"/>
        <w:rPr>
          <w:rFonts w:eastAsiaTheme="minorHAnsi"/>
          <w:b/>
          <w:bCs/>
          <w:lang w:val="en-US"/>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1"/>
      </w:tblGrid>
      <w:tr w:rsidR="00E045DA" w:rsidRPr="009754AC" w:rsidTr="00B04358">
        <w:trPr>
          <w:cantSplit/>
          <w:tblHeader/>
        </w:trPr>
        <w:tc>
          <w:tcPr>
            <w:tcW w:w="4365" w:type="dxa"/>
            <w:tcBorders>
              <w:bottom w:val="nil"/>
              <w:right w:val="nil"/>
            </w:tcBorders>
            <w:shd w:val="solid" w:color="000000" w:fill="auto"/>
            <w:vAlign w:val="bottom"/>
          </w:tcPr>
          <w:p w:rsidR="00E045DA" w:rsidRPr="009754AC" w:rsidRDefault="00E045DA" w:rsidP="00361FA9">
            <w:pPr>
              <w:pStyle w:val="million"/>
              <w:jc w:val="left"/>
              <w:rPr>
                <w:rFonts w:eastAsiaTheme="minorEastAsia" w:cs="Calibri"/>
                <w:iCs/>
                <w:color w:val="FFFFFF"/>
                <w:sz w:val="19"/>
                <w:lang w:eastAsia="en-AU"/>
              </w:rPr>
            </w:pPr>
            <w:r w:rsidRPr="009754AC">
              <w:rPr>
                <w:rFonts w:eastAsiaTheme="minorEastAsia" w:cs="Calibri"/>
                <w:iCs/>
                <w:color w:val="FFFFFF"/>
                <w:sz w:val="19"/>
                <w:lang w:eastAsia="en-AU"/>
              </w:rPr>
              <w:t xml:space="preserve"> </w:t>
            </w:r>
          </w:p>
        </w:tc>
        <w:tc>
          <w:tcPr>
            <w:tcW w:w="850" w:type="dxa"/>
            <w:tcBorders>
              <w:left w:val="nil"/>
              <w:bottom w:val="nil"/>
              <w:right w:val="nil"/>
            </w:tcBorders>
            <w:shd w:val="solid" w:color="000000" w:fill="auto"/>
            <w:vAlign w:val="bottom"/>
          </w:tcPr>
          <w:p w:rsidR="00E045DA" w:rsidRPr="009754AC" w:rsidRDefault="00E045DA" w:rsidP="00361FA9">
            <w:pPr>
              <w:autoSpaceDE w:val="0"/>
              <w:autoSpaceDN w:val="0"/>
              <w:adjustRightInd w:val="0"/>
              <w:spacing w:after="0"/>
              <w:jc w:val="right"/>
              <w:rPr>
                <w:rFonts w:ascii="Calibri" w:eastAsiaTheme="minorEastAsia" w:hAnsi="Calibri" w:cs="Calibri"/>
                <w:color w:val="FFFFFF"/>
                <w:sz w:val="19"/>
                <w:lang w:eastAsia="en-AU"/>
              </w:rPr>
            </w:pPr>
            <w:r w:rsidRPr="009754AC">
              <w:rPr>
                <w:rFonts w:ascii="Calibri" w:eastAsiaTheme="minorEastAsia" w:hAnsi="Calibri" w:cs="Calibri"/>
                <w:color w:val="FFFFFF"/>
                <w:sz w:val="19"/>
                <w:lang w:eastAsia="en-AU"/>
              </w:rPr>
              <w:t xml:space="preserve">  </w:t>
            </w:r>
          </w:p>
        </w:tc>
        <w:tc>
          <w:tcPr>
            <w:tcW w:w="2551" w:type="dxa"/>
            <w:gridSpan w:val="3"/>
            <w:tcBorders>
              <w:left w:val="nil"/>
              <w:bottom w:val="nil"/>
            </w:tcBorders>
            <w:shd w:val="solid" w:color="000000" w:fill="auto"/>
            <w:vAlign w:val="bottom"/>
          </w:tcPr>
          <w:p w:rsidR="00E045DA" w:rsidRPr="009754AC" w:rsidRDefault="00E045DA" w:rsidP="00E045DA">
            <w:pPr>
              <w:autoSpaceDE w:val="0"/>
              <w:autoSpaceDN w:val="0"/>
              <w:adjustRightInd w:val="0"/>
              <w:spacing w:after="0"/>
              <w:jc w:val="center"/>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Estimated as at 30 June</w:t>
            </w:r>
          </w:p>
        </w:tc>
      </w:tr>
      <w:tr w:rsidR="00E045DA" w:rsidRPr="009754AC" w:rsidTr="00B04358">
        <w:trPr>
          <w:cantSplit/>
          <w:trHeight w:val="464"/>
          <w:tblHeader/>
        </w:trPr>
        <w:tc>
          <w:tcPr>
            <w:tcW w:w="4365" w:type="dxa"/>
            <w:tcBorders>
              <w:top w:val="nil"/>
              <w:right w:val="nil"/>
            </w:tcBorders>
            <w:shd w:val="solid" w:color="000000" w:fill="auto"/>
            <w:vAlign w:val="bottom"/>
          </w:tcPr>
          <w:p w:rsidR="00E045DA" w:rsidRPr="009754AC" w:rsidRDefault="00E045DA" w:rsidP="00361FA9">
            <w:pPr>
              <w:autoSpaceDE w:val="0"/>
              <w:autoSpaceDN w:val="0"/>
              <w:adjustRightInd w:val="0"/>
              <w:spacing w:after="0"/>
              <w:rPr>
                <w:rFonts w:ascii="Calibri" w:eastAsiaTheme="minorEastAsia" w:hAnsi="Calibri" w:cs="Calibri"/>
                <w:color w:val="FFFFFF"/>
                <w:sz w:val="19"/>
                <w:lang w:eastAsia="en-AU"/>
              </w:rPr>
            </w:pPr>
          </w:p>
        </w:tc>
        <w:tc>
          <w:tcPr>
            <w:tcW w:w="850" w:type="dxa"/>
            <w:tcBorders>
              <w:top w:val="nil"/>
              <w:left w:val="nil"/>
              <w:right w:val="nil"/>
            </w:tcBorders>
            <w:shd w:val="solid" w:color="000000" w:fill="auto"/>
            <w:vAlign w:val="bottom"/>
          </w:tcPr>
          <w:p w:rsidR="00E045DA" w:rsidRPr="009754AC"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2015</w:t>
            </w:r>
          </w:p>
          <w:p w:rsidR="00E045DA" w:rsidRPr="009754AC"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actual</w:t>
            </w:r>
          </w:p>
        </w:tc>
        <w:tc>
          <w:tcPr>
            <w:tcW w:w="850" w:type="dxa"/>
            <w:tcBorders>
              <w:top w:val="nil"/>
              <w:left w:val="nil"/>
              <w:right w:val="nil"/>
            </w:tcBorders>
            <w:shd w:val="solid" w:color="000000" w:fill="auto"/>
            <w:vAlign w:val="bottom"/>
          </w:tcPr>
          <w:p w:rsidR="00E045DA" w:rsidRPr="009754AC"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2016</w:t>
            </w:r>
          </w:p>
          <w:p w:rsidR="00E045DA" w:rsidRPr="009754AC"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budget</w:t>
            </w:r>
          </w:p>
        </w:tc>
        <w:tc>
          <w:tcPr>
            <w:tcW w:w="850" w:type="dxa"/>
            <w:tcBorders>
              <w:top w:val="nil"/>
              <w:left w:val="nil"/>
              <w:right w:val="nil"/>
            </w:tcBorders>
            <w:shd w:val="solid" w:color="000000" w:fill="auto"/>
            <w:vAlign w:val="bottom"/>
          </w:tcPr>
          <w:p w:rsidR="00E045DA" w:rsidRPr="009754AC"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2016</w:t>
            </w:r>
          </w:p>
          <w:p w:rsidR="00E045DA" w:rsidRPr="009754AC"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revised</w:t>
            </w:r>
          </w:p>
        </w:tc>
        <w:tc>
          <w:tcPr>
            <w:tcW w:w="851" w:type="dxa"/>
            <w:tcBorders>
              <w:top w:val="nil"/>
              <w:left w:val="nil"/>
            </w:tcBorders>
            <w:shd w:val="solid" w:color="000000" w:fill="auto"/>
            <w:vAlign w:val="bottom"/>
          </w:tcPr>
          <w:p w:rsidR="00E045DA" w:rsidRPr="009754AC"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2017</w:t>
            </w:r>
          </w:p>
          <w:p w:rsidR="00E045DA" w:rsidRPr="009754AC" w:rsidRDefault="00E045DA"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budget</w:t>
            </w:r>
          </w:p>
        </w:tc>
      </w:tr>
      <w:tr w:rsidR="00E045DA" w:rsidRPr="009754AC" w:rsidTr="00B04358">
        <w:trPr>
          <w:cantSplit/>
        </w:trPr>
        <w:tc>
          <w:tcPr>
            <w:tcW w:w="7766" w:type="dxa"/>
            <w:gridSpan w:val="5"/>
            <w:tcBorders>
              <w:top w:val="single" w:sz="6" w:space="0" w:color="auto"/>
              <w:left w:val="nil"/>
              <w:right w:val="nil"/>
            </w:tcBorders>
            <w:shd w:val="clear" w:color="auto" w:fill="FFFFFF"/>
          </w:tcPr>
          <w:p w:rsidR="00E045DA" w:rsidRPr="009754AC" w:rsidRDefault="00E045DA" w:rsidP="00E045DA">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b/>
                <w:bCs/>
                <w:color w:val="000000"/>
                <w:sz w:val="19"/>
                <w:lang w:eastAsia="en-AU"/>
              </w:rPr>
              <w:t>Assets</w:t>
            </w:r>
          </w:p>
        </w:tc>
      </w:tr>
      <w:tr w:rsidR="00E045DA" w:rsidRPr="009754AC" w:rsidTr="00B04358">
        <w:trPr>
          <w:cantSplit/>
        </w:trPr>
        <w:tc>
          <w:tcPr>
            <w:tcW w:w="7766" w:type="dxa"/>
            <w:gridSpan w:val="5"/>
            <w:tcBorders>
              <w:top w:val="nil"/>
              <w:left w:val="nil"/>
              <w:right w:val="nil"/>
            </w:tcBorders>
            <w:shd w:val="clear" w:color="auto" w:fill="FFFFFF"/>
          </w:tcPr>
          <w:p w:rsidR="00E045DA" w:rsidRPr="009754AC" w:rsidRDefault="00E045DA" w:rsidP="00E045DA">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b/>
                <w:bCs/>
                <w:color w:val="000000"/>
                <w:sz w:val="19"/>
                <w:lang w:eastAsia="en-AU"/>
              </w:rPr>
              <w:t>Financial assets</w:t>
            </w:r>
            <w:r w:rsidRPr="009754AC">
              <w:rPr>
                <w:rFonts w:ascii="Calibri" w:eastAsiaTheme="minorEastAsia" w:hAnsi="Calibri" w:cs="Calibri"/>
                <w:color w:val="000000"/>
                <w:sz w:val="19"/>
                <w:lang w:eastAsia="en-AU"/>
              </w:rPr>
              <w:t xml:space="preserve"> </w:t>
            </w:r>
          </w:p>
        </w:tc>
      </w:tr>
      <w:tr w:rsidR="002C39A3" w:rsidRPr="009754AC" w:rsidTr="00E045DA">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Cash and deposits</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933</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957</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1 009</w:t>
            </w:r>
          </w:p>
        </w:tc>
        <w:tc>
          <w:tcPr>
            <w:tcW w:w="851"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1 033</w:t>
            </w:r>
          </w:p>
        </w:tc>
      </w:tr>
      <w:tr w:rsidR="002C39A3" w:rsidRPr="009754AC" w:rsidTr="00E045DA">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Receivables</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1 720</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1 811</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1 796</w:t>
            </w:r>
          </w:p>
        </w:tc>
        <w:tc>
          <w:tcPr>
            <w:tcW w:w="851"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1 708</w:t>
            </w:r>
          </w:p>
        </w:tc>
      </w:tr>
      <w:tr w:rsidR="002C39A3" w:rsidRPr="009754AC" w:rsidTr="00E045DA">
        <w:trPr>
          <w:cantSplit/>
        </w:trPr>
        <w:tc>
          <w:tcPr>
            <w:tcW w:w="4365"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Other financial assets</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278</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299</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299</w:t>
            </w:r>
          </w:p>
        </w:tc>
        <w:tc>
          <w:tcPr>
            <w:tcW w:w="851"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304</w:t>
            </w:r>
          </w:p>
        </w:tc>
      </w:tr>
      <w:tr w:rsidR="002C39A3" w:rsidRPr="009754AC" w:rsidTr="00E045DA">
        <w:trPr>
          <w:cantSplit/>
        </w:trPr>
        <w:tc>
          <w:tcPr>
            <w:tcW w:w="4365"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Total financial assets</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2 931</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3 067</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3 104</w:t>
            </w:r>
          </w:p>
        </w:tc>
        <w:tc>
          <w:tcPr>
            <w:tcW w:w="851"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3 045</w:t>
            </w:r>
          </w:p>
        </w:tc>
      </w:tr>
      <w:tr w:rsidR="00E045DA" w:rsidRPr="009754AC" w:rsidTr="00B04358">
        <w:trPr>
          <w:cantSplit/>
        </w:trPr>
        <w:tc>
          <w:tcPr>
            <w:tcW w:w="7766" w:type="dxa"/>
            <w:gridSpan w:val="5"/>
            <w:tcBorders>
              <w:top w:val="single" w:sz="6" w:space="0" w:color="auto"/>
              <w:left w:val="nil"/>
              <w:right w:val="nil"/>
            </w:tcBorders>
            <w:shd w:val="clear" w:color="auto" w:fill="FFFFFF"/>
          </w:tcPr>
          <w:p w:rsidR="00E045DA" w:rsidRPr="009754AC" w:rsidRDefault="00E045DA" w:rsidP="00E045DA">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b/>
                <w:bCs/>
                <w:color w:val="000000"/>
                <w:sz w:val="19"/>
                <w:lang w:eastAsia="en-AU"/>
              </w:rPr>
              <w:t>Non-financial assets</w:t>
            </w:r>
          </w:p>
        </w:tc>
      </w:tr>
      <w:tr w:rsidR="002C39A3" w:rsidRPr="009754AC" w:rsidTr="00E045DA">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Inventories</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c>
          <w:tcPr>
            <w:tcW w:w="851"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r>
      <w:tr w:rsidR="002C39A3" w:rsidRPr="009754AC" w:rsidTr="00E045DA">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Non-financial assets classified as held for sale including disposal group assets</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112</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112</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112</w:t>
            </w:r>
          </w:p>
        </w:tc>
        <w:tc>
          <w:tcPr>
            <w:tcW w:w="851"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113</w:t>
            </w:r>
          </w:p>
        </w:tc>
      </w:tr>
      <w:tr w:rsidR="002C39A3" w:rsidRPr="009754AC" w:rsidTr="00E045DA">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Property, plant and equipment</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18 783</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18 845</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18 851</w:t>
            </w:r>
          </w:p>
        </w:tc>
        <w:tc>
          <w:tcPr>
            <w:tcW w:w="851"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19 538</w:t>
            </w:r>
          </w:p>
        </w:tc>
      </w:tr>
      <w:tr w:rsidR="002C39A3" w:rsidRPr="009754AC" w:rsidTr="00E045DA">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Biological assets</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c>
          <w:tcPr>
            <w:tcW w:w="851"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r>
      <w:tr w:rsidR="002C39A3" w:rsidRPr="009754AC" w:rsidTr="00E045DA">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Investment properties</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33</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33</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33</w:t>
            </w:r>
          </w:p>
        </w:tc>
        <w:tc>
          <w:tcPr>
            <w:tcW w:w="851"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33</w:t>
            </w:r>
          </w:p>
        </w:tc>
      </w:tr>
      <w:tr w:rsidR="002C39A3" w:rsidRPr="009754AC" w:rsidTr="00E045DA">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Intangible assets</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68</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76</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59</w:t>
            </w:r>
          </w:p>
        </w:tc>
        <w:tc>
          <w:tcPr>
            <w:tcW w:w="851"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37</w:t>
            </w:r>
          </w:p>
        </w:tc>
      </w:tr>
      <w:tr w:rsidR="002C39A3" w:rsidRPr="009754AC" w:rsidTr="00E045DA">
        <w:trPr>
          <w:cantSplit/>
        </w:trPr>
        <w:tc>
          <w:tcPr>
            <w:tcW w:w="4365"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Other</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36</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35</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35</w:t>
            </w:r>
          </w:p>
        </w:tc>
        <w:tc>
          <w:tcPr>
            <w:tcW w:w="851"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35</w:t>
            </w:r>
          </w:p>
        </w:tc>
      </w:tr>
      <w:tr w:rsidR="002C39A3" w:rsidRPr="009754AC" w:rsidTr="00E045DA">
        <w:trPr>
          <w:cantSplit/>
        </w:trPr>
        <w:tc>
          <w:tcPr>
            <w:tcW w:w="4365"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Total non-financial assets</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19 036</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19 106</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19 095</w:t>
            </w:r>
          </w:p>
        </w:tc>
        <w:tc>
          <w:tcPr>
            <w:tcW w:w="851"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19 762</w:t>
            </w:r>
          </w:p>
        </w:tc>
      </w:tr>
      <w:tr w:rsidR="002C39A3" w:rsidRPr="009754AC" w:rsidTr="00E045DA">
        <w:trPr>
          <w:cantSplit/>
        </w:trPr>
        <w:tc>
          <w:tcPr>
            <w:tcW w:w="4365"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Total assets</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21 968</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22 173</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22 198</w:t>
            </w:r>
          </w:p>
        </w:tc>
        <w:tc>
          <w:tcPr>
            <w:tcW w:w="851"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22 806</w:t>
            </w:r>
          </w:p>
        </w:tc>
      </w:tr>
      <w:tr w:rsidR="00E045DA" w:rsidRPr="009754AC" w:rsidTr="00B04358">
        <w:trPr>
          <w:cantSplit/>
        </w:trPr>
        <w:tc>
          <w:tcPr>
            <w:tcW w:w="7766" w:type="dxa"/>
            <w:gridSpan w:val="5"/>
            <w:tcBorders>
              <w:top w:val="single" w:sz="6" w:space="0" w:color="auto"/>
              <w:left w:val="nil"/>
              <w:right w:val="nil"/>
            </w:tcBorders>
            <w:shd w:val="clear" w:color="auto" w:fill="FFFFFF"/>
          </w:tcPr>
          <w:p w:rsidR="00E045DA" w:rsidRPr="009754AC" w:rsidRDefault="00E045DA" w:rsidP="00E045DA">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b/>
                <w:bCs/>
                <w:color w:val="000000"/>
                <w:sz w:val="19"/>
                <w:lang w:eastAsia="en-AU"/>
              </w:rPr>
              <w:t>Liabilities</w:t>
            </w:r>
          </w:p>
        </w:tc>
      </w:tr>
      <w:tr w:rsidR="002C39A3" w:rsidRPr="009754AC" w:rsidTr="00E045DA">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Payables</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392</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379</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379</w:t>
            </w:r>
          </w:p>
        </w:tc>
        <w:tc>
          <w:tcPr>
            <w:tcW w:w="851"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390</w:t>
            </w:r>
          </w:p>
        </w:tc>
      </w:tr>
      <w:tr w:rsidR="002C39A3" w:rsidRPr="009754AC" w:rsidTr="00E045DA">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Borrowings</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214</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209</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209</w:t>
            </w:r>
          </w:p>
        </w:tc>
        <w:tc>
          <w:tcPr>
            <w:tcW w:w="851"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408</w:t>
            </w:r>
          </w:p>
        </w:tc>
      </w:tr>
      <w:tr w:rsidR="002C39A3" w:rsidRPr="009754AC" w:rsidTr="00E045DA">
        <w:trPr>
          <w:cantSplit/>
        </w:trPr>
        <w:tc>
          <w:tcPr>
            <w:tcW w:w="4365"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Provisions</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1 483</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1 529</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1 513</w:t>
            </w:r>
          </w:p>
        </w:tc>
        <w:tc>
          <w:tcPr>
            <w:tcW w:w="851"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1 572</w:t>
            </w:r>
          </w:p>
        </w:tc>
      </w:tr>
      <w:tr w:rsidR="002C39A3" w:rsidRPr="009754AC" w:rsidTr="00E045DA">
        <w:trPr>
          <w:cantSplit/>
        </w:trPr>
        <w:tc>
          <w:tcPr>
            <w:tcW w:w="4365"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Total liabilities</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2 089</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2 117</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2 101</w:t>
            </w:r>
          </w:p>
        </w:tc>
        <w:tc>
          <w:tcPr>
            <w:tcW w:w="851"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2 370</w:t>
            </w:r>
          </w:p>
        </w:tc>
      </w:tr>
      <w:tr w:rsidR="002C39A3" w:rsidRPr="009754AC" w:rsidTr="00E045DA">
        <w:trPr>
          <w:cantSplit/>
        </w:trPr>
        <w:tc>
          <w:tcPr>
            <w:tcW w:w="4365"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Net assets</w:t>
            </w:r>
          </w:p>
        </w:tc>
        <w:tc>
          <w:tcPr>
            <w:tcW w:w="850"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19 879</w:t>
            </w:r>
          </w:p>
        </w:tc>
        <w:tc>
          <w:tcPr>
            <w:tcW w:w="850"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20 056</w:t>
            </w:r>
          </w:p>
        </w:tc>
        <w:tc>
          <w:tcPr>
            <w:tcW w:w="850"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20 098</w:t>
            </w:r>
          </w:p>
        </w:tc>
        <w:tc>
          <w:tcPr>
            <w:tcW w:w="851"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20 437</w:t>
            </w:r>
          </w:p>
        </w:tc>
      </w:tr>
      <w:tr w:rsidR="00E045DA" w:rsidRPr="009754AC" w:rsidTr="00B04358">
        <w:trPr>
          <w:cantSplit/>
        </w:trPr>
        <w:tc>
          <w:tcPr>
            <w:tcW w:w="7766" w:type="dxa"/>
            <w:gridSpan w:val="5"/>
            <w:tcBorders>
              <w:top w:val="single" w:sz="12" w:space="0" w:color="auto"/>
              <w:left w:val="nil"/>
              <w:right w:val="nil"/>
            </w:tcBorders>
            <w:shd w:val="clear" w:color="auto" w:fill="FFFFFF"/>
          </w:tcPr>
          <w:p w:rsidR="00E045DA" w:rsidRPr="009754AC" w:rsidRDefault="00E045DA" w:rsidP="00E045DA">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b/>
                <w:bCs/>
                <w:color w:val="000000"/>
                <w:sz w:val="19"/>
                <w:lang w:eastAsia="en-AU"/>
              </w:rPr>
              <w:t>Equity</w:t>
            </w:r>
          </w:p>
        </w:tc>
      </w:tr>
      <w:tr w:rsidR="002C39A3" w:rsidRPr="009754AC" w:rsidTr="00E045DA">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Accumulated surplus/(deficit)</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2 094</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2 208</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2 241</w:t>
            </w:r>
          </w:p>
        </w:tc>
        <w:tc>
          <w:tcPr>
            <w:tcW w:w="851"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2 328</w:t>
            </w:r>
          </w:p>
        </w:tc>
      </w:tr>
      <w:tr w:rsidR="002C39A3" w:rsidRPr="009754AC" w:rsidTr="00E045DA">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Reserves</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8 253</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8 259</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8 259</w:t>
            </w:r>
          </w:p>
        </w:tc>
        <w:tc>
          <w:tcPr>
            <w:tcW w:w="851"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8 269</w:t>
            </w:r>
          </w:p>
        </w:tc>
      </w:tr>
      <w:tr w:rsidR="002C39A3" w:rsidRPr="009754AC" w:rsidTr="00E045DA">
        <w:trPr>
          <w:cantSplit/>
        </w:trPr>
        <w:tc>
          <w:tcPr>
            <w:tcW w:w="4365"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Contributed capital</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9 532</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9 589</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9 598</w:t>
            </w:r>
          </w:p>
        </w:tc>
        <w:tc>
          <w:tcPr>
            <w:tcW w:w="851"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9 840</w:t>
            </w:r>
          </w:p>
        </w:tc>
      </w:tr>
      <w:tr w:rsidR="002C39A3" w:rsidRPr="009754AC" w:rsidTr="00E045DA">
        <w:trPr>
          <w:cantSplit/>
        </w:trPr>
        <w:tc>
          <w:tcPr>
            <w:tcW w:w="4365"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Total equity</w:t>
            </w:r>
          </w:p>
        </w:tc>
        <w:tc>
          <w:tcPr>
            <w:tcW w:w="850"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19 879</w:t>
            </w:r>
          </w:p>
        </w:tc>
        <w:tc>
          <w:tcPr>
            <w:tcW w:w="850"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20 056</w:t>
            </w:r>
          </w:p>
        </w:tc>
        <w:tc>
          <w:tcPr>
            <w:tcW w:w="850"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20 098</w:t>
            </w:r>
          </w:p>
        </w:tc>
        <w:tc>
          <w:tcPr>
            <w:tcW w:w="851"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20 437</w:t>
            </w:r>
          </w:p>
        </w:tc>
      </w:tr>
    </w:tbl>
    <w:p w:rsidR="002C39A3" w:rsidRDefault="002C39A3" w:rsidP="00361FA9">
      <w:pPr>
        <w:pStyle w:val="Source"/>
        <w:rPr>
          <w:rFonts w:eastAsiaTheme="minorHAnsi"/>
        </w:rPr>
      </w:pPr>
      <w:r w:rsidRPr="00306142">
        <w:rPr>
          <w:rFonts w:eastAsiaTheme="minorHAnsi"/>
        </w:rPr>
        <w:t xml:space="preserve">Sources: </w:t>
      </w:r>
      <w:r w:rsidRPr="00D74D01">
        <w:rPr>
          <w:rFonts w:eastAsiaTheme="minorHAnsi"/>
        </w:rPr>
        <w:t>Departments of Education and Training, and Treasury and Finance</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3.2.3:</w:t>
      </w:r>
      <w:r>
        <w:rPr>
          <w:rFonts w:eastAsiaTheme="minorHAnsi"/>
        </w:rPr>
        <w:tab/>
        <w:t>Statement of cash flows</w:t>
      </w:r>
    </w:p>
    <w:p w:rsidR="002C39A3" w:rsidRPr="00947365" w:rsidRDefault="002C39A3" w:rsidP="00361FA9">
      <w:pPr>
        <w:pStyle w:val="million"/>
        <w:rPr>
          <w:rFonts w:eastAsiaTheme="minorHAnsi"/>
          <w:b/>
          <w:bCs/>
          <w:lang w:val="en-US"/>
        </w:rPr>
      </w:pPr>
      <w:r>
        <w:rPr>
          <w:rFonts w:eastAsiaTheme="minorHAnsi"/>
        </w:rPr>
        <w:t>($ million)</w:t>
      </w:r>
    </w:p>
    <w:tbl>
      <w:tblPr>
        <w:tblW w:w="7764" w:type="dxa"/>
        <w:tblInd w:w="45" w:type="dxa"/>
        <w:tblLayout w:type="fixed"/>
        <w:tblCellMar>
          <w:left w:w="45" w:type="dxa"/>
          <w:right w:w="45" w:type="dxa"/>
        </w:tblCellMar>
        <w:tblLook w:val="0000" w:firstRow="0" w:lastRow="0" w:firstColumn="0" w:lastColumn="0" w:noHBand="0" w:noVBand="0"/>
      </w:tblPr>
      <w:tblGrid>
        <w:gridCol w:w="4110"/>
        <w:gridCol w:w="913"/>
        <w:gridCol w:w="914"/>
        <w:gridCol w:w="913"/>
        <w:gridCol w:w="914"/>
      </w:tblGrid>
      <w:tr w:rsidR="00B04358" w:rsidRPr="009754AC" w:rsidTr="00B04358">
        <w:trPr>
          <w:cantSplit/>
          <w:trHeight w:val="464"/>
          <w:tblHeader/>
        </w:trPr>
        <w:tc>
          <w:tcPr>
            <w:tcW w:w="4110" w:type="dxa"/>
            <w:tcBorders>
              <w:left w:val="nil"/>
              <w:right w:val="nil"/>
            </w:tcBorders>
            <w:shd w:val="solid" w:color="000000" w:fill="auto"/>
            <w:vAlign w:val="bottom"/>
          </w:tcPr>
          <w:p w:rsidR="00B04358" w:rsidRPr="009754AC" w:rsidRDefault="00B04358" w:rsidP="00B04358">
            <w:pPr>
              <w:pStyle w:val="million"/>
              <w:jc w:val="left"/>
              <w:rPr>
                <w:rFonts w:eastAsiaTheme="minorEastAsia" w:cs="Calibri"/>
                <w:color w:val="FFFFFF"/>
                <w:sz w:val="19"/>
                <w:lang w:eastAsia="en-AU"/>
              </w:rPr>
            </w:pPr>
          </w:p>
        </w:tc>
        <w:tc>
          <w:tcPr>
            <w:tcW w:w="913" w:type="dxa"/>
            <w:tcBorders>
              <w:left w:val="nil"/>
              <w:right w:val="nil"/>
            </w:tcBorders>
            <w:shd w:val="solid" w:color="000000" w:fill="auto"/>
            <w:vAlign w:val="bottom"/>
          </w:tcPr>
          <w:p w:rsidR="00B04358" w:rsidRPr="009754AC"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2014-15</w:t>
            </w:r>
          </w:p>
          <w:p w:rsidR="00B04358" w:rsidRPr="009754AC"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actual</w:t>
            </w:r>
          </w:p>
        </w:tc>
        <w:tc>
          <w:tcPr>
            <w:tcW w:w="914" w:type="dxa"/>
            <w:tcBorders>
              <w:left w:val="nil"/>
              <w:right w:val="nil"/>
            </w:tcBorders>
            <w:shd w:val="solid" w:color="000000" w:fill="auto"/>
            <w:vAlign w:val="bottom"/>
          </w:tcPr>
          <w:p w:rsidR="00B04358" w:rsidRPr="009754AC"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2015-16</w:t>
            </w:r>
          </w:p>
          <w:p w:rsidR="00B04358" w:rsidRPr="009754AC"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budget</w:t>
            </w:r>
          </w:p>
        </w:tc>
        <w:tc>
          <w:tcPr>
            <w:tcW w:w="913" w:type="dxa"/>
            <w:tcBorders>
              <w:left w:val="nil"/>
              <w:right w:val="nil"/>
            </w:tcBorders>
            <w:shd w:val="solid" w:color="000000" w:fill="auto"/>
            <w:vAlign w:val="bottom"/>
          </w:tcPr>
          <w:p w:rsidR="00B04358" w:rsidRPr="009754AC"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2015-16</w:t>
            </w:r>
          </w:p>
          <w:p w:rsidR="00B04358" w:rsidRPr="009754AC"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revised</w:t>
            </w:r>
          </w:p>
        </w:tc>
        <w:tc>
          <w:tcPr>
            <w:tcW w:w="914" w:type="dxa"/>
            <w:tcBorders>
              <w:left w:val="nil"/>
              <w:right w:val="nil"/>
            </w:tcBorders>
            <w:shd w:val="solid" w:color="000000" w:fill="auto"/>
            <w:vAlign w:val="bottom"/>
          </w:tcPr>
          <w:p w:rsidR="00B04358" w:rsidRPr="009754AC"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2016-17</w:t>
            </w:r>
          </w:p>
          <w:p w:rsidR="00B04358" w:rsidRPr="009754AC"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budget</w:t>
            </w:r>
          </w:p>
        </w:tc>
      </w:tr>
      <w:tr w:rsidR="00B04358" w:rsidRPr="009754AC" w:rsidTr="00B04358">
        <w:trPr>
          <w:cantSplit/>
        </w:trPr>
        <w:tc>
          <w:tcPr>
            <w:tcW w:w="7764" w:type="dxa"/>
            <w:gridSpan w:val="5"/>
            <w:tcBorders>
              <w:top w:val="single" w:sz="6" w:space="0" w:color="auto"/>
              <w:left w:val="nil"/>
              <w:right w:val="nil"/>
            </w:tcBorders>
            <w:shd w:val="clear" w:color="auto" w:fill="FFFFFF"/>
          </w:tcPr>
          <w:p w:rsidR="00B04358" w:rsidRPr="009754AC"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b/>
                <w:bCs/>
                <w:color w:val="000000"/>
                <w:sz w:val="19"/>
                <w:lang w:eastAsia="en-AU"/>
              </w:rPr>
              <w:t>Cash flows from operating activities</w:t>
            </w:r>
          </w:p>
        </w:tc>
      </w:tr>
      <w:tr w:rsidR="00B04358" w:rsidRPr="009754AC" w:rsidTr="00B04358">
        <w:trPr>
          <w:cantSplit/>
        </w:trPr>
        <w:tc>
          <w:tcPr>
            <w:tcW w:w="7764" w:type="dxa"/>
            <w:gridSpan w:val="5"/>
            <w:tcBorders>
              <w:top w:val="nil"/>
              <w:left w:val="nil"/>
              <w:right w:val="nil"/>
            </w:tcBorders>
            <w:shd w:val="clear" w:color="auto" w:fill="FFFFFF"/>
          </w:tcPr>
          <w:p w:rsidR="00B04358" w:rsidRPr="009754AC"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b/>
                <w:bCs/>
                <w:color w:val="000000"/>
                <w:sz w:val="19"/>
                <w:lang w:eastAsia="en-AU"/>
              </w:rPr>
              <w:t>Receipts</w:t>
            </w:r>
          </w:p>
        </w:tc>
      </w:tr>
      <w:tr w:rsidR="002C39A3" w:rsidRPr="009754AC" w:rsidTr="00361FA9">
        <w:trPr>
          <w:cantSplit/>
        </w:trPr>
        <w:tc>
          <w:tcPr>
            <w:tcW w:w="4110"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9754AC">
              <w:rPr>
                <w:rFonts w:ascii="Calibri" w:eastAsiaTheme="minorEastAsia" w:hAnsi="Calibri" w:cs="Calibri"/>
                <w:color w:val="000000"/>
                <w:sz w:val="19"/>
                <w:lang w:eastAsia="en-AU"/>
              </w:rPr>
              <w:t>Receipts from Government</w:t>
            </w:r>
          </w:p>
        </w:tc>
        <w:tc>
          <w:tcPr>
            <w:tcW w:w="913"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10 351</w:t>
            </w:r>
          </w:p>
        </w:tc>
        <w:tc>
          <w:tcPr>
            <w:tcW w:w="914"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11 359</w:t>
            </w:r>
          </w:p>
        </w:tc>
        <w:tc>
          <w:tcPr>
            <w:tcW w:w="913"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11 538</w:t>
            </w:r>
          </w:p>
        </w:tc>
        <w:tc>
          <w:tcPr>
            <w:tcW w:w="914"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12 272</w:t>
            </w:r>
          </w:p>
        </w:tc>
      </w:tr>
      <w:tr w:rsidR="002C39A3" w:rsidRPr="009754AC" w:rsidTr="00361FA9">
        <w:trPr>
          <w:cantSplit/>
        </w:trPr>
        <w:tc>
          <w:tcPr>
            <w:tcW w:w="4110"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Receipts from other entities</w:t>
            </w:r>
          </w:p>
        </w:tc>
        <w:tc>
          <w:tcPr>
            <w:tcW w:w="913"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592</w:t>
            </w:r>
          </w:p>
        </w:tc>
        <w:tc>
          <w:tcPr>
            <w:tcW w:w="914"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688</w:t>
            </w:r>
          </w:p>
        </w:tc>
        <w:tc>
          <w:tcPr>
            <w:tcW w:w="913"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688</w:t>
            </w:r>
          </w:p>
        </w:tc>
        <w:tc>
          <w:tcPr>
            <w:tcW w:w="914"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697</w:t>
            </w:r>
          </w:p>
        </w:tc>
      </w:tr>
      <w:tr w:rsidR="002C39A3" w:rsidRPr="009754AC" w:rsidTr="00361FA9">
        <w:trPr>
          <w:cantSplit/>
        </w:trPr>
        <w:tc>
          <w:tcPr>
            <w:tcW w:w="4110"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Interest received</w:t>
            </w:r>
          </w:p>
        </w:tc>
        <w:tc>
          <w:tcPr>
            <w:tcW w:w="913"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29</w:t>
            </w:r>
          </w:p>
        </w:tc>
        <w:tc>
          <w:tcPr>
            <w:tcW w:w="914"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29</w:t>
            </w:r>
          </w:p>
        </w:tc>
        <w:tc>
          <w:tcPr>
            <w:tcW w:w="913"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29</w:t>
            </w:r>
          </w:p>
        </w:tc>
        <w:tc>
          <w:tcPr>
            <w:tcW w:w="914"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30</w:t>
            </w:r>
          </w:p>
        </w:tc>
      </w:tr>
      <w:tr w:rsidR="002C39A3" w:rsidRPr="009754AC" w:rsidTr="00361FA9">
        <w:trPr>
          <w:cantSplit/>
        </w:trPr>
        <w:tc>
          <w:tcPr>
            <w:tcW w:w="411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Other receipts</w:t>
            </w:r>
          </w:p>
        </w:tc>
        <w:tc>
          <w:tcPr>
            <w:tcW w:w="913"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639</w:t>
            </w:r>
          </w:p>
        </w:tc>
        <w:tc>
          <w:tcPr>
            <w:tcW w:w="914"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640</w:t>
            </w:r>
          </w:p>
        </w:tc>
        <w:tc>
          <w:tcPr>
            <w:tcW w:w="913"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640</w:t>
            </w:r>
          </w:p>
        </w:tc>
        <w:tc>
          <w:tcPr>
            <w:tcW w:w="914"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686</w:t>
            </w:r>
          </w:p>
        </w:tc>
      </w:tr>
      <w:tr w:rsidR="002C39A3" w:rsidRPr="009754AC" w:rsidTr="00361FA9">
        <w:trPr>
          <w:cantSplit/>
        </w:trPr>
        <w:tc>
          <w:tcPr>
            <w:tcW w:w="4110"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Total receipts</w:t>
            </w:r>
          </w:p>
        </w:tc>
        <w:tc>
          <w:tcPr>
            <w:tcW w:w="913"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11 611</w:t>
            </w:r>
          </w:p>
        </w:tc>
        <w:tc>
          <w:tcPr>
            <w:tcW w:w="914"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12 717</w:t>
            </w:r>
          </w:p>
        </w:tc>
        <w:tc>
          <w:tcPr>
            <w:tcW w:w="913"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12 895</w:t>
            </w:r>
          </w:p>
        </w:tc>
        <w:tc>
          <w:tcPr>
            <w:tcW w:w="914"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13 684</w:t>
            </w:r>
          </w:p>
        </w:tc>
      </w:tr>
      <w:tr w:rsidR="00B04358" w:rsidRPr="009754AC" w:rsidTr="00B04358">
        <w:trPr>
          <w:cantSplit/>
        </w:trPr>
        <w:tc>
          <w:tcPr>
            <w:tcW w:w="7764" w:type="dxa"/>
            <w:gridSpan w:val="5"/>
            <w:tcBorders>
              <w:top w:val="nil"/>
              <w:left w:val="nil"/>
              <w:right w:val="nil"/>
            </w:tcBorders>
            <w:shd w:val="clear" w:color="auto" w:fill="FFFFFF"/>
          </w:tcPr>
          <w:p w:rsidR="00B04358" w:rsidRPr="009754AC"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Pr>
                <w:rFonts w:ascii="Calibri" w:eastAsiaTheme="minorEastAsia" w:hAnsi="Calibri" w:cs="Calibri"/>
                <w:b/>
                <w:bCs/>
                <w:color w:val="000000"/>
                <w:sz w:val="19"/>
                <w:lang w:eastAsia="en-AU"/>
              </w:rPr>
              <w:t>Payments</w:t>
            </w:r>
          </w:p>
        </w:tc>
      </w:tr>
      <w:tr w:rsidR="002C39A3" w:rsidRPr="009754AC" w:rsidTr="00361FA9">
        <w:trPr>
          <w:cantSplit/>
        </w:trPr>
        <w:tc>
          <w:tcPr>
            <w:tcW w:w="4110"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Payments of grants and other transfers</w:t>
            </w:r>
          </w:p>
        </w:tc>
        <w:tc>
          <w:tcPr>
            <w:tcW w:w="913"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(803)</w:t>
            </w:r>
          </w:p>
        </w:tc>
        <w:tc>
          <w:tcPr>
            <w:tcW w:w="914"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(897)</w:t>
            </w:r>
          </w:p>
        </w:tc>
        <w:tc>
          <w:tcPr>
            <w:tcW w:w="913"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(873)</w:t>
            </w:r>
          </w:p>
        </w:tc>
        <w:tc>
          <w:tcPr>
            <w:tcW w:w="914"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(1 018)</w:t>
            </w:r>
          </w:p>
        </w:tc>
      </w:tr>
      <w:tr w:rsidR="002C39A3" w:rsidRPr="009754AC" w:rsidTr="00361FA9">
        <w:trPr>
          <w:cantSplit/>
        </w:trPr>
        <w:tc>
          <w:tcPr>
            <w:tcW w:w="4110"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Payments to suppliers and employees</w:t>
            </w:r>
          </w:p>
        </w:tc>
        <w:tc>
          <w:tcPr>
            <w:tcW w:w="913"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(9 338)</w:t>
            </w:r>
          </w:p>
        </w:tc>
        <w:tc>
          <w:tcPr>
            <w:tcW w:w="914"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(10 024)</w:t>
            </w:r>
          </w:p>
        </w:tc>
        <w:tc>
          <w:tcPr>
            <w:tcW w:w="913"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(10 224)</w:t>
            </w:r>
          </w:p>
        </w:tc>
        <w:tc>
          <w:tcPr>
            <w:tcW w:w="914"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(10 669)</w:t>
            </w:r>
          </w:p>
        </w:tc>
      </w:tr>
      <w:tr w:rsidR="002C39A3" w:rsidRPr="009754AC" w:rsidTr="00361FA9">
        <w:trPr>
          <w:cantSplit/>
        </w:trPr>
        <w:tc>
          <w:tcPr>
            <w:tcW w:w="4110"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Capital asset charge</w:t>
            </w:r>
          </w:p>
        </w:tc>
        <w:tc>
          <w:tcPr>
            <w:tcW w:w="913"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(1 287)</w:t>
            </w:r>
          </w:p>
        </w:tc>
        <w:tc>
          <w:tcPr>
            <w:tcW w:w="914"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(1 292)</w:t>
            </w:r>
          </w:p>
        </w:tc>
        <w:tc>
          <w:tcPr>
            <w:tcW w:w="913"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(1 292)</w:t>
            </w:r>
          </w:p>
        </w:tc>
        <w:tc>
          <w:tcPr>
            <w:tcW w:w="914"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(1 317)</w:t>
            </w:r>
          </w:p>
        </w:tc>
      </w:tr>
      <w:tr w:rsidR="002C39A3" w:rsidRPr="009754AC" w:rsidTr="00361FA9">
        <w:trPr>
          <w:cantSplit/>
        </w:trPr>
        <w:tc>
          <w:tcPr>
            <w:tcW w:w="411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Interest and other costs of finance paid</w:t>
            </w:r>
          </w:p>
        </w:tc>
        <w:tc>
          <w:tcPr>
            <w:tcW w:w="913"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(16)</w:t>
            </w:r>
          </w:p>
        </w:tc>
        <w:tc>
          <w:tcPr>
            <w:tcW w:w="914"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(15)</w:t>
            </w:r>
          </w:p>
        </w:tc>
        <w:tc>
          <w:tcPr>
            <w:tcW w:w="913"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(15)</w:t>
            </w:r>
          </w:p>
        </w:tc>
        <w:tc>
          <w:tcPr>
            <w:tcW w:w="914"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(21)</w:t>
            </w:r>
          </w:p>
        </w:tc>
      </w:tr>
      <w:tr w:rsidR="002C39A3" w:rsidRPr="009754AC" w:rsidTr="00361FA9">
        <w:trPr>
          <w:cantSplit/>
        </w:trPr>
        <w:tc>
          <w:tcPr>
            <w:tcW w:w="411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Total payments</w:t>
            </w:r>
          </w:p>
        </w:tc>
        <w:tc>
          <w:tcPr>
            <w:tcW w:w="913"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(11 444)</w:t>
            </w:r>
          </w:p>
        </w:tc>
        <w:tc>
          <w:tcPr>
            <w:tcW w:w="914"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(12 228)</w:t>
            </w:r>
          </w:p>
        </w:tc>
        <w:tc>
          <w:tcPr>
            <w:tcW w:w="913"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(12 404)</w:t>
            </w:r>
          </w:p>
        </w:tc>
        <w:tc>
          <w:tcPr>
            <w:tcW w:w="914"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(13 025)</w:t>
            </w:r>
          </w:p>
        </w:tc>
      </w:tr>
      <w:tr w:rsidR="002C39A3" w:rsidRPr="009754AC" w:rsidTr="00361FA9">
        <w:trPr>
          <w:cantSplit/>
        </w:trPr>
        <w:tc>
          <w:tcPr>
            <w:tcW w:w="4110"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Net cash flows from/(used in) operating activities</w:t>
            </w:r>
          </w:p>
        </w:tc>
        <w:tc>
          <w:tcPr>
            <w:tcW w:w="913"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167</w:t>
            </w:r>
          </w:p>
        </w:tc>
        <w:tc>
          <w:tcPr>
            <w:tcW w:w="914"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489</w:t>
            </w:r>
          </w:p>
        </w:tc>
        <w:tc>
          <w:tcPr>
            <w:tcW w:w="913"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491</w:t>
            </w:r>
          </w:p>
        </w:tc>
        <w:tc>
          <w:tcPr>
            <w:tcW w:w="914"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659</w:t>
            </w:r>
          </w:p>
        </w:tc>
      </w:tr>
      <w:tr w:rsidR="00B04358" w:rsidRPr="009754AC" w:rsidTr="00B04358">
        <w:trPr>
          <w:cantSplit/>
        </w:trPr>
        <w:tc>
          <w:tcPr>
            <w:tcW w:w="7764" w:type="dxa"/>
            <w:gridSpan w:val="5"/>
            <w:tcBorders>
              <w:top w:val="nil"/>
              <w:left w:val="nil"/>
              <w:right w:val="nil"/>
            </w:tcBorders>
            <w:shd w:val="clear" w:color="auto" w:fill="FFFFFF"/>
          </w:tcPr>
          <w:p w:rsidR="00B04358" w:rsidRPr="009754AC"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b/>
                <w:bCs/>
                <w:color w:val="000000"/>
                <w:sz w:val="19"/>
                <w:lang w:eastAsia="en-AU"/>
              </w:rPr>
              <w:t>Cash flows from investing activities</w:t>
            </w:r>
          </w:p>
        </w:tc>
      </w:tr>
      <w:tr w:rsidR="002C39A3" w:rsidRPr="009754AC" w:rsidTr="00361FA9">
        <w:trPr>
          <w:cantSplit/>
        </w:trPr>
        <w:tc>
          <w:tcPr>
            <w:tcW w:w="4110"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9754AC">
              <w:rPr>
                <w:rFonts w:ascii="Calibri" w:eastAsiaTheme="minorEastAsia" w:hAnsi="Calibri" w:cs="Calibri"/>
                <w:color w:val="000000"/>
                <w:sz w:val="19"/>
                <w:lang w:eastAsia="en-AU"/>
              </w:rPr>
              <w:t>Net investment</w:t>
            </w:r>
          </w:p>
        </w:tc>
        <w:tc>
          <w:tcPr>
            <w:tcW w:w="913"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65</w:t>
            </w:r>
          </w:p>
        </w:tc>
        <w:tc>
          <w:tcPr>
            <w:tcW w:w="914"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(21)</w:t>
            </w:r>
          </w:p>
        </w:tc>
        <w:tc>
          <w:tcPr>
            <w:tcW w:w="913"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(21)</w:t>
            </w:r>
          </w:p>
        </w:tc>
        <w:tc>
          <w:tcPr>
            <w:tcW w:w="914"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w:t>
            </w:r>
          </w:p>
        </w:tc>
      </w:tr>
      <w:tr w:rsidR="002C39A3" w:rsidRPr="009754AC" w:rsidTr="00361FA9">
        <w:trPr>
          <w:cantSplit/>
        </w:trPr>
        <w:tc>
          <w:tcPr>
            <w:tcW w:w="4110"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Payments for non-financial assets</w:t>
            </w:r>
          </w:p>
        </w:tc>
        <w:tc>
          <w:tcPr>
            <w:tcW w:w="913"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(587)</w:t>
            </w:r>
          </w:p>
        </w:tc>
        <w:tc>
          <w:tcPr>
            <w:tcW w:w="914"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(488)</w:t>
            </w:r>
          </w:p>
        </w:tc>
        <w:tc>
          <w:tcPr>
            <w:tcW w:w="913"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(447)</w:t>
            </w:r>
          </w:p>
        </w:tc>
        <w:tc>
          <w:tcPr>
            <w:tcW w:w="914"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(850)</w:t>
            </w:r>
          </w:p>
        </w:tc>
      </w:tr>
      <w:tr w:rsidR="002C39A3" w:rsidRPr="009754AC" w:rsidTr="00361FA9">
        <w:trPr>
          <w:cantSplit/>
        </w:trPr>
        <w:tc>
          <w:tcPr>
            <w:tcW w:w="4110"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Proceeds from sale of non-financial assets</w:t>
            </w:r>
          </w:p>
        </w:tc>
        <w:tc>
          <w:tcPr>
            <w:tcW w:w="913"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15</w:t>
            </w:r>
          </w:p>
        </w:tc>
        <w:tc>
          <w:tcPr>
            <w:tcW w:w="914"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c>
          <w:tcPr>
            <w:tcW w:w="913"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c>
          <w:tcPr>
            <w:tcW w:w="914"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r>
      <w:tr w:rsidR="002C39A3" w:rsidRPr="009754AC" w:rsidTr="00361FA9">
        <w:trPr>
          <w:cantSplit/>
        </w:trPr>
        <w:tc>
          <w:tcPr>
            <w:tcW w:w="4110"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Net loans to other parties</w:t>
            </w:r>
          </w:p>
        </w:tc>
        <w:tc>
          <w:tcPr>
            <w:tcW w:w="913"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w:t>
            </w:r>
          </w:p>
        </w:tc>
        <w:tc>
          <w:tcPr>
            <w:tcW w:w="914"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w:t>
            </w:r>
          </w:p>
        </w:tc>
        <w:tc>
          <w:tcPr>
            <w:tcW w:w="913"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w:t>
            </w:r>
          </w:p>
        </w:tc>
        <w:tc>
          <w:tcPr>
            <w:tcW w:w="914"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r>
      <w:tr w:rsidR="002C39A3" w:rsidRPr="009754AC" w:rsidTr="00361FA9">
        <w:trPr>
          <w:cantSplit/>
        </w:trPr>
        <w:tc>
          <w:tcPr>
            <w:tcW w:w="411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 xml:space="preserve">Net (purchase)/disposal of investments – </w:t>
            </w:r>
            <w:r w:rsidR="00B04358">
              <w:rPr>
                <w:rFonts w:ascii="Calibri" w:eastAsiaTheme="minorEastAsia" w:hAnsi="Calibri" w:cs="Calibri"/>
                <w:color w:val="000000"/>
                <w:sz w:val="19"/>
                <w:lang w:eastAsia="en-AU"/>
              </w:rPr>
              <w:br/>
            </w:r>
            <w:r w:rsidRPr="009754AC">
              <w:rPr>
                <w:rFonts w:ascii="Calibri" w:eastAsiaTheme="minorEastAsia" w:hAnsi="Calibri" w:cs="Calibri"/>
                <w:color w:val="000000"/>
                <w:sz w:val="19"/>
                <w:lang w:eastAsia="en-AU"/>
              </w:rPr>
              <w:t>policy purposes</w:t>
            </w:r>
          </w:p>
        </w:tc>
        <w:tc>
          <w:tcPr>
            <w:tcW w:w="913"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(15)</w:t>
            </w:r>
          </w:p>
        </w:tc>
        <w:tc>
          <w:tcPr>
            <w:tcW w:w="914"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c>
          <w:tcPr>
            <w:tcW w:w="913"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c>
          <w:tcPr>
            <w:tcW w:w="914"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r>
      <w:tr w:rsidR="002C39A3" w:rsidRPr="009754AC" w:rsidTr="00361FA9">
        <w:trPr>
          <w:cantSplit/>
        </w:trPr>
        <w:tc>
          <w:tcPr>
            <w:tcW w:w="4110"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Net cash flow from/(used in) investing activities</w:t>
            </w:r>
          </w:p>
        </w:tc>
        <w:tc>
          <w:tcPr>
            <w:tcW w:w="913"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(533)</w:t>
            </w:r>
          </w:p>
        </w:tc>
        <w:tc>
          <w:tcPr>
            <w:tcW w:w="914"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(503)</w:t>
            </w:r>
          </w:p>
        </w:tc>
        <w:tc>
          <w:tcPr>
            <w:tcW w:w="913"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(462)</w:t>
            </w:r>
          </w:p>
        </w:tc>
        <w:tc>
          <w:tcPr>
            <w:tcW w:w="914"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(852)</w:t>
            </w:r>
          </w:p>
        </w:tc>
      </w:tr>
      <w:tr w:rsidR="00B04358" w:rsidRPr="009754AC" w:rsidTr="00B04358">
        <w:trPr>
          <w:cantSplit/>
        </w:trPr>
        <w:tc>
          <w:tcPr>
            <w:tcW w:w="7764" w:type="dxa"/>
            <w:gridSpan w:val="5"/>
            <w:tcBorders>
              <w:top w:val="nil"/>
              <w:left w:val="nil"/>
              <w:right w:val="nil"/>
            </w:tcBorders>
            <w:shd w:val="clear" w:color="auto" w:fill="FFFFFF"/>
          </w:tcPr>
          <w:p w:rsidR="00B04358" w:rsidRPr="009754AC"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b/>
                <w:bCs/>
                <w:color w:val="000000"/>
                <w:sz w:val="19"/>
                <w:lang w:eastAsia="en-AU"/>
              </w:rPr>
              <w:t>Cash flows from financing activities</w:t>
            </w:r>
          </w:p>
        </w:tc>
      </w:tr>
      <w:tr w:rsidR="002C39A3" w:rsidRPr="009754AC" w:rsidTr="00361FA9">
        <w:trPr>
          <w:cantSplit/>
        </w:trPr>
        <w:tc>
          <w:tcPr>
            <w:tcW w:w="4110"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Owner contributions by State Government</w:t>
            </w:r>
          </w:p>
        </w:tc>
        <w:tc>
          <w:tcPr>
            <w:tcW w:w="913"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418</w:t>
            </w:r>
          </w:p>
        </w:tc>
        <w:tc>
          <w:tcPr>
            <w:tcW w:w="914"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57</w:t>
            </w:r>
          </w:p>
        </w:tc>
        <w:tc>
          <w:tcPr>
            <w:tcW w:w="913"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66</w:t>
            </w:r>
          </w:p>
        </w:tc>
        <w:tc>
          <w:tcPr>
            <w:tcW w:w="914"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242</w:t>
            </w:r>
          </w:p>
        </w:tc>
      </w:tr>
      <w:tr w:rsidR="002C39A3" w:rsidRPr="009754AC" w:rsidTr="00361FA9">
        <w:trPr>
          <w:cantSplit/>
        </w:trPr>
        <w:tc>
          <w:tcPr>
            <w:tcW w:w="4110"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Repayment of finance leases</w:t>
            </w:r>
          </w:p>
        </w:tc>
        <w:tc>
          <w:tcPr>
            <w:tcW w:w="913"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w:t>
            </w:r>
          </w:p>
        </w:tc>
        <w:tc>
          <w:tcPr>
            <w:tcW w:w="914"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w:t>
            </w:r>
          </w:p>
        </w:tc>
        <w:tc>
          <w:tcPr>
            <w:tcW w:w="913"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w:t>
            </w:r>
          </w:p>
        </w:tc>
        <w:tc>
          <w:tcPr>
            <w:tcW w:w="914"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w:t>
            </w:r>
          </w:p>
        </w:tc>
      </w:tr>
      <w:tr w:rsidR="002C39A3" w:rsidRPr="009754AC" w:rsidTr="00361FA9">
        <w:trPr>
          <w:cantSplit/>
        </w:trPr>
        <w:tc>
          <w:tcPr>
            <w:tcW w:w="411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Net borrowings</w:t>
            </w:r>
          </w:p>
        </w:tc>
        <w:tc>
          <w:tcPr>
            <w:tcW w:w="913"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c>
          <w:tcPr>
            <w:tcW w:w="914"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(14)</w:t>
            </w:r>
          </w:p>
        </w:tc>
        <w:tc>
          <w:tcPr>
            <w:tcW w:w="913"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(14)</w:t>
            </w:r>
          </w:p>
        </w:tc>
        <w:tc>
          <w:tcPr>
            <w:tcW w:w="914"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(19)</w:t>
            </w:r>
          </w:p>
        </w:tc>
      </w:tr>
      <w:tr w:rsidR="002C39A3" w:rsidRPr="009754AC" w:rsidTr="00361FA9">
        <w:trPr>
          <w:cantSplit/>
        </w:trPr>
        <w:tc>
          <w:tcPr>
            <w:tcW w:w="4110"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Net cash flows from/(used in) financing activities</w:t>
            </w:r>
          </w:p>
        </w:tc>
        <w:tc>
          <w:tcPr>
            <w:tcW w:w="913"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416</w:t>
            </w:r>
          </w:p>
        </w:tc>
        <w:tc>
          <w:tcPr>
            <w:tcW w:w="914"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39</w:t>
            </w:r>
          </w:p>
        </w:tc>
        <w:tc>
          <w:tcPr>
            <w:tcW w:w="913"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47</w:t>
            </w:r>
          </w:p>
        </w:tc>
        <w:tc>
          <w:tcPr>
            <w:tcW w:w="914"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217</w:t>
            </w:r>
          </w:p>
        </w:tc>
      </w:tr>
      <w:tr w:rsidR="002C39A3" w:rsidRPr="009754AC" w:rsidTr="00361FA9">
        <w:trPr>
          <w:cantSplit/>
        </w:trPr>
        <w:tc>
          <w:tcPr>
            <w:tcW w:w="4110" w:type="dxa"/>
            <w:tcBorders>
              <w:top w:val="single" w:sz="12" w:space="0" w:color="auto"/>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Net incre</w:t>
            </w:r>
            <w:r w:rsidR="00B04358">
              <w:rPr>
                <w:rFonts w:ascii="Calibri" w:eastAsiaTheme="minorEastAsia" w:hAnsi="Calibri" w:cs="Calibri"/>
                <w:b/>
                <w:bCs/>
                <w:color w:val="000000"/>
                <w:sz w:val="19"/>
                <w:lang w:eastAsia="en-AU"/>
              </w:rPr>
              <w:t>ase/(decrease) in cash and cash </w:t>
            </w:r>
            <w:r w:rsidRPr="009754AC">
              <w:rPr>
                <w:rFonts w:ascii="Calibri" w:eastAsiaTheme="minorEastAsia" w:hAnsi="Calibri" w:cs="Calibri"/>
                <w:b/>
                <w:bCs/>
                <w:color w:val="000000"/>
                <w:sz w:val="19"/>
                <w:lang w:eastAsia="en-AU"/>
              </w:rPr>
              <w:t>equivalents</w:t>
            </w:r>
          </w:p>
        </w:tc>
        <w:tc>
          <w:tcPr>
            <w:tcW w:w="913" w:type="dxa"/>
            <w:tcBorders>
              <w:top w:val="single" w:sz="12"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50</w:t>
            </w:r>
          </w:p>
        </w:tc>
        <w:tc>
          <w:tcPr>
            <w:tcW w:w="914" w:type="dxa"/>
            <w:tcBorders>
              <w:top w:val="single" w:sz="12"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25</w:t>
            </w:r>
          </w:p>
        </w:tc>
        <w:tc>
          <w:tcPr>
            <w:tcW w:w="913" w:type="dxa"/>
            <w:tcBorders>
              <w:top w:val="single" w:sz="12"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76</w:t>
            </w:r>
          </w:p>
        </w:tc>
        <w:tc>
          <w:tcPr>
            <w:tcW w:w="914" w:type="dxa"/>
            <w:tcBorders>
              <w:top w:val="single" w:sz="12"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24</w:t>
            </w:r>
          </w:p>
        </w:tc>
      </w:tr>
      <w:tr w:rsidR="002C39A3" w:rsidRPr="009754AC" w:rsidTr="00361FA9">
        <w:trPr>
          <w:cantSplit/>
        </w:trPr>
        <w:tc>
          <w:tcPr>
            <w:tcW w:w="4110" w:type="dxa"/>
            <w:tcBorders>
              <w:top w:val="nil"/>
              <w:left w:val="nil"/>
              <w:bottom w:val="single" w:sz="6" w:space="0" w:color="auto"/>
              <w:right w:val="nil"/>
            </w:tcBorders>
            <w:shd w:val="solid" w:color="FFFFFF"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Cash and cash equivalents at the beginning of the financial year</w:t>
            </w:r>
          </w:p>
        </w:tc>
        <w:tc>
          <w:tcPr>
            <w:tcW w:w="913" w:type="dxa"/>
            <w:tcBorders>
              <w:top w:val="nil"/>
              <w:left w:val="nil"/>
              <w:bottom w:val="single" w:sz="6" w:space="0" w:color="auto"/>
              <w:right w:val="nil"/>
            </w:tcBorders>
            <w:shd w:val="solid" w:color="FFFFFF"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883</w:t>
            </w:r>
          </w:p>
        </w:tc>
        <w:tc>
          <w:tcPr>
            <w:tcW w:w="914" w:type="dxa"/>
            <w:tcBorders>
              <w:top w:val="nil"/>
              <w:left w:val="nil"/>
              <w:bottom w:val="single" w:sz="6" w:space="0" w:color="auto"/>
              <w:right w:val="nil"/>
            </w:tcBorders>
            <w:shd w:val="solid" w:color="FFFFFF"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933</w:t>
            </w:r>
          </w:p>
        </w:tc>
        <w:tc>
          <w:tcPr>
            <w:tcW w:w="913" w:type="dxa"/>
            <w:tcBorders>
              <w:top w:val="nil"/>
              <w:left w:val="nil"/>
              <w:bottom w:val="single" w:sz="6" w:space="0" w:color="auto"/>
              <w:right w:val="nil"/>
            </w:tcBorders>
            <w:shd w:val="solid" w:color="FFFFFF"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933</w:t>
            </w:r>
          </w:p>
        </w:tc>
        <w:tc>
          <w:tcPr>
            <w:tcW w:w="914" w:type="dxa"/>
            <w:tcBorders>
              <w:top w:val="nil"/>
              <w:left w:val="nil"/>
              <w:bottom w:val="single" w:sz="6" w:space="0" w:color="auto"/>
              <w:right w:val="nil"/>
            </w:tcBorders>
            <w:shd w:val="solid" w:color="FFFFFF"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1 009</w:t>
            </w:r>
          </w:p>
        </w:tc>
      </w:tr>
      <w:tr w:rsidR="002C39A3" w:rsidRPr="009754AC" w:rsidTr="00361FA9">
        <w:trPr>
          <w:cantSplit/>
        </w:trPr>
        <w:tc>
          <w:tcPr>
            <w:tcW w:w="4110" w:type="dxa"/>
            <w:tcBorders>
              <w:top w:val="single" w:sz="6" w:space="0" w:color="auto"/>
              <w:left w:val="nil"/>
              <w:bottom w:val="single" w:sz="12" w:space="0" w:color="auto"/>
              <w:right w:val="nil"/>
            </w:tcBorders>
            <w:shd w:val="solid" w:color="FFFFFF"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Cash and cash equivalents at the end of the financial year</w:t>
            </w:r>
          </w:p>
        </w:tc>
        <w:tc>
          <w:tcPr>
            <w:tcW w:w="913" w:type="dxa"/>
            <w:tcBorders>
              <w:top w:val="single" w:sz="6" w:space="0" w:color="auto"/>
              <w:left w:val="nil"/>
              <w:bottom w:val="single" w:sz="12" w:space="0" w:color="auto"/>
              <w:right w:val="nil"/>
            </w:tcBorders>
            <w:shd w:val="solid" w:color="FFFFFF"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933</w:t>
            </w:r>
          </w:p>
        </w:tc>
        <w:tc>
          <w:tcPr>
            <w:tcW w:w="914" w:type="dxa"/>
            <w:tcBorders>
              <w:top w:val="single" w:sz="6" w:space="0" w:color="auto"/>
              <w:left w:val="nil"/>
              <w:bottom w:val="single" w:sz="12" w:space="0" w:color="auto"/>
              <w:right w:val="nil"/>
            </w:tcBorders>
            <w:shd w:val="solid" w:color="FFFFFF"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957</w:t>
            </w:r>
          </w:p>
        </w:tc>
        <w:tc>
          <w:tcPr>
            <w:tcW w:w="913" w:type="dxa"/>
            <w:tcBorders>
              <w:top w:val="single" w:sz="6" w:space="0" w:color="auto"/>
              <w:left w:val="nil"/>
              <w:bottom w:val="single" w:sz="12" w:space="0" w:color="auto"/>
              <w:right w:val="nil"/>
            </w:tcBorders>
            <w:shd w:val="solid" w:color="FFFFFF"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1 009</w:t>
            </w:r>
          </w:p>
        </w:tc>
        <w:tc>
          <w:tcPr>
            <w:tcW w:w="914" w:type="dxa"/>
            <w:tcBorders>
              <w:top w:val="single" w:sz="6" w:space="0" w:color="auto"/>
              <w:left w:val="nil"/>
              <w:bottom w:val="single" w:sz="12" w:space="0" w:color="auto"/>
              <w:right w:val="nil"/>
            </w:tcBorders>
            <w:shd w:val="solid" w:color="FFFFFF"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1 033</w:t>
            </w:r>
          </w:p>
        </w:tc>
      </w:tr>
    </w:tbl>
    <w:p w:rsidR="002C39A3" w:rsidRDefault="002C39A3" w:rsidP="00361FA9">
      <w:pPr>
        <w:pStyle w:val="Source"/>
        <w:rPr>
          <w:rFonts w:eastAsiaTheme="minorHAnsi"/>
        </w:rPr>
      </w:pPr>
      <w:r w:rsidRPr="00306142">
        <w:rPr>
          <w:rFonts w:eastAsiaTheme="minorHAnsi"/>
        </w:rPr>
        <w:t xml:space="preserve">Sources: </w:t>
      </w:r>
      <w:r w:rsidRPr="00D74D01">
        <w:rPr>
          <w:rFonts w:eastAsiaTheme="minorHAnsi"/>
        </w:rPr>
        <w:t>Departments of Education and Training, and Treasury and Finance</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3.2.4:</w:t>
      </w:r>
      <w:r>
        <w:rPr>
          <w:rFonts w:eastAsiaTheme="minorHAnsi"/>
        </w:rPr>
        <w:tab/>
        <w:t>Statement of changes in equity</w:t>
      </w:r>
    </w:p>
    <w:p w:rsidR="002C39A3" w:rsidRPr="00947365" w:rsidRDefault="002C39A3" w:rsidP="00361FA9">
      <w:pPr>
        <w:pStyle w:val="million"/>
        <w:rPr>
          <w:rFonts w:eastAsiaTheme="minorHAnsi"/>
          <w:b/>
          <w:bCs/>
          <w:lang w:val="en-US"/>
        </w:rPr>
      </w:pPr>
      <w:r>
        <w:rPr>
          <w:rFonts w:eastAsiaTheme="minorHAnsi"/>
        </w:rPr>
        <w:t>($ million)</w:t>
      </w:r>
    </w:p>
    <w:tbl>
      <w:tblPr>
        <w:tblW w:w="7763" w:type="dxa"/>
        <w:tblInd w:w="45" w:type="dxa"/>
        <w:tblLayout w:type="fixed"/>
        <w:tblCellMar>
          <w:left w:w="45" w:type="dxa"/>
          <w:right w:w="45" w:type="dxa"/>
        </w:tblCellMar>
        <w:tblLook w:val="0000" w:firstRow="0" w:lastRow="0" w:firstColumn="0" w:lastColumn="0" w:noHBand="0" w:noVBand="0"/>
      </w:tblPr>
      <w:tblGrid>
        <w:gridCol w:w="2551"/>
        <w:gridCol w:w="567"/>
        <w:gridCol w:w="850"/>
        <w:gridCol w:w="1135"/>
        <w:gridCol w:w="1071"/>
        <w:gridCol w:w="772"/>
        <w:gridCol w:w="817"/>
      </w:tblGrid>
      <w:tr w:rsidR="002C39A3" w:rsidRPr="009754AC" w:rsidTr="00361FA9">
        <w:trPr>
          <w:cantSplit/>
          <w:tblHeader/>
        </w:trPr>
        <w:tc>
          <w:tcPr>
            <w:tcW w:w="2551" w:type="dxa"/>
            <w:tcBorders>
              <w:left w:val="nil"/>
              <w:bottom w:val="single" w:sz="6" w:space="0" w:color="auto"/>
              <w:right w:val="nil"/>
            </w:tcBorders>
            <w:shd w:val="solid" w:color="000000" w:fill="auto"/>
            <w:vAlign w:val="bottom"/>
          </w:tcPr>
          <w:p w:rsidR="002C39A3" w:rsidRPr="009754AC" w:rsidRDefault="002C39A3" w:rsidP="00361FA9">
            <w:pPr>
              <w:pStyle w:val="million"/>
              <w:jc w:val="left"/>
              <w:rPr>
                <w:rFonts w:eastAsiaTheme="minorEastAsia" w:cs="Calibri"/>
                <w:color w:val="FFFFFF"/>
                <w:sz w:val="19"/>
                <w:lang w:eastAsia="en-AU"/>
              </w:rPr>
            </w:pPr>
            <w:r w:rsidRPr="009754AC">
              <w:rPr>
                <w:rFonts w:eastAsiaTheme="minorEastAsia" w:cs="Calibri"/>
                <w:color w:val="FFFFFF"/>
                <w:sz w:val="19"/>
                <w:lang w:eastAsia="en-AU"/>
              </w:rPr>
              <w:t xml:space="preserve"> </w:t>
            </w:r>
          </w:p>
        </w:tc>
        <w:tc>
          <w:tcPr>
            <w:tcW w:w="1417" w:type="dxa"/>
            <w:gridSpan w:val="2"/>
            <w:tcBorders>
              <w:left w:val="nil"/>
              <w:bottom w:val="single" w:sz="6" w:space="0" w:color="auto"/>
              <w:right w:val="nil"/>
            </w:tcBorders>
            <w:shd w:val="solid" w:color="000000" w:fill="auto"/>
            <w:vAlign w:val="bottom"/>
          </w:tcPr>
          <w:p w:rsidR="002C39A3" w:rsidRPr="009754AC"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Accumulated surplus/(deficit)</w:t>
            </w:r>
          </w:p>
        </w:tc>
        <w:tc>
          <w:tcPr>
            <w:tcW w:w="1135" w:type="dxa"/>
            <w:tcBorders>
              <w:left w:val="nil"/>
              <w:bottom w:val="single" w:sz="6" w:space="0" w:color="auto"/>
              <w:right w:val="nil"/>
            </w:tcBorders>
            <w:shd w:val="solid" w:color="000000" w:fill="auto"/>
            <w:vAlign w:val="bottom"/>
          </w:tcPr>
          <w:p w:rsidR="002C39A3" w:rsidRPr="009754AC"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Contributions by owner</w:t>
            </w:r>
          </w:p>
        </w:tc>
        <w:tc>
          <w:tcPr>
            <w:tcW w:w="1071" w:type="dxa"/>
            <w:tcBorders>
              <w:left w:val="nil"/>
              <w:bottom w:val="single" w:sz="6" w:space="0" w:color="auto"/>
              <w:right w:val="nil"/>
            </w:tcBorders>
            <w:shd w:val="solid" w:color="000000" w:fill="auto"/>
            <w:vAlign w:val="bottom"/>
          </w:tcPr>
          <w:p w:rsidR="002C39A3" w:rsidRPr="009754AC"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Revaluation surplus</w:t>
            </w:r>
          </w:p>
        </w:tc>
        <w:tc>
          <w:tcPr>
            <w:tcW w:w="772" w:type="dxa"/>
            <w:tcBorders>
              <w:left w:val="nil"/>
              <w:bottom w:val="single" w:sz="6" w:space="0" w:color="auto"/>
              <w:right w:val="nil"/>
            </w:tcBorders>
            <w:shd w:val="solid" w:color="000000" w:fill="auto"/>
            <w:vAlign w:val="bottom"/>
          </w:tcPr>
          <w:p w:rsidR="002C39A3" w:rsidRPr="009754AC"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Other reserves</w:t>
            </w:r>
          </w:p>
        </w:tc>
        <w:tc>
          <w:tcPr>
            <w:tcW w:w="817" w:type="dxa"/>
            <w:tcBorders>
              <w:left w:val="nil"/>
              <w:bottom w:val="single" w:sz="6" w:space="0" w:color="auto"/>
              <w:right w:val="nil"/>
            </w:tcBorders>
            <w:shd w:val="solid" w:color="000000" w:fill="auto"/>
            <w:vAlign w:val="bottom"/>
          </w:tcPr>
          <w:p w:rsidR="002C39A3" w:rsidRPr="009754AC"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 xml:space="preserve">Total equity </w:t>
            </w:r>
          </w:p>
        </w:tc>
      </w:tr>
      <w:tr w:rsidR="002C39A3" w:rsidRPr="009754AC" w:rsidTr="00361FA9">
        <w:trPr>
          <w:cantSplit/>
        </w:trPr>
        <w:tc>
          <w:tcPr>
            <w:tcW w:w="3118" w:type="dxa"/>
            <w:gridSpan w:val="2"/>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Opening balance 1 July 2014</w:t>
            </w:r>
          </w:p>
        </w:tc>
        <w:tc>
          <w:tcPr>
            <w:tcW w:w="850"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2 109</w:t>
            </w:r>
          </w:p>
        </w:tc>
        <w:tc>
          <w:tcPr>
            <w:tcW w:w="1135"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9 283</w:t>
            </w:r>
          </w:p>
        </w:tc>
        <w:tc>
          <w:tcPr>
            <w:tcW w:w="1071"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7 489</w:t>
            </w:r>
          </w:p>
        </w:tc>
        <w:tc>
          <w:tcPr>
            <w:tcW w:w="772"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17</w:t>
            </w:r>
          </w:p>
        </w:tc>
        <w:tc>
          <w:tcPr>
            <w:tcW w:w="817"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18 898</w:t>
            </w:r>
          </w:p>
        </w:tc>
      </w:tr>
      <w:tr w:rsidR="002C39A3" w:rsidRPr="009754AC" w:rsidTr="00361FA9">
        <w:trPr>
          <w:cantSplit/>
        </w:trPr>
        <w:tc>
          <w:tcPr>
            <w:tcW w:w="3118" w:type="dxa"/>
            <w:gridSpan w:val="2"/>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115</w:t>
            </w:r>
          </w:p>
        </w:tc>
        <w:tc>
          <w:tcPr>
            <w:tcW w:w="1135"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830</w:t>
            </w:r>
          </w:p>
        </w:tc>
        <w:tc>
          <w:tcPr>
            <w:tcW w:w="772"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w:t>
            </w:r>
          </w:p>
        </w:tc>
        <w:tc>
          <w:tcPr>
            <w:tcW w:w="817"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937</w:t>
            </w:r>
          </w:p>
        </w:tc>
      </w:tr>
      <w:tr w:rsidR="002C39A3" w:rsidRPr="009754AC" w:rsidTr="00361FA9">
        <w:trPr>
          <w:cantSplit/>
        </w:trPr>
        <w:tc>
          <w:tcPr>
            <w:tcW w:w="3118" w:type="dxa"/>
            <w:gridSpan w:val="2"/>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(130)</w:t>
            </w:r>
          </w:p>
        </w:tc>
        <w:tc>
          <w:tcPr>
            <w:tcW w:w="1135"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249</w:t>
            </w:r>
          </w:p>
        </w:tc>
        <w:tc>
          <w:tcPr>
            <w:tcW w:w="1071"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(75)</w:t>
            </w:r>
          </w:p>
        </w:tc>
        <w:tc>
          <w:tcPr>
            <w:tcW w:w="772"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c>
          <w:tcPr>
            <w:tcW w:w="817"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44</w:t>
            </w:r>
          </w:p>
        </w:tc>
      </w:tr>
      <w:tr w:rsidR="002C39A3" w:rsidRPr="009754AC" w:rsidTr="00361FA9">
        <w:trPr>
          <w:cantSplit/>
        </w:trPr>
        <w:tc>
          <w:tcPr>
            <w:tcW w:w="3118" w:type="dxa"/>
            <w:gridSpan w:val="2"/>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Closing balance 30 June 2015 (actual)</w:t>
            </w:r>
          </w:p>
        </w:tc>
        <w:tc>
          <w:tcPr>
            <w:tcW w:w="850"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2 094</w:t>
            </w:r>
          </w:p>
        </w:tc>
        <w:tc>
          <w:tcPr>
            <w:tcW w:w="1135"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9 532</w:t>
            </w:r>
          </w:p>
        </w:tc>
        <w:tc>
          <w:tcPr>
            <w:tcW w:w="1071"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8 244</w:t>
            </w:r>
          </w:p>
        </w:tc>
        <w:tc>
          <w:tcPr>
            <w:tcW w:w="772"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9</w:t>
            </w:r>
          </w:p>
        </w:tc>
        <w:tc>
          <w:tcPr>
            <w:tcW w:w="817"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19 879</w:t>
            </w:r>
          </w:p>
        </w:tc>
      </w:tr>
      <w:tr w:rsidR="002C39A3" w:rsidRPr="009754AC" w:rsidTr="00361FA9">
        <w:trPr>
          <w:cantSplit/>
        </w:trPr>
        <w:tc>
          <w:tcPr>
            <w:tcW w:w="3118" w:type="dxa"/>
            <w:gridSpan w:val="2"/>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114</w:t>
            </w:r>
          </w:p>
        </w:tc>
        <w:tc>
          <w:tcPr>
            <w:tcW w:w="1135"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w:t>
            </w:r>
          </w:p>
        </w:tc>
        <w:tc>
          <w:tcPr>
            <w:tcW w:w="772"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c>
          <w:tcPr>
            <w:tcW w:w="817"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120</w:t>
            </w:r>
          </w:p>
        </w:tc>
      </w:tr>
      <w:tr w:rsidR="002C39A3" w:rsidRPr="009754AC" w:rsidTr="00361FA9">
        <w:trPr>
          <w:cantSplit/>
        </w:trPr>
        <w:tc>
          <w:tcPr>
            <w:tcW w:w="3118" w:type="dxa"/>
            <w:gridSpan w:val="2"/>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c>
          <w:tcPr>
            <w:tcW w:w="1135"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57</w:t>
            </w:r>
          </w:p>
        </w:tc>
        <w:tc>
          <w:tcPr>
            <w:tcW w:w="1071"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c>
          <w:tcPr>
            <w:tcW w:w="772"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c>
          <w:tcPr>
            <w:tcW w:w="817"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57</w:t>
            </w:r>
          </w:p>
        </w:tc>
      </w:tr>
      <w:tr w:rsidR="002C39A3" w:rsidRPr="009754AC" w:rsidTr="00361FA9">
        <w:trPr>
          <w:cantSplit/>
        </w:trPr>
        <w:tc>
          <w:tcPr>
            <w:tcW w:w="3118" w:type="dxa"/>
            <w:gridSpan w:val="2"/>
            <w:tcBorders>
              <w:top w:val="single" w:sz="6" w:space="0" w:color="auto"/>
              <w:left w:val="nil"/>
              <w:right w:val="nil"/>
            </w:tcBorders>
            <w:shd w:val="clear" w:color="000000"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Closing balance 30 June 2016 (budget)</w:t>
            </w:r>
          </w:p>
        </w:tc>
        <w:tc>
          <w:tcPr>
            <w:tcW w:w="850" w:type="dxa"/>
            <w:tcBorders>
              <w:top w:val="single" w:sz="6" w:space="0" w:color="auto"/>
              <w:left w:val="nil"/>
              <w:right w:val="nil"/>
            </w:tcBorders>
            <w:shd w:val="clear" w:color="000000"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2 208</w:t>
            </w:r>
          </w:p>
        </w:tc>
        <w:tc>
          <w:tcPr>
            <w:tcW w:w="1135" w:type="dxa"/>
            <w:tcBorders>
              <w:top w:val="single" w:sz="6" w:space="0" w:color="auto"/>
              <w:left w:val="nil"/>
              <w:right w:val="nil"/>
            </w:tcBorders>
            <w:shd w:val="clear" w:color="000000"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9 589</w:t>
            </w:r>
          </w:p>
        </w:tc>
        <w:tc>
          <w:tcPr>
            <w:tcW w:w="1071" w:type="dxa"/>
            <w:tcBorders>
              <w:top w:val="single" w:sz="6" w:space="0" w:color="auto"/>
              <w:left w:val="nil"/>
              <w:right w:val="nil"/>
            </w:tcBorders>
            <w:shd w:val="clear" w:color="000000"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8 250</w:t>
            </w:r>
          </w:p>
        </w:tc>
        <w:tc>
          <w:tcPr>
            <w:tcW w:w="772" w:type="dxa"/>
            <w:tcBorders>
              <w:top w:val="single" w:sz="6" w:space="0" w:color="auto"/>
              <w:left w:val="nil"/>
              <w:right w:val="nil"/>
            </w:tcBorders>
            <w:shd w:val="clear" w:color="000000"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9</w:t>
            </w:r>
          </w:p>
        </w:tc>
        <w:tc>
          <w:tcPr>
            <w:tcW w:w="817" w:type="dxa"/>
            <w:tcBorders>
              <w:top w:val="single" w:sz="6" w:space="0" w:color="auto"/>
              <w:left w:val="nil"/>
              <w:right w:val="nil"/>
            </w:tcBorders>
            <w:shd w:val="clear" w:color="000000"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20 056</w:t>
            </w:r>
          </w:p>
        </w:tc>
      </w:tr>
      <w:tr w:rsidR="002C39A3" w:rsidRPr="009754AC" w:rsidTr="00361FA9">
        <w:trPr>
          <w:cantSplit/>
        </w:trPr>
        <w:tc>
          <w:tcPr>
            <w:tcW w:w="3118" w:type="dxa"/>
            <w:gridSpan w:val="2"/>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147</w:t>
            </w:r>
          </w:p>
        </w:tc>
        <w:tc>
          <w:tcPr>
            <w:tcW w:w="1135"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w:t>
            </w:r>
          </w:p>
        </w:tc>
        <w:tc>
          <w:tcPr>
            <w:tcW w:w="772"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c>
          <w:tcPr>
            <w:tcW w:w="817"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153</w:t>
            </w:r>
          </w:p>
        </w:tc>
      </w:tr>
      <w:tr w:rsidR="002C39A3" w:rsidRPr="009754AC" w:rsidTr="00361FA9">
        <w:trPr>
          <w:cantSplit/>
        </w:trPr>
        <w:tc>
          <w:tcPr>
            <w:tcW w:w="3118" w:type="dxa"/>
            <w:gridSpan w:val="2"/>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c>
          <w:tcPr>
            <w:tcW w:w="1135"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66</w:t>
            </w:r>
          </w:p>
        </w:tc>
        <w:tc>
          <w:tcPr>
            <w:tcW w:w="1071"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c>
          <w:tcPr>
            <w:tcW w:w="772"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c>
          <w:tcPr>
            <w:tcW w:w="817"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66</w:t>
            </w:r>
          </w:p>
        </w:tc>
      </w:tr>
      <w:tr w:rsidR="002C39A3" w:rsidRPr="009754AC" w:rsidTr="00361FA9">
        <w:trPr>
          <w:cantSplit/>
        </w:trPr>
        <w:tc>
          <w:tcPr>
            <w:tcW w:w="3118" w:type="dxa"/>
            <w:gridSpan w:val="2"/>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Closing balance 30 June 2016 (revised)</w:t>
            </w:r>
          </w:p>
        </w:tc>
        <w:tc>
          <w:tcPr>
            <w:tcW w:w="850"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2 241</w:t>
            </w:r>
          </w:p>
        </w:tc>
        <w:tc>
          <w:tcPr>
            <w:tcW w:w="1135"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9 598</w:t>
            </w:r>
          </w:p>
        </w:tc>
        <w:tc>
          <w:tcPr>
            <w:tcW w:w="1071"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8 250</w:t>
            </w:r>
          </w:p>
        </w:tc>
        <w:tc>
          <w:tcPr>
            <w:tcW w:w="772"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9</w:t>
            </w:r>
          </w:p>
        </w:tc>
        <w:tc>
          <w:tcPr>
            <w:tcW w:w="817" w:type="dxa"/>
            <w:tcBorders>
              <w:top w:val="single" w:sz="6" w:space="0" w:color="auto"/>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20 098</w:t>
            </w:r>
          </w:p>
        </w:tc>
      </w:tr>
      <w:tr w:rsidR="002C39A3" w:rsidRPr="009754AC" w:rsidTr="00361FA9">
        <w:trPr>
          <w:cantSplit/>
        </w:trPr>
        <w:tc>
          <w:tcPr>
            <w:tcW w:w="3118" w:type="dxa"/>
            <w:gridSpan w:val="2"/>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87</w:t>
            </w:r>
          </w:p>
        </w:tc>
        <w:tc>
          <w:tcPr>
            <w:tcW w:w="1135"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10</w:t>
            </w:r>
          </w:p>
        </w:tc>
        <w:tc>
          <w:tcPr>
            <w:tcW w:w="772"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c>
          <w:tcPr>
            <w:tcW w:w="817"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97</w:t>
            </w:r>
          </w:p>
        </w:tc>
      </w:tr>
      <w:tr w:rsidR="002C39A3" w:rsidRPr="009754AC" w:rsidTr="00361FA9">
        <w:trPr>
          <w:cantSplit/>
        </w:trPr>
        <w:tc>
          <w:tcPr>
            <w:tcW w:w="3118" w:type="dxa"/>
            <w:gridSpan w:val="2"/>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c>
          <w:tcPr>
            <w:tcW w:w="1135"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242</w:t>
            </w:r>
          </w:p>
        </w:tc>
        <w:tc>
          <w:tcPr>
            <w:tcW w:w="1071"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c>
          <w:tcPr>
            <w:tcW w:w="772"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c>
          <w:tcPr>
            <w:tcW w:w="817"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242</w:t>
            </w:r>
          </w:p>
        </w:tc>
      </w:tr>
      <w:tr w:rsidR="002C39A3" w:rsidRPr="009754AC" w:rsidTr="00361FA9">
        <w:trPr>
          <w:cantSplit/>
        </w:trPr>
        <w:tc>
          <w:tcPr>
            <w:tcW w:w="3118" w:type="dxa"/>
            <w:gridSpan w:val="2"/>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Closing balance 30 June 2017 (budget)</w:t>
            </w:r>
          </w:p>
        </w:tc>
        <w:tc>
          <w:tcPr>
            <w:tcW w:w="850"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2 328</w:t>
            </w:r>
          </w:p>
        </w:tc>
        <w:tc>
          <w:tcPr>
            <w:tcW w:w="1135"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9 840</w:t>
            </w:r>
          </w:p>
        </w:tc>
        <w:tc>
          <w:tcPr>
            <w:tcW w:w="1071"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8 260</w:t>
            </w:r>
          </w:p>
        </w:tc>
        <w:tc>
          <w:tcPr>
            <w:tcW w:w="772"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9</w:t>
            </w:r>
          </w:p>
        </w:tc>
        <w:tc>
          <w:tcPr>
            <w:tcW w:w="817"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20 437</w:t>
            </w:r>
          </w:p>
        </w:tc>
      </w:tr>
    </w:tbl>
    <w:p w:rsidR="002C39A3" w:rsidRDefault="002C39A3" w:rsidP="00361FA9">
      <w:pPr>
        <w:pStyle w:val="Source"/>
        <w:rPr>
          <w:rFonts w:eastAsiaTheme="minorHAnsi"/>
        </w:rPr>
      </w:pPr>
      <w:r w:rsidRPr="00306142">
        <w:rPr>
          <w:rFonts w:eastAsiaTheme="minorHAnsi"/>
        </w:rPr>
        <w:t xml:space="preserve">Sources: </w:t>
      </w:r>
      <w:r w:rsidRPr="00D74D01">
        <w:rPr>
          <w:rFonts w:eastAsiaTheme="minorHAnsi"/>
        </w:rPr>
        <w:t>Departments of Education and Training, and Treasury and Finance</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3.2.5:</w:t>
      </w:r>
      <w:r>
        <w:rPr>
          <w:rFonts w:eastAsiaTheme="minorHAnsi"/>
        </w:rPr>
        <w:tab/>
        <w:t>Administered items statement</w:t>
      </w:r>
    </w:p>
    <w:p w:rsidR="002C39A3" w:rsidRPr="00947365" w:rsidRDefault="002C39A3" w:rsidP="00361FA9">
      <w:pPr>
        <w:pStyle w:val="million"/>
        <w:rPr>
          <w:rFonts w:eastAsiaTheme="minorHAnsi"/>
          <w:b/>
          <w:bCs/>
          <w:sz w:val="15"/>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B04358" w:rsidRPr="009754AC" w:rsidTr="00B04358">
        <w:trPr>
          <w:cantSplit/>
          <w:trHeight w:val="464"/>
          <w:tblHeader/>
        </w:trPr>
        <w:tc>
          <w:tcPr>
            <w:tcW w:w="4365" w:type="dxa"/>
            <w:tcBorders>
              <w:left w:val="nil"/>
              <w:right w:val="nil"/>
            </w:tcBorders>
            <w:shd w:val="solid" w:color="000000" w:fill="auto"/>
            <w:vAlign w:val="bottom"/>
          </w:tcPr>
          <w:p w:rsidR="00B04358" w:rsidRPr="009754AC" w:rsidRDefault="00B04358" w:rsidP="00B04358">
            <w:pPr>
              <w:pStyle w:val="Source"/>
              <w:spacing w:after="0"/>
              <w:rPr>
                <w:rFonts w:eastAsiaTheme="minorEastAsia" w:cs="Calibri"/>
                <w:color w:val="FFFFFF"/>
                <w:sz w:val="19"/>
                <w:lang w:eastAsia="en-AU"/>
              </w:rPr>
            </w:pPr>
          </w:p>
        </w:tc>
        <w:tc>
          <w:tcPr>
            <w:tcW w:w="850" w:type="dxa"/>
            <w:tcBorders>
              <w:left w:val="nil"/>
              <w:right w:val="nil"/>
            </w:tcBorders>
            <w:shd w:val="solid" w:color="000000" w:fill="auto"/>
            <w:vAlign w:val="bottom"/>
          </w:tcPr>
          <w:p w:rsidR="00B04358" w:rsidRPr="009754AC"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2014-15</w:t>
            </w:r>
          </w:p>
          <w:p w:rsidR="00B04358" w:rsidRPr="009754AC"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actual</w:t>
            </w:r>
          </w:p>
        </w:tc>
        <w:tc>
          <w:tcPr>
            <w:tcW w:w="850" w:type="dxa"/>
            <w:tcBorders>
              <w:left w:val="nil"/>
              <w:right w:val="nil"/>
            </w:tcBorders>
            <w:shd w:val="solid" w:color="000000" w:fill="auto"/>
            <w:vAlign w:val="bottom"/>
          </w:tcPr>
          <w:p w:rsidR="00B04358" w:rsidRPr="009754AC"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2015-16</w:t>
            </w:r>
          </w:p>
          <w:p w:rsidR="00B04358" w:rsidRPr="009754AC"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B04358" w:rsidRPr="009754AC"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2015-16</w:t>
            </w:r>
          </w:p>
          <w:p w:rsidR="00B04358" w:rsidRPr="009754AC"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B04358" w:rsidRPr="009754AC"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2016-17</w:t>
            </w:r>
          </w:p>
          <w:p w:rsidR="00B04358" w:rsidRPr="009754AC"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9754AC">
              <w:rPr>
                <w:rFonts w:ascii="Calibri" w:eastAsiaTheme="minorEastAsia" w:hAnsi="Calibri" w:cs="Calibri"/>
                <w:i/>
                <w:iCs/>
                <w:color w:val="FFFFFF"/>
                <w:sz w:val="19"/>
                <w:lang w:eastAsia="en-AU"/>
              </w:rPr>
              <w:t>budget</w:t>
            </w:r>
          </w:p>
        </w:tc>
      </w:tr>
      <w:tr w:rsidR="00B04358" w:rsidRPr="009754AC" w:rsidTr="00B04358">
        <w:trPr>
          <w:cantSplit/>
        </w:trPr>
        <w:tc>
          <w:tcPr>
            <w:tcW w:w="7765" w:type="dxa"/>
            <w:gridSpan w:val="5"/>
            <w:tcBorders>
              <w:top w:val="single" w:sz="6" w:space="0" w:color="auto"/>
              <w:left w:val="nil"/>
              <w:right w:val="nil"/>
            </w:tcBorders>
            <w:shd w:val="clear" w:color="auto" w:fill="FFFFFF"/>
          </w:tcPr>
          <w:p w:rsidR="00B04358" w:rsidRPr="009754AC"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b/>
                <w:bCs/>
                <w:color w:val="000000"/>
                <w:sz w:val="19"/>
                <w:lang w:eastAsia="en-AU"/>
              </w:rPr>
              <w:t>Administered income</w:t>
            </w:r>
          </w:p>
        </w:tc>
      </w:tr>
      <w:tr w:rsidR="002C39A3" w:rsidRPr="009754AC" w:rsidTr="00361FA9">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Sale of goods and services</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w:t>
            </w:r>
          </w:p>
        </w:tc>
      </w:tr>
      <w:tr w:rsidR="002C39A3" w:rsidRPr="009754AC" w:rsidTr="00361FA9">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Grants</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2 682</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2 850</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2 825</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3 036</w:t>
            </w:r>
          </w:p>
        </w:tc>
      </w:tr>
      <w:tr w:rsidR="002C39A3" w:rsidRPr="009754AC" w:rsidTr="00361FA9">
        <w:trPr>
          <w:cantSplit/>
        </w:trPr>
        <w:tc>
          <w:tcPr>
            <w:tcW w:w="4365"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Other income</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r>
      <w:tr w:rsidR="002C39A3" w:rsidRPr="009754AC" w:rsidTr="00361FA9">
        <w:trPr>
          <w:cantSplit/>
        </w:trPr>
        <w:tc>
          <w:tcPr>
            <w:tcW w:w="4365"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Total administered income</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2 687</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2 855</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2 830</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3 041</w:t>
            </w:r>
          </w:p>
        </w:tc>
      </w:tr>
      <w:tr w:rsidR="00B04358" w:rsidRPr="009754AC" w:rsidTr="00B04358">
        <w:trPr>
          <w:cantSplit/>
          <w:trHeight w:hRule="exact" w:val="120"/>
        </w:trPr>
        <w:tc>
          <w:tcPr>
            <w:tcW w:w="7765" w:type="dxa"/>
            <w:gridSpan w:val="5"/>
            <w:tcBorders>
              <w:top w:val="single" w:sz="6" w:space="0" w:color="auto"/>
              <w:left w:val="nil"/>
              <w:right w:val="nil"/>
            </w:tcBorders>
            <w:shd w:val="clear" w:color="auto" w:fill="FFFFFF"/>
          </w:tcPr>
          <w:p w:rsidR="00B04358" w:rsidRPr="009754AC" w:rsidRDefault="00B04358" w:rsidP="00361FA9">
            <w:pPr>
              <w:autoSpaceDE w:val="0"/>
              <w:autoSpaceDN w:val="0"/>
              <w:adjustRightInd w:val="0"/>
              <w:spacing w:after="0"/>
              <w:jc w:val="right"/>
              <w:rPr>
                <w:rFonts w:ascii="Calibri" w:eastAsiaTheme="minorEastAsia" w:hAnsi="Calibri" w:cs="Calibri"/>
                <w:color w:val="000000"/>
                <w:sz w:val="19"/>
                <w:lang w:eastAsia="en-AU"/>
              </w:rPr>
            </w:pPr>
          </w:p>
        </w:tc>
      </w:tr>
      <w:tr w:rsidR="00B04358" w:rsidRPr="009754AC" w:rsidTr="00B04358">
        <w:trPr>
          <w:cantSplit/>
        </w:trPr>
        <w:tc>
          <w:tcPr>
            <w:tcW w:w="7765" w:type="dxa"/>
            <w:gridSpan w:val="5"/>
            <w:tcBorders>
              <w:top w:val="nil"/>
              <w:left w:val="nil"/>
              <w:right w:val="nil"/>
            </w:tcBorders>
            <w:shd w:val="clear" w:color="auto" w:fill="FFFFFF"/>
          </w:tcPr>
          <w:p w:rsidR="00B04358" w:rsidRPr="009754AC"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b/>
                <w:bCs/>
                <w:color w:val="000000"/>
                <w:sz w:val="19"/>
                <w:lang w:eastAsia="en-AU"/>
              </w:rPr>
              <w:t>Administered expenses</w:t>
            </w:r>
          </w:p>
        </w:tc>
      </w:tr>
      <w:tr w:rsidR="002C39A3" w:rsidRPr="009754AC" w:rsidTr="00361FA9">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Expenses on behalf of the State</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w:t>
            </w:r>
          </w:p>
        </w:tc>
      </w:tr>
      <w:tr w:rsidR="002C39A3" w:rsidRPr="009754AC" w:rsidTr="00361FA9">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Grants and other transfers</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2 683</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2 850</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2 825</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3 036</w:t>
            </w:r>
          </w:p>
        </w:tc>
      </w:tr>
      <w:tr w:rsidR="002C39A3" w:rsidRPr="009754AC" w:rsidTr="00361FA9">
        <w:trPr>
          <w:cantSplit/>
        </w:trPr>
        <w:tc>
          <w:tcPr>
            <w:tcW w:w="4365"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Payments into the Consolidated Fund</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52</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50</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50</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38</w:t>
            </w:r>
          </w:p>
        </w:tc>
      </w:tr>
      <w:tr w:rsidR="002C39A3" w:rsidRPr="009754AC" w:rsidTr="00361FA9">
        <w:trPr>
          <w:cantSplit/>
        </w:trPr>
        <w:tc>
          <w:tcPr>
            <w:tcW w:w="4365"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Total administered expenses</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2 737</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2 900</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2 875</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3 074</w:t>
            </w:r>
          </w:p>
        </w:tc>
      </w:tr>
      <w:tr w:rsidR="002C39A3" w:rsidRPr="009754AC" w:rsidTr="00361FA9">
        <w:trPr>
          <w:cantSplit/>
        </w:trPr>
        <w:tc>
          <w:tcPr>
            <w:tcW w:w="4365"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Income less expenses</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(50)</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(45)</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(45)</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(33)</w:t>
            </w:r>
          </w:p>
        </w:tc>
      </w:tr>
      <w:tr w:rsidR="00B04358" w:rsidRPr="009754AC" w:rsidTr="00B04358">
        <w:trPr>
          <w:cantSplit/>
        </w:trPr>
        <w:tc>
          <w:tcPr>
            <w:tcW w:w="7765" w:type="dxa"/>
            <w:gridSpan w:val="5"/>
            <w:tcBorders>
              <w:top w:val="single" w:sz="6" w:space="0" w:color="auto"/>
              <w:left w:val="nil"/>
              <w:right w:val="nil"/>
            </w:tcBorders>
            <w:shd w:val="clear" w:color="auto" w:fill="FFFFFF"/>
          </w:tcPr>
          <w:p w:rsidR="00B04358" w:rsidRPr="009754AC" w:rsidRDefault="00B04358" w:rsidP="00B04358">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Other economic flows included in net result</w:t>
            </w:r>
          </w:p>
        </w:tc>
      </w:tr>
      <w:tr w:rsidR="002C39A3" w:rsidRPr="009754AC" w:rsidTr="00361FA9">
        <w:trPr>
          <w:cantSplit/>
        </w:trPr>
        <w:tc>
          <w:tcPr>
            <w:tcW w:w="4365"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Net gain/(loss) on non-financial assets</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54</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45</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45</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33</w:t>
            </w:r>
          </w:p>
        </w:tc>
      </w:tr>
      <w:tr w:rsidR="002C39A3" w:rsidRPr="009754AC" w:rsidTr="00361FA9">
        <w:trPr>
          <w:cantSplit/>
        </w:trPr>
        <w:tc>
          <w:tcPr>
            <w:tcW w:w="4365"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Total other economic flows included in net result</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54</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45</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45</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33</w:t>
            </w:r>
          </w:p>
        </w:tc>
      </w:tr>
      <w:tr w:rsidR="002C39A3" w:rsidRPr="009754AC" w:rsidTr="00361FA9">
        <w:trPr>
          <w:cantSplit/>
        </w:trPr>
        <w:tc>
          <w:tcPr>
            <w:tcW w:w="4365"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Net result</w:t>
            </w:r>
          </w:p>
        </w:tc>
        <w:tc>
          <w:tcPr>
            <w:tcW w:w="850"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w:t>
            </w:r>
          </w:p>
        </w:tc>
        <w:tc>
          <w:tcPr>
            <w:tcW w:w="850"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w:t>
            </w:r>
          </w:p>
        </w:tc>
      </w:tr>
      <w:tr w:rsidR="002C39A3" w:rsidRPr="009754AC" w:rsidTr="00361FA9">
        <w:trPr>
          <w:cantSplit/>
        </w:trPr>
        <w:tc>
          <w:tcPr>
            <w:tcW w:w="4365" w:type="dxa"/>
            <w:tcBorders>
              <w:top w:val="single" w:sz="12"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Comprehensive result</w:t>
            </w:r>
          </w:p>
        </w:tc>
        <w:tc>
          <w:tcPr>
            <w:tcW w:w="850" w:type="dxa"/>
            <w:tcBorders>
              <w:top w:val="single" w:sz="12"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w:t>
            </w:r>
          </w:p>
        </w:tc>
        <w:tc>
          <w:tcPr>
            <w:tcW w:w="850" w:type="dxa"/>
            <w:tcBorders>
              <w:top w:val="single" w:sz="12"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w:t>
            </w:r>
          </w:p>
        </w:tc>
        <w:tc>
          <w:tcPr>
            <w:tcW w:w="850" w:type="dxa"/>
            <w:tcBorders>
              <w:top w:val="single" w:sz="12"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w:t>
            </w:r>
          </w:p>
        </w:tc>
        <w:tc>
          <w:tcPr>
            <w:tcW w:w="850" w:type="dxa"/>
            <w:tcBorders>
              <w:top w:val="single" w:sz="12"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w:t>
            </w:r>
          </w:p>
        </w:tc>
      </w:tr>
      <w:tr w:rsidR="00B04358" w:rsidRPr="009754AC" w:rsidTr="00B04358">
        <w:trPr>
          <w:cantSplit/>
          <w:trHeight w:hRule="exact" w:val="120"/>
        </w:trPr>
        <w:tc>
          <w:tcPr>
            <w:tcW w:w="7765" w:type="dxa"/>
            <w:gridSpan w:val="5"/>
            <w:tcBorders>
              <w:top w:val="single" w:sz="12" w:space="0" w:color="auto"/>
              <w:left w:val="nil"/>
              <w:right w:val="nil"/>
            </w:tcBorders>
            <w:shd w:val="clear" w:color="auto" w:fill="FFFFFF"/>
          </w:tcPr>
          <w:p w:rsidR="00B04358" w:rsidRPr="009754AC" w:rsidRDefault="00B04358" w:rsidP="00361FA9">
            <w:pPr>
              <w:autoSpaceDE w:val="0"/>
              <w:autoSpaceDN w:val="0"/>
              <w:adjustRightInd w:val="0"/>
              <w:spacing w:after="0"/>
              <w:jc w:val="right"/>
              <w:rPr>
                <w:rFonts w:ascii="Calibri" w:eastAsiaTheme="minorEastAsia" w:hAnsi="Calibri" w:cs="Calibri"/>
                <w:b/>
                <w:bCs/>
                <w:color w:val="000000"/>
                <w:sz w:val="19"/>
                <w:lang w:eastAsia="en-AU"/>
              </w:rPr>
            </w:pPr>
          </w:p>
        </w:tc>
      </w:tr>
      <w:tr w:rsidR="00B04358" w:rsidRPr="009754AC" w:rsidTr="00B04358">
        <w:trPr>
          <w:cantSplit/>
        </w:trPr>
        <w:tc>
          <w:tcPr>
            <w:tcW w:w="7765" w:type="dxa"/>
            <w:gridSpan w:val="5"/>
            <w:tcBorders>
              <w:top w:val="nil"/>
              <w:left w:val="nil"/>
              <w:right w:val="nil"/>
            </w:tcBorders>
            <w:shd w:val="clear" w:color="auto" w:fill="FFFFFF"/>
          </w:tcPr>
          <w:p w:rsidR="00B04358" w:rsidRPr="009754AC"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b/>
                <w:bCs/>
                <w:color w:val="000000"/>
                <w:sz w:val="19"/>
                <w:lang w:eastAsia="en-AU"/>
              </w:rPr>
              <w:t>Administered assets</w:t>
            </w:r>
          </w:p>
        </w:tc>
      </w:tr>
      <w:tr w:rsidR="002C39A3" w:rsidRPr="009754AC" w:rsidTr="00361FA9">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Receivables</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w:t>
            </w:r>
          </w:p>
        </w:tc>
      </w:tr>
      <w:tr w:rsidR="002C39A3" w:rsidRPr="009754AC" w:rsidTr="00361FA9">
        <w:trPr>
          <w:cantSplit/>
        </w:trPr>
        <w:tc>
          <w:tcPr>
            <w:tcW w:w="4365" w:type="dxa"/>
            <w:tcBorders>
              <w:top w:val="nil"/>
              <w:left w:val="nil"/>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Other financial assets</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r>
      <w:tr w:rsidR="002C39A3" w:rsidRPr="009754AC" w:rsidTr="00361FA9">
        <w:trPr>
          <w:cantSplit/>
        </w:trPr>
        <w:tc>
          <w:tcPr>
            <w:tcW w:w="4365"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color w:val="000000"/>
                <w:sz w:val="19"/>
                <w:lang w:eastAsia="en-AU"/>
              </w:rPr>
              <w:t>Property, plant and equipment</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w:t>
            </w:r>
          </w:p>
        </w:tc>
        <w:tc>
          <w:tcPr>
            <w:tcW w:w="850" w:type="dxa"/>
            <w:tcBorders>
              <w:top w:val="nil"/>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w:t>
            </w:r>
          </w:p>
        </w:tc>
      </w:tr>
      <w:tr w:rsidR="002C39A3" w:rsidRPr="009754AC" w:rsidTr="00361FA9">
        <w:trPr>
          <w:cantSplit/>
        </w:trPr>
        <w:tc>
          <w:tcPr>
            <w:tcW w:w="4365"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Total administered assets</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20</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20</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20</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20</w:t>
            </w:r>
          </w:p>
        </w:tc>
      </w:tr>
      <w:tr w:rsidR="00B04358" w:rsidRPr="009754AC" w:rsidTr="00B04358">
        <w:trPr>
          <w:cantSplit/>
          <w:trHeight w:hRule="exact" w:val="120"/>
        </w:trPr>
        <w:tc>
          <w:tcPr>
            <w:tcW w:w="7765" w:type="dxa"/>
            <w:gridSpan w:val="5"/>
            <w:tcBorders>
              <w:top w:val="single" w:sz="6" w:space="0" w:color="auto"/>
              <w:left w:val="nil"/>
              <w:right w:val="nil"/>
            </w:tcBorders>
            <w:shd w:val="clear" w:color="auto" w:fill="FFFFFF"/>
          </w:tcPr>
          <w:p w:rsidR="00B04358" w:rsidRPr="009754AC" w:rsidRDefault="00B04358" w:rsidP="00361FA9">
            <w:pPr>
              <w:autoSpaceDE w:val="0"/>
              <w:autoSpaceDN w:val="0"/>
              <w:adjustRightInd w:val="0"/>
              <w:spacing w:after="0"/>
              <w:jc w:val="right"/>
              <w:rPr>
                <w:rFonts w:ascii="Calibri" w:eastAsiaTheme="minorEastAsia" w:hAnsi="Calibri" w:cs="Calibri"/>
                <w:color w:val="000000"/>
                <w:sz w:val="19"/>
                <w:lang w:eastAsia="en-AU"/>
              </w:rPr>
            </w:pPr>
          </w:p>
        </w:tc>
      </w:tr>
      <w:tr w:rsidR="00B04358" w:rsidRPr="009754AC" w:rsidTr="00B04358">
        <w:trPr>
          <w:cantSplit/>
        </w:trPr>
        <w:tc>
          <w:tcPr>
            <w:tcW w:w="7765" w:type="dxa"/>
            <w:gridSpan w:val="5"/>
            <w:tcBorders>
              <w:top w:val="nil"/>
              <w:left w:val="nil"/>
              <w:bottom w:val="single" w:sz="6" w:space="0" w:color="auto"/>
              <w:right w:val="nil"/>
            </w:tcBorders>
            <w:shd w:val="clear" w:color="auto" w:fill="FFFFFF"/>
          </w:tcPr>
          <w:p w:rsidR="00B04358" w:rsidRPr="009754AC"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9754AC">
              <w:rPr>
                <w:rFonts w:ascii="Calibri" w:eastAsiaTheme="minorEastAsia" w:hAnsi="Calibri" w:cs="Calibri"/>
                <w:b/>
                <w:bCs/>
                <w:color w:val="000000"/>
                <w:sz w:val="19"/>
                <w:lang w:eastAsia="en-AU"/>
              </w:rPr>
              <w:t>Administered liabilities</w:t>
            </w:r>
          </w:p>
        </w:tc>
      </w:tr>
      <w:tr w:rsidR="002C39A3" w:rsidRPr="009754AC" w:rsidTr="00361FA9">
        <w:trPr>
          <w:cantSplit/>
        </w:trPr>
        <w:tc>
          <w:tcPr>
            <w:tcW w:w="4365"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Total administered liabilities</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w:t>
            </w:r>
          </w:p>
        </w:tc>
      </w:tr>
      <w:tr w:rsidR="002C39A3" w:rsidRPr="009754AC" w:rsidTr="00361FA9">
        <w:trPr>
          <w:cantSplit/>
        </w:trPr>
        <w:tc>
          <w:tcPr>
            <w:tcW w:w="4365"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9754AC">
              <w:rPr>
                <w:rFonts w:ascii="Calibri" w:eastAsiaTheme="minorEastAsia" w:hAnsi="Calibri" w:cs="Calibri"/>
                <w:b/>
                <w:bCs/>
                <w:color w:val="000000"/>
                <w:sz w:val="19"/>
                <w:lang w:eastAsia="en-AU"/>
              </w:rPr>
              <w:t>Net assets</w:t>
            </w:r>
          </w:p>
        </w:tc>
        <w:tc>
          <w:tcPr>
            <w:tcW w:w="850"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20</w:t>
            </w:r>
          </w:p>
        </w:tc>
        <w:tc>
          <w:tcPr>
            <w:tcW w:w="850"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20</w:t>
            </w:r>
          </w:p>
        </w:tc>
        <w:tc>
          <w:tcPr>
            <w:tcW w:w="850"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20</w:t>
            </w:r>
          </w:p>
        </w:tc>
        <w:tc>
          <w:tcPr>
            <w:tcW w:w="850" w:type="dxa"/>
            <w:tcBorders>
              <w:top w:val="single" w:sz="6" w:space="0" w:color="auto"/>
              <w:left w:val="nil"/>
              <w:bottom w:val="single" w:sz="12" w:space="0" w:color="auto"/>
              <w:right w:val="nil"/>
            </w:tcBorders>
            <w:shd w:val="clear" w:color="auto" w:fill="FFFFFF"/>
          </w:tcPr>
          <w:p w:rsidR="002C39A3" w:rsidRPr="009754AC"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20</w:t>
            </w:r>
          </w:p>
        </w:tc>
      </w:tr>
    </w:tbl>
    <w:p w:rsidR="002C39A3" w:rsidRDefault="002C39A3" w:rsidP="00361FA9">
      <w:pPr>
        <w:pStyle w:val="Source"/>
        <w:rPr>
          <w:rFonts w:eastAsiaTheme="minorHAnsi"/>
        </w:rPr>
      </w:pPr>
      <w:r w:rsidRPr="00306142">
        <w:rPr>
          <w:rFonts w:eastAsiaTheme="minorHAnsi"/>
        </w:rPr>
        <w:t xml:space="preserve">Sources: </w:t>
      </w:r>
      <w:r w:rsidRPr="00D74D01">
        <w:rPr>
          <w:rFonts w:eastAsiaTheme="minorHAnsi"/>
        </w:rPr>
        <w:t>Departments of Education and Training, and Treasury and Finance</w:t>
      </w:r>
    </w:p>
    <w:p w:rsidR="002C39A3" w:rsidRDefault="002C39A3" w:rsidP="00361FA9">
      <w:pPr>
        <w:rPr>
          <w:rFonts w:eastAsiaTheme="minorHAnsi"/>
        </w:rPr>
      </w:pPr>
    </w:p>
    <w:p w:rsidR="002C39A3" w:rsidRDefault="002C39A3" w:rsidP="00361FA9">
      <w:pPr>
        <w:rPr>
          <w:rFonts w:eastAsiaTheme="minorHAnsi"/>
        </w:rPr>
        <w:sectPr w:rsidR="002C39A3" w:rsidSect="00361FA9">
          <w:footerReference w:type="even" r:id="rId38"/>
          <w:footerReference w:type="default" r:id="rId39"/>
          <w:pgSz w:w="9979" w:h="14181" w:code="138"/>
          <w:pgMar w:top="1140" w:right="1140" w:bottom="1140" w:left="1140" w:header="720" w:footer="431" w:gutter="0"/>
          <w:cols w:space="708"/>
          <w:docGrid w:linePitch="360"/>
        </w:sectPr>
      </w:pPr>
    </w:p>
    <w:p w:rsidR="002C39A3" w:rsidRDefault="002C39A3" w:rsidP="00361FA9">
      <w:pPr>
        <w:pStyle w:val="Heading1"/>
        <w:rPr>
          <w:rFonts w:eastAsiaTheme="minorHAnsi"/>
        </w:rPr>
      </w:pPr>
      <w:bookmarkStart w:id="39" w:name="_Toc449116198"/>
      <w:r>
        <w:rPr>
          <w:rFonts w:eastAsiaTheme="minorHAnsi"/>
        </w:rPr>
        <w:t>Department of Environment, Land, Water and Planning</w:t>
      </w:r>
      <w:bookmarkEnd w:id="39"/>
    </w:p>
    <w:p w:rsidR="002C39A3" w:rsidRDefault="002C39A3" w:rsidP="00361FA9">
      <w:pPr>
        <w:pStyle w:val="Heading2"/>
        <w:rPr>
          <w:rFonts w:eastAsiaTheme="minorHAnsi"/>
        </w:rPr>
      </w:pPr>
      <w:r>
        <w:rPr>
          <w:rFonts w:eastAsiaTheme="minorHAnsi"/>
        </w:rPr>
        <w:t>Operating performance</w:t>
      </w:r>
    </w:p>
    <w:p w:rsidR="002C39A3" w:rsidRPr="00AF100D" w:rsidRDefault="002C39A3" w:rsidP="00361FA9">
      <w:pPr>
        <w:rPr>
          <w:rFonts w:eastAsiaTheme="minorHAnsi"/>
        </w:rPr>
      </w:pPr>
      <w:r w:rsidRPr="00AF100D">
        <w:rPr>
          <w:rFonts w:eastAsiaTheme="minorHAnsi"/>
        </w:rPr>
        <w:t>The Department of Environment, Land, Water and Planning is expected to report an estimated net surplus</w:t>
      </w:r>
      <w:r>
        <w:rPr>
          <w:rFonts w:eastAsiaTheme="minorHAnsi"/>
        </w:rPr>
        <w:t xml:space="preserve"> of $343 million for the 2016</w:t>
      </w:r>
      <w:r>
        <w:rPr>
          <w:rFonts w:eastAsiaTheme="minorHAnsi"/>
        </w:rPr>
        <w:noBreakHyphen/>
      </w:r>
      <w:r w:rsidRPr="00AF100D">
        <w:rPr>
          <w:rFonts w:eastAsiaTheme="minorHAnsi"/>
        </w:rPr>
        <w:t xml:space="preserve">17 </w:t>
      </w:r>
      <w:r>
        <w:rPr>
          <w:rFonts w:eastAsiaTheme="minorHAnsi"/>
        </w:rPr>
        <w:t>b</w:t>
      </w:r>
      <w:r w:rsidRPr="00AF100D">
        <w:rPr>
          <w:rFonts w:eastAsiaTheme="minorHAnsi"/>
        </w:rPr>
        <w:t xml:space="preserve">udget. </w:t>
      </w:r>
    </w:p>
    <w:p w:rsidR="002C39A3" w:rsidRPr="00AF100D" w:rsidRDefault="002C39A3" w:rsidP="00361FA9">
      <w:pPr>
        <w:rPr>
          <w:rFonts w:eastAsiaTheme="minorHAnsi"/>
        </w:rPr>
      </w:pPr>
      <w:r>
        <w:rPr>
          <w:rFonts w:eastAsiaTheme="minorHAnsi"/>
        </w:rPr>
        <w:t>The variance</w:t>
      </w:r>
      <w:r w:rsidRPr="00AF100D">
        <w:rPr>
          <w:rFonts w:eastAsiaTheme="minorHAnsi"/>
        </w:rPr>
        <w:t xml:space="preserve"> from th</w:t>
      </w:r>
      <w:r>
        <w:rPr>
          <w:rFonts w:eastAsiaTheme="minorHAnsi"/>
        </w:rPr>
        <w:t>e 2015</w:t>
      </w:r>
      <w:r>
        <w:rPr>
          <w:rFonts w:eastAsiaTheme="minorHAnsi"/>
        </w:rPr>
        <w:noBreakHyphen/>
        <w:t>16 revised budget to the 2016</w:t>
      </w:r>
      <w:r>
        <w:rPr>
          <w:rFonts w:eastAsiaTheme="minorHAnsi"/>
        </w:rPr>
        <w:noBreakHyphen/>
        <w:t>17 budget largely reflects the re</w:t>
      </w:r>
      <w:r>
        <w:rPr>
          <w:rFonts w:eastAsiaTheme="minorHAnsi"/>
        </w:rPr>
        <w:noBreakHyphen/>
      </w:r>
      <w:r w:rsidRPr="00AF100D">
        <w:rPr>
          <w:rFonts w:eastAsiaTheme="minorHAnsi"/>
        </w:rPr>
        <w:t xml:space="preserve">phasing </w:t>
      </w:r>
      <w:r>
        <w:rPr>
          <w:rFonts w:eastAsiaTheme="minorHAnsi"/>
        </w:rPr>
        <w:t xml:space="preserve">of </w:t>
      </w:r>
      <w:r w:rsidRPr="00AF100D">
        <w:rPr>
          <w:rFonts w:eastAsiaTheme="minorHAnsi"/>
        </w:rPr>
        <w:t xml:space="preserve">Commonwealth </w:t>
      </w:r>
      <w:r>
        <w:rPr>
          <w:rFonts w:eastAsiaTheme="minorHAnsi"/>
        </w:rPr>
        <w:t xml:space="preserve">grant </w:t>
      </w:r>
      <w:r w:rsidRPr="00AF100D">
        <w:rPr>
          <w:rFonts w:eastAsiaTheme="minorHAnsi"/>
        </w:rPr>
        <w:t xml:space="preserve">revenue for the </w:t>
      </w:r>
      <w:r w:rsidRPr="00892F90">
        <w:rPr>
          <w:rFonts w:eastAsiaTheme="minorHAnsi"/>
        </w:rPr>
        <w:t>Goulburn</w:t>
      </w:r>
      <w:r>
        <w:rPr>
          <w:rFonts w:eastAsiaTheme="minorHAnsi"/>
        </w:rPr>
        <w:noBreakHyphen/>
      </w:r>
      <w:r w:rsidRPr="00892F90">
        <w:rPr>
          <w:rFonts w:eastAsiaTheme="minorHAnsi"/>
        </w:rPr>
        <w:t>Murray</w:t>
      </w:r>
      <w:r>
        <w:rPr>
          <w:rFonts w:eastAsiaTheme="minorHAnsi"/>
        </w:rPr>
        <w:t xml:space="preserve"> Water </w:t>
      </w:r>
      <w:r w:rsidRPr="00AF100D">
        <w:rPr>
          <w:rFonts w:eastAsiaTheme="minorHAnsi"/>
        </w:rPr>
        <w:t xml:space="preserve">Connections </w:t>
      </w:r>
      <w:r>
        <w:rPr>
          <w:rFonts w:eastAsiaTheme="minorHAnsi"/>
        </w:rPr>
        <w:t>P</w:t>
      </w:r>
      <w:r w:rsidRPr="00AF100D">
        <w:rPr>
          <w:rFonts w:eastAsiaTheme="minorHAnsi"/>
        </w:rPr>
        <w:t>roject</w:t>
      </w:r>
      <w:r>
        <w:rPr>
          <w:rFonts w:eastAsiaTheme="minorHAnsi"/>
        </w:rPr>
        <w:t xml:space="preserve"> from 2015</w:t>
      </w:r>
      <w:r>
        <w:rPr>
          <w:rFonts w:eastAsiaTheme="minorHAnsi"/>
        </w:rPr>
        <w:noBreakHyphen/>
        <w:t>16 to 2016</w:t>
      </w:r>
      <w:r>
        <w:rPr>
          <w:rFonts w:eastAsiaTheme="minorHAnsi"/>
        </w:rPr>
        <w:noBreakHyphen/>
        <w:t xml:space="preserve">17, and funding for </w:t>
      </w:r>
      <w:r w:rsidRPr="00892F90">
        <w:rPr>
          <w:rFonts w:eastAsiaTheme="minorHAnsi"/>
        </w:rPr>
        <w:t xml:space="preserve">new output initiatives </w:t>
      </w:r>
      <w:r>
        <w:rPr>
          <w:rFonts w:eastAsiaTheme="minorHAnsi"/>
        </w:rPr>
        <w:t>announced</w:t>
      </w:r>
      <w:r w:rsidRPr="00892F90">
        <w:rPr>
          <w:rFonts w:eastAsiaTheme="minorHAnsi"/>
        </w:rPr>
        <w:t xml:space="preserve"> in the </w:t>
      </w:r>
      <w:r w:rsidRPr="00D474A5">
        <w:rPr>
          <w:rFonts w:eastAsiaTheme="minorHAnsi"/>
          <w:i/>
        </w:rPr>
        <w:t>2016</w:t>
      </w:r>
      <w:r>
        <w:rPr>
          <w:rFonts w:eastAsiaTheme="minorHAnsi"/>
          <w:i/>
        </w:rPr>
        <w:noBreakHyphen/>
      </w:r>
      <w:r w:rsidRPr="00D474A5">
        <w:rPr>
          <w:rFonts w:eastAsiaTheme="minorHAnsi"/>
          <w:i/>
        </w:rPr>
        <w:t>17 Budget</w:t>
      </w:r>
      <w:r w:rsidRPr="00892F90">
        <w:rPr>
          <w:rFonts w:eastAsiaTheme="minorHAnsi"/>
        </w:rPr>
        <w:t xml:space="preserve"> including:</w:t>
      </w:r>
    </w:p>
    <w:p w:rsidR="002C39A3" w:rsidRPr="008864EB" w:rsidRDefault="002C39A3" w:rsidP="00361FA9">
      <w:pPr>
        <w:pStyle w:val="BulletText"/>
        <w:tabs>
          <w:tab w:val="clear" w:pos="360"/>
          <w:tab w:val="num" w:pos="720"/>
        </w:tabs>
        <w:ind w:left="357" w:hanging="357"/>
        <w:rPr>
          <w:rFonts w:eastAsiaTheme="minorHAnsi"/>
        </w:rPr>
      </w:pPr>
      <w:r w:rsidRPr="008864EB">
        <w:rPr>
          <w:rFonts w:eastAsiaTheme="minorHAnsi"/>
        </w:rPr>
        <w:t>Living Heritage Grants;</w:t>
      </w:r>
    </w:p>
    <w:p w:rsidR="002C39A3" w:rsidRPr="008864EB" w:rsidRDefault="002C39A3" w:rsidP="00361FA9">
      <w:pPr>
        <w:pStyle w:val="BulletText"/>
        <w:tabs>
          <w:tab w:val="clear" w:pos="360"/>
          <w:tab w:val="num" w:pos="720"/>
        </w:tabs>
        <w:ind w:left="357" w:hanging="357"/>
        <w:rPr>
          <w:rFonts w:eastAsiaTheme="minorHAnsi"/>
        </w:rPr>
      </w:pPr>
      <w:r w:rsidRPr="008864EB">
        <w:rPr>
          <w:rFonts w:eastAsiaTheme="minorHAnsi"/>
        </w:rPr>
        <w:t xml:space="preserve">Smart Planning </w:t>
      </w:r>
      <w:r>
        <w:rPr>
          <w:rFonts w:eastAsiaTheme="minorHAnsi"/>
        </w:rPr>
        <w:t>P</w:t>
      </w:r>
      <w:r w:rsidRPr="008864EB">
        <w:rPr>
          <w:rFonts w:eastAsiaTheme="minorHAnsi"/>
        </w:rPr>
        <w:t>rogram;</w:t>
      </w:r>
    </w:p>
    <w:p w:rsidR="002C39A3" w:rsidRPr="008864EB" w:rsidRDefault="002C39A3" w:rsidP="00361FA9">
      <w:pPr>
        <w:pStyle w:val="BulletText"/>
        <w:tabs>
          <w:tab w:val="clear" w:pos="360"/>
          <w:tab w:val="num" w:pos="720"/>
        </w:tabs>
        <w:ind w:left="357" w:hanging="357"/>
        <w:rPr>
          <w:rFonts w:eastAsiaTheme="minorHAnsi"/>
        </w:rPr>
      </w:pPr>
      <w:r>
        <w:rPr>
          <w:rFonts w:eastAsiaTheme="minorHAnsi"/>
        </w:rPr>
        <w:t>Community driven action to protect Victoria</w:t>
      </w:r>
      <w:r w:rsidR="0097550F">
        <w:rPr>
          <w:rFonts w:eastAsiaTheme="minorHAnsi"/>
        </w:rPr>
        <w:t>’</w:t>
      </w:r>
      <w:r>
        <w:rPr>
          <w:rFonts w:eastAsiaTheme="minorHAnsi"/>
        </w:rPr>
        <w:t>s unique biodiversity</w:t>
      </w:r>
      <w:r w:rsidRPr="008864EB">
        <w:rPr>
          <w:rFonts w:eastAsiaTheme="minorHAnsi"/>
        </w:rPr>
        <w:t xml:space="preserve">; and </w:t>
      </w:r>
    </w:p>
    <w:p w:rsidR="002C39A3" w:rsidRPr="008864EB" w:rsidRDefault="002C39A3" w:rsidP="00361FA9">
      <w:pPr>
        <w:pStyle w:val="BulletText"/>
        <w:tabs>
          <w:tab w:val="clear" w:pos="360"/>
          <w:tab w:val="num" w:pos="720"/>
        </w:tabs>
        <w:ind w:left="357" w:hanging="357"/>
        <w:rPr>
          <w:rFonts w:eastAsiaTheme="minorHAnsi"/>
        </w:rPr>
      </w:pPr>
      <w:r>
        <w:rPr>
          <w:rFonts w:eastAsiaTheme="minorHAnsi"/>
        </w:rPr>
        <w:t>Bushfire preparedness and response activities</w:t>
      </w:r>
      <w:r w:rsidRPr="008864EB">
        <w:rPr>
          <w:rFonts w:eastAsiaTheme="minorHAnsi"/>
        </w:rPr>
        <w:t>.</w:t>
      </w:r>
    </w:p>
    <w:p w:rsidR="002C39A3" w:rsidRPr="008864EB" w:rsidRDefault="002C39A3" w:rsidP="00361FA9">
      <w:pPr>
        <w:rPr>
          <w:rFonts w:eastAsiaTheme="minorHAnsi"/>
        </w:rPr>
      </w:pPr>
      <w:r w:rsidRPr="008864EB">
        <w:rPr>
          <w:rFonts w:eastAsiaTheme="minorHAnsi"/>
        </w:rPr>
        <w:t>Total operating expens</w:t>
      </w:r>
      <w:r>
        <w:rPr>
          <w:rFonts w:eastAsiaTheme="minorHAnsi"/>
        </w:rPr>
        <w:t>es are estimated to increase marginally by $24 </w:t>
      </w:r>
      <w:r w:rsidRPr="008864EB">
        <w:rPr>
          <w:rFonts w:eastAsiaTheme="minorHAnsi"/>
        </w:rPr>
        <w:t>million.</w:t>
      </w:r>
    </w:p>
    <w:p w:rsidR="002C39A3" w:rsidRDefault="002C39A3" w:rsidP="00361FA9">
      <w:pPr>
        <w:pStyle w:val="Heading2"/>
        <w:rPr>
          <w:rFonts w:eastAsiaTheme="minorHAnsi"/>
        </w:rPr>
      </w:pPr>
      <w:r>
        <w:rPr>
          <w:rFonts w:eastAsiaTheme="minorHAnsi"/>
        </w:rPr>
        <w:t>Balance sheet</w:t>
      </w:r>
    </w:p>
    <w:p w:rsidR="002C39A3" w:rsidRPr="008864EB" w:rsidRDefault="002C39A3" w:rsidP="00361FA9">
      <w:pPr>
        <w:rPr>
          <w:rFonts w:eastAsiaTheme="minorHAnsi"/>
        </w:rPr>
      </w:pPr>
      <w:r w:rsidRPr="008864EB">
        <w:rPr>
          <w:rFonts w:eastAsiaTheme="minorHAnsi"/>
        </w:rPr>
        <w:t>The Department</w:t>
      </w:r>
      <w:r w:rsidR="0097550F">
        <w:rPr>
          <w:rFonts w:eastAsiaTheme="minorHAnsi"/>
        </w:rPr>
        <w:t>’</w:t>
      </w:r>
      <w:r w:rsidRPr="008864EB">
        <w:rPr>
          <w:rFonts w:eastAsiaTheme="minorHAnsi"/>
        </w:rPr>
        <w:t>s net asset position is</w:t>
      </w:r>
      <w:r>
        <w:rPr>
          <w:rFonts w:eastAsiaTheme="minorHAnsi"/>
        </w:rPr>
        <w:t xml:space="preserve"> estimated to increase by $221 million in 2016</w:t>
      </w:r>
      <w:r>
        <w:rPr>
          <w:rFonts w:eastAsiaTheme="minorHAnsi"/>
        </w:rPr>
        <w:noBreakHyphen/>
        <w:t xml:space="preserve">17. </w:t>
      </w:r>
      <w:r w:rsidRPr="008864EB">
        <w:rPr>
          <w:rFonts w:eastAsiaTheme="minorHAnsi"/>
        </w:rPr>
        <w:t xml:space="preserve">This primarily reflects the receipt of Commonwealth grant funding for the </w:t>
      </w:r>
      <w:r w:rsidRPr="00892F90">
        <w:rPr>
          <w:rFonts w:eastAsiaTheme="minorHAnsi"/>
        </w:rPr>
        <w:t>Goulburn</w:t>
      </w:r>
      <w:r>
        <w:rPr>
          <w:rFonts w:eastAsiaTheme="minorHAnsi"/>
        </w:rPr>
        <w:noBreakHyphen/>
      </w:r>
      <w:r w:rsidRPr="00892F90">
        <w:rPr>
          <w:rFonts w:eastAsiaTheme="minorHAnsi"/>
        </w:rPr>
        <w:t>Murray</w:t>
      </w:r>
      <w:r>
        <w:rPr>
          <w:rFonts w:eastAsiaTheme="minorHAnsi"/>
        </w:rPr>
        <w:t xml:space="preserve"> Water </w:t>
      </w:r>
      <w:r w:rsidRPr="00AF100D">
        <w:rPr>
          <w:rFonts w:eastAsiaTheme="minorHAnsi"/>
        </w:rPr>
        <w:t xml:space="preserve">Connections </w:t>
      </w:r>
      <w:r>
        <w:rPr>
          <w:rFonts w:eastAsiaTheme="minorHAnsi"/>
        </w:rPr>
        <w:t>P</w:t>
      </w:r>
      <w:r w:rsidRPr="00AF100D">
        <w:rPr>
          <w:rFonts w:eastAsiaTheme="minorHAnsi"/>
        </w:rPr>
        <w:t>roject</w:t>
      </w:r>
      <w:r w:rsidRPr="008864EB">
        <w:rPr>
          <w:rFonts w:eastAsiaTheme="minorHAnsi"/>
        </w:rPr>
        <w:t xml:space="preserve"> in 2016</w:t>
      </w:r>
      <w:r>
        <w:rPr>
          <w:rFonts w:eastAsiaTheme="minorHAnsi"/>
        </w:rPr>
        <w:noBreakHyphen/>
      </w:r>
      <w:r w:rsidRPr="008864EB">
        <w:rPr>
          <w:rFonts w:eastAsiaTheme="minorHAnsi"/>
        </w:rPr>
        <w:t>17, which is forecast to be spent in 2017</w:t>
      </w:r>
      <w:r>
        <w:rPr>
          <w:rFonts w:eastAsiaTheme="minorHAnsi"/>
        </w:rPr>
        <w:noBreakHyphen/>
      </w:r>
      <w:r w:rsidRPr="008864EB">
        <w:rPr>
          <w:rFonts w:eastAsiaTheme="minorHAnsi"/>
        </w:rPr>
        <w:t>18.</w:t>
      </w:r>
    </w:p>
    <w:p w:rsidR="002C39A3" w:rsidRDefault="002C39A3" w:rsidP="00361FA9">
      <w:pPr>
        <w:pStyle w:val="Heading2"/>
        <w:rPr>
          <w:rFonts w:eastAsiaTheme="minorHAnsi"/>
        </w:rPr>
      </w:pPr>
      <w:r>
        <w:rPr>
          <w:rFonts w:eastAsiaTheme="minorHAnsi"/>
        </w:rPr>
        <w:t>Investing and financing</w:t>
      </w:r>
    </w:p>
    <w:p w:rsidR="002C39A3" w:rsidRDefault="002C39A3" w:rsidP="00361FA9">
      <w:pPr>
        <w:rPr>
          <w:rFonts w:eastAsiaTheme="minorHAnsi"/>
        </w:rPr>
      </w:pPr>
      <w:r w:rsidRPr="00AF100D">
        <w:rPr>
          <w:rFonts w:eastAsiaTheme="minorHAnsi"/>
        </w:rPr>
        <w:t>The Department is anticipating an increase of $1</w:t>
      </w:r>
      <w:r>
        <w:rPr>
          <w:rFonts w:eastAsiaTheme="minorHAnsi"/>
        </w:rPr>
        <w:t xml:space="preserve">70 </w:t>
      </w:r>
      <w:r w:rsidRPr="00AF100D">
        <w:rPr>
          <w:rFonts w:eastAsiaTheme="minorHAnsi"/>
        </w:rPr>
        <w:t>million in its net cash position in 2016</w:t>
      </w:r>
      <w:r>
        <w:rPr>
          <w:rFonts w:eastAsiaTheme="minorHAnsi"/>
        </w:rPr>
        <w:noBreakHyphen/>
      </w:r>
      <w:r w:rsidRPr="00AF100D">
        <w:rPr>
          <w:rFonts w:eastAsiaTheme="minorHAnsi"/>
        </w:rPr>
        <w:t>17. This is largely due to the re</w:t>
      </w:r>
      <w:r>
        <w:rPr>
          <w:rFonts w:eastAsiaTheme="minorHAnsi"/>
        </w:rPr>
        <w:noBreakHyphen/>
      </w:r>
      <w:r w:rsidRPr="00AF100D">
        <w:rPr>
          <w:rFonts w:eastAsiaTheme="minorHAnsi"/>
        </w:rPr>
        <w:t xml:space="preserve">phasing of Commonwealth revenue for the </w:t>
      </w:r>
      <w:r w:rsidRPr="00892F90">
        <w:rPr>
          <w:rFonts w:eastAsiaTheme="minorHAnsi"/>
        </w:rPr>
        <w:t>Goulburn</w:t>
      </w:r>
      <w:r>
        <w:rPr>
          <w:rFonts w:eastAsiaTheme="minorHAnsi"/>
        </w:rPr>
        <w:noBreakHyphen/>
      </w:r>
      <w:r w:rsidRPr="00892F90">
        <w:rPr>
          <w:rFonts w:eastAsiaTheme="minorHAnsi"/>
        </w:rPr>
        <w:t>Murray</w:t>
      </w:r>
      <w:r>
        <w:rPr>
          <w:rFonts w:eastAsiaTheme="minorHAnsi"/>
        </w:rPr>
        <w:t xml:space="preserve"> Water Connections Project.</w:t>
      </w:r>
    </w:p>
    <w:p w:rsidR="002C39A3" w:rsidRDefault="002C39A3" w:rsidP="00361FA9">
      <w:pPr>
        <w:rPr>
          <w:rFonts w:eastAsiaTheme="minorHAnsi"/>
        </w:rPr>
      </w:pPr>
      <w:r w:rsidRPr="00AF100D">
        <w:rPr>
          <w:rFonts w:eastAsiaTheme="minorHAnsi"/>
        </w:rPr>
        <w:t>Cash flows f</w:t>
      </w:r>
      <w:r>
        <w:rPr>
          <w:rFonts w:eastAsiaTheme="minorHAnsi"/>
        </w:rPr>
        <w:t>rom</w:t>
      </w:r>
      <w:r w:rsidRPr="00AF100D">
        <w:rPr>
          <w:rFonts w:eastAsiaTheme="minorHAnsi"/>
        </w:rPr>
        <w:t xml:space="preserve"> investing activities include payments for property, plant and equipment of $1</w:t>
      </w:r>
      <w:r>
        <w:rPr>
          <w:rFonts w:eastAsiaTheme="minorHAnsi"/>
        </w:rPr>
        <w:t>16 </w:t>
      </w:r>
      <w:r w:rsidRPr="00AF100D">
        <w:rPr>
          <w:rFonts w:eastAsiaTheme="minorHAnsi"/>
        </w:rPr>
        <w:t>million, reflecting the Government</w:t>
      </w:r>
      <w:r w:rsidR="0097550F">
        <w:rPr>
          <w:rFonts w:eastAsiaTheme="minorHAnsi"/>
        </w:rPr>
        <w:t>’</w:t>
      </w:r>
      <w:r w:rsidRPr="00AF100D">
        <w:rPr>
          <w:rFonts w:eastAsiaTheme="minorHAnsi"/>
        </w:rPr>
        <w:t>s continued investment in the environment, land, water and planning sectors.</w:t>
      </w:r>
      <w:r>
        <w:rPr>
          <w:rFonts w:eastAsiaTheme="minorHAnsi"/>
        </w:rPr>
        <w:t xml:space="preserve"> The Government</w:t>
      </w:r>
      <w:r w:rsidR="0097550F">
        <w:rPr>
          <w:rFonts w:eastAsiaTheme="minorHAnsi"/>
        </w:rPr>
        <w:t>’</w:t>
      </w:r>
      <w:r>
        <w:rPr>
          <w:rFonts w:eastAsiaTheme="minorHAnsi"/>
        </w:rPr>
        <w:t>s</w:t>
      </w:r>
      <w:r w:rsidRPr="00AF100D">
        <w:rPr>
          <w:rFonts w:eastAsiaTheme="minorHAnsi"/>
        </w:rPr>
        <w:t xml:space="preserve"> investment in new asset initiatives</w:t>
      </w:r>
      <w:r>
        <w:rPr>
          <w:rFonts w:eastAsiaTheme="minorHAnsi"/>
        </w:rPr>
        <w:t xml:space="preserve"> in the </w:t>
      </w:r>
      <w:r w:rsidRPr="00DA181F">
        <w:rPr>
          <w:rFonts w:eastAsiaTheme="minorHAnsi"/>
          <w:i/>
        </w:rPr>
        <w:t>2016</w:t>
      </w:r>
      <w:r>
        <w:rPr>
          <w:rFonts w:eastAsiaTheme="minorHAnsi"/>
          <w:i/>
        </w:rPr>
        <w:noBreakHyphen/>
      </w:r>
      <w:r w:rsidRPr="00DA181F">
        <w:rPr>
          <w:rFonts w:eastAsiaTheme="minorHAnsi"/>
          <w:i/>
        </w:rPr>
        <w:t>17 Budget</w:t>
      </w:r>
      <w:r>
        <w:rPr>
          <w:rFonts w:eastAsiaTheme="minorHAnsi"/>
        </w:rPr>
        <w:t xml:space="preserve"> include:</w:t>
      </w:r>
    </w:p>
    <w:p w:rsidR="002C39A3" w:rsidRPr="00DA181F" w:rsidRDefault="002C39A3" w:rsidP="00361FA9">
      <w:pPr>
        <w:pStyle w:val="BulletText"/>
        <w:tabs>
          <w:tab w:val="clear" w:pos="360"/>
          <w:tab w:val="num" w:pos="720"/>
        </w:tabs>
        <w:ind w:left="357" w:hanging="357"/>
        <w:rPr>
          <w:rFonts w:eastAsiaTheme="minorHAnsi"/>
        </w:rPr>
      </w:pPr>
      <w:r>
        <w:rPr>
          <w:rFonts w:eastAsiaTheme="minorHAnsi"/>
        </w:rPr>
        <w:t>R</w:t>
      </w:r>
      <w:r w:rsidRPr="00DA181F">
        <w:rPr>
          <w:rFonts w:eastAsiaTheme="minorHAnsi"/>
        </w:rPr>
        <w:t xml:space="preserve">egional </w:t>
      </w:r>
      <w:r>
        <w:rPr>
          <w:rFonts w:eastAsiaTheme="minorHAnsi"/>
        </w:rPr>
        <w:t>W</w:t>
      </w:r>
      <w:r w:rsidRPr="00DA181F">
        <w:rPr>
          <w:rFonts w:eastAsiaTheme="minorHAnsi"/>
        </w:rPr>
        <w:t xml:space="preserve">ater </w:t>
      </w:r>
      <w:r>
        <w:rPr>
          <w:rFonts w:eastAsiaTheme="minorHAnsi"/>
        </w:rPr>
        <w:t>I</w:t>
      </w:r>
      <w:r w:rsidRPr="00DA181F">
        <w:rPr>
          <w:rFonts w:eastAsiaTheme="minorHAnsi"/>
        </w:rPr>
        <w:t>nfrastructure</w:t>
      </w:r>
      <w:r>
        <w:rPr>
          <w:rFonts w:eastAsiaTheme="minorHAnsi"/>
        </w:rPr>
        <w:t xml:space="preserve"> – Water</w:t>
      </w:r>
      <w:r w:rsidRPr="00DA181F">
        <w:rPr>
          <w:rFonts w:eastAsiaTheme="minorHAnsi"/>
        </w:rPr>
        <w:t xml:space="preserve"> </w:t>
      </w:r>
      <w:r>
        <w:rPr>
          <w:rFonts w:eastAsiaTheme="minorHAnsi"/>
        </w:rPr>
        <w:t>Infrastructure and I</w:t>
      </w:r>
      <w:r w:rsidRPr="00DA181F">
        <w:rPr>
          <w:rFonts w:eastAsiaTheme="minorHAnsi"/>
        </w:rPr>
        <w:t>rrigation</w:t>
      </w:r>
      <w:r>
        <w:rPr>
          <w:rFonts w:eastAsiaTheme="minorHAnsi"/>
        </w:rPr>
        <w:t>;</w:t>
      </w:r>
    </w:p>
    <w:p w:rsidR="002C39A3" w:rsidRDefault="002C39A3" w:rsidP="00361FA9">
      <w:pPr>
        <w:pStyle w:val="BulletText"/>
        <w:tabs>
          <w:tab w:val="clear" w:pos="360"/>
          <w:tab w:val="num" w:pos="720"/>
        </w:tabs>
        <w:ind w:left="357" w:hanging="357"/>
        <w:rPr>
          <w:rFonts w:eastAsiaTheme="minorHAnsi"/>
        </w:rPr>
      </w:pPr>
      <w:r>
        <w:rPr>
          <w:rFonts w:eastAsiaTheme="minorHAnsi"/>
        </w:rPr>
        <w:t>Regional Tourism Infrastructure Fund: E</w:t>
      </w:r>
      <w:r w:rsidRPr="00AF100D">
        <w:rPr>
          <w:rFonts w:eastAsiaTheme="minorHAnsi"/>
        </w:rPr>
        <w:t>nhancing Victoria</w:t>
      </w:r>
      <w:r w:rsidR="0097550F">
        <w:rPr>
          <w:rFonts w:eastAsiaTheme="minorHAnsi"/>
        </w:rPr>
        <w:t>’</w:t>
      </w:r>
      <w:r w:rsidRPr="00AF100D">
        <w:rPr>
          <w:rFonts w:eastAsiaTheme="minorHAnsi"/>
        </w:rPr>
        <w:t>s world class natu</w:t>
      </w:r>
      <w:r>
        <w:rPr>
          <w:rFonts w:eastAsiaTheme="minorHAnsi"/>
        </w:rPr>
        <w:t xml:space="preserve">re based tourism destinations; </w:t>
      </w:r>
      <w:r w:rsidRPr="00AF100D">
        <w:rPr>
          <w:rFonts w:eastAsiaTheme="minorHAnsi"/>
        </w:rPr>
        <w:t>and</w:t>
      </w:r>
    </w:p>
    <w:p w:rsidR="002C39A3" w:rsidRPr="00E326C7" w:rsidRDefault="002C39A3" w:rsidP="00361FA9">
      <w:pPr>
        <w:pStyle w:val="BulletText"/>
        <w:tabs>
          <w:tab w:val="clear" w:pos="360"/>
          <w:tab w:val="num" w:pos="720"/>
        </w:tabs>
        <w:ind w:left="357" w:hanging="357"/>
        <w:rPr>
          <w:rFonts w:eastAsiaTheme="minorHAnsi"/>
        </w:rPr>
      </w:pPr>
      <w:r>
        <w:rPr>
          <w:rFonts w:eastAsiaTheme="minorHAnsi"/>
        </w:rPr>
        <w:t>R</w:t>
      </w:r>
      <w:r w:rsidRPr="00E326C7">
        <w:rPr>
          <w:rFonts w:eastAsiaTheme="minorHAnsi"/>
        </w:rPr>
        <w:t xml:space="preserve">evitalising </w:t>
      </w:r>
      <w:r>
        <w:rPr>
          <w:rFonts w:eastAsiaTheme="minorHAnsi"/>
        </w:rPr>
        <w:t>I</w:t>
      </w:r>
      <w:r w:rsidRPr="00E326C7">
        <w:rPr>
          <w:rFonts w:eastAsiaTheme="minorHAnsi"/>
        </w:rPr>
        <w:t>nfrastructure in the State</w:t>
      </w:r>
      <w:r w:rsidR="0097550F">
        <w:rPr>
          <w:rFonts w:eastAsiaTheme="minorHAnsi"/>
        </w:rPr>
        <w:t>’</w:t>
      </w:r>
      <w:r>
        <w:rPr>
          <w:rFonts w:eastAsiaTheme="minorHAnsi"/>
        </w:rPr>
        <w:t>s P</w:t>
      </w:r>
      <w:r w:rsidRPr="00E326C7">
        <w:rPr>
          <w:rFonts w:eastAsiaTheme="minorHAnsi"/>
        </w:rPr>
        <w:t>arks estate.</w:t>
      </w:r>
    </w:p>
    <w:p w:rsidR="002C39A3" w:rsidRDefault="002C39A3">
      <w:pPr>
        <w:spacing w:after="0"/>
        <w:rPr>
          <w:rFonts w:ascii="Calibri" w:eastAsiaTheme="minorHAnsi" w:hAnsi="Calibri"/>
          <w:b/>
          <w:kern w:val="28"/>
          <w:sz w:val="26"/>
          <w:szCs w:val="22"/>
        </w:rPr>
      </w:pPr>
      <w:r>
        <w:rPr>
          <w:rFonts w:eastAsiaTheme="minorHAnsi"/>
        </w:rPr>
        <w:br w:type="page"/>
      </w:r>
    </w:p>
    <w:p w:rsidR="002C39A3" w:rsidRDefault="002C39A3" w:rsidP="00361FA9">
      <w:pPr>
        <w:pStyle w:val="Heading2"/>
        <w:rPr>
          <w:rFonts w:eastAsiaTheme="minorHAnsi"/>
        </w:rPr>
      </w:pPr>
      <w:r>
        <w:rPr>
          <w:rFonts w:eastAsiaTheme="minorHAnsi"/>
        </w:rPr>
        <w:t>Administered items statement</w:t>
      </w:r>
    </w:p>
    <w:p w:rsidR="002C39A3" w:rsidRPr="00A22961" w:rsidRDefault="002C39A3" w:rsidP="00361FA9">
      <w:pPr>
        <w:rPr>
          <w:rFonts w:eastAsiaTheme="minorHAnsi"/>
        </w:rPr>
      </w:pPr>
      <w:r w:rsidRPr="00A22961">
        <w:rPr>
          <w:rFonts w:eastAsiaTheme="minorHAnsi"/>
        </w:rPr>
        <w:t>The Department administers certain expenses on behalf of the State relating to Victoria</w:t>
      </w:r>
      <w:r w:rsidR="0097550F">
        <w:rPr>
          <w:rFonts w:eastAsiaTheme="minorHAnsi"/>
        </w:rPr>
        <w:t>’</w:t>
      </w:r>
      <w:r w:rsidRPr="00A22961">
        <w:rPr>
          <w:rFonts w:eastAsiaTheme="minorHAnsi"/>
        </w:rPr>
        <w:t>s share of Murray Darling Basin Authority operating costs.</w:t>
      </w:r>
    </w:p>
    <w:p w:rsidR="002C39A3" w:rsidRPr="00A22961" w:rsidRDefault="002C39A3" w:rsidP="00361FA9">
      <w:pPr>
        <w:rPr>
          <w:rFonts w:eastAsiaTheme="minorHAnsi"/>
        </w:rPr>
      </w:pPr>
      <w:r w:rsidRPr="00A22961">
        <w:rPr>
          <w:rFonts w:eastAsiaTheme="minorHAnsi"/>
        </w:rPr>
        <w:t>Commonwealth funding reflected as grants inclu</w:t>
      </w:r>
      <w:r>
        <w:rPr>
          <w:rFonts w:eastAsiaTheme="minorHAnsi"/>
        </w:rPr>
        <w:t>des a range of Commonwealth own</w:t>
      </w:r>
      <w:r>
        <w:rPr>
          <w:rFonts w:eastAsiaTheme="minorHAnsi"/>
        </w:rPr>
        <w:noBreakHyphen/>
      </w:r>
      <w:r w:rsidRPr="00A22961">
        <w:rPr>
          <w:rFonts w:eastAsiaTheme="minorHAnsi"/>
        </w:rPr>
        <w:t>purpose payments for:</w:t>
      </w:r>
    </w:p>
    <w:p w:rsidR="002C39A3" w:rsidRDefault="002C39A3" w:rsidP="00361FA9">
      <w:pPr>
        <w:pStyle w:val="BulletText"/>
        <w:tabs>
          <w:tab w:val="clear" w:pos="360"/>
          <w:tab w:val="num" w:pos="720"/>
        </w:tabs>
        <w:ind w:left="357" w:hanging="357"/>
        <w:rPr>
          <w:rFonts w:eastAsiaTheme="minorHAnsi"/>
        </w:rPr>
      </w:pPr>
      <w:r>
        <w:rPr>
          <w:rFonts w:eastAsiaTheme="minorHAnsi"/>
        </w:rPr>
        <w:t>g</w:t>
      </w:r>
      <w:r w:rsidRPr="00A22961">
        <w:rPr>
          <w:rFonts w:eastAsiaTheme="minorHAnsi"/>
        </w:rPr>
        <w:t>rants for on</w:t>
      </w:r>
      <w:r>
        <w:rPr>
          <w:rFonts w:eastAsiaTheme="minorHAnsi"/>
        </w:rPr>
        <w:noBreakHyphen/>
      </w:r>
      <w:r w:rsidRPr="00A22961">
        <w:rPr>
          <w:rFonts w:eastAsiaTheme="minorHAnsi"/>
        </w:rPr>
        <w:t xml:space="preserve">passing to </w:t>
      </w:r>
      <w:r>
        <w:rPr>
          <w:rFonts w:eastAsiaTheme="minorHAnsi"/>
        </w:rPr>
        <w:t>l</w:t>
      </w:r>
      <w:r w:rsidRPr="00A22961">
        <w:rPr>
          <w:rFonts w:eastAsiaTheme="minorHAnsi"/>
        </w:rPr>
        <w:t xml:space="preserve">ocal </w:t>
      </w:r>
      <w:r>
        <w:rPr>
          <w:rFonts w:eastAsiaTheme="minorHAnsi"/>
        </w:rPr>
        <w:t>g</w:t>
      </w:r>
      <w:r w:rsidRPr="00A22961">
        <w:rPr>
          <w:rFonts w:eastAsiaTheme="minorHAnsi"/>
        </w:rPr>
        <w:t>overnment; and</w:t>
      </w:r>
    </w:p>
    <w:p w:rsidR="002C39A3" w:rsidRPr="00A22961" w:rsidRDefault="002C39A3" w:rsidP="00361FA9">
      <w:pPr>
        <w:pStyle w:val="BulletText"/>
        <w:tabs>
          <w:tab w:val="clear" w:pos="360"/>
          <w:tab w:val="num" w:pos="720"/>
        </w:tabs>
        <w:ind w:left="357" w:hanging="357"/>
        <w:rPr>
          <w:rFonts w:eastAsiaTheme="minorHAnsi"/>
        </w:rPr>
      </w:pPr>
      <w:r w:rsidRPr="00A22961">
        <w:rPr>
          <w:rFonts w:eastAsiaTheme="minorHAnsi"/>
        </w:rPr>
        <w:t>National Landcare Programme Regional Allocations.</w:t>
      </w:r>
    </w:p>
    <w:p w:rsidR="002C39A3" w:rsidRDefault="002C39A3" w:rsidP="00361FA9">
      <w:pPr>
        <w:rPr>
          <w:rFonts w:eastAsiaTheme="minorHAnsi"/>
        </w:rPr>
      </w:pPr>
      <w:r w:rsidRPr="00A22961">
        <w:rPr>
          <w:rFonts w:eastAsiaTheme="minorHAnsi"/>
        </w:rPr>
        <w:t>Other than Commonwealth grants, the Department</w:t>
      </w:r>
      <w:r w:rsidR="0097550F">
        <w:rPr>
          <w:rFonts w:eastAsiaTheme="minorHAnsi"/>
        </w:rPr>
        <w:t>’</w:t>
      </w:r>
      <w:r w:rsidRPr="00A22961">
        <w:rPr>
          <w:rFonts w:eastAsiaTheme="minorHAnsi"/>
        </w:rPr>
        <w:t xml:space="preserve">s administered income primarily comprises contributions to the Victorian Desalination Plant project and the </w:t>
      </w:r>
      <w:r w:rsidRPr="00892F90">
        <w:rPr>
          <w:rFonts w:eastAsiaTheme="minorHAnsi"/>
        </w:rPr>
        <w:t>Goulburn</w:t>
      </w:r>
      <w:r>
        <w:rPr>
          <w:rFonts w:eastAsiaTheme="minorHAnsi"/>
        </w:rPr>
        <w:noBreakHyphen/>
      </w:r>
      <w:r w:rsidRPr="00892F90">
        <w:rPr>
          <w:rFonts w:eastAsiaTheme="minorHAnsi"/>
        </w:rPr>
        <w:t>Murray</w:t>
      </w:r>
      <w:r>
        <w:rPr>
          <w:rFonts w:eastAsiaTheme="minorHAnsi"/>
        </w:rPr>
        <w:t xml:space="preserve"> Water </w:t>
      </w:r>
      <w:r w:rsidRPr="00AF100D">
        <w:rPr>
          <w:rFonts w:eastAsiaTheme="minorHAnsi"/>
        </w:rPr>
        <w:t xml:space="preserve">Connections </w:t>
      </w:r>
      <w:r>
        <w:rPr>
          <w:rFonts w:eastAsiaTheme="minorHAnsi"/>
        </w:rPr>
        <w:t>P</w:t>
      </w:r>
      <w:r w:rsidRPr="00AF100D">
        <w:rPr>
          <w:rFonts w:eastAsiaTheme="minorHAnsi"/>
        </w:rPr>
        <w:t>roject</w:t>
      </w:r>
      <w:r w:rsidRPr="00A22961">
        <w:rPr>
          <w:rFonts w:eastAsiaTheme="minorHAnsi"/>
        </w:rPr>
        <w:t>, environment contributions and Consolidated Fund revenue collected by Land Victoria.</w:t>
      </w:r>
    </w:p>
    <w:p w:rsidR="002C39A3" w:rsidRDefault="002C39A3" w:rsidP="00361FA9">
      <w:pPr>
        <w:rPr>
          <w:rFonts w:eastAsiaTheme="minorHAnsi"/>
        </w:rPr>
      </w:pPr>
      <w:r w:rsidRPr="001C2E44">
        <w:rPr>
          <w:rFonts w:eastAsiaTheme="minorHAnsi"/>
        </w:rPr>
        <w:t>The lower 2015-16 revised administered income and expense relates to the Commonwealth</w:t>
      </w:r>
      <w:r w:rsidR="0097550F">
        <w:rPr>
          <w:rFonts w:eastAsiaTheme="minorHAnsi"/>
        </w:rPr>
        <w:t>’</w:t>
      </w:r>
      <w:r w:rsidRPr="001C2E44">
        <w:rPr>
          <w:rFonts w:eastAsiaTheme="minorHAnsi"/>
        </w:rPr>
        <w:t>s prepayment of Financial Assistance Grants and Identified Local Roads grants relating to the first two quarters of 2015-16 in 2014-15.</w:t>
      </w:r>
    </w:p>
    <w:p w:rsidR="002C39A3" w:rsidRDefault="002C39A3" w:rsidP="00361FA9">
      <w:pPr>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3.3.1:</w:t>
      </w:r>
      <w:r>
        <w:rPr>
          <w:rFonts w:eastAsiaTheme="minorHAnsi"/>
        </w:rPr>
        <w:tab/>
        <w:t>Comprehensive operating statement</w:t>
      </w:r>
    </w:p>
    <w:p w:rsidR="002C39A3" w:rsidRPr="00AC6103" w:rsidRDefault="002C39A3" w:rsidP="00361FA9">
      <w:pPr>
        <w:pStyle w:val="million"/>
        <w:rPr>
          <w:rFonts w:eastAsiaTheme="minorEastAsia"/>
          <w:lang w:val="en-US" w:eastAsia="en-AU"/>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B04358" w:rsidRPr="00AC6103" w:rsidTr="00B04358">
        <w:trPr>
          <w:trHeight w:val="464"/>
          <w:tblHeader/>
        </w:trPr>
        <w:tc>
          <w:tcPr>
            <w:tcW w:w="4365" w:type="dxa"/>
            <w:tcBorders>
              <w:left w:val="nil"/>
              <w:right w:val="nil"/>
            </w:tcBorders>
            <w:shd w:val="solid" w:color="000000" w:fill="auto"/>
            <w:vAlign w:val="bottom"/>
          </w:tcPr>
          <w:p w:rsidR="00B04358" w:rsidRPr="00AC6103" w:rsidRDefault="00B04358" w:rsidP="00B04358">
            <w:pPr>
              <w:pStyle w:val="Source"/>
              <w:spacing w:after="0"/>
              <w:rPr>
                <w:rFonts w:eastAsiaTheme="minorEastAsia" w:cs="Calibri"/>
                <w:color w:val="FFFFFF"/>
                <w:sz w:val="19"/>
                <w:lang w:eastAsia="en-AU"/>
              </w:rPr>
            </w:pPr>
          </w:p>
        </w:tc>
        <w:tc>
          <w:tcPr>
            <w:tcW w:w="850" w:type="dxa"/>
            <w:tcBorders>
              <w:left w:val="nil"/>
              <w:righ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2014-15</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actual</w:t>
            </w:r>
          </w:p>
        </w:tc>
        <w:tc>
          <w:tcPr>
            <w:tcW w:w="850" w:type="dxa"/>
            <w:tcBorders>
              <w:left w:val="nil"/>
              <w:righ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2016-17</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r w:rsidRPr="00AC6103">
              <w:rPr>
                <w:rFonts w:ascii="Calibri" w:eastAsiaTheme="minorEastAsia" w:hAnsi="Calibri" w:cs="Calibri"/>
                <w:i/>
                <w:iCs/>
                <w:color w:val="FFFFFF"/>
                <w:sz w:val="19"/>
                <w:vertAlign w:val="superscript"/>
                <w:lang w:eastAsia="en-AU"/>
              </w:rPr>
              <w:t>(a)</w:t>
            </w:r>
          </w:p>
        </w:tc>
      </w:tr>
      <w:tr w:rsidR="00B04358" w:rsidRPr="00AC6103" w:rsidTr="00B04358">
        <w:tc>
          <w:tcPr>
            <w:tcW w:w="7765" w:type="dxa"/>
            <w:gridSpan w:val="5"/>
            <w:tcBorders>
              <w:top w:val="single" w:sz="6" w:space="0" w:color="auto"/>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Net re</w:t>
            </w:r>
            <w:r>
              <w:rPr>
                <w:rFonts w:ascii="Calibri" w:eastAsiaTheme="minorEastAsia" w:hAnsi="Calibri" w:cs="Calibri"/>
                <w:b/>
                <w:bCs/>
                <w:color w:val="000000"/>
                <w:sz w:val="19"/>
                <w:lang w:eastAsia="en-AU"/>
              </w:rPr>
              <w:t>sult from continuing operations</w:t>
            </w:r>
          </w:p>
        </w:tc>
      </w:tr>
      <w:tr w:rsidR="00B04358" w:rsidRPr="00AC6103" w:rsidTr="00B04358">
        <w:tc>
          <w:tcPr>
            <w:tcW w:w="7765" w:type="dxa"/>
            <w:gridSpan w:val="5"/>
            <w:tcBorders>
              <w:top w:val="nil"/>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Income from transactions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Output appropriations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1 225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1 172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1 142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1 276</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Special appropriations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62</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Interest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21</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Sale of goods and services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43</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Grants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219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260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394</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income</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364</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268</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293</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305</w:t>
            </w:r>
          </w:p>
        </w:tc>
      </w:tr>
      <w:tr w:rsidR="002C39A3" w:rsidRPr="00AC6103" w:rsidTr="00361FA9">
        <w:tc>
          <w:tcPr>
            <w:tcW w:w="4365"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income from transactions</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2 046</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1 809</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1 644</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2 101</w:t>
            </w:r>
          </w:p>
        </w:tc>
      </w:tr>
      <w:tr w:rsidR="00B04358" w:rsidRPr="00AC6103" w:rsidTr="00B04358">
        <w:tc>
          <w:tcPr>
            <w:tcW w:w="7765" w:type="dxa"/>
            <w:gridSpan w:val="5"/>
            <w:tcBorders>
              <w:top w:val="nil"/>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Expenses from transactions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Employee benefits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409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379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387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381</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 xml:space="preserve">Depreciation </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50</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Interest expense</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Grants and other transfers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511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673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626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665</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Capital asset charge</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92</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operating expenses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497</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626</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574</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569</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expenses from transactions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1 591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1 826</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1 734</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1 758</w:t>
            </w:r>
          </w:p>
        </w:tc>
      </w:tr>
      <w:tr w:rsidR="002C39A3" w:rsidRPr="00AC6103" w:rsidTr="00361FA9">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result from transactions (net operating balance)</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456</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(17)</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(89)</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343</w:t>
            </w:r>
          </w:p>
        </w:tc>
      </w:tr>
      <w:tr w:rsidR="00B04358" w:rsidRPr="00AC6103" w:rsidTr="00B04358">
        <w:tc>
          <w:tcPr>
            <w:tcW w:w="7765" w:type="dxa"/>
            <w:gridSpan w:val="5"/>
            <w:tcBorders>
              <w:top w:val="single" w:sz="12" w:space="0" w:color="auto"/>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Other economic flows included in net result</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Net gain/(loss) on non-financial assets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Share of net profits/(</w:t>
            </w:r>
            <w:r w:rsidR="00B04358">
              <w:rPr>
                <w:rFonts w:ascii="Calibri" w:eastAsiaTheme="minorEastAsia" w:hAnsi="Calibri" w:cs="Calibri"/>
                <w:color w:val="000000"/>
                <w:sz w:val="19"/>
                <w:lang w:eastAsia="en-AU"/>
              </w:rPr>
              <w:t>losses) of associates and joint </w:t>
            </w:r>
            <w:r w:rsidRPr="00AC6103">
              <w:rPr>
                <w:rFonts w:ascii="Calibri" w:eastAsiaTheme="minorEastAsia" w:hAnsi="Calibri" w:cs="Calibri"/>
                <w:color w:val="000000"/>
                <w:sz w:val="19"/>
                <w:lang w:eastAsia="en-AU"/>
              </w:rPr>
              <w:t>venture entities, excluding dividends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Net gain/(loss) on fina</w:t>
            </w:r>
            <w:r w:rsidR="00B04358">
              <w:rPr>
                <w:rFonts w:ascii="Calibri" w:eastAsiaTheme="minorEastAsia" w:hAnsi="Calibri" w:cs="Calibri"/>
                <w:color w:val="000000"/>
                <w:sz w:val="19"/>
                <w:lang w:eastAsia="en-AU"/>
              </w:rPr>
              <w:t>ncial instruments and statutory </w:t>
            </w:r>
            <w:r w:rsidRPr="00AC6103">
              <w:rPr>
                <w:rFonts w:ascii="Calibri" w:eastAsiaTheme="minorEastAsia" w:hAnsi="Calibri" w:cs="Calibri"/>
                <w:color w:val="000000"/>
                <w:sz w:val="19"/>
                <w:lang w:eastAsia="en-AU"/>
              </w:rPr>
              <w:t>receivables/payables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gains/(losses) from economic flows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other economic flows included in net result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16</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result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471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(15)</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(88)</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343</w:t>
            </w:r>
          </w:p>
        </w:tc>
      </w:tr>
      <w:tr w:rsidR="00B04358" w:rsidRPr="00AC6103" w:rsidTr="00B04358">
        <w:tc>
          <w:tcPr>
            <w:tcW w:w="7765" w:type="dxa"/>
            <w:gridSpan w:val="5"/>
            <w:tcBorders>
              <w:top w:val="single" w:sz="6" w:space="0" w:color="auto"/>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Other economic flows – other comprehensive income</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Changes in non-financial assets revaluation surplus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28</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 xml:space="preserve">Total other economic flows – </w:t>
            </w:r>
            <w:r w:rsidR="00B04358">
              <w:rPr>
                <w:rFonts w:ascii="Calibri" w:eastAsiaTheme="minorEastAsia" w:hAnsi="Calibri" w:cs="Calibri"/>
                <w:b/>
                <w:bCs/>
                <w:color w:val="000000"/>
                <w:sz w:val="19"/>
                <w:lang w:eastAsia="en-AU"/>
              </w:rPr>
              <w:br/>
            </w:r>
            <w:r w:rsidRPr="00AC6103">
              <w:rPr>
                <w:rFonts w:ascii="Calibri" w:eastAsiaTheme="minorEastAsia" w:hAnsi="Calibri" w:cs="Calibri"/>
                <w:b/>
                <w:bCs/>
                <w:color w:val="000000"/>
                <w:sz w:val="19"/>
                <w:lang w:eastAsia="en-AU"/>
              </w:rPr>
              <w:t>other comprehensive income</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118</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Comprehensive result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589</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(15)</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(88)</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343</w:t>
            </w:r>
          </w:p>
        </w:tc>
      </w:tr>
    </w:tbl>
    <w:p w:rsidR="002C39A3" w:rsidRDefault="002C39A3" w:rsidP="00361FA9">
      <w:pPr>
        <w:pStyle w:val="Source"/>
        <w:rPr>
          <w:rFonts w:eastAsiaTheme="minorHAnsi"/>
        </w:rPr>
      </w:pPr>
      <w:r w:rsidRPr="0085792A">
        <w:rPr>
          <w:rFonts w:eastAsiaTheme="minorHAnsi"/>
        </w:rPr>
        <w:t>Sources: Departments of Environment, Land, Water and Planning</w:t>
      </w:r>
      <w:r>
        <w:rPr>
          <w:rFonts w:eastAsiaTheme="minorHAnsi"/>
        </w:rPr>
        <w:t>,</w:t>
      </w:r>
      <w:r w:rsidRPr="0085792A">
        <w:rPr>
          <w:rFonts w:eastAsiaTheme="minorHAnsi"/>
        </w:rPr>
        <w:t xml:space="preserve"> and Treasury and Finance</w:t>
      </w:r>
    </w:p>
    <w:p w:rsidR="002C39A3" w:rsidRPr="00AC6103" w:rsidRDefault="002C39A3" w:rsidP="00361FA9">
      <w:pPr>
        <w:pStyle w:val="Notes"/>
        <w:rPr>
          <w:rFonts w:eastAsiaTheme="minorHAnsi"/>
        </w:rPr>
      </w:pPr>
      <w:r w:rsidRPr="00AC6103">
        <w:rPr>
          <w:rFonts w:eastAsiaTheme="minorHAnsi"/>
        </w:rPr>
        <w:t>Note:</w:t>
      </w:r>
    </w:p>
    <w:p w:rsidR="002C39A3" w:rsidRPr="00AC6103" w:rsidRDefault="002C39A3" w:rsidP="00361FA9">
      <w:pPr>
        <w:pStyle w:val="Notes"/>
        <w:rPr>
          <w:rFonts w:eastAsiaTheme="minorHAnsi"/>
        </w:rPr>
      </w:pPr>
      <w:r w:rsidRPr="00AC6103">
        <w:rPr>
          <w:rFonts w:eastAsiaTheme="minorHAnsi"/>
        </w:rPr>
        <w:t>(a)</w:t>
      </w:r>
      <w:r w:rsidRPr="00AC6103">
        <w:rPr>
          <w:rFonts w:eastAsiaTheme="minorHAnsi"/>
        </w:rPr>
        <w:tab/>
        <w:t>The 2016</w:t>
      </w:r>
      <w:r w:rsidRPr="00AC6103">
        <w:rPr>
          <w:rFonts w:eastAsiaTheme="minorHAnsi"/>
        </w:rPr>
        <w:noBreakHyphen/>
        <w:t>17 budget reflects the reclassification of the Environmental Protection Authority (EPA) from the Department of Environment, Land, Water and Planning (DELWP) to regulatory bodies. This better reflects the functions of the EPA following the transfer of the Sustainability Fund to DELWP.</w:t>
      </w:r>
    </w:p>
    <w:p w:rsidR="002C39A3" w:rsidRDefault="002C39A3" w:rsidP="00361FA9">
      <w:pPr>
        <w:rPr>
          <w:rFonts w:eastAsiaTheme="minorHAnsi"/>
        </w:rPr>
      </w:pPr>
    </w:p>
    <w:p w:rsidR="002C39A3" w:rsidRPr="001446B8" w:rsidRDefault="002C39A3" w:rsidP="00361FA9">
      <w:pPr>
        <w:rPr>
          <w:rFonts w:ascii="Calibri" w:eastAsiaTheme="minorHAnsi" w:hAnsi="Calibri"/>
        </w:rPr>
      </w:pPr>
      <w:r w:rsidRPr="001446B8">
        <w:rPr>
          <w:rFonts w:eastAsiaTheme="minorHAnsi"/>
        </w:rPr>
        <w:br w:type="page"/>
      </w:r>
    </w:p>
    <w:p w:rsidR="002C39A3" w:rsidRDefault="002C39A3" w:rsidP="00361FA9">
      <w:pPr>
        <w:pStyle w:val="Tableheading"/>
        <w:rPr>
          <w:rFonts w:eastAsiaTheme="minorHAnsi"/>
        </w:rPr>
      </w:pPr>
      <w:r>
        <w:rPr>
          <w:rFonts w:eastAsiaTheme="minorHAnsi"/>
        </w:rPr>
        <w:t>Table 3.3.2:</w:t>
      </w:r>
      <w:r>
        <w:rPr>
          <w:rFonts w:eastAsiaTheme="minorHAnsi"/>
        </w:rPr>
        <w:tab/>
        <w:t>Balance sheet</w:t>
      </w:r>
    </w:p>
    <w:p w:rsidR="002C39A3" w:rsidRPr="00AC6103" w:rsidRDefault="002C39A3" w:rsidP="00361FA9">
      <w:pPr>
        <w:pStyle w:val="million"/>
        <w:rPr>
          <w:rFonts w:eastAsiaTheme="minorEastAsia"/>
          <w:b/>
          <w:bCs/>
          <w:lang w:val="en-US" w:eastAsia="en-AU"/>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1"/>
      </w:tblGrid>
      <w:tr w:rsidR="00B04358" w:rsidRPr="00AC6103" w:rsidTr="00B04358">
        <w:trPr>
          <w:tblHeader/>
        </w:trPr>
        <w:tc>
          <w:tcPr>
            <w:tcW w:w="4365" w:type="dxa"/>
            <w:tcBorders>
              <w:bottom w:val="nil"/>
              <w:right w:val="nil"/>
            </w:tcBorders>
            <w:shd w:val="solid" w:color="000000" w:fill="auto"/>
            <w:vAlign w:val="bottom"/>
          </w:tcPr>
          <w:p w:rsidR="00B04358" w:rsidRPr="00AC6103" w:rsidRDefault="00B04358" w:rsidP="00361FA9">
            <w:pPr>
              <w:pStyle w:val="Source"/>
              <w:spacing w:after="0"/>
              <w:rPr>
                <w:rFonts w:eastAsiaTheme="minorEastAsia" w:cs="Calibri"/>
                <w:iCs/>
                <w:color w:val="FFFFFF"/>
                <w:sz w:val="19"/>
                <w:lang w:eastAsia="en-AU"/>
              </w:rPr>
            </w:pPr>
            <w:r w:rsidRPr="00AC6103">
              <w:rPr>
                <w:rFonts w:eastAsiaTheme="minorEastAsia" w:cs="Calibri"/>
                <w:iCs/>
                <w:color w:val="FFFFFF"/>
                <w:sz w:val="19"/>
                <w:lang w:eastAsia="en-AU"/>
              </w:rPr>
              <w:t xml:space="preserve"> </w:t>
            </w:r>
          </w:p>
        </w:tc>
        <w:tc>
          <w:tcPr>
            <w:tcW w:w="850" w:type="dxa"/>
            <w:tcBorders>
              <w:left w:val="nil"/>
              <w:bottom w:val="nil"/>
              <w:righ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color w:val="FFFFFF"/>
                <w:sz w:val="19"/>
                <w:lang w:eastAsia="en-AU"/>
              </w:rPr>
            </w:pPr>
            <w:r w:rsidRPr="00AC6103">
              <w:rPr>
                <w:rFonts w:ascii="Calibri" w:eastAsiaTheme="minorEastAsia" w:hAnsi="Calibri" w:cs="Calibri"/>
                <w:color w:val="FFFFFF"/>
                <w:sz w:val="19"/>
                <w:lang w:eastAsia="en-AU"/>
              </w:rPr>
              <w:t xml:space="preserve">  </w:t>
            </w:r>
          </w:p>
        </w:tc>
        <w:tc>
          <w:tcPr>
            <w:tcW w:w="2551" w:type="dxa"/>
            <w:gridSpan w:val="3"/>
            <w:tcBorders>
              <w:left w:val="nil"/>
              <w:bottom w:val="nil"/>
            </w:tcBorders>
            <w:shd w:val="solid" w:color="000000" w:fill="auto"/>
            <w:vAlign w:val="bottom"/>
          </w:tcPr>
          <w:p w:rsidR="00B04358" w:rsidRPr="00AC6103" w:rsidRDefault="00B04358" w:rsidP="00B04358">
            <w:pPr>
              <w:autoSpaceDE w:val="0"/>
              <w:autoSpaceDN w:val="0"/>
              <w:adjustRightInd w:val="0"/>
              <w:spacing w:after="0"/>
              <w:jc w:val="center"/>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Estimated as at 30 June</w:t>
            </w:r>
          </w:p>
        </w:tc>
      </w:tr>
      <w:tr w:rsidR="00B04358" w:rsidRPr="00AC6103" w:rsidTr="00B04358">
        <w:trPr>
          <w:trHeight w:val="464"/>
          <w:tblHeader/>
        </w:trPr>
        <w:tc>
          <w:tcPr>
            <w:tcW w:w="4365" w:type="dxa"/>
            <w:tcBorders>
              <w:top w:val="nil"/>
              <w:right w:val="nil"/>
            </w:tcBorders>
            <w:shd w:val="solid" w:color="000000" w:fill="auto"/>
            <w:vAlign w:val="bottom"/>
          </w:tcPr>
          <w:p w:rsidR="00B04358" w:rsidRPr="00AC6103" w:rsidRDefault="00B04358" w:rsidP="00361FA9">
            <w:pPr>
              <w:autoSpaceDE w:val="0"/>
              <w:autoSpaceDN w:val="0"/>
              <w:adjustRightInd w:val="0"/>
              <w:spacing w:after="0"/>
              <w:rPr>
                <w:rFonts w:ascii="Calibri" w:eastAsiaTheme="minorEastAsia" w:hAnsi="Calibri" w:cs="Calibri"/>
                <w:color w:val="FFFFFF"/>
                <w:sz w:val="19"/>
                <w:lang w:eastAsia="en-AU"/>
              </w:rPr>
            </w:pPr>
          </w:p>
        </w:tc>
        <w:tc>
          <w:tcPr>
            <w:tcW w:w="850" w:type="dxa"/>
            <w:tcBorders>
              <w:top w:val="nil"/>
              <w:left w:val="nil"/>
              <w:righ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actual</w:t>
            </w:r>
          </w:p>
        </w:tc>
        <w:tc>
          <w:tcPr>
            <w:tcW w:w="850" w:type="dxa"/>
            <w:tcBorders>
              <w:top w:val="nil"/>
              <w:left w:val="nil"/>
              <w:righ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tcBorders>
              <w:top w:val="nil"/>
              <w:left w:val="nil"/>
              <w:righ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1" w:type="dxa"/>
            <w:tcBorders>
              <w:top w:val="nil"/>
              <w:lef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2017</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r w:rsidRPr="00AC6103">
              <w:rPr>
                <w:rFonts w:ascii="Calibri" w:eastAsiaTheme="minorEastAsia" w:hAnsi="Calibri" w:cs="Calibri"/>
                <w:i/>
                <w:iCs/>
                <w:color w:val="FFFFFF"/>
                <w:sz w:val="19"/>
                <w:vertAlign w:val="superscript"/>
                <w:lang w:eastAsia="en-AU"/>
              </w:rPr>
              <w:t>(a)</w:t>
            </w:r>
          </w:p>
        </w:tc>
      </w:tr>
      <w:tr w:rsidR="00B04358" w:rsidRPr="00AC6103" w:rsidTr="00B04358">
        <w:tc>
          <w:tcPr>
            <w:tcW w:w="7766" w:type="dxa"/>
            <w:gridSpan w:val="5"/>
            <w:tcBorders>
              <w:top w:val="single" w:sz="6" w:space="0" w:color="auto"/>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Assets</w:t>
            </w:r>
          </w:p>
        </w:tc>
      </w:tr>
      <w:tr w:rsidR="00B04358" w:rsidRPr="00AC6103" w:rsidTr="00B04358">
        <w:tc>
          <w:tcPr>
            <w:tcW w:w="7766" w:type="dxa"/>
            <w:gridSpan w:val="5"/>
            <w:tcBorders>
              <w:top w:val="nil"/>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Financial assets</w:t>
            </w:r>
          </w:p>
        </w:tc>
      </w:tr>
      <w:tr w:rsidR="002C39A3" w:rsidRPr="00AC6103" w:rsidTr="00B04358">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Cash and deposits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628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515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478</w:t>
            </w:r>
          </w:p>
        </w:tc>
        <w:tc>
          <w:tcPr>
            <w:tcW w:w="85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648</w:t>
            </w:r>
          </w:p>
        </w:tc>
      </w:tr>
      <w:tr w:rsidR="002C39A3" w:rsidRPr="00AC6103" w:rsidTr="00B04358">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Receivables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296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330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257</w:t>
            </w:r>
          </w:p>
        </w:tc>
        <w:tc>
          <w:tcPr>
            <w:tcW w:w="85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222</w:t>
            </w:r>
          </w:p>
        </w:tc>
      </w:tr>
      <w:tr w:rsidR="002C39A3" w:rsidRPr="00AC6103" w:rsidTr="00B04358">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financial assets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488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562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577</w:t>
            </w:r>
          </w:p>
        </w:tc>
        <w:tc>
          <w:tcPr>
            <w:tcW w:w="85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603</w:t>
            </w:r>
          </w:p>
        </w:tc>
      </w:tr>
      <w:tr w:rsidR="002C39A3" w:rsidRPr="00AC6103" w:rsidTr="00B04358">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Investments accounted for using equity method</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w:t>
            </w:r>
          </w:p>
        </w:tc>
        <w:tc>
          <w:tcPr>
            <w:tcW w:w="85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w:t>
            </w:r>
          </w:p>
        </w:tc>
      </w:tr>
      <w:tr w:rsidR="002C39A3" w:rsidRPr="00AC6103" w:rsidTr="00B04358">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financial assets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1 421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1 417</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1 322</w:t>
            </w:r>
          </w:p>
        </w:tc>
        <w:tc>
          <w:tcPr>
            <w:tcW w:w="851"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1 483</w:t>
            </w:r>
          </w:p>
        </w:tc>
      </w:tr>
      <w:tr w:rsidR="00B04358" w:rsidRPr="00AC6103" w:rsidTr="00B04358">
        <w:tc>
          <w:tcPr>
            <w:tcW w:w="7766" w:type="dxa"/>
            <w:gridSpan w:val="5"/>
            <w:tcBorders>
              <w:top w:val="single" w:sz="6" w:space="0" w:color="auto"/>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Non-financial assets</w:t>
            </w:r>
          </w:p>
        </w:tc>
      </w:tr>
      <w:tr w:rsidR="002C39A3" w:rsidRPr="00AC6103" w:rsidTr="00B04358">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Inventories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24</w:t>
            </w:r>
          </w:p>
        </w:tc>
        <w:tc>
          <w:tcPr>
            <w:tcW w:w="85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27</w:t>
            </w:r>
          </w:p>
        </w:tc>
      </w:tr>
      <w:tr w:rsidR="002C39A3" w:rsidRPr="00AC6103" w:rsidTr="00B04358">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Non-financial assets classified as held for sale including disposal group assets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r>
      <w:tr w:rsidR="002C39A3" w:rsidRPr="00AC6103" w:rsidTr="00B04358">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Property, plant and equipment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7 590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7 579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7 600</w:t>
            </w:r>
          </w:p>
        </w:tc>
        <w:tc>
          <w:tcPr>
            <w:tcW w:w="85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7 609</w:t>
            </w:r>
          </w:p>
        </w:tc>
      </w:tr>
      <w:tr w:rsidR="002C39A3" w:rsidRPr="00AC6103" w:rsidTr="00B04358">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Biological assets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B04358">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Intangible assets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40</w:t>
            </w:r>
          </w:p>
        </w:tc>
        <w:tc>
          <w:tcPr>
            <w:tcW w:w="85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25</w:t>
            </w:r>
          </w:p>
        </w:tc>
      </w:tr>
      <w:tr w:rsidR="002C39A3" w:rsidRPr="00AC6103" w:rsidTr="00B04358">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78</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60</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78</w:t>
            </w:r>
          </w:p>
        </w:tc>
        <w:tc>
          <w:tcPr>
            <w:tcW w:w="85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109</w:t>
            </w:r>
          </w:p>
        </w:tc>
      </w:tr>
      <w:tr w:rsidR="002C39A3" w:rsidRPr="00AC6103" w:rsidTr="00B04358">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non-financial assets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7 732</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7 705</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7 744</w:t>
            </w:r>
          </w:p>
        </w:tc>
        <w:tc>
          <w:tcPr>
            <w:tcW w:w="851"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7 773</w:t>
            </w:r>
          </w:p>
        </w:tc>
      </w:tr>
      <w:tr w:rsidR="002C39A3" w:rsidRPr="00AC6103" w:rsidTr="00B04358">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assets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9 153</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9 122</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9 067</w:t>
            </w:r>
          </w:p>
        </w:tc>
        <w:tc>
          <w:tcPr>
            <w:tcW w:w="851"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9 256</w:t>
            </w:r>
          </w:p>
        </w:tc>
      </w:tr>
      <w:tr w:rsidR="00B04358" w:rsidRPr="00AC6103" w:rsidTr="00B04358">
        <w:tc>
          <w:tcPr>
            <w:tcW w:w="7766" w:type="dxa"/>
            <w:gridSpan w:val="5"/>
            <w:tcBorders>
              <w:top w:val="single" w:sz="6" w:space="0" w:color="auto"/>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Liabilities</w:t>
            </w:r>
          </w:p>
        </w:tc>
      </w:tr>
      <w:tr w:rsidR="002C39A3" w:rsidRPr="00AC6103" w:rsidTr="00B04358">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Payables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102</w:t>
            </w:r>
          </w:p>
        </w:tc>
        <w:tc>
          <w:tcPr>
            <w:tcW w:w="85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93</w:t>
            </w:r>
          </w:p>
        </w:tc>
      </w:tr>
      <w:tr w:rsidR="002C39A3" w:rsidRPr="00AC6103" w:rsidTr="00B04358">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Borrowings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24</w:t>
            </w:r>
          </w:p>
        </w:tc>
        <w:tc>
          <w:tcPr>
            <w:tcW w:w="85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w:t>
            </w:r>
          </w:p>
        </w:tc>
      </w:tr>
      <w:tr w:rsidR="002C39A3" w:rsidRPr="00AC6103" w:rsidTr="00B04358">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Provisions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151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151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151</w:t>
            </w:r>
          </w:p>
        </w:tc>
        <w:tc>
          <w:tcPr>
            <w:tcW w:w="85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139</w:t>
            </w:r>
          </w:p>
        </w:tc>
      </w:tr>
      <w:tr w:rsidR="002C39A3" w:rsidRPr="00AC6103" w:rsidTr="00B04358">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liabilities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286</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276</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278</w:t>
            </w:r>
          </w:p>
        </w:tc>
        <w:tc>
          <w:tcPr>
            <w:tcW w:w="851"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246</w:t>
            </w:r>
          </w:p>
        </w:tc>
      </w:tr>
      <w:tr w:rsidR="002C39A3" w:rsidRPr="00AC6103" w:rsidTr="00B04358">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assets</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8 867</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8 846</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8 789</w:t>
            </w:r>
          </w:p>
        </w:tc>
        <w:tc>
          <w:tcPr>
            <w:tcW w:w="851"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9 010</w:t>
            </w:r>
          </w:p>
        </w:tc>
      </w:tr>
      <w:tr w:rsidR="00B04358" w:rsidRPr="00AC6103" w:rsidTr="00B04358">
        <w:tc>
          <w:tcPr>
            <w:tcW w:w="7766" w:type="dxa"/>
            <w:gridSpan w:val="5"/>
            <w:tcBorders>
              <w:top w:val="single" w:sz="12" w:space="0" w:color="auto"/>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Equity</w:t>
            </w:r>
          </w:p>
        </w:tc>
      </w:tr>
      <w:tr w:rsidR="002C39A3" w:rsidRPr="00AC6103" w:rsidTr="00B04358">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Accumulated surplus/(deficit)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899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883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391</w:t>
            </w:r>
          </w:p>
        </w:tc>
        <w:tc>
          <w:tcPr>
            <w:tcW w:w="85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603</w:t>
            </w:r>
          </w:p>
        </w:tc>
      </w:tr>
      <w:tr w:rsidR="002C39A3" w:rsidRPr="00AC6103" w:rsidTr="00B04358">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Reserves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5 743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5 743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5 743</w:t>
            </w:r>
          </w:p>
        </w:tc>
        <w:tc>
          <w:tcPr>
            <w:tcW w:w="85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5 740</w:t>
            </w:r>
          </w:p>
        </w:tc>
      </w:tr>
      <w:tr w:rsidR="002C39A3" w:rsidRPr="00AC6103" w:rsidTr="00B04358">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Contributed capital</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2 225</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2 219</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2 654</w:t>
            </w:r>
          </w:p>
        </w:tc>
        <w:tc>
          <w:tcPr>
            <w:tcW w:w="85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2 667</w:t>
            </w:r>
          </w:p>
        </w:tc>
      </w:tr>
      <w:tr w:rsidR="002C39A3" w:rsidRPr="00AC6103" w:rsidTr="00B04358">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equity</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8 867</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8 846</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8 789</w:t>
            </w:r>
          </w:p>
        </w:tc>
        <w:tc>
          <w:tcPr>
            <w:tcW w:w="851"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9 010</w:t>
            </w:r>
          </w:p>
        </w:tc>
      </w:tr>
    </w:tbl>
    <w:p w:rsidR="002C39A3" w:rsidRDefault="002C39A3" w:rsidP="00361FA9">
      <w:pPr>
        <w:pStyle w:val="Source"/>
        <w:rPr>
          <w:rFonts w:eastAsiaTheme="minorHAnsi"/>
        </w:rPr>
      </w:pPr>
      <w:r w:rsidRPr="0085792A">
        <w:rPr>
          <w:rFonts w:eastAsiaTheme="minorHAnsi"/>
        </w:rPr>
        <w:t xml:space="preserve">Sources: </w:t>
      </w:r>
      <w:r w:rsidRPr="008D5527">
        <w:rPr>
          <w:rFonts w:eastAsiaTheme="minorHAnsi"/>
        </w:rPr>
        <w:t>Departments of Environment, Land, Water and Planning, and Treasury and Finance</w:t>
      </w:r>
    </w:p>
    <w:p w:rsidR="002C39A3" w:rsidRDefault="002C39A3" w:rsidP="00361FA9">
      <w:pPr>
        <w:pStyle w:val="Notes"/>
        <w:rPr>
          <w:rFonts w:eastAsiaTheme="minorHAnsi"/>
        </w:rPr>
      </w:pPr>
      <w:r>
        <w:rPr>
          <w:rFonts w:eastAsiaTheme="minorHAnsi"/>
        </w:rPr>
        <w:t>Note:</w:t>
      </w:r>
    </w:p>
    <w:p w:rsidR="002C39A3" w:rsidRDefault="002C39A3" w:rsidP="00361FA9">
      <w:pPr>
        <w:pStyle w:val="Notes"/>
        <w:rPr>
          <w:rFonts w:eastAsiaTheme="minorHAnsi"/>
        </w:rPr>
      </w:pPr>
      <w:r>
        <w:rPr>
          <w:rFonts w:eastAsiaTheme="minorHAnsi"/>
        </w:rPr>
        <w:t>(a)</w:t>
      </w:r>
      <w:r>
        <w:rPr>
          <w:rFonts w:eastAsiaTheme="minorHAnsi"/>
        </w:rPr>
        <w:tab/>
      </w:r>
      <w:r w:rsidRPr="0025684B">
        <w:rPr>
          <w:rFonts w:eastAsiaTheme="minorHAnsi"/>
        </w:rPr>
        <w:t>The 2016</w:t>
      </w:r>
      <w:r>
        <w:rPr>
          <w:rFonts w:eastAsiaTheme="minorHAnsi"/>
        </w:rPr>
        <w:noBreakHyphen/>
      </w:r>
      <w:r w:rsidRPr="0025684B">
        <w:rPr>
          <w:rFonts w:eastAsiaTheme="minorHAnsi"/>
        </w:rPr>
        <w:t>17 budget reflects the reclassification of the EP</w:t>
      </w:r>
      <w:r>
        <w:rPr>
          <w:rFonts w:eastAsiaTheme="minorHAnsi"/>
        </w:rPr>
        <w:t>A</w:t>
      </w:r>
      <w:r w:rsidRPr="0025684B">
        <w:rPr>
          <w:rFonts w:eastAsiaTheme="minorHAnsi"/>
        </w:rPr>
        <w:t xml:space="preserve"> from DELWP to regulatory bodies. This better reflects the functions of the EPA following the transfer of the Sustainability Fund to DELWP.</w:t>
      </w:r>
    </w:p>
    <w:p w:rsidR="002C39A3" w:rsidRDefault="002C39A3" w:rsidP="00361FA9">
      <w:pPr>
        <w:rPr>
          <w:rFonts w:eastAsiaTheme="minorHAnsi"/>
        </w:rPr>
      </w:pPr>
    </w:p>
    <w:p w:rsidR="002C39A3" w:rsidRPr="0025684B" w:rsidRDefault="002C39A3" w:rsidP="00361FA9">
      <w:pPr>
        <w:rPr>
          <w:rFonts w:eastAsiaTheme="minorHAnsi"/>
        </w:rPr>
      </w:pPr>
      <w:r w:rsidRPr="0025684B">
        <w:rPr>
          <w:rFonts w:eastAsiaTheme="minorHAnsi"/>
        </w:rPr>
        <w:br w:type="page"/>
      </w:r>
    </w:p>
    <w:p w:rsidR="002C39A3" w:rsidRDefault="002C39A3" w:rsidP="00361FA9">
      <w:pPr>
        <w:pStyle w:val="Tableheading"/>
        <w:rPr>
          <w:rFonts w:eastAsiaTheme="minorHAnsi"/>
        </w:rPr>
      </w:pPr>
      <w:r>
        <w:rPr>
          <w:rFonts w:eastAsiaTheme="minorHAnsi"/>
        </w:rPr>
        <w:t>Table 3.3.3:</w:t>
      </w:r>
      <w:r>
        <w:rPr>
          <w:rFonts w:eastAsiaTheme="minorHAnsi"/>
        </w:rPr>
        <w:tab/>
        <w:t>Statement of cash flows</w:t>
      </w:r>
    </w:p>
    <w:p w:rsidR="002C39A3" w:rsidRPr="00AC6103" w:rsidRDefault="002C39A3" w:rsidP="00361FA9">
      <w:pPr>
        <w:pStyle w:val="million"/>
        <w:rPr>
          <w:rFonts w:eastAsiaTheme="minorEastAsia"/>
          <w:b/>
          <w:bCs/>
          <w:lang w:val="en-US" w:eastAsia="en-AU"/>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B04358" w:rsidRPr="00AC6103" w:rsidTr="00B04358">
        <w:trPr>
          <w:trHeight w:val="464"/>
          <w:tblHeader/>
        </w:trPr>
        <w:tc>
          <w:tcPr>
            <w:tcW w:w="4365" w:type="dxa"/>
            <w:shd w:val="solid" w:color="000000" w:fill="auto"/>
            <w:vAlign w:val="bottom"/>
          </w:tcPr>
          <w:p w:rsidR="00B04358" w:rsidRPr="00AC6103" w:rsidRDefault="00B04358" w:rsidP="00B04358">
            <w:pPr>
              <w:pStyle w:val="Source"/>
              <w:spacing w:after="0"/>
              <w:rPr>
                <w:rFonts w:eastAsiaTheme="minorEastAsia" w:cs="Calibri"/>
                <w:color w:val="FFFFFF"/>
                <w:sz w:val="19"/>
                <w:lang w:eastAsia="en-AU"/>
              </w:rPr>
            </w:pPr>
          </w:p>
        </w:tc>
        <w:tc>
          <w:tcPr>
            <w:tcW w:w="850" w:type="dxa"/>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2014-15</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actual</w:t>
            </w:r>
          </w:p>
        </w:tc>
        <w:tc>
          <w:tcPr>
            <w:tcW w:w="850" w:type="dxa"/>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0" w:type="dxa"/>
            <w:tcBorders>
              <w:righ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2016-17</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r w:rsidRPr="00AC6103">
              <w:rPr>
                <w:rFonts w:ascii="Calibri" w:eastAsiaTheme="minorEastAsia" w:hAnsi="Calibri" w:cs="Calibri"/>
                <w:i/>
                <w:iCs/>
                <w:color w:val="FFFFFF"/>
                <w:sz w:val="19"/>
                <w:vertAlign w:val="superscript"/>
                <w:lang w:eastAsia="en-AU"/>
              </w:rPr>
              <w:t>(a)</w:t>
            </w:r>
          </w:p>
        </w:tc>
      </w:tr>
      <w:tr w:rsidR="00B04358" w:rsidRPr="00AC6103" w:rsidTr="00B04358">
        <w:tc>
          <w:tcPr>
            <w:tcW w:w="7765" w:type="dxa"/>
            <w:gridSpan w:val="5"/>
            <w:tcBorders>
              <w:top w:val="single" w:sz="6" w:space="0" w:color="auto"/>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Cash flows from operating activities</w:t>
            </w:r>
          </w:p>
        </w:tc>
      </w:tr>
      <w:tr w:rsidR="00B04358" w:rsidRPr="00AC6103" w:rsidTr="00B04358">
        <w:tc>
          <w:tcPr>
            <w:tcW w:w="7765" w:type="dxa"/>
            <w:gridSpan w:val="5"/>
            <w:tcBorders>
              <w:top w:val="nil"/>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Receipts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Receipts from Government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1 313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1 177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1 257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1 333</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Receipts from other entities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634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638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466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791</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Interest received</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21</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receipts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16</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12</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12</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w:t>
            </w:r>
          </w:p>
        </w:tc>
      </w:tr>
      <w:tr w:rsidR="002C39A3" w:rsidRPr="00AC6103" w:rsidTr="00361FA9">
        <w:tc>
          <w:tcPr>
            <w:tcW w:w="4365"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receipts</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1 984</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1 849</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1 757</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2 155</w:t>
            </w:r>
          </w:p>
        </w:tc>
      </w:tr>
      <w:tr w:rsidR="00B04358" w:rsidRPr="00AC6103" w:rsidTr="00B04358">
        <w:tc>
          <w:tcPr>
            <w:tcW w:w="7765" w:type="dxa"/>
            <w:gridSpan w:val="5"/>
            <w:tcBorders>
              <w:top w:val="nil"/>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Pr>
                <w:rFonts w:ascii="Calibri" w:eastAsiaTheme="minorEastAsia" w:hAnsi="Calibri" w:cs="Calibri"/>
                <w:b/>
                <w:bCs/>
                <w:color w:val="000000"/>
                <w:sz w:val="19"/>
                <w:lang w:eastAsia="en-AU"/>
              </w:rPr>
              <w:t>Payments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Payments of grants and other transfers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(522)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(742)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(695)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(724)</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Payments to suppliers and employees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(925)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(992)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(967)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(985)</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Capital asset charge</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(92)</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Interest and other costs of finance paid</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payments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(1 560)</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(1 826)</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(1 754)</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(1 802)</w:t>
            </w:r>
          </w:p>
        </w:tc>
      </w:tr>
      <w:tr w:rsidR="002C39A3" w:rsidRPr="00AC6103" w:rsidTr="00361FA9">
        <w:tc>
          <w:tcPr>
            <w:tcW w:w="4365"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cash flows from/(used in) operating activities</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424</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22</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353</w:t>
            </w:r>
          </w:p>
        </w:tc>
      </w:tr>
      <w:tr w:rsidR="00B04358" w:rsidRPr="00AC6103" w:rsidTr="00B04358">
        <w:tc>
          <w:tcPr>
            <w:tcW w:w="7765" w:type="dxa"/>
            <w:gridSpan w:val="5"/>
            <w:tcBorders>
              <w:top w:val="nil"/>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Cash flows from investing activities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Net investment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(107)</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Payments for non-financial assets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(116)</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Proceeds from sale of non-financial assets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 xml:space="preserve">Net (purchase)/disposal of investments – </w:t>
            </w:r>
            <w:r w:rsidR="00B04358">
              <w:rPr>
                <w:rFonts w:ascii="Calibri" w:eastAsiaTheme="minorEastAsia" w:hAnsi="Calibri" w:cs="Calibri"/>
                <w:color w:val="000000"/>
                <w:sz w:val="19"/>
                <w:lang w:eastAsia="en-AU"/>
              </w:rPr>
              <w:br/>
            </w:r>
            <w:r w:rsidRPr="00AC6103">
              <w:rPr>
                <w:rFonts w:ascii="Calibri" w:eastAsiaTheme="minorEastAsia" w:hAnsi="Calibri" w:cs="Calibri"/>
                <w:color w:val="000000"/>
                <w:sz w:val="19"/>
                <w:lang w:eastAsia="en-AU"/>
              </w:rPr>
              <w:t>policy purposes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65"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cash flow from/(used in) investing activities</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(200)</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(133)</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(167)</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(223)</w:t>
            </w:r>
          </w:p>
        </w:tc>
      </w:tr>
      <w:tr w:rsidR="00B04358" w:rsidRPr="00AC6103" w:rsidTr="00B04358">
        <w:tc>
          <w:tcPr>
            <w:tcW w:w="7765" w:type="dxa"/>
            <w:gridSpan w:val="5"/>
            <w:tcBorders>
              <w:top w:val="nil"/>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Cash flows from financing activities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Owner contributions by State Government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45</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Repayment of finance leases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Net borrowings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(13)</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(13)</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w:t>
            </w:r>
          </w:p>
        </w:tc>
      </w:tr>
      <w:tr w:rsidR="002C39A3" w:rsidRPr="00AC6103" w:rsidTr="00361FA9">
        <w:tc>
          <w:tcPr>
            <w:tcW w:w="4365"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cash flows from/(used in) financing activities</w:t>
            </w:r>
          </w:p>
        </w:tc>
        <w:tc>
          <w:tcPr>
            <w:tcW w:w="850"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66</w:t>
            </w:r>
          </w:p>
        </w:tc>
        <w:tc>
          <w:tcPr>
            <w:tcW w:w="850"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w:t>
            </w:r>
          </w:p>
        </w:tc>
        <w:tc>
          <w:tcPr>
            <w:tcW w:w="850"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15</w:t>
            </w:r>
          </w:p>
        </w:tc>
        <w:tc>
          <w:tcPr>
            <w:tcW w:w="850"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40</w:t>
            </w:r>
          </w:p>
        </w:tc>
      </w:tr>
      <w:tr w:rsidR="002C39A3" w:rsidRPr="00AC6103" w:rsidTr="00361FA9">
        <w:tc>
          <w:tcPr>
            <w:tcW w:w="4365" w:type="dxa"/>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increase/(decrease) in cash and cash equivalents</w:t>
            </w:r>
          </w:p>
        </w:tc>
        <w:tc>
          <w:tcPr>
            <w:tcW w:w="850" w:type="dxa"/>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290</w:t>
            </w:r>
          </w:p>
        </w:tc>
        <w:tc>
          <w:tcPr>
            <w:tcW w:w="850" w:type="dxa"/>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(112)</w:t>
            </w:r>
          </w:p>
        </w:tc>
        <w:tc>
          <w:tcPr>
            <w:tcW w:w="850" w:type="dxa"/>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(149)</w:t>
            </w:r>
          </w:p>
        </w:tc>
        <w:tc>
          <w:tcPr>
            <w:tcW w:w="850" w:type="dxa"/>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170</w:t>
            </w:r>
          </w:p>
        </w:tc>
      </w:tr>
      <w:tr w:rsidR="002C39A3" w:rsidRPr="00AC6103" w:rsidTr="00361FA9">
        <w:tc>
          <w:tcPr>
            <w:tcW w:w="4365"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Cash and cash equivalents at the beginning of the financial year</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337</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628</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628</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478</w:t>
            </w:r>
          </w:p>
        </w:tc>
      </w:tr>
      <w:tr w:rsidR="002C39A3" w:rsidRPr="00AC6103" w:rsidTr="00361FA9">
        <w:tc>
          <w:tcPr>
            <w:tcW w:w="4365"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Cash and cash equivale</w:t>
            </w:r>
            <w:r w:rsidR="00B04358">
              <w:rPr>
                <w:rFonts w:ascii="Calibri" w:eastAsiaTheme="minorEastAsia" w:hAnsi="Calibri" w:cs="Calibri"/>
                <w:b/>
                <w:bCs/>
                <w:color w:val="000000"/>
                <w:sz w:val="19"/>
                <w:lang w:eastAsia="en-AU"/>
              </w:rPr>
              <w:t>nts at the end of the financial </w:t>
            </w:r>
            <w:r w:rsidRPr="00AC6103">
              <w:rPr>
                <w:rFonts w:ascii="Calibri" w:eastAsiaTheme="minorEastAsia" w:hAnsi="Calibri" w:cs="Calibri"/>
                <w:b/>
                <w:bCs/>
                <w:color w:val="000000"/>
                <w:sz w:val="19"/>
                <w:lang w:eastAsia="en-AU"/>
              </w:rPr>
              <w:t>year</w:t>
            </w:r>
          </w:p>
        </w:tc>
        <w:tc>
          <w:tcPr>
            <w:tcW w:w="850"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628</w:t>
            </w:r>
          </w:p>
        </w:tc>
        <w:tc>
          <w:tcPr>
            <w:tcW w:w="850"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515</w:t>
            </w:r>
          </w:p>
        </w:tc>
        <w:tc>
          <w:tcPr>
            <w:tcW w:w="850"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478</w:t>
            </w:r>
          </w:p>
        </w:tc>
        <w:tc>
          <w:tcPr>
            <w:tcW w:w="850"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648</w:t>
            </w:r>
          </w:p>
        </w:tc>
      </w:tr>
    </w:tbl>
    <w:p w:rsidR="002C39A3" w:rsidRDefault="002C39A3" w:rsidP="00361FA9">
      <w:pPr>
        <w:pStyle w:val="Source"/>
        <w:rPr>
          <w:rFonts w:eastAsiaTheme="minorHAnsi"/>
        </w:rPr>
      </w:pPr>
      <w:r w:rsidRPr="0085792A">
        <w:rPr>
          <w:rFonts w:eastAsiaTheme="minorHAnsi"/>
        </w:rPr>
        <w:t xml:space="preserve">Sources: </w:t>
      </w:r>
      <w:r w:rsidRPr="008D5527">
        <w:rPr>
          <w:rFonts w:eastAsiaTheme="minorHAnsi"/>
        </w:rPr>
        <w:t>Departments of Environment, Land, Water and Planning, and Treasury and Finance</w:t>
      </w:r>
    </w:p>
    <w:p w:rsidR="002C39A3" w:rsidRDefault="002C39A3" w:rsidP="00361FA9">
      <w:pPr>
        <w:pStyle w:val="Notes"/>
        <w:rPr>
          <w:rFonts w:eastAsiaTheme="minorHAnsi"/>
        </w:rPr>
      </w:pPr>
      <w:r>
        <w:rPr>
          <w:rFonts w:eastAsiaTheme="minorHAnsi"/>
        </w:rPr>
        <w:t>Note:</w:t>
      </w:r>
    </w:p>
    <w:p w:rsidR="002C39A3" w:rsidRDefault="002C39A3" w:rsidP="00361FA9">
      <w:pPr>
        <w:pStyle w:val="Notes"/>
        <w:rPr>
          <w:rFonts w:eastAsiaTheme="minorHAnsi"/>
        </w:rPr>
      </w:pPr>
      <w:r>
        <w:rPr>
          <w:rFonts w:eastAsiaTheme="minorHAnsi"/>
        </w:rPr>
        <w:t>(a)</w:t>
      </w:r>
      <w:r>
        <w:rPr>
          <w:rFonts w:eastAsiaTheme="minorHAnsi"/>
        </w:rPr>
        <w:tab/>
      </w:r>
      <w:r w:rsidRPr="0025684B">
        <w:rPr>
          <w:rFonts w:eastAsiaTheme="minorHAnsi"/>
        </w:rPr>
        <w:t>The 2016</w:t>
      </w:r>
      <w:r>
        <w:rPr>
          <w:rFonts w:eastAsiaTheme="minorHAnsi"/>
        </w:rPr>
        <w:noBreakHyphen/>
      </w:r>
      <w:r w:rsidRPr="0025684B">
        <w:rPr>
          <w:rFonts w:eastAsiaTheme="minorHAnsi"/>
        </w:rPr>
        <w:t>17 budget reflects the reclassification of the EPA from DELWP to regulatory bodies. This better reflects the functions of the EPA following the transfer of the Sustainability Fund to DELWP.</w:t>
      </w:r>
    </w:p>
    <w:p w:rsidR="002C39A3" w:rsidRDefault="002C39A3" w:rsidP="00361FA9">
      <w:pPr>
        <w:pStyle w:val="Notes"/>
        <w:rPr>
          <w:rFonts w:eastAsiaTheme="minorHAnsi"/>
        </w:rPr>
      </w:pPr>
    </w:p>
    <w:p w:rsidR="002C39A3" w:rsidRPr="0025684B" w:rsidRDefault="002C39A3" w:rsidP="00361FA9">
      <w:pPr>
        <w:pStyle w:val="Notes"/>
        <w:rPr>
          <w:rFonts w:eastAsiaTheme="minorHAnsi"/>
          <w:b/>
        </w:rPr>
      </w:pPr>
      <w:r w:rsidRPr="0025684B">
        <w:rPr>
          <w:rFonts w:eastAsiaTheme="minorHAnsi"/>
        </w:rPr>
        <w:br w:type="page"/>
      </w:r>
    </w:p>
    <w:p w:rsidR="002C39A3" w:rsidRDefault="002C39A3" w:rsidP="00361FA9">
      <w:pPr>
        <w:pStyle w:val="Tableheading"/>
        <w:rPr>
          <w:rFonts w:eastAsiaTheme="minorHAnsi"/>
        </w:rPr>
      </w:pPr>
      <w:r>
        <w:rPr>
          <w:rFonts w:eastAsiaTheme="minorHAnsi"/>
        </w:rPr>
        <w:t>Table 3.3.4:</w:t>
      </w:r>
      <w:r>
        <w:rPr>
          <w:rFonts w:eastAsiaTheme="minorHAnsi"/>
        </w:rPr>
        <w:tab/>
        <w:t>Statement of changes in equity</w:t>
      </w:r>
    </w:p>
    <w:p w:rsidR="002C39A3" w:rsidRPr="00385236" w:rsidRDefault="002C39A3" w:rsidP="00361FA9">
      <w:pPr>
        <w:pStyle w:val="million"/>
        <w:rPr>
          <w:rFonts w:eastAsiaTheme="minorEastAsia"/>
          <w:b/>
          <w:bCs/>
          <w:lang w:val="en-US" w:eastAsia="en-AU"/>
        </w:rPr>
      </w:pPr>
      <w:r>
        <w:rPr>
          <w:rFonts w:eastAsiaTheme="minorHAnsi"/>
        </w:rPr>
        <w:t>($ million)</w:t>
      </w:r>
    </w:p>
    <w:tbl>
      <w:tblPr>
        <w:tblW w:w="7760" w:type="dxa"/>
        <w:tblInd w:w="45" w:type="dxa"/>
        <w:tblLayout w:type="fixed"/>
        <w:tblCellMar>
          <w:left w:w="45" w:type="dxa"/>
          <w:right w:w="45" w:type="dxa"/>
        </w:tblCellMar>
        <w:tblLook w:val="0000" w:firstRow="0" w:lastRow="0" w:firstColumn="0" w:lastColumn="0" w:noHBand="0" w:noVBand="0"/>
      </w:tblPr>
      <w:tblGrid>
        <w:gridCol w:w="2551"/>
        <w:gridCol w:w="567"/>
        <w:gridCol w:w="850"/>
        <w:gridCol w:w="1134"/>
        <w:gridCol w:w="1071"/>
        <w:gridCol w:w="771"/>
        <w:gridCol w:w="816"/>
      </w:tblGrid>
      <w:tr w:rsidR="002C39A3" w:rsidRPr="00385236" w:rsidTr="00361FA9">
        <w:trPr>
          <w:cantSplit/>
          <w:tblHeader/>
        </w:trPr>
        <w:tc>
          <w:tcPr>
            <w:tcW w:w="2551" w:type="dxa"/>
            <w:tcBorders>
              <w:bottom w:val="single" w:sz="6" w:space="0" w:color="auto"/>
              <w:right w:val="nil"/>
            </w:tcBorders>
            <w:shd w:val="solid" w:color="000000" w:fill="auto"/>
            <w:vAlign w:val="bottom"/>
          </w:tcPr>
          <w:p w:rsidR="002C39A3" w:rsidRPr="00385236" w:rsidRDefault="002C39A3" w:rsidP="00361FA9">
            <w:pPr>
              <w:pStyle w:val="Source"/>
              <w:spacing w:after="0"/>
              <w:rPr>
                <w:rFonts w:eastAsiaTheme="minorEastAsia" w:cs="Calibri"/>
                <w:color w:val="FFFFFF"/>
                <w:sz w:val="19"/>
                <w:lang w:eastAsia="en-AU"/>
              </w:rPr>
            </w:pPr>
            <w:r w:rsidRPr="00385236">
              <w:rPr>
                <w:rFonts w:eastAsiaTheme="minorEastAsia" w:cs="Calibri"/>
                <w:color w:val="FFFFFF"/>
                <w:sz w:val="19"/>
                <w:lang w:eastAsia="en-AU"/>
              </w:rPr>
              <w:t xml:space="preserve"> </w:t>
            </w:r>
          </w:p>
        </w:tc>
        <w:tc>
          <w:tcPr>
            <w:tcW w:w="1417" w:type="dxa"/>
            <w:gridSpan w:val="2"/>
            <w:tcBorders>
              <w:left w:val="nil"/>
              <w:bottom w:val="single" w:sz="6" w:space="0" w:color="auto"/>
              <w:right w:val="nil"/>
            </w:tcBorders>
            <w:shd w:val="solid" w:color="000000" w:fill="auto"/>
            <w:vAlign w:val="bottom"/>
          </w:tcPr>
          <w:p w:rsidR="002C39A3" w:rsidRPr="00385236"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385236">
              <w:rPr>
                <w:rFonts w:ascii="Calibri" w:eastAsiaTheme="minorEastAsia" w:hAnsi="Calibri" w:cs="Calibri"/>
                <w:i/>
                <w:iCs/>
                <w:color w:val="FFFFFF"/>
                <w:sz w:val="19"/>
                <w:lang w:eastAsia="en-AU"/>
              </w:rPr>
              <w:t>Accumulated surplus/(deficit)</w:t>
            </w:r>
          </w:p>
        </w:tc>
        <w:tc>
          <w:tcPr>
            <w:tcW w:w="1134" w:type="dxa"/>
            <w:tcBorders>
              <w:left w:val="nil"/>
              <w:bottom w:val="single" w:sz="6" w:space="0" w:color="auto"/>
              <w:right w:val="nil"/>
            </w:tcBorders>
            <w:shd w:val="solid" w:color="000000" w:fill="auto"/>
            <w:vAlign w:val="bottom"/>
          </w:tcPr>
          <w:p w:rsidR="002C39A3" w:rsidRPr="00385236"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385236">
              <w:rPr>
                <w:rFonts w:ascii="Calibri" w:eastAsiaTheme="minorEastAsia" w:hAnsi="Calibri" w:cs="Calibri"/>
                <w:i/>
                <w:iCs/>
                <w:color w:val="FFFFFF"/>
                <w:sz w:val="19"/>
                <w:lang w:eastAsia="en-AU"/>
              </w:rPr>
              <w:t>Contributions by owner</w:t>
            </w:r>
          </w:p>
        </w:tc>
        <w:tc>
          <w:tcPr>
            <w:tcW w:w="1071" w:type="dxa"/>
            <w:tcBorders>
              <w:left w:val="nil"/>
              <w:bottom w:val="single" w:sz="6" w:space="0" w:color="auto"/>
              <w:right w:val="nil"/>
            </w:tcBorders>
            <w:shd w:val="solid" w:color="000000" w:fill="auto"/>
            <w:vAlign w:val="bottom"/>
          </w:tcPr>
          <w:p w:rsidR="002C39A3" w:rsidRPr="00385236"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385236">
              <w:rPr>
                <w:rFonts w:ascii="Calibri" w:eastAsiaTheme="minorEastAsia" w:hAnsi="Calibri" w:cs="Calibri"/>
                <w:i/>
                <w:iCs/>
                <w:color w:val="FFFFFF"/>
                <w:sz w:val="19"/>
                <w:lang w:eastAsia="en-AU"/>
              </w:rPr>
              <w:t>Revaluation surplus</w:t>
            </w:r>
          </w:p>
        </w:tc>
        <w:tc>
          <w:tcPr>
            <w:tcW w:w="771" w:type="dxa"/>
            <w:tcBorders>
              <w:left w:val="nil"/>
              <w:bottom w:val="single" w:sz="6" w:space="0" w:color="auto"/>
              <w:right w:val="nil"/>
            </w:tcBorders>
            <w:shd w:val="solid" w:color="000000" w:fill="auto"/>
            <w:vAlign w:val="bottom"/>
          </w:tcPr>
          <w:p w:rsidR="002C39A3" w:rsidRPr="00385236"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385236">
              <w:rPr>
                <w:rFonts w:ascii="Calibri" w:eastAsiaTheme="minorEastAsia" w:hAnsi="Calibri" w:cs="Calibri"/>
                <w:i/>
                <w:iCs/>
                <w:color w:val="FFFFFF"/>
                <w:sz w:val="19"/>
                <w:lang w:eastAsia="en-AU"/>
              </w:rPr>
              <w:t>Other reserves</w:t>
            </w:r>
          </w:p>
        </w:tc>
        <w:tc>
          <w:tcPr>
            <w:tcW w:w="816" w:type="dxa"/>
            <w:tcBorders>
              <w:left w:val="nil"/>
              <w:bottom w:val="single" w:sz="6" w:space="0" w:color="auto"/>
            </w:tcBorders>
            <w:shd w:val="solid" w:color="000000" w:fill="auto"/>
            <w:vAlign w:val="bottom"/>
          </w:tcPr>
          <w:p w:rsidR="002C39A3" w:rsidRPr="00385236"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385236">
              <w:rPr>
                <w:rFonts w:ascii="Calibri" w:eastAsiaTheme="minorEastAsia" w:hAnsi="Calibri" w:cs="Calibri"/>
                <w:i/>
                <w:iCs/>
                <w:color w:val="FFFFFF"/>
                <w:sz w:val="19"/>
                <w:lang w:eastAsia="en-AU"/>
              </w:rPr>
              <w:t xml:space="preserve">Total equity </w:t>
            </w:r>
          </w:p>
        </w:tc>
      </w:tr>
      <w:tr w:rsidR="002C39A3" w:rsidRPr="00385236" w:rsidTr="00361FA9">
        <w:trPr>
          <w:cantSplit/>
        </w:trPr>
        <w:tc>
          <w:tcPr>
            <w:tcW w:w="3118" w:type="dxa"/>
            <w:gridSpan w:val="2"/>
            <w:tcBorders>
              <w:top w:val="single" w:sz="6" w:space="0" w:color="auto"/>
              <w:left w:val="nil"/>
              <w:right w:val="nil"/>
            </w:tcBorders>
            <w:shd w:val="clear" w:color="auto" w:fill="FFFFFF"/>
          </w:tcPr>
          <w:p w:rsidR="002C39A3" w:rsidRPr="00385236"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385236">
              <w:rPr>
                <w:rFonts w:ascii="Calibri" w:eastAsiaTheme="minorEastAsia" w:hAnsi="Calibri" w:cs="Calibri"/>
                <w:b/>
                <w:bCs/>
                <w:color w:val="000000"/>
                <w:sz w:val="19"/>
                <w:lang w:eastAsia="en-AU"/>
              </w:rPr>
              <w:t>Opening balance 1 July 2014</w:t>
            </w:r>
          </w:p>
        </w:tc>
        <w:tc>
          <w:tcPr>
            <w:tcW w:w="850" w:type="dxa"/>
            <w:tcBorders>
              <w:top w:val="single" w:sz="6" w:space="0" w:color="auto"/>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421</w:t>
            </w:r>
          </w:p>
        </w:tc>
        <w:tc>
          <w:tcPr>
            <w:tcW w:w="1134" w:type="dxa"/>
            <w:tcBorders>
              <w:top w:val="single" w:sz="6" w:space="0" w:color="auto"/>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385236">
              <w:rPr>
                <w:rFonts w:ascii="Calibri" w:eastAsiaTheme="minorEastAsia" w:hAnsi="Calibri" w:cs="Calibri"/>
                <w:b/>
                <w:bCs/>
                <w:color w:val="000000"/>
                <w:sz w:val="19"/>
                <w:lang w:eastAsia="en-AU"/>
              </w:rPr>
              <w:t>2 388</w:t>
            </w:r>
          </w:p>
        </w:tc>
        <w:tc>
          <w:tcPr>
            <w:tcW w:w="1071" w:type="dxa"/>
            <w:tcBorders>
              <w:top w:val="single" w:sz="6" w:space="0" w:color="auto"/>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385236">
              <w:rPr>
                <w:rFonts w:ascii="Calibri" w:eastAsiaTheme="minorEastAsia" w:hAnsi="Calibri" w:cs="Calibri"/>
                <w:b/>
                <w:bCs/>
                <w:color w:val="000000"/>
                <w:sz w:val="19"/>
                <w:lang w:eastAsia="en-AU"/>
              </w:rPr>
              <w:t>5 654</w:t>
            </w:r>
          </w:p>
        </w:tc>
        <w:tc>
          <w:tcPr>
            <w:tcW w:w="771" w:type="dxa"/>
            <w:tcBorders>
              <w:top w:val="single" w:sz="6" w:space="0" w:color="auto"/>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385236">
              <w:rPr>
                <w:rFonts w:ascii="Calibri" w:eastAsiaTheme="minorEastAsia" w:hAnsi="Calibri" w:cs="Calibri"/>
                <w:b/>
                <w:bCs/>
                <w:color w:val="000000"/>
                <w:sz w:val="19"/>
                <w:lang w:eastAsia="en-AU"/>
              </w:rPr>
              <w:t>..</w:t>
            </w:r>
          </w:p>
        </w:tc>
        <w:tc>
          <w:tcPr>
            <w:tcW w:w="816" w:type="dxa"/>
            <w:tcBorders>
              <w:top w:val="single" w:sz="6" w:space="0" w:color="auto"/>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385236">
              <w:rPr>
                <w:rFonts w:ascii="Calibri" w:eastAsiaTheme="minorEastAsia" w:hAnsi="Calibri" w:cs="Calibri"/>
                <w:b/>
                <w:bCs/>
                <w:color w:val="000000"/>
                <w:sz w:val="19"/>
                <w:lang w:eastAsia="en-AU"/>
              </w:rPr>
              <w:t>8 463</w:t>
            </w:r>
          </w:p>
        </w:tc>
      </w:tr>
      <w:tr w:rsidR="002C39A3" w:rsidRPr="00385236" w:rsidTr="00361FA9">
        <w:trPr>
          <w:cantSplit/>
        </w:trPr>
        <w:tc>
          <w:tcPr>
            <w:tcW w:w="3118" w:type="dxa"/>
            <w:gridSpan w:val="2"/>
            <w:tcBorders>
              <w:top w:val="nil"/>
              <w:left w:val="nil"/>
              <w:right w:val="nil"/>
            </w:tcBorders>
            <w:shd w:val="clear" w:color="auto" w:fill="FFFFFF"/>
          </w:tcPr>
          <w:p w:rsidR="002C39A3" w:rsidRPr="00385236"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500</w:t>
            </w:r>
          </w:p>
        </w:tc>
        <w:tc>
          <w:tcPr>
            <w:tcW w:w="1134" w:type="dxa"/>
            <w:tcBorders>
              <w:top w:val="nil"/>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89</w:t>
            </w:r>
          </w:p>
        </w:tc>
        <w:tc>
          <w:tcPr>
            <w:tcW w:w="771" w:type="dxa"/>
            <w:tcBorders>
              <w:top w:val="nil"/>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589</w:t>
            </w:r>
          </w:p>
        </w:tc>
      </w:tr>
      <w:tr w:rsidR="002C39A3" w:rsidRPr="00385236" w:rsidTr="00361FA9">
        <w:trPr>
          <w:cantSplit/>
        </w:trPr>
        <w:tc>
          <w:tcPr>
            <w:tcW w:w="3118" w:type="dxa"/>
            <w:gridSpan w:val="2"/>
            <w:tcBorders>
              <w:top w:val="nil"/>
              <w:left w:val="nil"/>
              <w:bottom w:val="single" w:sz="6" w:space="0" w:color="auto"/>
              <w:right w:val="nil"/>
            </w:tcBorders>
            <w:shd w:val="clear" w:color="auto" w:fill="FFFFFF"/>
          </w:tcPr>
          <w:p w:rsidR="002C39A3" w:rsidRPr="00385236"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(22)</w:t>
            </w:r>
          </w:p>
        </w:tc>
        <w:tc>
          <w:tcPr>
            <w:tcW w:w="1134" w:type="dxa"/>
            <w:tcBorders>
              <w:top w:val="nil"/>
              <w:left w:val="nil"/>
              <w:bottom w:val="single" w:sz="6"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(163)</w:t>
            </w:r>
          </w:p>
        </w:tc>
        <w:tc>
          <w:tcPr>
            <w:tcW w:w="1071" w:type="dxa"/>
            <w:tcBorders>
              <w:top w:val="nil"/>
              <w:left w:val="nil"/>
              <w:bottom w:val="single" w:sz="6"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(185)</w:t>
            </w:r>
          </w:p>
        </w:tc>
      </w:tr>
      <w:tr w:rsidR="002C39A3" w:rsidRPr="00385236" w:rsidTr="00361FA9">
        <w:trPr>
          <w:cantSplit/>
        </w:trPr>
        <w:tc>
          <w:tcPr>
            <w:tcW w:w="3118" w:type="dxa"/>
            <w:gridSpan w:val="2"/>
            <w:tcBorders>
              <w:top w:val="single" w:sz="6" w:space="0" w:color="auto"/>
              <w:left w:val="nil"/>
              <w:right w:val="nil"/>
            </w:tcBorders>
            <w:shd w:val="clear" w:color="auto" w:fill="FFFFFF"/>
          </w:tcPr>
          <w:p w:rsidR="002C39A3" w:rsidRPr="00385236"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385236">
              <w:rPr>
                <w:rFonts w:ascii="Calibri" w:eastAsiaTheme="minorEastAsia" w:hAnsi="Calibri" w:cs="Calibri"/>
                <w:b/>
                <w:bCs/>
                <w:color w:val="000000"/>
                <w:sz w:val="19"/>
                <w:lang w:eastAsia="en-AU"/>
              </w:rPr>
              <w:t>Closing balance 30 June 2015 (actual)</w:t>
            </w:r>
          </w:p>
        </w:tc>
        <w:tc>
          <w:tcPr>
            <w:tcW w:w="850" w:type="dxa"/>
            <w:tcBorders>
              <w:top w:val="single" w:sz="6" w:space="0" w:color="auto"/>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899</w:t>
            </w:r>
          </w:p>
        </w:tc>
        <w:tc>
          <w:tcPr>
            <w:tcW w:w="1134" w:type="dxa"/>
            <w:tcBorders>
              <w:top w:val="single" w:sz="6" w:space="0" w:color="auto"/>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385236">
              <w:rPr>
                <w:rFonts w:ascii="Calibri" w:eastAsiaTheme="minorEastAsia" w:hAnsi="Calibri" w:cs="Calibri"/>
                <w:b/>
                <w:bCs/>
                <w:color w:val="000000"/>
                <w:sz w:val="19"/>
                <w:lang w:eastAsia="en-AU"/>
              </w:rPr>
              <w:t>2 225</w:t>
            </w:r>
          </w:p>
        </w:tc>
        <w:tc>
          <w:tcPr>
            <w:tcW w:w="1071" w:type="dxa"/>
            <w:tcBorders>
              <w:top w:val="single" w:sz="6" w:space="0" w:color="auto"/>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385236">
              <w:rPr>
                <w:rFonts w:ascii="Calibri" w:eastAsiaTheme="minorEastAsia" w:hAnsi="Calibri" w:cs="Calibri"/>
                <w:b/>
                <w:bCs/>
                <w:color w:val="000000"/>
                <w:sz w:val="19"/>
                <w:lang w:eastAsia="en-AU"/>
              </w:rPr>
              <w:t>5 743</w:t>
            </w:r>
          </w:p>
        </w:tc>
        <w:tc>
          <w:tcPr>
            <w:tcW w:w="771" w:type="dxa"/>
            <w:tcBorders>
              <w:top w:val="single" w:sz="6" w:space="0" w:color="auto"/>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w:t>
            </w:r>
          </w:p>
        </w:tc>
        <w:tc>
          <w:tcPr>
            <w:tcW w:w="816" w:type="dxa"/>
            <w:tcBorders>
              <w:top w:val="single" w:sz="6" w:space="0" w:color="auto"/>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385236">
              <w:rPr>
                <w:rFonts w:ascii="Calibri" w:eastAsiaTheme="minorEastAsia" w:hAnsi="Calibri" w:cs="Calibri"/>
                <w:b/>
                <w:bCs/>
                <w:color w:val="000000"/>
                <w:sz w:val="19"/>
                <w:lang w:eastAsia="en-AU"/>
              </w:rPr>
              <w:t>8 867</w:t>
            </w:r>
          </w:p>
        </w:tc>
      </w:tr>
      <w:tr w:rsidR="002C39A3" w:rsidRPr="00385236" w:rsidTr="00361FA9">
        <w:trPr>
          <w:cantSplit/>
        </w:trPr>
        <w:tc>
          <w:tcPr>
            <w:tcW w:w="3118" w:type="dxa"/>
            <w:gridSpan w:val="2"/>
            <w:tcBorders>
              <w:top w:val="nil"/>
              <w:left w:val="nil"/>
              <w:right w:val="nil"/>
            </w:tcBorders>
            <w:shd w:val="clear" w:color="auto" w:fill="FFFFFF"/>
          </w:tcPr>
          <w:p w:rsidR="002C39A3" w:rsidRPr="00385236"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(15)</w:t>
            </w:r>
          </w:p>
        </w:tc>
        <w:tc>
          <w:tcPr>
            <w:tcW w:w="1134" w:type="dxa"/>
            <w:tcBorders>
              <w:top w:val="nil"/>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w:t>
            </w:r>
          </w:p>
        </w:tc>
        <w:tc>
          <w:tcPr>
            <w:tcW w:w="771" w:type="dxa"/>
            <w:tcBorders>
              <w:top w:val="nil"/>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(15)</w:t>
            </w:r>
          </w:p>
        </w:tc>
      </w:tr>
      <w:tr w:rsidR="002C39A3" w:rsidRPr="00385236" w:rsidTr="00361FA9">
        <w:trPr>
          <w:cantSplit/>
        </w:trPr>
        <w:tc>
          <w:tcPr>
            <w:tcW w:w="3118" w:type="dxa"/>
            <w:gridSpan w:val="2"/>
            <w:tcBorders>
              <w:top w:val="nil"/>
              <w:left w:val="nil"/>
              <w:bottom w:val="single" w:sz="6" w:space="0" w:color="auto"/>
              <w:right w:val="nil"/>
            </w:tcBorders>
            <w:shd w:val="clear" w:color="auto" w:fill="FFFFFF"/>
          </w:tcPr>
          <w:p w:rsidR="002C39A3" w:rsidRPr="00385236"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w:t>
            </w:r>
          </w:p>
        </w:tc>
        <w:tc>
          <w:tcPr>
            <w:tcW w:w="1134" w:type="dxa"/>
            <w:tcBorders>
              <w:top w:val="nil"/>
              <w:left w:val="nil"/>
              <w:bottom w:val="single" w:sz="6"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w:t>
            </w:r>
          </w:p>
        </w:tc>
        <w:tc>
          <w:tcPr>
            <w:tcW w:w="1071" w:type="dxa"/>
            <w:tcBorders>
              <w:top w:val="nil"/>
              <w:left w:val="nil"/>
              <w:bottom w:val="single" w:sz="6"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(6)</w:t>
            </w:r>
          </w:p>
        </w:tc>
      </w:tr>
      <w:tr w:rsidR="002C39A3" w:rsidRPr="00385236" w:rsidTr="00361FA9">
        <w:trPr>
          <w:cantSplit/>
        </w:trPr>
        <w:tc>
          <w:tcPr>
            <w:tcW w:w="3118" w:type="dxa"/>
            <w:gridSpan w:val="2"/>
            <w:tcBorders>
              <w:top w:val="single" w:sz="6" w:space="0" w:color="auto"/>
              <w:left w:val="nil"/>
              <w:right w:val="nil"/>
            </w:tcBorders>
            <w:shd w:val="clear" w:color="auto" w:fill="FFFFFF"/>
          </w:tcPr>
          <w:p w:rsidR="002C39A3" w:rsidRPr="00385236" w:rsidRDefault="002C39A3" w:rsidP="00361FA9">
            <w:pPr>
              <w:autoSpaceDE w:val="0"/>
              <w:autoSpaceDN w:val="0"/>
              <w:adjustRightInd w:val="0"/>
              <w:spacing w:after="0"/>
              <w:ind w:left="227" w:hanging="227"/>
              <w:rPr>
                <w:rFonts w:ascii="Calibri" w:eastAsiaTheme="minorEastAsia" w:hAnsi="Calibri" w:cs="Calibri"/>
                <w:b/>
                <w:bCs/>
                <w:color w:val="000000"/>
                <w:sz w:val="19"/>
                <w:vertAlign w:val="superscript"/>
                <w:lang w:eastAsia="en-AU"/>
              </w:rPr>
            </w:pPr>
            <w:r w:rsidRPr="00385236">
              <w:rPr>
                <w:rFonts w:ascii="Calibri" w:eastAsiaTheme="minorEastAsia" w:hAnsi="Calibri" w:cs="Calibri"/>
                <w:b/>
                <w:bCs/>
                <w:color w:val="000000"/>
                <w:sz w:val="19"/>
                <w:lang w:eastAsia="en-AU"/>
              </w:rPr>
              <w:t>Closing balance 30 June 2016 (budget)</w:t>
            </w:r>
            <w:r w:rsidRPr="00385236">
              <w:rPr>
                <w:rFonts w:ascii="Calibri" w:eastAsiaTheme="minorEastAsia" w:hAnsi="Calibri" w:cs="Calibri"/>
                <w:b/>
                <w:bCs/>
                <w:color w:val="000000"/>
                <w:sz w:val="19"/>
                <w:vertAlign w:val="superscript"/>
                <w:lang w:eastAsia="en-AU"/>
              </w:rPr>
              <w:t xml:space="preserve"> </w:t>
            </w:r>
          </w:p>
        </w:tc>
        <w:tc>
          <w:tcPr>
            <w:tcW w:w="850" w:type="dxa"/>
            <w:tcBorders>
              <w:top w:val="single" w:sz="6" w:space="0" w:color="auto"/>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883</w:t>
            </w:r>
          </w:p>
        </w:tc>
        <w:tc>
          <w:tcPr>
            <w:tcW w:w="1134" w:type="dxa"/>
            <w:tcBorders>
              <w:top w:val="single" w:sz="6" w:space="0" w:color="auto"/>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385236">
              <w:rPr>
                <w:rFonts w:ascii="Calibri" w:eastAsiaTheme="minorEastAsia" w:hAnsi="Calibri" w:cs="Calibri"/>
                <w:b/>
                <w:bCs/>
                <w:color w:val="000000"/>
                <w:sz w:val="19"/>
                <w:lang w:eastAsia="en-AU"/>
              </w:rPr>
              <w:t>2 219</w:t>
            </w:r>
          </w:p>
        </w:tc>
        <w:tc>
          <w:tcPr>
            <w:tcW w:w="1071" w:type="dxa"/>
            <w:tcBorders>
              <w:top w:val="single" w:sz="6" w:space="0" w:color="auto"/>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385236">
              <w:rPr>
                <w:rFonts w:ascii="Calibri" w:eastAsiaTheme="minorEastAsia" w:hAnsi="Calibri" w:cs="Calibri"/>
                <w:b/>
                <w:bCs/>
                <w:color w:val="000000"/>
                <w:sz w:val="19"/>
                <w:lang w:eastAsia="en-AU"/>
              </w:rPr>
              <w:t>5 743</w:t>
            </w:r>
          </w:p>
        </w:tc>
        <w:tc>
          <w:tcPr>
            <w:tcW w:w="771" w:type="dxa"/>
            <w:tcBorders>
              <w:top w:val="single" w:sz="6" w:space="0" w:color="auto"/>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w:t>
            </w:r>
          </w:p>
        </w:tc>
        <w:tc>
          <w:tcPr>
            <w:tcW w:w="816" w:type="dxa"/>
            <w:tcBorders>
              <w:top w:val="single" w:sz="6" w:space="0" w:color="auto"/>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385236">
              <w:rPr>
                <w:rFonts w:ascii="Calibri" w:eastAsiaTheme="minorEastAsia" w:hAnsi="Calibri" w:cs="Calibri"/>
                <w:b/>
                <w:bCs/>
                <w:color w:val="000000"/>
                <w:sz w:val="19"/>
                <w:lang w:eastAsia="en-AU"/>
              </w:rPr>
              <w:t>8 846</w:t>
            </w:r>
          </w:p>
        </w:tc>
      </w:tr>
      <w:tr w:rsidR="002C39A3" w:rsidRPr="00385236" w:rsidTr="00361FA9">
        <w:trPr>
          <w:cantSplit/>
        </w:trPr>
        <w:tc>
          <w:tcPr>
            <w:tcW w:w="3118" w:type="dxa"/>
            <w:gridSpan w:val="2"/>
            <w:tcBorders>
              <w:top w:val="nil"/>
              <w:left w:val="nil"/>
              <w:right w:val="nil"/>
            </w:tcBorders>
            <w:shd w:val="clear" w:color="auto" w:fill="FFFFFF"/>
          </w:tcPr>
          <w:p w:rsidR="002C39A3" w:rsidRPr="00385236"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(88)</w:t>
            </w:r>
          </w:p>
        </w:tc>
        <w:tc>
          <w:tcPr>
            <w:tcW w:w="1134" w:type="dxa"/>
            <w:tcBorders>
              <w:top w:val="nil"/>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w:t>
            </w:r>
          </w:p>
        </w:tc>
        <w:tc>
          <w:tcPr>
            <w:tcW w:w="771" w:type="dxa"/>
            <w:tcBorders>
              <w:top w:val="nil"/>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(88)</w:t>
            </w:r>
          </w:p>
        </w:tc>
      </w:tr>
      <w:tr w:rsidR="002C39A3" w:rsidRPr="00385236" w:rsidTr="00361FA9">
        <w:trPr>
          <w:cantSplit/>
        </w:trPr>
        <w:tc>
          <w:tcPr>
            <w:tcW w:w="3118" w:type="dxa"/>
            <w:gridSpan w:val="2"/>
            <w:tcBorders>
              <w:top w:val="nil"/>
              <w:left w:val="nil"/>
              <w:bottom w:val="single" w:sz="6" w:space="0" w:color="auto"/>
              <w:right w:val="nil"/>
            </w:tcBorders>
            <w:shd w:val="clear" w:color="auto" w:fill="FFFFFF"/>
          </w:tcPr>
          <w:p w:rsidR="002C39A3" w:rsidRPr="00385236"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385236">
              <w:rPr>
                <w:rFonts w:ascii="Calibri" w:eastAsiaTheme="minorEastAsia" w:hAnsi="Calibri" w:cs="Calibri"/>
                <w:color w:val="000000"/>
                <w:sz w:val="19"/>
                <w:lang w:eastAsia="en-AU"/>
              </w:rPr>
              <w:t xml:space="preserve">Transactions with owners in their capacity as owners </w:t>
            </w:r>
            <w:r w:rsidRPr="00385236">
              <w:rPr>
                <w:rFonts w:ascii="Calibri" w:eastAsiaTheme="minorEastAsia" w:hAnsi="Calibri" w:cs="Calibri"/>
                <w:color w:val="000000"/>
                <w:sz w:val="19"/>
                <w:vertAlign w:val="superscript"/>
                <w:lang w:eastAsia="en-AU"/>
              </w:rPr>
              <w:t>(a)</w:t>
            </w:r>
          </w:p>
        </w:tc>
        <w:tc>
          <w:tcPr>
            <w:tcW w:w="850" w:type="dxa"/>
            <w:tcBorders>
              <w:top w:val="nil"/>
              <w:left w:val="nil"/>
              <w:bottom w:val="single" w:sz="6"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(420)</w:t>
            </w:r>
          </w:p>
        </w:tc>
        <w:tc>
          <w:tcPr>
            <w:tcW w:w="1134" w:type="dxa"/>
            <w:tcBorders>
              <w:top w:val="nil"/>
              <w:left w:val="nil"/>
              <w:bottom w:val="single" w:sz="6"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429</w:t>
            </w:r>
          </w:p>
        </w:tc>
        <w:tc>
          <w:tcPr>
            <w:tcW w:w="1071" w:type="dxa"/>
            <w:tcBorders>
              <w:top w:val="nil"/>
              <w:left w:val="nil"/>
              <w:bottom w:val="single" w:sz="6"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10</w:t>
            </w:r>
          </w:p>
        </w:tc>
      </w:tr>
      <w:tr w:rsidR="002C39A3" w:rsidRPr="00385236" w:rsidTr="00361FA9">
        <w:trPr>
          <w:cantSplit/>
        </w:trPr>
        <w:tc>
          <w:tcPr>
            <w:tcW w:w="3118" w:type="dxa"/>
            <w:gridSpan w:val="2"/>
            <w:tcBorders>
              <w:top w:val="single" w:sz="6" w:space="0" w:color="auto"/>
              <w:left w:val="nil"/>
              <w:right w:val="nil"/>
            </w:tcBorders>
            <w:shd w:val="clear" w:color="auto" w:fill="FFFFFF"/>
          </w:tcPr>
          <w:p w:rsidR="002C39A3" w:rsidRPr="00385236"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385236">
              <w:rPr>
                <w:rFonts w:ascii="Calibri" w:eastAsiaTheme="minorEastAsia" w:hAnsi="Calibri" w:cs="Calibri"/>
                <w:b/>
                <w:bCs/>
                <w:color w:val="000000"/>
                <w:sz w:val="19"/>
                <w:lang w:eastAsia="en-AU"/>
              </w:rPr>
              <w:t>Closing balance 30 June 2016 (revised)</w:t>
            </w:r>
          </w:p>
        </w:tc>
        <w:tc>
          <w:tcPr>
            <w:tcW w:w="850" w:type="dxa"/>
            <w:tcBorders>
              <w:top w:val="single" w:sz="6" w:space="0" w:color="auto"/>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391</w:t>
            </w:r>
          </w:p>
        </w:tc>
        <w:tc>
          <w:tcPr>
            <w:tcW w:w="1134" w:type="dxa"/>
            <w:tcBorders>
              <w:top w:val="single" w:sz="6" w:space="0" w:color="auto"/>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385236">
              <w:rPr>
                <w:rFonts w:ascii="Calibri" w:eastAsiaTheme="minorEastAsia" w:hAnsi="Calibri" w:cs="Calibri"/>
                <w:b/>
                <w:bCs/>
                <w:color w:val="000000"/>
                <w:sz w:val="19"/>
                <w:lang w:eastAsia="en-AU"/>
              </w:rPr>
              <w:t>2 654</w:t>
            </w:r>
          </w:p>
        </w:tc>
        <w:tc>
          <w:tcPr>
            <w:tcW w:w="1071" w:type="dxa"/>
            <w:tcBorders>
              <w:top w:val="single" w:sz="6" w:space="0" w:color="auto"/>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385236">
              <w:rPr>
                <w:rFonts w:ascii="Calibri" w:eastAsiaTheme="minorEastAsia" w:hAnsi="Calibri" w:cs="Calibri"/>
                <w:b/>
                <w:bCs/>
                <w:color w:val="000000"/>
                <w:sz w:val="19"/>
                <w:lang w:eastAsia="en-AU"/>
              </w:rPr>
              <w:t>5 743</w:t>
            </w:r>
          </w:p>
        </w:tc>
        <w:tc>
          <w:tcPr>
            <w:tcW w:w="771" w:type="dxa"/>
            <w:tcBorders>
              <w:top w:val="single" w:sz="6" w:space="0" w:color="auto"/>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w:t>
            </w:r>
          </w:p>
        </w:tc>
        <w:tc>
          <w:tcPr>
            <w:tcW w:w="816" w:type="dxa"/>
            <w:tcBorders>
              <w:top w:val="single" w:sz="6" w:space="0" w:color="auto"/>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385236">
              <w:rPr>
                <w:rFonts w:ascii="Calibri" w:eastAsiaTheme="minorEastAsia" w:hAnsi="Calibri" w:cs="Calibri"/>
                <w:b/>
                <w:bCs/>
                <w:color w:val="000000"/>
                <w:sz w:val="19"/>
                <w:lang w:eastAsia="en-AU"/>
              </w:rPr>
              <w:t>8 789</w:t>
            </w:r>
          </w:p>
        </w:tc>
      </w:tr>
      <w:tr w:rsidR="002C39A3" w:rsidRPr="00385236" w:rsidTr="00361FA9">
        <w:trPr>
          <w:cantSplit/>
        </w:trPr>
        <w:tc>
          <w:tcPr>
            <w:tcW w:w="3118" w:type="dxa"/>
            <w:gridSpan w:val="2"/>
            <w:tcBorders>
              <w:top w:val="nil"/>
              <w:left w:val="nil"/>
              <w:right w:val="nil"/>
            </w:tcBorders>
            <w:shd w:val="clear" w:color="auto" w:fill="FFFFFF"/>
          </w:tcPr>
          <w:p w:rsidR="002C39A3" w:rsidRPr="00385236"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343</w:t>
            </w:r>
          </w:p>
        </w:tc>
        <w:tc>
          <w:tcPr>
            <w:tcW w:w="1134" w:type="dxa"/>
            <w:tcBorders>
              <w:top w:val="nil"/>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w:t>
            </w:r>
          </w:p>
        </w:tc>
        <w:tc>
          <w:tcPr>
            <w:tcW w:w="771" w:type="dxa"/>
            <w:tcBorders>
              <w:top w:val="nil"/>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343</w:t>
            </w:r>
          </w:p>
        </w:tc>
      </w:tr>
      <w:tr w:rsidR="002C39A3" w:rsidRPr="00385236" w:rsidTr="00361FA9">
        <w:trPr>
          <w:cantSplit/>
        </w:trPr>
        <w:tc>
          <w:tcPr>
            <w:tcW w:w="3118" w:type="dxa"/>
            <w:gridSpan w:val="2"/>
            <w:tcBorders>
              <w:top w:val="nil"/>
              <w:left w:val="nil"/>
              <w:bottom w:val="single" w:sz="6" w:space="0" w:color="auto"/>
              <w:right w:val="nil"/>
            </w:tcBorders>
            <w:shd w:val="clear" w:color="auto" w:fill="FFFFFF"/>
          </w:tcPr>
          <w:p w:rsidR="002C39A3" w:rsidRPr="00385236"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(131)</w:t>
            </w:r>
          </w:p>
        </w:tc>
        <w:tc>
          <w:tcPr>
            <w:tcW w:w="1134" w:type="dxa"/>
            <w:tcBorders>
              <w:top w:val="nil"/>
              <w:left w:val="nil"/>
              <w:bottom w:val="single" w:sz="6"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12</w:t>
            </w:r>
          </w:p>
        </w:tc>
        <w:tc>
          <w:tcPr>
            <w:tcW w:w="1071" w:type="dxa"/>
            <w:tcBorders>
              <w:top w:val="nil"/>
              <w:left w:val="nil"/>
              <w:bottom w:val="single" w:sz="6"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w:t>
            </w:r>
          </w:p>
        </w:tc>
        <w:tc>
          <w:tcPr>
            <w:tcW w:w="771" w:type="dxa"/>
            <w:tcBorders>
              <w:top w:val="nil"/>
              <w:left w:val="nil"/>
              <w:bottom w:val="single" w:sz="6"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385236">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(122)</w:t>
            </w:r>
          </w:p>
        </w:tc>
      </w:tr>
      <w:tr w:rsidR="002C39A3" w:rsidRPr="00385236" w:rsidTr="00361FA9">
        <w:trPr>
          <w:cantSplit/>
        </w:trPr>
        <w:tc>
          <w:tcPr>
            <w:tcW w:w="3118" w:type="dxa"/>
            <w:gridSpan w:val="2"/>
            <w:tcBorders>
              <w:top w:val="single" w:sz="6" w:space="0" w:color="auto"/>
              <w:left w:val="nil"/>
              <w:bottom w:val="single" w:sz="12" w:space="0" w:color="auto"/>
              <w:right w:val="nil"/>
            </w:tcBorders>
            <w:shd w:val="clear" w:color="auto" w:fill="FFFFFF"/>
          </w:tcPr>
          <w:p w:rsidR="002C39A3" w:rsidRPr="00385236" w:rsidRDefault="002C39A3" w:rsidP="00361FA9">
            <w:pPr>
              <w:autoSpaceDE w:val="0"/>
              <w:autoSpaceDN w:val="0"/>
              <w:adjustRightInd w:val="0"/>
              <w:spacing w:after="0"/>
              <w:ind w:left="227" w:hanging="227"/>
              <w:rPr>
                <w:rFonts w:ascii="Calibri" w:eastAsiaTheme="minorEastAsia" w:hAnsi="Calibri" w:cs="Calibri"/>
                <w:b/>
                <w:bCs/>
                <w:color w:val="000000"/>
                <w:sz w:val="19"/>
                <w:vertAlign w:val="superscript"/>
                <w:lang w:eastAsia="en-AU"/>
              </w:rPr>
            </w:pPr>
            <w:r w:rsidRPr="00385236">
              <w:rPr>
                <w:rFonts w:ascii="Calibri" w:eastAsiaTheme="minorEastAsia" w:hAnsi="Calibri" w:cs="Calibri"/>
                <w:b/>
                <w:bCs/>
                <w:color w:val="000000"/>
                <w:sz w:val="19"/>
                <w:lang w:eastAsia="en-AU"/>
              </w:rPr>
              <w:t>Closing balance 30 June 2017 (budget)</w:t>
            </w:r>
            <w:r w:rsidRPr="00385236">
              <w:rPr>
                <w:rFonts w:ascii="Calibri" w:eastAsiaTheme="minorEastAsia" w:hAnsi="Calibri" w:cs="Calibri"/>
                <w:b/>
                <w:bCs/>
                <w:color w:val="000000"/>
                <w:sz w:val="19"/>
                <w:vertAlign w:val="superscript"/>
                <w:lang w:eastAsia="en-AU"/>
              </w:rPr>
              <w:t>(b)</w:t>
            </w:r>
          </w:p>
        </w:tc>
        <w:tc>
          <w:tcPr>
            <w:tcW w:w="850" w:type="dxa"/>
            <w:tcBorders>
              <w:top w:val="single" w:sz="6" w:space="0" w:color="auto"/>
              <w:left w:val="nil"/>
              <w:bottom w:val="single" w:sz="12"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603</w:t>
            </w:r>
          </w:p>
        </w:tc>
        <w:tc>
          <w:tcPr>
            <w:tcW w:w="1134" w:type="dxa"/>
            <w:tcBorders>
              <w:top w:val="single" w:sz="6" w:space="0" w:color="auto"/>
              <w:left w:val="nil"/>
              <w:bottom w:val="single" w:sz="12"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385236">
              <w:rPr>
                <w:rFonts w:ascii="Calibri" w:eastAsiaTheme="minorEastAsia" w:hAnsi="Calibri" w:cs="Calibri"/>
                <w:b/>
                <w:bCs/>
                <w:color w:val="000000"/>
                <w:sz w:val="19"/>
                <w:lang w:eastAsia="en-AU"/>
              </w:rPr>
              <w:t>2 667</w:t>
            </w:r>
          </w:p>
        </w:tc>
        <w:tc>
          <w:tcPr>
            <w:tcW w:w="1071" w:type="dxa"/>
            <w:tcBorders>
              <w:top w:val="single" w:sz="6" w:space="0" w:color="auto"/>
              <w:left w:val="nil"/>
              <w:bottom w:val="single" w:sz="12"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385236">
              <w:rPr>
                <w:rFonts w:ascii="Calibri" w:eastAsiaTheme="minorEastAsia" w:hAnsi="Calibri" w:cs="Calibri"/>
                <w:b/>
                <w:bCs/>
                <w:color w:val="000000"/>
                <w:sz w:val="19"/>
                <w:lang w:eastAsia="en-AU"/>
              </w:rPr>
              <w:t>5 740</w:t>
            </w:r>
          </w:p>
        </w:tc>
        <w:tc>
          <w:tcPr>
            <w:tcW w:w="771" w:type="dxa"/>
            <w:tcBorders>
              <w:top w:val="single" w:sz="6" w:space="0" w:color="auto"/>
              <w:left w:val="nil"/>
              <w:bottom w:val="single" w:sz="12"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w:t>
            </w:r>
          </w:p>
        </w:tc>
        <w:tc>
          <w:tcPr>
            <w:tcW w:w="816" w:type="dxa"/>
            <w:tcBorders>
              <w:top w:val="single" w:sz="6" w:space="0" w:color="auto"/>
              <w:left w:val="nil"/>
              <w:bottom w:val="single" w:sz="12" w:space="0" w:color="auto"/>
              <w:right w:val="nil"/>
            </w:tcBorders>
            <w:shd w:val="clear" w:color="auto" w:fill="FFFFFF"/>
          </w:tcPr>
          <w:p w:rsidR="002C39A3" w:rsidRPr="00385236"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385236">
              <w:rPr>
                <w:rFonts w:ascii="Calibri" w:eastAsiaTheme="minorEastAsia" w:hAnsi="Calibri" w:cs="Calibri"/>
                <w:b/>
                <w:bCs/>
                <w:color w:val="000000"/>
                <w:sz w:val="19"/>
                <w:lang w:eastAsia="en-AU"/>
              </w:rPr>
              <w:t>9 010</w:t>
            </w:r>
          </w:p>
        </w:tc>
      </w:tr>
    </w:tbl>
    <w:p w:rsidR="002C39A3" w:rsidRDefault="002C39A3" w:rsidP="00361FA9">
      <w:pPr>
        <w:pStyle w:val="Source"/>
        <w:rPr>
          <w:rFonts w:eastAsiaTheme="minorHAnsi"/>
        </w:rPr>
      </w:pPr>
      <w:r w:rsidRPr="0085792A">
        <w:rPr>
          <w:rFonts w:eastAsiaTheme="minorHAnsi"/>
        </w:rPr>
        <w:t xml:space="preserve">Sources: </w:t>
      </w:r>
      <w:r w:rsidRPr="008D5527">
        <w:rPr>
          <w:rFonts w:eastAsiaTheme="minorHAnsi"/>
        </w:rPr>
        <w:t>Departments of Environment, Land, Water and Planning, and Treasury and Finance</w:t>
      </w:r>
    </w:p>
    <w:p w:rsidR="002C39A3" w:rsidRDefault="002C39A3" w:rsidP="00361FA9">
      <w:pPr>
        <w:pStyle w:val="Notes"/>
        <w:rPr>
          <w:rFonts w:eastAsiaTheme="minorHAnsi"/>
        </w:rPr>
      </w:pPr>
      <w:r>
        <w:rPr>
          <w:rFonts w:eastAsiaTheme="minorHAnsi"/>
        </w:rPr>
        <w:t>Notes:</w:t>
      </w:r>
    </w:p>
    <w:p w:rsidR="002C39A3" w:rsidRDefault="002C39A3" w:rsidP="00361FA9">
      <w:pPr>
        <w:pStyle w:val="Notes"/>
        <w:rPr>
          <w:rFonts w:eastAsiaTheme="minorHAnsi"/>
        </w:rPr>
      </w:pPr>
      <w:r>
        <w:rPr>
          <w:rFonts w:eastAsiaTheme="minorHAnsi"/>
        </w:rPr>
        <w:t>(a)</w:t>
      </w:r>
      <w:r>
        <w:rPr>
          <w:rFonts w:eastAsiaTheme="minorHAnsi"/>
        </w:rPr>
        <w:tab/>
        <w:t>Reflects the transfer of the Sustainability Fund from the EPA to DELWP on 1 July 2015.</w:t>
      </w:r>
    </w:p>
    <w:p w:rsidR="002C39A3" w:rsidRDefault="002C39A3" w:rsidP="00361FA9">
      <w:pPr>
        <w:pStyle w:val="Notes"/>
        <w:rPr>
          <w:rFonts w:eastAsiaTheme="minorHAnsi"/>
        </w:rPr>
      </w:pPr>
      <w:r>
        <w:rPr>
          <w:rFonts w:eastAsiaTheme="minorHAnsi"/>
        </w:rPr>
        <w:t>(b)</w:t>
      </w:r>
      <w:r>
        <w:rPr>
          <w:rFonts w:eastAsiaTheme="minorHAnsi"/>
        </w:rPr>
        <w:tab/>
      </w:r>
      <w:r w:rsidRPr="00E939DD">
        <w:rPr>
          <w:rFonts w:eastAsiaTheme="minorHAnsi"/>
        </w:rPr>
        <w:t>The 2016</w:t>
      </w:r>
      <w:r>
        <w:rPr>
          <w:rFonts w:eastAsiaTheme="minorHAnsi"/>
        </w:rPr>
        <w:noBreakHyphen/>
      </w:r>
      <w:r w:rsidRPr="00E939DD">
        <w:rPr>
          <w:rFonts w:eastAsiaTheme="minorHAnsi"/>
        </w:rPr>
        <w:t>17 budget reflects the reclassification of the EPA from the DELWP to regulatory bodies. This better reflects the functions of the EPA following the transfer of the Sustainability Fund to DELWP.</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spacing w:after="60"/>
        <w:ind w:left="1151" w:hanging="1151"/>
        <w:rPr>
          <w:rFonts w:eastAsiaTheme="minorHAnsi"/>
        </w:rPr>
      </w:pPr>
      <w:r>
        <w:rPr>
          <w:rFonts w:eastAsiaTheme="minorHAnsi"/>
        </w:rPr>
        <w:t>Table 3.3.5:</w:t>
      </w:r>
      <w:r>
        <w:rPr>
          <w:rFonts w:eastAsiaTheme="minorHAnsi"/>
        </w:rPr>
        <w:tab/>
        <w:t>Administered items statement</w:t>
      </w:r>
    </w:p>
    <w:p w:rsidR="002C39A3" w:rsidRPr="008D0032" w:rsidRDefault="002C39A3" w:rsidP="00361FA9">
      <w:pPr>
        <w:pStyle w:val="million"/>
        <w:rPr>
          <w:rFonts w:eastAsiaTheme="minorHAnsi"/>
          <w:b/>
          <w:bCs/>
          <w:sz w:val="15"/>
          <w:lang w:val="en-US"/>
        </w:rPr>
      </w:pPr>
      <w:r>
        <w:rPr>
          <w:rFonts w:eastAsiaTheme="minorHAnsi"/>
        </w:rPr>
        <w:t>($ million).</w:t>
      </w:r>
    </w:p>
    <w:tbl>
      <w:tblPr>
        <w:tblW w:w="7760" w:type="dxa"/>
        <w:tblInd w:w="45" w:type="dxa"/>
        <w:tblLayout w:type="fixed"/>
        <w:tblCellMar>
          <w:left w:w="45" w:type="dxa"/>
          <w:right w:w="45" w:type="dxa"/>
        </w:tblCellMar>
        <w:tblLook w:val="0000" w:firstRow="0" w:lastRow="0" w:firstColumn="0" w:lastColumn="0" w:noHBand="0" w:noVBand="0"/>
      </w:tblPr>
      <w:tblGrid>
        <w:gridCol w:w="4365"/>
        <w:gridCol w:w="743"/>
        <w:gridCol w:w="986"/>
        <w:gridCol w:w="816"/>
        <w:gridCol w:w="850"/>
      </w:tblGrid>
      <w:tr w:rsidR="00B04358" w:rsidRPr="008D0032" w:rsidTr="00B04358">
        <w:trPr>
          <w:cantSplit/>
          <w:trHeight w:val="464"/>
          <w:tblHeader/>
        </w:trPr>
        <w:tc>
          <w:tcPr>
            <w:tcW w:w="4365" w:type="dxa"/>
            <w:tcBorders>
              <w:left w:val="nil"/>
              <w:right w:val="nil"/>
            </w:tcBorders>
            <w:shd w:val="solid" w:color="000000" w:fill="auto"/>
            <w:vAlign w:val="bottom"/>
          </w:tcPr>
          <w:p w:rsidR="00B04358" w:rsidRPr="008D0032" w:rsidRDefault="00B04358" w:rsidP="00B04358">
            <w:pPr>
              <w:pStyle w:val="Source"/>
              <w:spacing w:after="0"/>
              <w:rPr>
                <w:rFonts w:eastAsiaTheme="minorEastAsia" w:cs="Calibri"/>
                <w:color w:val="FFFFFF"/>
                <w:sz w:val="19"/>
                <w:lang w:eastAsia="en-AU"/>
              </w:rPr>
            </w:pPr>
          </w:p>
        </w:tc>
        <w:tc>
          <w:tcPr>
            <w:tcW w:w="743" w:type="dxa"/>
            <w:tcBorders>
              <w:left w:val="nil"/>
              <w:right w:val="nil"/>
            </w:tcBorders>
            <w:shd w:val="solid" w:color="000000" w:fill="auto"/>
            <w:vAlign w:val="bottom"/>
          </w:tcPr>
          <w:p w:rsidR="00B04358" w:rsidRPr="008D0032"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8D0032">
              <w:rPr>
                <w:rFonts w:ascii="Calibri" w:eastAsiaTheme="minorEastAsia" w:hAnsi="Calibri" w:cs="Calibri"/>
                <w:i/>
                <w:iCs/>
                <w:color w:val="FFFFFF"/>
                <w:sz w:val="19"/>
                <w:lang w:eastAsia="en-AU"/>
              </w:rPr>
              <w:t>2014-15</w:t>
            </w:r>
          </w:p>
          <w:p w:rsidR="00B04358" w:rsidRPr="008D0032"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8D0032">
              <w:rPr>
                <w:rFonts w:ascii="Calibri" w:eastAsiaTheme="minorEastAsia" w:hAnsi="Calibri" w:cs="Calibri"/>
                <w:i/>
                <w:iCs/>
                <w:color w:val="FFFFFF"/>
                <w:sz w:val="19"/>
                <w:lang w:eastAsia="en-AU"/>
              </w:rPr>
              <w:t>actual</w:t>
            </w:r>
          </w:p>
        </w:tc>
        <w:tc>
          <w:tcPr>
            <w:tcW w:w="986" w:type="dxa"/>
            <w:tcBorders>
              <w:left w:val="nil"/>
              <w:right w:val="nil"/>
            </w:tcBorders>
            <w:shd w:val="solid" w:color="000000" w:fill="auto"/>
            <w:vAlign w:val="bottom"/>
          </w:tcPr>
          <w:p w:rsidR="00B04358" w:rsidRPr="008D0032"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8D0032">
              <w:rPr>
                <w:rFonts w:ascii="Calibri" w:eastAsiaTheme="minorEastAsia" w:hAnsi="Calibri" w:cs="Calibri"/>
                <w:i/>
                <w:iCs/>
                <w:color w:val="FFFFFF"/>
                <w:sz w:val="19"/>
                <w:lang w:eastAsia="en-AU"/>
              </w:rPr>
              <w:t>2015-16</w:t>
            </w:r>
          </w:p>
          <w:p w:rsidR="00B04358" w:rsidRPr="008D0032"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8D0032">
              <w:rPr>
                <w:rFonts w:ascii="Calibri" w:eastAsiaTheme="minorEastAsia" w:hAnsi="Calibri" w:cs="Calibri"/>
                <w:i/>
                <w:iCs/>
                <w:color w:val="FFFFFF"/>
                <w:sz w:val="19"/>
                <w:lang w:eastAsia="en-AU"/>
              </w:rPr>
              <w:t>budget</w:t>
            </w:r>
          </w:p>
        </w:tc>
        <w:tc>
          <w:tcPr>
            <w:tcW w:w="816" w:type="dxa"/>
            <w:tcBorders>
              <w:left w:val="nil"/>
              <w:right w:val="nil"/>
            </w:tcBorders>
            <w:shd w:val="solid" w:color="000000" w:fill="auto"/>
            <w:vAlign w:val="bottom"/>
          </w:tcPr>
          <w:p w:rsidR="00B04358" w:rsidRPr="008D0032"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8D0032">
              <w:rPr>
                <w:rFonts w:ascii="Calibri" w:eastAsiaTheme="minorEastAsia" w:hAnsi="Calibri" w:cs="Calibri"/>
                <w:i/>
                <w:iCs/>
                <w:color w:val="FFFFFF"/>
                <w:sz w:val="19"/>
                <w:lang w:eastAsia="en-AU"/>
              </w:rPr>
              <w:t>2015-16</w:t>
            </w:r>
          </w:p>
          <w:p w:rsidR="00B04358" w:rsidRPr="008D0032"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8D0032">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B04358" w:rsidRPr="008D0032"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8D0032">
              <w:rPr>
                <w:rFonts w:ascii="Calibri" w:eastAsiaTheme="minorEastAsia" w:hAnsi="Calibri" w:cs="Calibri"/>
                <w:i/>
                <w:iCs/>
                <w:color w:val="FFFFFF"/>
                <w:sz w:val="19"/>
                <w:lang w:eastAsia="en-AU"/>
              </w:rPr>
              <w:t>2016-17</w:t>
            </w:r>
          </w:p>
          <w:p w:rsidR="00B04358" w:rsidRPr="008D0032"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8D0032">
              <w:rPr>
                <w:rFonts w:ascii="Calibri" w:eastAsiaTheme="minorEastAsia" w:hAnsi="Calibri" w:cs="Calibri"/>
                <w:i/>
                <w:iCs/>
                <w:color w:val="FFFFFF"/>
                <w:sz w:val="19"/>
                <w:lang w:eastAsia="en-AU"/>
              </w:rPr>
              <w:t>budget</w:t>
            </w:r>
            <w:r w:rsidRPr="008D0032">
              <w:rPr>
                <w:rFonts w:ascii="Calibri" w:eastAsiaTheme="minorEastAsia" w:hAnsi="Calibri" w:cs="Calibri"/>
                <w:i/>
                <w:iCs/>
                <w:color w:val="FFFFFF"/>
                <w:sz w:val="19"/>
                <w:vertAlign w:val="superscript"/>
                <w:lang w:eastAsia="en-AU"/>
              </w:rPr>
              <w:t>(a)</w:t>
            </w:r>
          </w:p>
        </w:tc>
      </w:tr>
      <w:tr w:rsidR="00B04358" w:rsidRPr="008D0032" w:rsidTr="00B04358">
        <w:trPr>
          <w:cantSplit/>
        </w:trPr>
        <w:tc>
          <w:tcPr>
            <w:tcW w:w="7760" w:type="dxa"/>
            <w:gridSpan w:val="5"/>
            <w:tcBorders>
              <w:top w:val="single" w:sz="6" w:space="0" w:color="auto"/>
              <w:left w:val="nil"/>
              <w:right w:val="nil"/>
            </w:tcBorders>
            <w:shd w:val="clear" w:color="auto" w:fill="FFFFFF"/>
          </w:tcPr>
          <w:p w:rsidR="00B04358" w:rsidRPr="008D0032"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8D0032">
              <w:rPr>
                <w:rFonts w:ascii="Calibri" w:eastAsiaTheme="minorEastAsia" w:hAnsi="Calibri" w:cs="Calibri"/>
                <w:b/>
                <w:bCs/>
                <w:color w:val="000000"/>
                <w:sz w:val="19"/>
                <w:lang w:eastAsia="en-AU"/>
              </w:rPr>
              <w:t>Administered income</w:t>
            </w:r>
          </w:p>
        </w:tc>
      </w:tr>
      <w:tr w:rsidR="002C39A3" w:rsidRPr="008D0032" w:rsidTr="00361FA9">
        <w:trPr>
          <w:cantSplit/>
        </w:trPr>
        <w:tc>
          <w:tcPr>
            <w:tcW w:w="4365" w:type="dxa"/>
            <w:tcBorders>
              <w:top w:val="nil"/>
              <w:left w:val="nil"/>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Appropriations –</w:t>
            </w:r>
            <w:r w:rsidR="00B04358">
              <w:rPr>
                <w:rFonts w:ascii="Calibri" w:eastAsiaTheme="minorEastAsia" w:hAnsi="Calibri" w:cs="Calibri"/>
                <w:color w:val="000000"/>
                <w:sz w:val="19"/>
                <w:lang w:eastAsia="en-AU"/>
              </w:rPr>
              <w:t xml:space="preserve"> payments made on behalf of the </w:t>
            </w:r>
            <w:r w:rsidRPr="008D0032">
              <w:rPr>
                <w:rFonts w:ascii="Calibri" w:eastAsiaTheme="minorEastAsia" w:hAnsi="Calibri" w:cs="Calibri"/>
                <w:color w:val="000000"/>
                <w:sz w:val="19"/>
                <w:lang w:eastAsia="en-AU"/>
              </w:rPr>
              <w:t>State</w:t>
            </w:r>
          </w:p>
        </w:tc>
        <w:tc>
          <w:tcPr>
            <w:tcW w:w="743"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628</w:t>
            </w:r>
          </w:p>
        </w:tc>
        <w:tc>
          <w:tcPr>
            <w:tcW w:w="98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651</w:t>
            </w:r>
          </w:p>
        </w:tc>
        <w:tc>
          <w:tcPr>
            <w:tcW w:w="81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644</w:t>
            </w:r>
          </w:p>
        </w:tc>
        <w:tc>
          <w:tcPr>
            <w:tcW w:w="850"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636</w:t>
            </w:r>
          </w:p>
        </w:tc>
      </w:tr>
      <w:tr w:rsidR="002C39A3" w:rsidRPr="008D0032" w:rsidTr="00361FA9">
        <w:trPr>
          <w:cantSplit/>
        </w:trPr>
        <w:tc>
          <w:tcPr>
            <w:tcW w:w="4365" w:type="dxa"/>
            <w:tcBorders>
              <w:top w:val="nil"/>
              <w:left w:val="nil"/>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Fair value of assets and services received free of charge or for nominal consideration</w:t>
            </w:r>
          </w:p>
        </w:tc>
        <w:tc>
          <w:tcPr>
            <w:tcW w:w="743"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37</w:t>
            </w:r>
          </w:p>
        </w:tc>
        <w:tc>
          <w:tcPr>
            <w:tcW w:w="98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w:t>
            </w:r>
          </w:p>
        </w:tc>
      </w:tr>
      <w:tr w:rsidR="002C39A3" w:rsidRPr="008D0032" w:rsidTr="00361FA9">
        <w:trPr>
          <w:cantSplit/>
        </w:trPr>
        <w:tc>
          <w:tcPr>
            <w:tcW w:w="4365" w:type="dxa"/>
            <w:tcBorders>
              <w:top w:val="nil"/>
              <w:left w:val="nil"/>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Sale of goods and services</w:t>
            </w:r>
          </w:p>
        </w:tc>
        <w:tc>
          <w:tcPr>
            <w:tcW w:w="743"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338</w:t>
            </w:r>
          </w:p>
        </w:tc>
        <w:tc>
          <w:tcPr>
            <w:tcW w:w="98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417</w:t>
            </w:r>
          </w:p>
        </w:tc>
        <w:tc>
          <w:tcPr>
            <w:tcW w:w="81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491</w:t>
            </w:r>
          </w:p>
        </w:tc>
        <w:tc>
          <w:tcPr>
            <w:tcW w:w="850"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477</w:t>
            </w:r>
          </w:p>
        </w:tc>
      </w:tr>
      <w:tr w:rsidR="002C39A3" w:rsidRPr="008D0032" w:rsidTr="00361FA9">
        <w:trPr>
          <w:cantSplit/>
        </w:trPr>
        <w:tc>
          <w:tcPr>
            <w:tcW w:w="4365" w:type="dxa"/>
            <w:tcBorders>
              <w:top w:val="nil"/>
              <w:left w:val="nil"/>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Grants</w:t>
            </w:r>
          </w:p>
        </w:tc>
        <w:tc>
          <w:tcPr>
            <w:tcW w:w="743"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577</w:t>
            </w:r>
          </w:p>
        </w:tc>
        <w:tc>
          <w:tcPr>
            <w:tcW w:w="98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573</w:t>
            </w:r>
          </w:p>
        </w:tc>
        <w:tc>
          <w:tcPr>
            <w:tcW w:w="81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304</w:t>
            </w:r>
          </w:p>
        </w:tc>
        <w:tc>
          <w:tcPr>
            <w:tcW w:w="850"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571</w:t>
            </w:r>
          </w:p>
        </w:tc>
      </w:tr>
      <w:tr w:rsidR="002C39A3" w:rsidRPr="008D0032" w:rsidTr="00361FA9">
        <w:trPr>
          <w:cantSplit/>
        </w:trPr>
        <w:tc>
          <w:tcPr>
            <w:tcW w:w="4365" w:type="dxa"/>
            <w:tcBorders>
              <w:top w:val="nil"/>
              <w:left w:val="nil"/>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Interest</w:t>
            </w:r>
          </w:p>
        </w:tc>
        <w:tc>
          <w:tcPr>
            <w:tcW w:w="743"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467</w:t>
            </w:r>
          </w:p>
        </w:tc>
        <w:tc>
          <w:tcPr>
            <w:tcW w:w="98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463</w:t>
            </w:r>
          </w:p>
        </w:tc>
        <w:tc>
          <w:tcPr>
            <w:tcW w:w="81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463</w:t>
            </w:r>
          </w:p>
        </w:tc>
        <w:tc>
          <w:tcPr>
            <w:tcW w:w="850"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448</w:t>
            </w:r>
          </w:p>
        </w:tc>
      </w:tr>
      <w:tr w:rsidR="002C39A3" w:rsidRPr="008D0032" w:rsidTr="00361FA9">
        <w:trPr>
          <w:cantSplit/>
        </w:trPr>
        <w:tc>
          <w:tcPr>
            <w:tcW w:w="4365"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Other income</w:t>
            </w:r>
          </w:p>
        </w:tc>
        <w:tc>
          <w:tcPr>
            <w:tcW w:w="743"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141</w:t>
            </w:r>
          </w:p>
        </w:tc>
        <w:tc>
          <w:tcPr>
            <w:tcW w:w="986"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202</w:t>
            </w:r>
          </w:p>
        </w:tc>
        <w:tc>
          <w:tcPr>
            <w:tcW w:w="816"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203</w:t>
            </w:r>
          </w:p>
        </w:tc>
        <w:tc>
          <w:tcPr>
            <w:tcW w:w="850"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193</w:t>
            </w:r>
          </w:p>
        </w:tc>
      </w:tr>
      <w:tr w:rsidR="002C39A3" w:rsidRPr="008D0032" w:rsidTr="00361FA9">
        <w:trPr>
          <w:cantSplit/>
        </w:trPr>
        <w:tc>
          <w:tcPr>
            <w:tcW w:w="4365"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Total administered income</w:t>
            </w:r>
          </w:p>
        </w:tc>
        <w:tc>
          <w:tcPr>
            <w:tcW w:w="743"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2 188</w:t>
            </w:r>
          </w:p>
        </w:tc>
        <w:tc>
          <w:tcPr>
            <w:tcW w:w="986"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2 306</w:t>
            </w:r>
          </w:p>
        </w:tc>
        <w:tc>
          <w:tcPr>
            <w:tcW w:w="816"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2 104</w:t>
            </w:r>
          </w:p>
        </w:tc>
        <w:tc>
          <w:tcPr>
            <w:tcW w:w="850"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2 324</w:t>
            </w:r>
          </w:p>
        </w:tc>
      </w:tr>
      <w:tr w:rsidR="00B04358" w:rsidRPr="008D0032" w:rsidTr="00B04358">
        <w:trPr>
          <w:cantSplit/>
          <w:trHeight w:hRule="exact" w:val="120"/>
        </w:trPr>
        <w:tc>
          <w:tcPr>
            <w:tcW w:w="7760" w:type="dxa"/>
            <w:gridSpan w:val="5"/>
            <w:tcBorders>
              <w:top w:val="single" w:sz="6" w:space="0" w:color="auto"/>
              <w:left w:val="nil"/>
              <w:right w:val="nil"/>
            </w:tcBorders>
            <w:shd w:val="clear" w:color="auto" w:fill="FFFFFF"/>
          </w:tcPr>
          <w:p w:rsidR="00B04358" w:rsidRPr="008D0032" w:rsidRDefault="00B04358" w:rsidP="00361FA9">
            <w:pPr>
              <w:autoSpaceDE w:val="0"/>
              <w:autoSpaceDN w:val="0"/>
              <w:adjustRightInd w:val="0"/>
              <w:spacing w:after="0"/>
              <w:jc w:val="right"/>
              <w:rPr>
                <w:rFonts w:ascii="Calibri" w:eastAsiaTheme="minorEastAsia" w:hAnsi="Calibri" w:cs="Calibri"/>
                <w:color w:val="000000"/>
                <w:sz w:val="19"/>
                <w:lang w:eastAsia="en-AU"/>
              </w:rPr>
            </w:pPr>
          </w:p>
        </w:tc>
      </w:tr>
      <w:tr w:rsidR="00B04358" w:rsidRPr="008D0032" w:rsidTr="00B04358">
        <w:trPr>
          <w:cantSplit/>
        </w:trPr>
        <w:tc>
          <w:tcPr>
            <w:tcW w:w="7760" w:type="dxa"/>
            <w:gridSpan w:val="5"/>
            <w:tcBorders>
              <w:top w:val="nil"/>
              <w:left w:val="nil"/>
              <w:right w:val="nil"/>
            </w:tcBorders>
            <w:shd w:val="clear" w:color="auto" w:fill="FFFFFF"/>
          </w:tcPr>
          <w:p w:rsidR="00B04358" w:rsidRPr="008D0032"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8D0032">
              <w:rPr>
                <w:rFonts w:ascii="Calibri" w:eastAsiaTheme="minorEastAsia" w:hAnsi="Calibri" w:cs="Calibri"/>
                <w:b/>
                <w:bCs/>
                <w:color w:val="000000"/>
                <w:sz w:val="19"/>
                <w:lang w:eastAsia="en-AU"/>
              </w:rPr>
              <w:t>Administered expenses</w:t>
            </w:r>
          </w:p>
        </w:tc>
      </w:tr>
      <w:tr w:rsidR="002C39A3" w:rsidRPr="008D0032" w:rsidTr="00361FA9">
        <w:trPr>
          <w:cantSplit/>
        </w:trPr>
        <w:tc>
          <w:tcPr>
            <w:tcW w:w="4365" w:type="dxa"/>
            <w:tcBorders>
              <w:top w:val="nil"/>
              <w:left w:val="nil"/>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Expenses on behalf of the State</w:t>
            </w:r>
          </w:p>
        </w:tc>
        <w:tc>
          <w:tcPr>
            <w:tcW w:w="743"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107</w:t>
            </w:r>
          </w:p>
        </w:tc>
        <w:tc>
          <w:tcPr>
            <w:tcW w:w="98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122</w:t>
            </w:r>
          </w:p>
        </w:tc>
        <w:tc>
          <w:tcPr>
            <w:tcW w:w="81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122</w:t>
            </w:r>
          </w:p>
        </w:tc>
        <w:tc>
          <w:tcPr>
            <w:tcW w:w="850"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117</w:t>
            </w:r>
          </w:p>
        </w:tc>
      </w:tr>
      <w:tr w:rsidR="002C39A3" w:rsidRPr="008D0032" w:rsidTr="00361FA9">
        <w:trPr>
          <w:cantSplit/>
        </w:trPr>
        <w:tc>
          <w:tcPr>
            <w:tcW w:w="4365" w:type="dxa"/>
            <w:tcBorders>
              <w:top w:val="nil"/>
              <w:left w:val="nil"/>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Grants and other transfers</w:t>
            </w:r>
          </w:p>
        </w:tc>
        <w:tc>
          <w:tcPr>
            <w:tcW w:w="743"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559</w:t>
            </w:r>
          </w:p>
        </w:tc>
        <w:tc>
          <w:tcPr>
            <w:tcW w:w="98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561</w:t>
            </w:r>
          </w:p>
        </w:tc>
        <w:tc>
          <w:tcPr>
            <w:tcW w:w="81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285</w:t>
            </w:r>
          </w:p>
        </w:tc>
        <w:tc>
          <w:tcPr>
            <w:tcW w:w="850"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569</w:t>
            </w:r>
          </w:p>
        </w:tc>
      </w:tr>
      <w:tr w:rsidR="002C39A3" w:rsidRPr="008D0032" w:rsidTr="00361FA9">
        <w:trPr>
          <w:cantSplit/>
        </w:trPr>
        <w:tc>
          <w:tcPr>
            <w:tcW w:w="4365" w:type="dxa"/>
            <w:tcBorders>
              <w:top w:val="nil"/>
              <w:left w:val="nil"/>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Payments into the Consolidated Fund</w:t>
            </w:r>
          </w:p>
        </w:tc>
        <w:tc>
          <w:tcPr>
            <w:tcW w:w="743"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1 018</w:t>
            </w:r>
          </w:p>
        </w:tc>
        <w:tc>
          <w:tcPr>
            <w:tcW w:w="98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1 108</w:t>
            </w:r>
          </w:p>
        </w:tc>
        <w:tc>
          <w:tcPr>
            <w:tcW w:w="81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1 183</w:t>
            </w:r>
          </w:p>
        </w:tc>
        <w:tc>
          <w:tcPr>
            <w:tcW w:w="850"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1 170</w:t>
            </w:r>
          </w:p>
        </w:tc>
      </w:tr>
      <w:tr w:rsidR="002C39A3" w:rsidRPr="008D0032" w:rsidTr="00361FA9">
        <w:trPr>
          <w:cantSplit/>
        </w:trPr>
        <w:tc>
          <w:tcPr>
            <w:tcW w:w="4365"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 xml:space="preserve">Interest and Depreciation expense </w:t>
            </w:r>
          </w:p>
        </w:tc>
        <w:tc>
          <w:tcPr>
            <w:tcW w:w="743"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477</w:t>
            </w:r>
          </w:p>
        </w:tc>
        <w:tc>
          <w:tcPr>
            <w:tcW w:w="986"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463</w:t>
            </w:r>
          </w:p>
        </w:tc>
        <w:tc>
          <w:tcPr>
            <w:tcW w:w="816"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463</w:t>
            </w:r>
          </w:p>
        </w:tc>
        <w:tc>
          <w:tcPr>
            <w:tcW w:w="850"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448</w:t>
            </w:r>
          </w:p>
        </w:tc>
      </w:tr>
      <w:tr w:rsidR="002C39A3" w:rsidRPr="008D0032" w:rsidTr="00361FA9">
        <w:trPr>
          <w:cantSplit/>
        </w:trPr>
        <w:tc>
          <w:tcPr>
            <w:tcW w:w="4365"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Total administered expenses</w:t>
            </w:r>
          </w:p>
        </w:tc>
        <w:tc>
          <w:tcPr>
            <w:tcW w:w="743"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2 161</w:t>
            </w:r>
          </w:p>
        </w:tc>
        <w:tc>
          <w:tcPr>
            <w:tcW w:w="986"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2 253</w:t>
            </w:r>
          </w:p>
        </w:tc>
        <w:tc>
          <w:tcPr>
            <w:tcW w:w="816"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2 052</w:t>
            </w:r>
          </w:p>
        </w:tc>
        <w:tc>
          <w:tcPr>
            <w:tcW w:w="850"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2 304</w:t>
            </w:r>
          </w:p>
        </w:tc>
      </w:tr>
      <w:tr w:rsidR="002C39A3" w:rsidRPr="008D0032" w:rsidTr="00361FA9">
        <w:trPr>
          <w:cantSplit/>
        </w:trPr>
        <w:tc>
          <w:tcPr>
            <w:tcW w:w="4365"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Income less expenses</w:t>
            </w:r>
          </w:p>
        </w:tc>
        <w:tc>
          <w:tcPr>
            <w:tcW w:w="743"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27</w:t>
            </w:r>
          </w:p>
        </w:tc>
        <w:tc>
          <w:tcPr>
            <w:tcW w:w="986"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52</w:t>
            </w:r>
          </w:p>
        </w:tc>
        <w:tc>
          <w:tcPr>
            <w:tcW w:w="816"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52</w:t>
            </w:r>
          </w:p>
        </w:tc>
        <w:tc>
          <w:tcPr>
            <w:tcW w:w="850"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20</w:t>
            </w:r>
          </w:p>
        </w:tc>
      </w:tr>
      <w:tr w:rsidR="00B04358" w:rsidRPr="008D0032" w:rsidTr="00B04358">
        <w:trPr>
          <w:cantSplit/>
        </w:trPr>
        <w:tc>
          <w:tcPr>
            <w:tcW w:w="7760" w:type="dxa"/>
            <w:gridSpan w:val="5"/>
            <w:tcBorders>
              <w:top w:val="single" w:sz="6" w:space="0" w:color="auto"/>
              <w:left w:val="nil"/>
              <w:right w:val="nil"/>
            </w:tcBorders>
            <w:shd w:val="clear" w:color="auto" w:fill="FFFFFF"/>
          </w:tcPr>
          <w:p w:rsidR="00B04358" w:rsidRPr="008D0032" w:rsidRDefault="00B04358" w:rsidP="00B04358">
            <w:pPr>
              <w:autoSpaceDE w:val="0"/>
              <w:autoSpaceDN w:val="0"/>
              <w:adjustRightInd w:val="0"/>
              <w:spacing w:after="0"/>
              <w:ind w:left="227" w:hanging="227"/>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Other economic flows included in net result</w:t>
            </w:r>
          </w:p>
        </w:tc>
      </w:tr>
      <w:tr w:rsidR="002C39A3" w:rsidRPr="008D0032" w:rsidTr="00361FA9">
        <w:trPr>
          <w:cantSplit/>
        </w:trPr>
        <w:tc>
          <w:tcPr>
            <w:tcW w:w="4365"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Net gain/(loss) on non-financial assets</w:t>
            </w:r>
          </w:p>
        </w:tc>
        <w:tc>
          <w:tcPr>
            <w:tcW w:w="743"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(14)</w:t>
            </w:r>
          </w:p>
        </w:tc>
        <w:tc>
          <w:tcPr>
            <w:tcW w:w="986"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816"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850"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w:t>
            </w:r>
          </w:p>
        </w:tc>
      </w:tr>
      <w:tr w:rsidR="002C39A3" w:rsidRPr="008D0032" w:rsidTr="00361FA9">
        <w:trPr>
          <w:cantSplit/>
        </w:trPr>
        <w:tc>
          <w:tcPr>
            <w:tcW w:w="4365"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Total other economic flows included in net result</w:t>
            </w:r>
          </w:p>
        </w:tc>
        <w:tc>
          <w:tcPr>
            <w:tcW w:w="743"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(14)</w:t>
            </w:r>
          </w:p>
        </w:tc>
        <w:tc>
          <w:tcPr>
            <w:tcW w:w="986"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w:t>
            </w:r>
          </w:p>
        </w:tc>
        <w:tc>
          <w:tcPr>
            <w:tcW w:w="816"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w:t>
            </w:r>
          </w:p>
        </w:tc>
        <w:tc>
          <w:tcPr>
            <w:tcW w:w="850"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w:t>
            </w:r>
          </w:p>
        </w:tc>
      </w:tr>
      <w:tr w:rsidR="002C39A3" w:rsidRPr="008D0032" w:rsidTr="00361FA9">
        <w:trPr>
          <w:cantSplit/>
        </w:trPr>
        <w:tc>
          <w:tcPr>
            <w:tcW w:w="4365" w:type="dxa"/>
            <w:tcBorders>
              <w:top w:val="single" w:sz="6" w:space="0" w:color="auto"/>
              <w:left w:val="nil"/>
              <w:bottom w:val="single" w:sz="12" w:space="0" w:color="auto"/>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Net result</w:t>
            </w:r>
          </w:p>
        </w:tc>
        <w:tc>
          <w:tcPr>
            <w:tcW w:w="743" w:type="dxa"/>
            <w:tcBorders>
              <w:top w:val="single" w:sz="6" w:space="0" w:color="auto"/>
              <w:left w:val="nil"/>
              <w:bottom w:val="single" w:sz="12"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13</w:t>
            </w:r>
          </w:p>
        </w:tc>
        <w:tc>
          <w:tcPr>
            <w:tcW w:w="986" w:type="dxa"/>
            <w:tcBorders>
              <w:top w:val="single" w:sz="6" w:space="0" w:color="auto"/>
              <w:left w:val="nil"/>
              <w:bottom w:val="single" w:sz="12"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51</w:t>
            </w:r>
          </w:p>
        </w:tc>
        <w:tc>
          <w:tcPr>
            <w:tcW w:w="816" w:type="dxa"/>
            <w:tcBorders>
              <w:top w:val="single" w:sz="6" w:space="0" w:color="auto"/>
              <w:left w:val="nil"/>
              <w:bottom w:val="single" w:sz="12"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51</w:t>
            </w:r>
          </w:p>
        </w:tc>
        <w:tc>
          <w:tcPr>
            <w:tcW w:w="850" w:type="dxa"/>
            <w:tcBorders>
              <w:top w:val="single" w:sz="6" w:space="0" w:color="auto"/>
              <w:left w:val="nil"/>
              <w:bottom w:val="single" w:sz="12"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20</w:t>
            </w:r>
          </w:p>
        </w:tc>
      </w:tr>
      <w:tr w:rsidR="00B04358" w:rsidRPr="008D0032" w:rsidTr="00B04358">
        <w:trPr>
          <w:cantSplit/>
          <w:trHeight w:hRule="exact" w:val="120"/>
        </w:trPr>
        <w:tc>
          <w:tcPr>
            <w:tcW w:w="7760" w:type="dxa"/>
            <w:gridSpan w:val="5"/>
            <w:tcBorders>
              <w:top w:val="single" w:sz="12" w:space="0" w:color="auto"/>
              <w:left w:val="nil"/>
              <w:right w:val="nil"/>
            </w:tcBorders>
            <w:shd w:val="clear" w:color="auto" w:fill="FFFFFF"/>
          </w:tcPr>
          <w:p w:rsidR="00B04358" w:rsidRPr="008D0032" w:rsidRDefault="00B04358" w:rsidP="00361FA9">
            <w:pPr>
              <w:autoSpaceDE w:val="0"/>
              <w:autoSpaceDN w:val="0"/>
              <w:adjustRightInd w:val="0"/>
              <w:spacing w:after="0"/>
              <w:jc w:val="right"/>
              <w:rPr>
                <w:rFonts w:ascii="Calibri" w:eastAsiaTheme="minorEastAsia" w:hAnsi="Calibri" w:cs="Calibri"/>
                <w:b/>
                <w:bCs/>
                <w:color w:val="000000"/>
                <w:sz w:val="19"/>
                <w:lang w:eastAsia="en-AU"/>
              </w:rPr>
            </w:pPr>
          </w:p>
        </w:tc>
      </w:tr>
      <w:tr w:rsidR="00B04358" w:rsidRPr="008D0032" w:rsidTr="00B04358">
        <w:trPr>
          <w:cantSplit/>
        </w:trPr>
        <w:tc>
          <w:tcPr>
            <w:tcW w:w="7760" w:type="dxa"/>
            <w:gridSpan w:val="5"/>
            <w:tcBorders>
              <w:top w:val="nil"/>
              <w:left w:val="nil"/>
              <w:right w:val="nil"/>
            </w:tcBorders>
            <w:shd w:val="clear" w:color="auto" w:fill="FFFFFF"/>
          </w:tcPr>
          <w:p w:rsidR="00B04358" w:rsidRPr="008D0032" w:rsidRDefault="00B04358" w:rsidP="00B04358">
            <w:pPr>
              <w:autoSpaceDE w:val="0"/>
              <w:autoSpaceDN w:val="0"/>
              <w:adjustRightInd w:val="0"/>
              <w:spacing w:after="0"/>
              <w:ind w:left="227" w:hanging="227"/>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Other economic flows – other comprehensive income</w:t>
            </w:r>
          </w:p>
        </w:tc>
      </w:tr>
      <w:tr w:rsidR="002C39A3" w:rsidRPr="008D0032" w:rsidTr="00361FA9">
        <w:trPr>
          <w:cantSplit/>
        </w:trPr>
        <w:tc>
          <w:tcPr>
            <w:tcW w:w="4365" w:type="dxa"/>
            <w:tcBorders>
              <w:top w:val="nil"/>
              <w:left w:val="nil"/>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Asset revaluation reserve</w:t>
            </w:r>
          </w:p>
        </w:tc>
        <w:tc>
          <w:tcPr>
            <w:tcW w:w="743"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w:t>
            </w:r>
          </w:p>
        </w:tc>
        <w:tc>
          <w:tcPr>
            <w:tcW w:w="98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w:t>
            </w:r>
          </w:p>
        </w:tc>
      </w:tr>
      <w:tr w:rsidR="002C39A3" w:rsidRPr="008D0032" w:rsidTr="00361FA9">
        <w:trPr>
          <w:cantSplit/>
        </w:trPr>
        <w:tc>
          <w:tcPr>
            <w:tcW w:w="4365"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8D0032">
              <w:rPr>
                <w:rFonts w:ascii="Calibri" w:eastAsiaTheme="minorEastAsia" w:hAnsi="Calibri" w:cs="Calibri"/>
                <w:color w:val="000000"/>
                <w:sz w:val="19"/>
                <w:lang w:eastAsia="en-AU"/>
              </w:rPr>
              <w:t xml:space="preserve">Other </w:t>
            </w:r>
            <w:r w:rsidRPr="008D0032">
              <w:rPr>
                <w:rFonts w:ascii="Calibri" w:eastAsiaTheme="minorEastAsia" w:hAnsi="Calibri" w:cs="Calibri"/>
                <w:color w:val="000000"/>
                <w:sz w:val="19"/>
                <w:vertAlign w:val="superscript"/>
                <w:lang w:eastAsia="en-AU"/>
              </w:rPr>
              <w:t>(b)</w:t>
            </w:r>
          </w:p>
        </w:tc>
        <w:tc>
          <w:tcPr>
            <w:tcW w:w="743"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c>
          <w:tcPr>
            <w:tcW w:w="986"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431</w:t>
            </w:r>
          </w:p>
        </w:tc>
        <w:tc>
          <w:tcPr>
            <w:tcW w:w="850"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w:t>
            </w:r>
          </w:p>
        </w:tc>
      </w:tr>
      <w:tr w:rsidR="002C39A3" w:rsidRPr="008D0032" w:rsidTr="00361FA9">
        <w:trPr>
          <w:cantSplit/>
        </w:trPr>
        <w:tc>
          <w:tcPr>
            <w:tcW w:w="4365"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 xml:space="preserve">Total other economic flows – </w:t>
            </w:r>
            <w:r w:rsidR="00B04358">
              <w:rPr>
                <w:rFonts w:ascii="Calibri" w:eastAsiaTheme="minorEastAsia" w:hAnsi="Calibri" w:cs="Calibri"/>
                <w:b/>
                <w:bCs/>
                <w:color w:val="000000"/>
                <w:sz w:val="19"/>
                <w:lang w:eastAsia="en-AU"/>
              </w:rPr>
              <w:br/>
            </w:r>
            <w:r w:rsidRPr="008D0032">
              <w:rPr>
                <w:rFonts w:ascii="Calibri" w:eastAsiaTheme="minorEastAsia" w:hAnsi="Calibri" w:cs="Calibri"/>
                <w:b/>
                <w:bCs/>
                <w:color w:val="000000"/>
                <w:sz w:val="19"/>
                <w:lang w:eastAsia="en-AU"/>
              </w:rPr>
              <w:t>other comprehensive income</w:t>
            </w:r>
          </w:p>
        </w:tc>
        <w:tc>
          <w:tcPr>
            <w:tcW w:w="743"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6</w:t>
            </w:r>
          </w:p>
        </w:tc>
        <w:tc>
          <w:tcPr>
            <w:tcW w:w="986"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w:t>
            </w:r>
          </w:p>
        </w:tc>
        <w:tc>
          <w:tcPr>
            <w:tcW w:w="816"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431</w:t>
            </w:r>
          </w:p>
        </w:tc>
        <w:tc>
          <w:tcPr>
            <w:tcW w:w="850"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w:t>
            </w:r>
          </w:p>
        </w:tc>
      </w:tr>
      <w:tr w:rsidR="002C39A3" w:rsidRPr="008D0032" w:rsidTr="00361FA9">
        <w:trPr>
          <w:cantSplit/>
        </w:trPr>
        <w:tc>
          <w:tcPr>
            <w:tcW w:w="4365" w:type="dxa"/>
            <w:tcBorders>
              <w:top w:val="single" w:sz="6" w:space="0" w:color="auto"/>
              <w:left w:val="nil"/>
              <w:bottom w:val="single" w:sz="12" w:space="0" w:color="auto"/>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Comprehensive result</w:t>
            </w:r>
          </w:p>
        </w:tc>
        <w:tc>
          <w:tcPr>
            <w:tcW w:w="743" w:type="dxa"/>
            <w:tcBorders>
              <w:top w:val="single" w:sz="6" w:space="0" w:color="auto"/>
              <w:left w:val="nil"/>
              <w:bottom w:val="single" w:sz="12"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19</w:t>
            </w:r>
          </w:p>
        </w:tc>
        <w:tc>
          <w:tcPr>
            <w:tcW w:w="986" w:type="dxa"/>
            <w:tcBorders>
              <w:top w:val="single" w:sz="6" w:space="0" w:color="auto"/>
              <w:left w:val="nil"/>
              <w:bottom w:val="single" w:sz="12"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51</w:t>
            </w:r>
          </w:p>
        </w:tc>
        <w:tc>
          <w:tcPr>
            <w:tcW w:w="816" w:type="dxa"/>
            <w:tcBorders>
              <w:top w:val="single" w:sz="6" w:space="0" w:color="auto"/>
              <w:left w:val="nil"/>
              <w:bottom w:val="single" w:sz="12"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482</w:t>
            </w:r>
          </w:p>
        </w:tc>
        <w:tc>
          <w:tcPr>
            <w:tcW w:w="850" w:type="dxa"/>
            <w:tcBorders>
              <w:top w:val="single" w:sz="6" w:space="0" w:color="auto"/>
              <w:left w:val="nil"/>
              <w:bottom w:val="single" w:sz="12"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20</w:t>
            </w:r>
          </w:p>
        </w:tc>
      </w:tr>
      <w:tr w:rsidR="00B04358" w:rsidRPr="008D0032" w:rsidTr="00B04358">
        <w:trPr>
          <w:cantSplit/>
          <w:trHeight w:hRule="exact" w:val="120"/>
        </w:trPr>
        <w:tc>
          <w:tcPr>
            <w:tcW w:w="7760" w:type="dxa"/>
            <w:gridSpan w:val="5"/>
            <w:tcBorders>
              <w:top w:val="single" w:sz="12" w:space="0" w:color="auto"/>
              <w:left w:val="nil"/>
              <w:right w:val="nil"/>
            </w:tcBorders>
            <w:shd w:val="clear" w:color="auto" w:fill="FFFFFF"/>
          </w:tcPr>
          <w:p w:rsidR="00B04358" w:rsidRPr="008D0032" w:rsidRDefault="00B04358" w:rsidP="00361FA9">
            <w:pPr>
              <w:autoSpaceDE w:val="0"/>
              <w:autoSpaceDN w:val="0"/>
              <w:adjustRightInd w:val="0"/>
              <w:spacing w:after="0"/>
              <w:jc w:val="right"/>
              <w:rPr>
                <w:rFonts w:ascii="Calibri" w:eastAsiaTheme="minorEastAsia" w:hAnsi="Calibri" w:cs="Calibri"/>
                <w:b/>
                <w:bCs/>
                <w:color w:val="000000"/>
                <w:sz w:val="19"/>
                <w:lang w:eastAsia="en-AU"/>
              </w:rPr>
            </w:pPr>
          </w:p>
        </w:tc>
      </w:tr>
      <w:tr w:rsidR="00B04358" w:rsidRPr="008D0032" w:rsidTr="00B04358">
        <w:trPr>
          <w:cantSplit/>
        </w:trPr>
        <w:tc>
          <w:tcPr>
            <w:tcW w:w="7760" w:type="dxa"/>
            <w:gridSpan w:val="5"/>
            <w:tcBorders>
              <w:top w:val="nil"/>
              <w:left w:val="nil"/>
              <w:right w:val="nil"/>
            </w:tcBorders>
            <w:shd w:val="clear" w:color="auto" w:fill="FFFFFF"/>
          </w:tcPr>
          <w:p w:rsidR="00B04358" w:rsidRPr="008D0032"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8D0032">
              <w:rPr>
                <w:rFonts w:ascii="Calibri" w:eastAsiaTheme="minorEastAsia" w:hAnsi="Calibri" w:cs="Calibri"/>
                <w:b/>
                <w:bCs/>
                <w:color w:val="000000"/>
                <w:sz w:val="19"/>
                <w:lang w:eastAsia="en-AU"/>
              </w:rPr>
              <w:t>Administered assets</w:t>
            </w:r>
          </w:p>
        </w:tc>
      </w:tr>
      <w:tr w:rsidR="002C39A3" w:rsidRPr="008D0032" w:rsidTr="00361FA9">
        <w:trPr>
          <w:cantSplit/>
        </w:trPr>
        <w:tc>
          <w:tcPr>
            <w:tcW w:w="4365" w:type="dxa"/>
            <w:tcBorders>
              <w:top w:val="nil"/>
              <w:left w:val="nil"/>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Cash and deposits</w:t>
            </w:r>
          </w:p>
        </w:tc>
        <w:tc>
          <w:tcPr>
            <w:tcW w:w="743"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98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81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r>
      <w:tr w:rsidR="002C39A3" w:rsidRPr="008D0032" w:rsidTr="00361FA9">
        <w:trPr>
          <w:cantSplit/>
        </w:trPr>
        <w:tc>
          <w:tcPr>
            <w:tcW w:w="4365" w:type="dxa"/>
            <w:tcBorders>
              <w:top w:val="nil"/>
              <w:left w:val="nil"/>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Receivables</w:t>
            </w:r>
          </w:p>
        </w:tc>
        <w:tc>
          <w:tcPr>
            <w:tcW w:w="743"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4 295</w:t>
            </w:r>
          </w:p>
        </w:tc>
        <w:tc>
          <w:tcPr>
            <w:tcW w:w="98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4 247</w:t>
            </w:r>
          </w:p>
        </w:tc>
        <w:tc>
          <w:tcPr>
            <w:tcW w:w="81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4 247</w:t>
            </w:r>
          </w:p>
        </w:tc>
        <w:tc>
          <w:tcPr>
            <w:tcW w:w="850"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4 200</w:t>
            </w:r>
          </w:p>
        </w:tc>
      </w:tr>
      <w:tr w:rsidR="002C39A3" w:rsidRPr="008D0032" w:rsidTr="00361FA9">
        <w:trPr>
          <w:cantSplit/>
        </w:trPr>
        <w:tc>
          <w:tcPr>
            <w:tcW w:w="4365" w:type="dxa"/>
            <w:tcBorders>
              <w:top w:val="nil"/>
              <w:left w:val="nil"/>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Property, plant and equipment</w:t>
            </w:r>
          </w:p>
        </w:tc>
        <w:tc>
          <w:tcPr>
            <w:tcW w:w="743"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691</w:t>
            </w:r>
          </w:p>
        </w:tc>
        <w:tc>
          <w:tcPr>
            <w:tcW w:w="98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691</w:t>
            </w:r>
          </w:p>
        </w:tc>
        <w:tc>
          <w:tcPr>
            <w:tcW w:w="81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691</w:t>
            </w:r>
          </w:p>
        </w:tc>
        <w:tc>
          <w:tcPr>
            <w:tcW w:w="850"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691</w:t>
            </w:r>
          </w:p>
        </w:tc>
      </w:tr>
      <w:tr w:rsidR="002C39A3" w:rsidRPr="008D0032" w:rsidTr="00361FA9">
        <w:trPr>
          <w:cantSplit/>
        </w:trPr>
        <w:tc>
          <w:tcPr>
            <w:tcW w:w="4365"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Intangible assets</w:t>
            </w:r>
          </w:p>
        </w:tc>
        <w:tc>
          <w:tcPr>
            <w:tcW w:w="743"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144</w:t>
            </w:r>
          </w:p>
        </w:tc>
        <w:tc>
          <w:tcPr>
            <w:tcW w:w="986"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144</w:t>
            </w:r>
          </w:p>
        </w:tc>
        <w:tc>
          <w:tcPr>
            <w:tcW w:w="816"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144</w:t>
            </w:r>
          </w:p>
        </w:tc>
        <w:tc>
          <w:tcPr>
            <w:tcW w:w="850"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144</w:t>
            </w:r>
          </w:p>
        </w:tc>
      </w:tr>
      <w:tr w:rsidR="002C39A3" w:rsidRPr="008D0032" w:rsidTr="00361FA9">
        <w:trPr>
          <w:cantSplit/>
        </w:trPr>
        <w:tc>
          <w:tcPr>
            <w:tcW w:w="4365"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Total administered assets</w:t>
            </w:r>
          </w:p>
        </w:tc>
        <w:tc>
          <w:tcPr>
            <w:tcW w:w="743"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5 131</w:t>
            </w:r>
          </w:p>
        </w:tc>
        <w:tc>
          <w:tcPr>
            <w:tcW w:w="986"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5 083</w:t>
            </w:r>
          </w:p>
        </w:tc>
        <w:tc>
          <w:tcPr>
            <w:tcW w:w="816"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5 083</w:t>
            </w:r>
          </w:p>
        </w:tc>
        <w:tc>
          <w:tcPr>
            <w:tcW w:w="850"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5 036</w:t>
            </w:r>
          </w:p>
        </w:tc>
      </w:tr>
      <w:tr w:rsidR="00B04358" w:rsidRPr="008D0032" w:rsidTr="00B04358">
        <w:trPr>
          <w:cantSplit/>
          <w:trHeight w:hRule="exact" w:val="120"/>
        </w:trPr>
        <w:tc>
          <w:tcPr>
            <w:tcW w:w="7760" w:type="dxa"/>
            <w:gridSpan w:val="5"/>
            <w:tcBorders>
              <w:top w:val="single" w:sz="6" w:space="0" w:color="auto"/>
              <w:left w:val="nil"/>
              <w:right w:val="nil"/>
            </w:tcBorders>
            <w:shd w:val="clear" w:color="auto" w:fill="FFFFFF"/>
          </w:tcPr>
          <w:p w:rsidR="00B04358" w:rsidRPr="008D0032" w:rsidRDefault="00B04358" w:rsidP="00361FA9">
            <w:pPr>
              <w:autoSpaceDE w:val="0"/>
              <w:autoSpaceDN w:val="0"/>
              <w:adjustRightInd w:val="0"/>
              <w:spacing w:after="0"/>
              <w:jc w:val="right"/>
              <w:rPr>
                <w:rFonts w:ascii="Calibri" w:eastAsiaTheme="minorEastAsia" w:hAnsi="Calibri" w:cs="Calibri"/>
                <w:color w:val="000000"/>
                <w:sz w:val="19"/>
                <w:lang w:eastAsia="en-AU"/>
              </w:rPr>
            </w:pPr>
          </w:p>
        </w:tc>
      </w:tr>
      <w:tr w:rsidR="00B04358" w:rsidRPr="008D0032" w:rsidTr="00B04358">
        <w:trPr>
          <w:cantSplit/>
        </w:trPr>
        <w:tc>
          <w:tcPr>
            <w:tcW w:w="7760" w:type="dxa"/>
            <w:gridSpan w:val="5"/>
            <w:tcBorders>
              <w:top w:val="nil"/>
              <w:left w:val="nil"/>
              <w:right w:val="nil"/>
            </w:tcBorders>
            <w:shd w:val="clear" w:color="auto" w:fill="FFFFFF"/>
          </w:tcPr>
          <w:p w:rsidR="00B04358" w:rsidRPr="008D0032"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8D0032">
              <w:rPr>
                <w:rFonts w:ascii="Calibri" w:eastAsiaTheme="minorEastAsia" w:hAnsi="Calibri" w:cs="Calibri"/>
                <w:b/>
                <w:bCs/>
                <w:color w:val="000000"/>
                <w:sz w:val="19"/>
                <w:lang w:eastAsia="en-AU"/>
              </w:rPr>
              <w:t>Administered liabilities</w:t>
            </w:r>
          </w:p>
        </w:tc>
      </w:tr>
      <w:tr w:rsidR="002C39A3" w:rsidRPr="008D0032" w:rsidTr="00361FA9">
        <w:trPr>
          <w:cantSplit/>
        </w:trPr>
        <w:tc>
          <w:tcPr>
            <w:tcW w:w="4365" w:type="dxa"/>
            <w:tcBorders>
              <w:top w:val="nil"/>
              <w:left w:val="nil"/>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Payables</w:t>
            </w:r>
          </w:p>
        </w:tc>
        <w:tc>
          <w:tcPr>
            <w:tcW w:w="743"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88</w:t>
            </w:r>
          </w:p>
        </w:tc>
        <w:tc>
          <w:tcPr>
            <w:tcW w:w="98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88</w:t>
            </w:r>
          </w:p>
        </w:tc>
        <w:tc>
          <w:tcPr>
            <w:tcW w:w="816"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88</w:t>
            </w:r>
          </w:p>
        </w:tc>
        <w:tc>
          <w:tcPr>
            <w:tcW w:w="850" w:type="dxa"/>
            <w:tcBorders>
              <w:top w:val="nil"/>
              <w:left w:val="nil"/>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88</w:t>
            </w:r>
          </w:p>
        </w:tc>
      </w:tr>
      <w:tr w:rsidR="002C39A3" w:rsidRPr="008D0032" w:rsidTr="00361FA9">
        <w:trPr>
          <w:cantSplit/>
        </w:trPr>
        <w:tc>
          <w:tcPr>
            <w:tcW w:w="4365"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Borrowings</w:t>
            </w:r>
          </w:p>
        </w:tc>
        <w:tc>
          <w:tcPr>
            <w:tcW w:w="743"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4 228</w:t>
            </w:r>
          </w:p>
        </w:tc>
        <w:tc>
          <w:tcPr>
            <w:tcW w:w="986"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4 183</w:t>
            </w:r>
          </w:p>
        </w:tc>
        <w:tc>
          <w:tcPr>
            <w:tcW w:w="816"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4 183</w:t>
            </w:r>
          </w:p>
        </w:tc>
        <w:tc>
          <w:tcPr>
            <w:tcW w:w="850" w:type="dxa"/>
            <w:tcBorders>
              <w:top w:val="nil"/>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8D0032">
              <w:rPr>
                <w:rFonts w:ascii="Calibri" w:eastAsiaTheme="minorEastAsia" w:hAnsi="Calibri" w:cs="Calibri"/>
                <w:color w:val="000000"/>
                <w:sz w:val="19"/>
                <w:lang w:eastAsia="en-AU"/>
              </w:rPr>
              <w:t>4 141</w:t>
            </w:r>
          </w:p>
        </w:tc>
      </w:tr>
      <w:tr w:rsidR="002C39A3" w:rsidRPr="008D0032" w:rsidTr="00361FA9">
        <w:trPr>
          <w:cantSplit/>
        </w:trPr>
        <w:tc>
          <w:tcPr>
            <w:tcW w:w="4365"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Total administered liabilities</w:t>
            </w:r>
          </w:p>
        </w:tc>
        <w:tc>
          <w:tcPr>
            <w:tcW w:w="743"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4 316</w:t>
            </w:r>
          </w:p>
        </w:tc>
        <w:tc>
          <w:tcPr>
            <w:tcW w:w="986"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4 271</w:t>
            </w:r>
          </w:p>
        </w:tc>
        <w:tc>
          <w:tcPr>
            <w:tcW w:w="816"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4 271</w:t>
            </w:r>
          </w:p>
        </w:tc>
        <w:tc>
          <w:tcPr>
            <w:tcW w:w="850" w:type="dxa"/>
            <w:tcBorders>
              <w:top w:val="single" w:sz="6" w:space="0" w:color="auto"/>
              <w:left w:val="nil"/>
              <w:bottom w:val="single" w:sz="6"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4 229</w:t>
            </w:r>
          </w:p>
        </w:tc>
      </w:tr>
      <w:tr w:rsidR="002C39A3" w:rsidRPr="008D0032" w:rsidTr="00361FA9">
        <w:trPr>
          <w:cantSplit/>
        </w:trPr>
        <w:tc>
          <w:tcPr>
            <w:tcW w:w="4365" w:type="dxa"/>
            <w:tcBorders>
              <w:top w:val="single" w:sz="6" w:space="0" w:color="auto"/>
              <w:left w:val="nil"/>
              <w:bottom w:val="single" w:sz="12" w:space="0" w:color="auto"/>
              <w:right w:val="nil"/>
            </w:tcBorders>
            <w:shd w:val="clear" w:color="auto" w:fill="FFFFFF"/>
          </w:tcPr>
          <w:p w:rsidR="002C39A3" w:rsidRPr="008D0032"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8D0032">
              <w:rPr>
                <w:rFonts w:ascii="Calibri" w:eastAsiaTheme="minorEastAsia" w:hAnsi="Calibri" w:cs="Calibri"/>
                <w:b/>
                <w:bCs/>
                <w:color w:val="000000"/>
                <w:sz w:val="19"/>
                <w:lang w:eastAsia="en-AU"/>
              </w:rPr>
              <w:t>Net assets</w:t>
            </w:r>
          </w:p>
        </w:tc>
        <w:tc>
          <w:tcPr>
            <w:tcW w:w="743" w:type="dxa"/>
            <w:tcBorders>
              <w:top w:val="single" w:sz="6" w:space="0" w:color="auto"/>
              <w:left w:val="nil"/>
              <w:bottom w:val="single" w:sz="12"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816</w:t>
            </w:r>
          </w:p>
        </w:tc>
        <w:tc>
          <w:tcPr>
            <w:tcW w:w="986" w:type="dxa"/>
            <w:tcBorders>
              <w:top w:val="single" w:sz="6" w:space="0" w:color="auto"/>
              <w:left w:val="nil"/>
              <w:bottom w:val="single" w:sz="12"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812</w:t>
            </w:r>
          </w:p>
        </w:tc>
        <w:tc>
          <w:tcPr>
            <w:tcW w:w="816" w:type="dxa"/>
            <w:tcBorders>
              <w:top w:val="single" w:sz="6" w:space="0" w:color="auto"/>
              <w:left w:val="nil"/>
              <w:bottom w:val="single" w:sz="12"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812</w:t>
            </w:r>
          </w:p>
        </w:tc>
        <w:tc>
          <w:tcPr>
            <w:tcW w:w="850" w:type="dxa"/>
            <w:tcBorders>
              <w:top w:val="single" w:sz="6" w:space="0" w:color="auto"/>
              <w:left w:val="nil"/>
              <w:bottom w:val="single" w:sz="12" w:space="0" w:color="auto"/>
              <w:right w:val="nil"/>
            </w:tcBorders>
            <w:shd w:val="clear" w:color="auto" w:fill="FFFFFF"/>
          </w:tcPr>
          <w:p w:rsidR="002C39A3" w:rsidRPr="008D0032"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808</w:t>
            </w:r>
          </w:p>
        </w:tc>
      </w:tr>
    </w:tbl>
    <w:p w:rsidR="002C39A3" w:rsidRDefault="002C39A3" w:rsidP="00361FA9">
      <w:pPr>
        <w:pStyle w:val="Source"/>
        <w:spacing w:after="60"/>
        <w:rPr>
          <w:rFonts w:eastAsiaTheme="minorHAnsi"/>
        </w:rPr>
      </w:pPr>
      <w:r w:rsidRPr="0085792A">
        <w:rPr>
          <w:rFonts w:eastAsiaTheme="minorHAnsi"/>
        </w:rPr>
        <w:t xml:space="preserve">Sources: </w:t>
      </w:r>
      <w:r w:rsidRPr="006D2CF4">
        <w:rPr>
          <w:rFonts w:eastAsiaTheme="minorHAnsi"/>
        </w:rPr>
        <w:t>Departments</w:t>
      </w:r>
      <w:r w:rsidRPr="008D5527">
        <w:rPr>
          <w:rFonts w:eastAsiaTheme="minorHAnsi"/>
        </w:rPr>
        <w:t xml:space="preserve"> of Environment, Land, Water and Planning, and Treasury and Finance</w:t>
      </w:r>
    </w:p>
    <w:p w:rsidR="002C39A3" w:rsidRDefault="002C39A3" w:rsidP="00361FA9">
      <w:pPr>
        <w:pStyle w:val="Notes"/>
        <w:rPr>
          <w:rFonts w:eastAsiaTheme="minorHAnsi"/>
        </w:rPr>
      </w:pPr>
      <w:r>
        <w:rPr>
          <w:rFonts w:eastAsiaTheme="minorHAnsi"/>
        </w:rPr>
        <w:t>Notes:</w:t>
      </w:r>
    </w:p>
    <w:p w:rsidR="002C39A3" w:rsidRDefault="002C39A3" w:rsidP="00361FA9">
      <w:pPr>
        <w:pStyle w:val="Notes"/>
        <w:rPr>
          <w:rFonts w:eastAsiaTheme="minorHAnsi"/>
        </w:rPr>
      </w:pPr>
      <w:r>
        <w:rPr>
          <w:rFonts w:eastAsiaTheme="minorHAnsi"/>
        </w:rPr>
        <w:t>(a)</w:t>
      </w:r>
      <w:r>
        <w:rPr>
          <w:rFonts w:eastAsiaTheme="minorHAnsi"/>
        </w:rPr>
        <w:tab/>
      </w:r>
      <w:r w:rsidRPr="0025684B">
        <w:rPr>
          <w:rFonts w:eastAsiaTheme="minorHAnsi"/>
        </w:rPr>
        <w:t>The 2016</w:t>
      </w:r>
      <w:r>
        <w:rPr>
          <w:rFonts w:eastAsiaTheme="minorHAnsi"/>
        </w:rPr>
        <w:noBreakHyphen/>
      </w:r>
      <w:r w:rsidRPr="0025684B">
        <w:rPr>
          <w:rFonts w:eastAsiaTheme="minorHAnsi"/>
        </w:rPr>
        <w:t>17 budget reflects the reclassification of the EPA from DELWP to regulatory bodies. This better reflects the functions of the EPA following the transfer of the Sustainability Fund to DELWP.</w:t>
      </w:r>
    </w:p>
    <w:p w:rsidR="002C39A3" w:rsidRPr="00C54EF8" w:rsidRDefault="002C39A3" w:rsidP="00361FA9">
      <w:pPr>
        <w:pStyle w:val="Notes"/>
        <w:rPr>
          <w:rFonts w:eastAsiaTheme="minorHAnsi"/>
        </w:rPr>
      </w:pPr>
      <w:r>
        <w:rPr>
          <w:rFonts w:eastAsiaTheme="minorHAnsi"/>
        </w:rPr>
        <w:t>(b)</w:t>
      </w:r>
      <w:r>
        <w:rPr>
          <w:rFonts w:eastAsiaTheme="minorHAnsi"/>
        </w:rPr>
        <w:tab/>
        <w:t>The 2015-16 revised budget r</w:t>
      </w:r>
      <w:r w:rsidRPr="00C54EF8">
        <w:rPr>
          <w:rFonts w:eastAsiaTheme="minorHAnsi"/>
        </w:rPr>
        <w:t>eflects the transfer of the Sustainability Fund from the EPA to DELWP on 1 July 2015.</w:t>
      </w:r>
    </w:p>
    <w:p w:rsidR="002C39A3" w:rsidRDefault="002C39A3" w:rsidP="00361FA9">
      <w:pPr>
        <w:pStyle w:val="Tableheading"/>
        <w:rPr>
          <w:rFonts w:eastAsiaTheme="minorHAnsi"/>
        </w:rPr>
      </w:pPr>
      <w:r>
        <w:rPr>
          <w:rFonts w:eastAsiaTheme="minorHAnsi"/>
        </w:rPr>
        <w:t>Table 3.3.6:</w:t>
      </w:r>
      <w:r>
        <w:rPr>
          <w:rFonts w:eastAsiaTheme="minorHAnsi"/>
        </w:rPr>
        <w:tab/>
        <w:t>Payments made on behalf of the State</w:t>
      </w:r>
    </w:p>
    <w:p w:rsidR="002C39A3" w:rsidRPr="00AC6103" w:rsidRDefault="002C39A3" w:rsidP="00361FA9">
      <w:pPr>
        <w:pStyle w:val="million"/>
        <w:rPr>
          <w:rFonts w:eastAsiaTheme="minorHAnsi"/>
          <w:b/>
          <w:bCs/>
          <w:lang w:val="en-US"/>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5216"/>
        <w:gridCol w:w="850"/>
        <w:gridCol w:w="850"/>
        <w:gridCol w:w="850"/>
      </w:tblGrid>
      <w:tr w:rsidR="00B04358" w:rsidRPr="00AC6103" w:rsidTr="00B04358">
        <w:trPr>
          <w:trHeight w:val="464"/>
          <w:tblHeader/>
        </w:trPr>
        <w:tc>
          <w:tcPr>
            <w:tcW w:w="5216" w:type="dxa"/>
            <w:tcBorders>
              <w:left w:val="nil"/>
              <w:right w:val="nil"/>
            </w:tcBorders>
            <w:shd w:val="solid" w:color="000000" w:fill="auto"/>
            <w:vAlign w:val="bottom"/>
          </w:tcPr>
          <w:p w:rsidR="00B04358" w:rsidRPr="00B04358" w:rsidRDefault="00B04358" w:rsidP="00B04358">
            <w:pPr>
              <w:pStyle w:val="million"/>
              <w:jc w:val="left"/>
              <w:rPr>
                <w:rFonts w:eastAsiaTheme="minorEastAsia" w:cs="Calibri"/>
                <w:iCs/>
                <w:color w:val="FFFFFF"/>
                <w:sz w:val="19"/>
                <w:lang w:eastAsia="en-AU"/>
              </w:rPr>
            </w:pPr>
            <w:r w:rsidRPr="00B04358">
              <w:rPr>
                <w:rFonts w:eastAsiaTheme="minorEastAsia" w:cs="Calibri"/>
                <w:iCs/>
                <w:color w:val="FFFFFF"/>
                <w:sz w:val="19"/>
                <w:lang w:eastAsia="en-AU"/>
              </w:rPr>
              <w:t>Accounts</w:t>
            </w:r>
          </w:p>
        </w:tc>
        <w:tc>
          <w:tcPr>
            <w:tcW w:w="850" w:type="dxa"/>
            <w:tcBorders>
              <w:left w:val="nil"/>
              <w:righ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2016-17</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r>
      <w:tr w:rsidR="002C39A3" w:rsidRPr="00AC6103" w:rsidTr="00361FA9">
        <w:tc>
          <w:tcPr>
            <w:tcW w:w="5216"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szCs w:val="22"/>
                <w:lang w:eastAsia="en-AU"/>
              </w:rPr>
            </w:pPr>
            <w:r w:rsidRPr="00AC6103">
              <w:rPr>
                <w:rFonts w:ascii="Calibri" w:eastAsiaTheme="minorEastAsia" w:hAnsi="Calibri" w:cs="Calibri"/>
                <w:color w:val="000000"/>
                <w:sz w:val="19"/>
                <w:szCs w:val="22"/>
                <w:lang w:eastAsia="en-AU"/>
              </w:rPr>
              <w:t>Murray-Darling Basin contribution</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29</w:t>
            </w:r>
          </w:p>
        </w:tc>
      </w:tr>
      <w:tr w:rsidR="002C39A3" w:rsidRPr="00AC6103" w:rsidTr="00361FA9">
        <w:tc>
          <w:tcPr>
            <w:tcW w:w="521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szCs w:val="22"/>
                <w:lang w:eastAsia="en-AU"/>
              </w:rPr>
            </w:pPr>
            <w:r w:rsidRPr="00AC6103">
              <w:rPr>
                <w:rFonts w:ascii="Calibri" w:eastAsiaTheme="minorEastAsia" w:hAnsi="Calibri" w:cs="Calibri"/>
                <w:color w:val="000000"/>
                <w:sz w:val="19"/>
                <w:szCs w:val="22"/>
                <w:lang w:eastAsia="en-AU"/>
              </w:rPr>
              <w:t>Victorian Desalination Project finance lease liability</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620</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620</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608</w:t>
            </w:r>
          </w:p>
        </w:tc>
      </w:tr>
      <w:tr w:rsidR="002C39A3" w:rsidRPr="00AC6103" w:rsidTr="00361FA9">
        <w:tc>
          <w:tcPr>
            <w:tcW w:w="5216"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651</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644</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636</w:t>
            </w:r>
          </w:p>
        </w:tc>
      </w:tr>
    </w:tbl>
    <w:p w:rsidR="002C39A3" w:rsidRDefault="002C39A3" w:rsidP="00361FA9">
      <w:pPr>
        <w:pStyle w:val="Source"/>
        <w:rPr>
          <w:rFonts w:eastAsiaTheme="minorHAnsi"/>
        </w:rPr>
      </w:pPr>
      <w:r w:rsidRPr="0085792A">
        <w:rPr>
          <w:rFonts w:eastAsiaTheme="minorHAnsi"/>
        </w:rPr>
        <w:t xml:space="preserve">Sources: </w:t>
      </w:r>
      <w:r w:rsidRPr="008D5527">
        <w:rPr>
          <w:rFonts w:eastAsiaTheme="minorHAnsi"/>
        </w:rPr>
        <w:t>Departments of Environment, Land, Water and Planning, and Treasury and Finance</w:t>
      </w:r>
    </w:p>
    <w:p w:rsidR="002C39A3" w:rsidRDefault="002C39A3" w:rsidP="00361FA9">
      <w:pPr>
        <w:rPr>
          <w:rFonts w:eastAsiaTheme="minorHAnsi"/>
        </w:rPr>
      </w:pPr>
    </w:p>
    <w:p w:rsidR="002C39A3" w:rsidRDefault="002C39A3" w:rsidP="00361FA9">
      <w:pPr>
        <w:rPr>
          <w:rFonts w:eastAsiaTheme="minorHAnsi"/>
        </w:rPr>
        <w:sectPr w:rsidR="002C39A3" w:rsidSect="00361FA9">
          <w:footerReference w:type="even" r:id="rId40"/>
          <w:footerReference w:type="default" r:id="rId41"/>
          <w:pgSz w:w="9979" w:h="14181" w:code="138"/>
          <w:pgMar w:top="1140" w:right="1140" w:bottom="1140" w:left="1140" w:header="720" w:footer="431" w:gutter="0"/>
          <w:cols w:space="708"/>
          <w:docGrid w:linePitch="360"/>
        </w:sectPr>
      </w:pPr>
    </w:p>
    <w:p w:rsidR="002C39A3" w:rsidRDefault="002C39A3" w:rsidP="00361FA9">
      <w:pPr>
        <w:pStyle w:val="Heading1"/>
        <w:rPr>
          <w:rFonts w:eastAsiaTheme="minorHAnsi"/>
        </w:rPr>
      </w:pPr>
      <w:bookmarkStart w:id="40" w:name="_Toc449116199"/>
      <w:r>
        <w:rPr>
          <w:rFonts w:eastAsiaTheme="minorHAnsi"/>
        </w:rPr>
        <w:t>Department of Health and Human Services</w:t>
      </w:r>
      <w:bookmarkEnd w:id="40"/>
    </w:p>
    <w:p w:rsidR="002C39A3" w:rsidRDefault="002C39A3" w:rsidP="00361FA9">
      <w:pPr>
        <w:pStyle w:val="Heading2"/>
        <w:rPr>
          <w:rFonts w:eastAsiaTheme="minorHAnsi"/>
        </w:rPr>
      </w:pPr>
      <w:r>
        <w:rPr>
          <w:rFonts w:eastAsiaTheme="minorHAnsi"/>
        </w:rPr>
        <w:t>Operating performance</w:t>
      </w:r>
    </w:p>
    <w:p w:rsidR="002C39A3" w:rsidRPr="00502941" w:rsidRDefault="002C39A3" w:rsidP="00361FA9">
      <w:r w:rsidRPr="00502941">
        <w:t>The Department of Health and Human Services is expected to report a net result from transactions of $105 million in 2016</w:t>
      </w:r>
      <w:r>
        <w:noBreakHyphen/>
      </w:r>
      <w:r w:rsidRPr="00502941">
        <w:t>17.</w:t>
      </w:r>
    </w:p>
    <w:p w:rsidR="002C39A3" w:rsidRPr="00502941" w:rsidRDefault="002C39A3" w:rsidP="00361FA9">
      <w:r w:rsidRPr="00502941">
        <w:t>The operating statement sho</w:t>
      </w:r>
      <w:r>
        <w:t>ws an increase in income of $795</w:t>
      </w:r>
      <w:r w:rsidRPr="00502941">
        <w:t> million between the 2015</w:t>
      </w:r>
      <w:r>
        <w:noBreakHyphen/>
      </w:r>
      <w:r w:rsidRPr="00502941">
        <w:t>16 revised budget and the 20</w:t>
      </w:r>
      <w:r>
        <w:t>16</w:t>
      </w:r>
      <w:r>
        <w:noBreakHyphen/>
        <w:t>17 budget. This is mainly due to</w:t>
      </w:r>
      <w:r w:rsidRPr="00502941">
        <w:t>:</w:t>
      </w:r>
    </w:p>
    <w:p w:rsidR="002C39A3" w:rsidRPr="006970AD" w:rsidRDefault="002C39A3" w:rsidP="00361FA9">
      <w:pPr>
        <w:pStyle w:val="BulletText"/>
      </w:pPr>
      <w:r w:rsidRPr="006970AD">
        <w:t xml:space="preserve">funding of new initiatives announced in this budget, including funding to improve waiting times for core services and meeting hospital services demand, initiatives to implement </w:t>
      </w:r>
      <w:r>
        <w:t>G</w:t>
      </w:r>
      <w:r w:rsidRPr="006970AD">
        <w:t>overnment</w:t>
      </w:r>
      <w:r w:rsidR="0097550F">
        <w:t>’</w:t>
      </w:r>
      <w:r w:rsidRPr="006970AD">
        <w:t>s response to the Family Violence Royal Commission, and transition to the Natio</w:t>
      </w:r>
      <w:r>
        <w:t>nal Disability Insurance Scheme;</w:t>
      </w:r>
    </w:p>
    <w:p w:rsidR="002C39A3" w:rsidRPr="006970AD" w:rsidRDefault="002C39A3" w:rsidP="00361FA9">
      <w:pPr>
        <w:pStyle w:val="BulletText"/>
      </w:pPr>
      <w:r w:rsidRPr="006970AD">
        <w:t>continuing implementation of existing initiatives;</w:t>
      </w:r>
    </w:p>
    <w:p w:rsidR="002C39A3" w:rsidRPr="006970AD" w:rsidRDefault="002C39A3" w:rsidP="00361FA9">
      <w:pPr>
        <w:pStyle w:val="BulletText"/>
      </w:pPr>
      <w:r>
        <w:t>indexation on existing income</w:t>
      </w:r>
      <w:r w:rsidRPr="006970AD">
        <w:t>; and</w:t>
      </w:r>
    </w:p>
    <w:p w:rsidR="002C39A3" w:rsidRPr="006970AD" w:rsidRDefault="002C39A3" w:rsidP="00361FA9">
      <w:pPr>
        <w:pStyle w:val="BulletText"/>
      </w:pPr>
      <w:r>
        <w:t>matching</w:t>
      </w:r>
      <w:r w:rsidRPr="006970AD">
        <w:t xml:space="preserve"> Commonwealth funding available under the National Health Reform Agreement.</w:t>
      </w:r>
    </w:p>
    <w:p w:rsidR="002C39A3" w:rsidRPr="002563CB" w:rsidRDefault="002C39A3" w:rsidP="00361FA9">
      <w:pPr>
        <w:rPr>
          <w:rFonts w:eastAsiaTheme="minorHAnsi"/>
        </w:rPr>
      </w:pPr>
      <w:r w:rsidRPr="00502941">
        <w:t>Operating expenses</w:t>
      </w:r>
      <w:r>
        <w:t xml:space="preserve"> are budgeted to increase by $79</w:t>
      </w:r>
      <w:r w:rsidRPr="00502941">
        <w:t>7 million between the 2015</w:t>
      </w:r>
      <w:r>
        <w:noBreakHyphen/>
      </w:r>
      <w:r w:rsidRPr="00502941">
        <w:t>16 revised budget and 2016</w:t>
      </w:r>
      <w:r>
        <w:noBreakHyphen/>
      </w:r>
      <w:r w:rsidRPr="00502941">
        <w:t>17 budget, reflecting the increases in income outlined above.</w:t>
      </w:r>
    </w:p>
    <w:p w:rsidR="002C39A3" w:rsidRDefault="002C39A3" w:rsidP="00361FA9">
      <w:pPr>
        <w:pStyle w:val="Heading2"/>
        <w:rPr>
          <w:rFonts w:eastAsiaTheme="minorHAnsi"/>
        </w:rPr>
      </w:pPr>
      <w:r>
        <w:rPr>
          <w:rFonts w:eastAsiaTheme="minorHAnsi"/>
        </w:rPr>
        <w:t>Balance sheet</w:t>
      </w:r>
    </w:p>
    <w:p w:rsidR="002C39A3" w:rsidRPr="00502941" w:rsidRDefault="002C39A3" w:rsidP="00361FA9">
      <w:r w:rsidRPr="00502941">
        <w:t>The Department</w:t>
      </w:r>
      <w:r w:rsidR="0097550F">
        <w:t>’</w:t>
      </w:r>
      <w:r w:rsidRPr="00502941">
        <w:t>s net asset position is estimated to improve by $</w:t>
      </w:r>
      <w:r>
        <w:t>166</w:t>
      </w:r>
      <w:r w:rsidRPr="00502941">
        <w:t xml:space="preserve"> million between the 2015</w:t>
      </w:r>
      <w:r>
        <w:noBreakHyphen/>
      </w:r>
      <w:r w:rsidRPr="00502941">
        <w:t>16 revised budget and the 2016</w:t>
      </w:r>
      <w:r>
        <w:noBreakHyphen/>
      </w:r>
      <w:r w:rsidRPr="00502941">
        <w:t>17 budget, reflecting an increase in total assets of $</w:t>
      </w:r>
      <w:r>
        <w:t>549</w:t>
      </w:r>
      <w:r w:rsidRPr="00502941">
        <w:t> million, and an incre</w:t>
      </w:r>
      <w:r>
        <w:t>ase in total liabilities of $383</w:t>
      </w:r>
      <w:r w:rsidRPr="00502941">
        <w:t> million.</w:t>
      </w:r>
    </w:p>
    <w:p w:rsidR="002C39A3" w:rsidRPr="00502941" w:rsidRDefault="002C39A3" w:rsidP="00361FA9">
      <w:r w:rsidRPr="00502941">
        <w:t xml:space="preserve">The estimated increase in assets is mainly due to increase in </w:t>
      </w:r>
      <w:r>
        <w:t>property, plant and equipment</w:t>
      </w:r>
      <w:r w:rsidRPr="00502941">
        <w:t xml:space="preserve"> reflecting the Government</w:t>
      </w:r>
      <w:r w:rsidR="0097550F">
        <w:t>’</w:t>
      </w:r>
      <w:r w:rsidRPr="00502941">
        <w:t xml:space="preserve">s commitment to improve health infrastructure across the State, based on modern service models and needs for the future. New asset funding included in the </w:t>
      </w:r>
      <w:r w:rsidRPr="00857DB3">
        <w:t>2016</w:t>
      </w:r>
      <w:r w:rsidRPr="00857DB3">
        <w:noBreakHyphen/>
        <w:t>17 budget</w:t>
      </w:r>
      <w:r w:rsidRPr="00502941">
        <w:t xml:space="preserve"> includes:</w:t>
      </w:r>
    </w:p>
    <w:p w:rsidR="002C39A3" w:rsidRPr="00502941" w:rsidRDefault="002C39A3" w:rsidP="00361FA9">
      <w:pPr>
        <w:pStyle w:val="BulletText"/>
      </w:pPr>
      <w:r w:rsidRPr="00502941">
        <w:t>Goulburn Valley Health (Shepparton</w:t>
      </w:r>
      <w:r>
        <w:t>)</w:t>
      </w:r>
      <w:r w:rsidRPr="00502941">
        <w:t xml:space="preserve"> </w:t>
      </w:r>
      <w:r>
        <w:t>r</w:t>
      </w:r>
      <w:r w:rsidRPr="00502941">
        <w:t>edevelopment</w:t>
      </w:r>
      <w:r>
        <w:t>;</w:t>
      </w:r>
    </w:p>
    <w:p w:rsidR="002C39A3" w:rsidRPr="00502941" w:rsidRDefault="002C39A3" w:rsidP="00361FA9">
      <w:pPr>
        <w:pStyle w:val="BulletText"/>
      </w:pPr>
      <w:r w:rsidRPr="00502941">
        <w:t xml:space="preserve">Austin Hospital </w:t>
      </w:r>
      <w:r>
        <w:t>c</w:t>
      </w:r>
      <w:r w:rsidRPr="00502941">
        <w:t xml:space="preserve">ritical </w:t>
      </w:r>
      <w:r>
        <w:t>i</w:t>
      </w:r>
      <w:r w:rsidRPr="00502941">
        <w:t xml:space="preserve">nfrastructure </w:t>
      </w:r>
      <w:r>
        <w:t>w</w:t>
      </w:r>
      <w:r w:rsidRPr="00502941">
        <w:t>orks</w:t>
      </w:r>
      <w:r>
        <w:t>;</w:t>
      </w:r>
    </w:p>
    <w:p w:rsidR="002C39A3" w:rsidRPr="00502941" w:rsidRDefault="002C39A3" w:rsidP="00361FA9">
      <w:pPr>
        <w:pStyle w:val="BulletText"/>
      </w:pPr>
      <w:r w:rsidRPr="00502941">
        <w:t xml:space="preserve">Western Health </w:t>
      </w:r>
      <w:r>
        <w:t>u</w:t>
      </w:r>
      <w:r w:rsidRPr="00502941">
        <w:t xml:space="preserve">rgent </w:t>
      </w:r>
      <w:r>
        <w:t>i</w:t>
      </w:r>
      <w:r w:rsidRPr="00502941">
        <w:t>nfrastructure works (Footscray and Sunshine)</w:t>
      </w:r>
      <w:r>
        <w:t>;</w:t>
      </w:r>
    </w:p>
    <w:p w:rsidR="002C39A3" w:rsidRPr="00502941" w:rsidRDefault="002C39A3" w:rsidP="00361FA9">
      <w:pPr>
        <w:pStyle w:val="BulletText"/>
      </w:pPr>
      <w:r w:rsidRPr="00502941">
        <w:t xml:space="preserve">Orygen Youth </w:t>
      </w:r>
      <w:r>
        <w:t xml:space="preserve">Mental </w:t>
      </w:r>
      <w:r w:rsidRPr="00502941">
        <w:t>Health;</w:t>
      </w:r>
    </w:p>
    <w:p w:rsidR="002C39A3" w:rsidRPr="00502941" w:rsidRDefault="002C39A3" w:rsidP="00361FA9">
      <w:pPr>
        <w:pStyle w:val="BulletText"/>
      </w:pPr>
      <w:r w:rsidRPr="00502941">
        <w:t>Monash Medical Centre (Clayton) – Early in Life Mental Health Service</w:t>
      </w:r>
      <w:r>
        <w:t>;</w:t>
      </w:r>
    </w:p>
    <w:p w:rsidR="002C39A3" w:rsidRPr="00502941" w:rsidRDefault="002C39A3" w:rsidP="00361FA9">
      <w:pPr>
        <w:pStyle w:val="BulletText"/>
      </w:pPr>
      <w:r>
        <w:t>f</w:t>
      </w:r>
      <w:r w:rsidRPr="00502941">
        <w:t xml:space="preserve">unding to upgrade </w:t>
      </w:r>
      <w:r>
        <w:t>a</w:t>
      </w:r>
      <w:r w:rsidRPr="00502941">
        <w:t xml:space="preserve">mbulance </w:t>
      </w:r>
      <w:r>
        <w:t>stations</w:t>
      </w:r>
      <w:r w:rsidRPr="00502941">
        <w:t>, vehicles and equipment</w:t>
      </w:r>
      <w:r>
        <w:t>; and</w:t>
      </w:r>
    </w:p>
    <w:p w:rsidR="002C39A3" w:rsidRPr="00502941" w:rsidRDefault="002C39A3" w:rsidP="00361FA9">
      <w:pPr>
        <w:pStyle w:val="BulletText"/>
      </w:pPr>
      <w:r w:rsidRPr="00502941">
        <w:t>various other upgrades and expansions across several health facilities.</w:t>
      </w:r>
    </w:p>
    <w:p w:rsidR="002C39A3" w:rsidRPr="002563CB" w:rsidRDefault="002C39A3" w:rsidP="00361FA9">
      <w:pPr>
        <w:rPr>
          <w:rFonts w:eastAsiaTheme="minorHAnsi"/>
        </w:rPr>
      </w:pPr>
      <w:r w:rsidRPr="00502941">
        <w:t>The movement in liabilities of $38</w:t>
      </w:r>
      <w:r>
        <w:t>3</w:t>
      </w:r>
      <w:r w:rsidRPr="00502941">
        <w:t> million between the 2015</w:t>
      </w:r>
      <w:r>
        <w:noBreakHyphen/>
      </w:r>
      <w:r w:rsidRPr="00502941">
        <w:t>16 revised budget and the 2016</w:t>
      </w:r>
      <w:r>
        <w:noBreakHyphen/>
      </w:r>
      <w:r w:rsidRPr="00502941">
        <w:t>17 budget is largely due to increases in finance lease</w:t>
      </w:r>
      <w:r>
        <w:t xml:space="preserve"> liabilities</w:t>
      </w:r>
      <w:r w:rsidRPr="00502941">
        <w:t xml:space="preserve"> related to the Bendigo Hospital </w:t>
      </w:r>
      <w:r>
        <w:t>r</w:t>
      </w:r>
      <w:r w:rsidRPr="00502941">
        <w:t>edevelopment</w:t>
      </w:r>
      <w:r>
        <w:t xml:space="preserve"> being built under a public private partnership</w:t>
      </w:r>
      <w:r w:rsidRPr="00502941">
        <w:t>.</w:t>
      </w:r>
    </w:p>
    <w:p w:rsidR="002C39A3" w:rsidRDefault="002C39A3" w:rsidP="00361FA9">
      <w:pPr>
        <w:pStyle w:val="Heading2"/>
        <w:rPr>
          <w:rFonts w:eastAsiaTheme="minorHAnsi"/>
        </w:rPr>
      </w:pPr>
      <w:r>
        <w:rPr>
          <w:rFonts w:eastAsiaTheme="minorHAnsi"/>
        </w:rPr>
        <w:t>Investing and financing</w:t>
      </w:r>
    </w:p>
    <w:p w:rsidR="002C39A3" w:rsidRPr="00502941" w:rsidRDefault="002C39A3" w:rsidP="00361FA9">
      <w:r w:rsidRPr="00502941">
        <w:t xml:space="preserve">Cash flows from operating activities are consistent with the trends discussed in the statement of operating performance. </w:t>
      </w:r>
    </w:p>
    <w:p w:rsidR="002C39A3" w:rsidRPr="002563CB" w:rsidRDefault="002C39A3" w:rsidP="00361FA9">
      <w:pPr>
        <w:rPr>
          <w:rFonts w:eastAsiaTheme="minorHAnsi"/>
        </w:rPr>
      </w:pPr>
      <w:r w:rsidRPr="00502941">
        <w:t>Cash flows from investing activities include payments for property, plant and equipment reflecting the Government</w:t>
      </w:r>
      <w:r w:rsidR="0097550F">
        <w:t>’</w:t>
      </w:r>
      <w:r w:rsidRPr="00502941">
        <w:t>s continued investment in health and community services</w:t>
      </w:r>
      <w:r>
        <w:t xml:space="preserve"> assets.</w:t>
      </w:r>
    </w:p>
    <w:p w:rsidR="002C39A3" w:rsidRDefault="002C39A3" w:rsidP="00361FA9">
      <w:pPr>
        <w:pStyle w:val="Heading2"/>
        <w:rPr>
          <w:rFonts w:eastAsiaTheme="minorHAnsi"/>
        </w:rPr>
      </w:pPr>
      <w:r>
        <w:rPr>
          <w:rFonts w:eastAsiaTheme="minorHAnsi"/>
        </w:rPr>
        <w:t>Administered items statement</w:t>
      </w:r>
    </w:p>
    <w:p w:rsidR="002C39A3" w:rsidRDefault="002C39A3" w:rsidP="00361FA9">
      <w:pPr>
        <w:rPr>
          <w:rFonts w:ascii="Calibri" w:eastAsiaTheme="minorHAnsi" w:hAnsi="Calibri"/>
          <w:b/>
        </w:rPr>
      </w:pPr>
      <w:r w:rsidRPr="00502941">
        <w:t>Revenue administered by the Department on behalf</w:t>
      </w:r>
      <w:r>
        <w:t xml:space="preserve"> of the State and third parties is forecast to increase by $363</w:t>
      </w:r>
      <w:r w:rsidRPr="00502941">
        <w:t> million from the 2015</w:t>
      </w:r>
      <w:r>
        <w:noBreakHyphen/>
      </w:r>
      <w:r w:rsidRPr="00502941">
        <w:t>16 revised budget to the 2016</w:t>
      </w:r>
      <w:r>
        <w:noBreakHyphen/>
      </w:r>
      <w:r w:rsidRPr="00502941">
        <w:t>17 budget.</w:t>
      </w:r>
      <w:r>
        <w:t xml:space="preserve"> This mainly reflects expected increases in Commonwealth funding in the National Health Funding Pool.</w:t>
      </w:r>
      <w:r>
        <w:rPr>
          <w:rFonts w:eastAsiaTheme="minorHAnsi"/>
        </w:rPr>
        <w:br w:type="page"/>
      </w:r>
    </w:p>
    <w:p w:rsidR="002C39A3" w:rsidRDefault="002C39A3" w:rsidP="00361FA9">
      <w:pPr>
        <w:pStyle w:val="Tableheading"/>
        <w:rPr>
          <w:rFonts w:eastAsiaTheme="minorHAnsi"/>
        </w:rPr>
      </w:pPr>
      <w:r>
        <w:rPr>
          <w:rFonts w:eastAsiaTheme="minorHAnsi"/>
        </w:rPr>
        <w:t>Table 3.4.1:</w:t>
      </w:r>
      <w:r>
        <w:rPr>
          <w:rFonts w:eastAsiaTheme="minorHAnsi"/>
        </w:rPr>
        <w:tab/>
        <w:t>Comprehensive operating statement</w:t>
      </w:r>
    </w:p>
    <w:p w:rsidR="002C39A3" w:rsidRPr="00AC6103" w:rsidRDefault="002C39A3" w:rsidP="00361FA9">
      <w:pPr>
        <w:pStyle w:val="million"/>
        <w:rPr>
          <w:rFonts w:eastAsiaTheme="minorHAnsi"/>
          <w:b/>
          <w:bCs/>
          <w:sz w:val="15"/>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B04358" w:rsidRPr="00AC6103" w:rsidTr="00B04358">
        <w:trPr>
          <w:trHeight w:val="464"/>
          <w:tblHeader/>
        </w:trPr>
        <w:tc>
          <w:tcPr>
            <w:tcW w:w="4365" w:type="dxa"/>
            <w:tcBorders>
              <w:right w:val="nil"/>
            </w:tcBorders>
            <w:shd w:val="solid" w:color="000000" w:fill="auto"/>
            <w:vAlign w:val="bottom"/>
          </w:tcPr>
          <w:p w:rsidR="00B04358" w:rsidRPr="00AC6103" w:rsidRDefault="00B04358" w:rsidP="00B04358">
            <w:pPr>
              <w:pStyle w:val="Source"/>
              <w:spacing w:after="0"/>
              <w:rPr>
                <w:rFonts w:eastAsiaTheme="minorEastAsia" w:cs="Calibri"/>
                <w:color w:val="FFFFFF"/>
                <w:sz w:val="19"/>
                <w:lang w:eastAsia="en-AU"/>
              </w:rPr>
            </w:pPr>
          </w:p>
        </w:tc>
        <w:tc>
          <w:tcPr>
            <w:tcW w:w="850" w:type="dxa"/>
            <w:tcBorders>
              <w:left w:val="nil"/>
              <w:righ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2014-15</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actual</w:t>
            </w:r>
          </w:p>
        </w:tc>
        <w:tc>
          <w:tcPr>
            <w:tcW w:w="850" w:type="dxa"/>
            <w:tcBorders>
              <w:left w:val="nil"/>
              <w:righ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2016-17</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r>
      <w:tr w:rsidR="00B04358" w:rsidRPr="00AC6103" w:rsidTr="00B04358">
        <w:tc>
          <w:tcPr>
            <w:tcW w:w="7765" w:type="dxa"/>
            <w:gridSpan w:val="5"/>
            <w:tcBorders>
              <w:top w:val="single" w:sz="6" w:space="0" w:color="auto"/>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Net result from continu</w:t>
            </w:r>
            <w:r>
              <w:rPr>
                <w:rFonts w:ascii="Calibri" w:eastAsiaTheme="minorEastAsia" w:hAnsi="Calibri" w:cs="Calibri"/>
                <w:b/>
                <w:bCs/>
                <w:color w:val="000000"/>
                <w:sz w:val="19"/>
                <w:lang w:eastAsia="en-AU"/>
              </w:rPr>
              <w:t>ing operations</w:t>
            </w:r>
          </w:p>
        </w:tc>
      </w:tr>
      <w:tr w:rsidR="00B04358" w:rsidRPr="00AC6103" w:rsidTr="00B04358">
        <w:tc>
          <w:tcPr>
            <w:tcW w:w="7765" w:type="dxa"/>
            <w:gridSpan w:val="5"/>
            <w:tcBorders>
              <w:top w:val="nil"/>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Income from transactions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Output appropriations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9 968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12 870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12 920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13 382</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Special appropriations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1 273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1 361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1 364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1 404</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Interest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68</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Sale of goods and services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1 553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1 796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1 586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1 650</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Grants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4 832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4 862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5 087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5 304</w:t>
            </w:r>
          </w:p>
        </w:tc>
      </w:tr>
      <w:tr w:rsidR="002C39A3" w:rsidRPr="00AC6103" w:rsidTr="00361FA9">
        <w:tc>
          <w:tcPr>
            <w:tcW w:w="4365" w:type="dxa"/>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income</w:t>
            </w:r>
          </w:p>
        </w:tc>
        <w:tc>
          <w:tcPr>
            <w:tcW w:w="850" w:type="dxa"/>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614</w:t>
            </w:r>
          </w:p>
        </w:tc>
        <w:tc>
          <w:tcPr>
            <w:tcW w:w="850" w:type="dxa"/>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468</w:t>
            </w:r>
          </w:p>
        </w:tc>
        <w:tc>
          <w:tcPr>
            <w:tcW w:w="850" w:type="dxa"/>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483</w:t>
            </w:r>
          </w:p>
        </w:tc>
        <w:tc>
          <w:tcPr>
            <w:tcW w:w="850" w:type="dxa"/>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496</w:t>
            </w:r>
          </w:p>
        </w:tc>
      </w:tr>
      <w:tr w:rsidR="002C39A3" w:rsidRPr="00AC6103" w:rsidTr="00361FA9">
        <w:tc>
          <w:tcPr>
            <w:tcW w:w="4365"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income from transactions</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18 303</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21 425</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21 508</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22 303</w:t>
            </w:r>
          </w:p>
        </w:tc>
      </w:tr>
      <w:tr w:rsidR="00B04358" w:rsidRPr="00AC6103" w:rsidTr="00B04358">
        <w:tc>
          <w:tcPr>
            <w:tcW w:w="7765" w:type="dxa"/>
            <w:gridSpan w:val="5"/>
            <w:tcBorders>
              <w:top w:val="nil"/>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Expenses from transactions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Employee benefits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9 061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9 804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9 896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10 305</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 xml:space="preserve">Depreciation </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799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880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878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952</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Interest expense</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184</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Grants and other transfers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1 249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1 706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1 652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1 703</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Capital asset charge</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910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1 017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1 017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1 120</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operating expenses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6 107</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7 816</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7 859</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7 935</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expenses from transactions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18 218</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21 326</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21 402</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22 199</w:t>
            </w:r>
          </w:p>
        </w:tc>
      </w:tr>
      <w:tr w:rsidR="002C39A3" w:rsidRPr="00AC6103" w:rsidTr="00361FA9">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result from transactions (net operating balance)</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85</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99</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106</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105</w:t>
            </w:r>
          </w:p>
        </w:tc>
      </w:tr>
      <w:tr w:rsidR="00B04358" w:rsidRPr="00AC6103" w:rsidTr="00B04358">
        <w:tc>
          <w:tcPr>
            <w:tcW w:w="7765" w:type="dxa"/>
            <w:gridSpan w:val="5"/>
            <w:tcBorders>
              <w:top w:val="single" w:sz="12" w:space="0" w:color="auto"/>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Other economic flows included in net result</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Net gain/(loss) on non-financial assets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Net gain/(loss) on fina</w:t>
            </w:r>
            <w:r w:rsidR="00B04358">
              <w:rPr>
                <w:rFonts w:ascii="Calibri" w:eastAsiaTheme="minorEastAsia" w:hAnsi="Calibri" w:cs="Calibri"/>
                <w:color w:val="000000"/>
                <w:sz w:val="19"/>
                <w:lang w:eastAsia="en-AU"/>
              </w:rPr>
              <w:t>ncial instruments and statutory </w:t>
            </w:r>
            <w:r w:rsidRPr="00AC6103">
              <w:rPr>
                <w:rFonts w:ascii="Calibri" w:eastAsiaTheme="minorEastAsia" w:hAnsi="Calibri" w:cs="Calibri"/>
                <w:color w:val="000000"/>
                <w:sz w:val="19"/>
                <w:lang w:eastAsia="en-AU"/>
              </w:rPr>
              <w:t>receivables/payables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gains/(losses) from economic flows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(29)</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(13)</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other economic flows included in net result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(30)</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(16)</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result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55</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96</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90</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98</w:t>
            </w:r>
          </w:p>
        </w:tc>
      </w:tr>
      <w:tr w:rsidR="00B04358" w:rsidRPr="00AC6103" w:rsidTr="00B04358">
        <w:tc>
          <w:tcPr>
            <w:tcW w:w="7765" w:type="dxa"/>
            <w:gridSpan w:val="5"/>
            <w:tcBorders>
              <w:top w:val="single" w:sz="6" w:space="0" w:color="auto"/>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Other economic flows – other comprehensive income</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Changes in non-financial assets revaluation surplus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Financial assets available-for-sale reserve</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13</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 xml:space="preserve">Total other economic flows – </w:t>
            </w:r>
            <w:r w:rsidR="00B04358">
              <w:rPr>
                <w:rFonts w:ascii="Calibri" w:eastAsiaTheme="minorEastAsia" w:hAnsi="Calibri" w:cs="Calibri"/>
                <w:b/>
                <w:bCs/>
                <w:color w:val="000000"/>
                <w:sz w:val="19"/>
                <w:lang w:eastAsia="en-AU"/>
              </w:rPr>
              <w:br/>
            </w:r>
            <w:r w:rsidRPr="00AC6103">
              <w:rPr>
                <w:rFonts w:ascii="Calibri" w:eastAsiaTheme="minorEastAsia" w:hAnsi="Calibri" w:cs="Calibri"/>
                <w:b/>
                <w:bCs/>
                <w:color w:val="000000"/>
                <w:sz w:val="19"/>
                <w:lang w:eastAsia="en-AU"/>
              </w:rPr>
              <w:t>other comprehensive income</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Comprehensive result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136</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96</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90</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98</w:t>
            </w:r>
          </w:p>
        </w:tc>
      </w:tr>
    </w:tbl>
    <w:p w:rsidR="002C39A3" w:rsidRDefault="002C39A3" w:rsidP="00361FA9">
      <w:pPr>
        <w:pStyle w:val="Source"/>
        <w:rPr>
          <w:rFonts w:eastAsiaTheme="minorHAnsi"/>
        </w:rPr>
      </w:pPr>
      <w:r w:rsidRPr="00A473B4">
        <w:rPr>
          <w:rFonts w:eastAsiaTheme="minorEastAsia"/>
          <w:lang w:eastAsia="en-AU"/>
        </w:rPr>
        <w:t>Sources: Departments of Health and Human Services</w:t>
      </w:r>
      <w:r>
        <w:rPr>
          <w:rFonts w:eastAsiaTheme="minorEastAsia"/>
          <w:lang w:eastAsia="en-AU"/>
        </w:rPr>
        <w:t>,</w:t>
      </w:r>
      <w:r w:rsidRPr="00A473B4">
        <w:rPr>
          <w:rFonts w:eastAsiaTheme="minorEastAsia"/>
          <w:lang w:eastAsia="en-AU"/>
        </w:rPr>
        <w:t xml:space="preserve"> and Treasury and Finance</w:t>
      </w:r>
    </w:p>
    <w:p w:rsidR="002C39A3" w:rsidRDefault="002C39A3" w:rsidP="00361FA9">
      <w:pPr>
        <w:pStyle w:val="Notes"/>
        <w:rPr>
          <w:rFonts w:eastAsiaTheme="minorHAnsi"/>
        </w:rPr>
      </w:pPr>
    </w:p>
    <w:p w:rsidR="002C39A3" w:rsidRDefault="002C39A3" w:rsidP="00361FA9">
      <w:pPr>
        <w:pStyle w:val="Notes"/>
        <w:rPr>
          <w:rFonts w:eastAsiaTheme="minorHAnsi"/>
          <w:b/>
        </w:rPr>
      </w:pPr>
      <w:r>
        <w:rPr>
          <w:rFonts w:eastAsiaTheme="minorHAnsi"/>
        </w:rPr>
        <w:br w:type="page"/>
      </w:r>
    </w:p>
    <w:p w:rsidR="002C39A3" w:rsidRDefault="002C39A3" w:rsidP="00361FA9">
      <w:pPr>
        <w:pStyle w:val="Tableheading"/>
        <w:rPr>
          <w:rFonts w:eastAsiaTheme="minorHAnsi"/>
        </w:rPr>
      </w:pPr>
      <w:r>
        <w:rPr>
          <w:rFonts w:eastAsiaTheme="minorHAnsi"/>
        </w:rPr>
        <w:t>Table 3.4.2:</w:t>
      </w:r>
      <w:r>
        <w:rPr>
          <w:rFonts w:eastAsiaTheme="minorHAnsi"/>
        </w:rPr>
        <w:tab/>
        <w:t>Balance sheet</w:t>
      </w:r>
    </w:p>
    <w:p w:rsidR="002C39A3" w:rsidRPr="00AC6103" w:rsidRDefault="002C39A3" w:rsidP="00361FA9">
      <w:pPr>
        <w:pStyle w:val="million"/>
        <w:rPr>
          <w:rFonts w:eastAsiaTheme="minorHAnsi"/>
          <w:b/>
          <w:bCs/>
          <w:sz w:val="15"/>
          <w:lang w:val="en-US"/>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1"/>
      </w:tblGrid>
      <w:tr w:rsidR="00B04358" w:rsidRPr="00AC6103" w:rsidTr="00B04358">
        <w:trPr>
          <w:tblHeader/>
        </w:trPr>
        <w:tc>
          <w:tcPr>
            <w:tcW w:w="4365" w:type="dxa"/>
            <w:tcBorders>
              <w:bottom w:val="nil"/>
              <w:right w:val="nil"/>
            </w:tcBorders>
            <w:shd w:val="solid" w:color="000000" w:fill="auto"/>
            <w:vAlign w:val="bottom"/>
          </w:tcPr>
          <w:p w:rsidR="00B04358" w:rsidRPr="00AC6103" w:rsidRDefault="00B04358" w:rsidP="00361FA9">
            <w:pPr>
              <w:pStyle w:val="Source"/>
              <w:spacing w:after="0"/>
              <w:rPr>
                <w:rFonts w:eastAsiaTheme="minorEastAsia" w:cs="Calibri"/>
                <w:iCs/>
                <w:color w:val="FFFFFF"/>
                <w:sz w:val="19"/>
                <w:lang w:eastAsia="en-AU"/>
              </w:rPr>
            </w:pPr>
            <w:r w:rsidRPr="00AC6103">
              <w:rPr>
                <w:rFonts w:eastAsiaTheme="minorEastAsia" w:cs="Calibri"/>
                <w:iCs/>
                <w:color w:val="FFFFFF"/>
                <w:sz w:val="19"/>
                <w:lang w:eastAsia="en-AU"/>
              </w:rPr>
              <w:t xml:space="preserve"> </w:t>
            </w:r>
          </w:p>
        </w:tc>
        <w:tc>
          <w:tcPr>
            <w:tcW w:w="850" w:type="dxa"/>
            <w:tcBorders>
              <w:left w:val="nil"/>
              <w:bottom w:val="nil"/>
              <w:righ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color w:val="FFFFFF"/>
                <w:sz w:val="19"/>
                <w:lang w:eastAsia="en-AU"/>
              </w:rPr>
            </w:pPr>
            <w:r w:rsidRPr="00AC6103">
              <w:rPr>
                <w:rFonts w:ascii="Calibri" w:eastAsiaTheme="minorEastAsia" w:hAnsi="Calibri" w:cs="Calibri"/>
                <w:color w:val="FFFFFF"/>
                <w:sz w:val="19"/>
                <w:lang w:eastAsia="en-AU"/>
              </w:rPr>
              <w:t xml:space="preserve">  </w:t>
            </w:r>
          </w:p>
        </w:tc>
        <w:tc>
          <w:tcPr>
            <w:tcW w:w="2551" w:type="dxa"/>
            <w:gridSpan w:val="3"/>
            <w:tcBorders>
              <w:left w:val="nil"/>
              <w:bottom w:val="nil"/>
            </w:tcBorders>
            <w:shd w:val="solid" w:color="000000" w:fill="auto"/>
            <w:vAlign w:val="bottom"/>
          </w:tcPr>
          <w:p w:rsidR="00B04358" w:rsidRPr="00AC6103" w:rsidRDefault="00B04358" w:rsidP="00B04358">
            <w:pPr>
              <w:autoSpaceDE w:val="0"/>
              <w:autoSpaceDN w:val="0"/>
              <w:adjustRightInd w:val="0"/>
              <w:spacing w:after="0"/>
              <w:jc w:val="center"/>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Estimated as at 30 June</w:t>
            </w:r>
          </w:p>
        </w:tc>
      </w:tr>
      <w:tr w:rsidR="00B04358" w:rsidRPr="00AC6103" w:rsidTr="00B04358">
        <w:trPr>
          <w:trHeight w:val="464"/>
          <w:tblHeader/>
        </w:trPr>
        <w:tc>
          <w:tcPr>
            <w:tcW w:w="4365" w:type="dxa"/>
            <w:tcBorders>
              <w:top w:val="nil"/>
              <w:right w:val="nil"/>
            </w:tcBorders>
            <w:shd w:val="solid" w:color="000000" w:fill="auto"/>
            <w:vAlign w:val="bottom"/>
          </w:tcPr>
          <w:p w:rsidR="00B04358" w:rsidRPr="00AC6103" w:rsidRDefault="00B04358" w:rsidP="00361FA9">
            <w:pPr>
              <w:autoSpaceDE w:val="0"/>
              <w:autoSpaceDN w:val="0"/>
              <w:adjustRightInd w:val="0"/>
              <w:spacing w:after="0"/>
              <w:rPr>
                <w:rFonts w:ascii="Calibri" w:eastAsiaTheme="minorEastAsia" w:hAnsi="Calibri" w:cs="Calibri"/>
                <w:color w:val="FFFFFF"/>
                <w:sz w:val="19"/>
                <w:lang w:eastAsia="en-AU"/>
              </w:rPr>
            </w:pPr>
          </w:p>
        </w:tc>
        <w:tc>
          <w:tcPr>
            <w:tcW w:w="850" w:type="dxa"/>
            <w:tcBorders>
              <w:top w:val="nil"/>
              <w:left w:val="nil"/>
              <w:righ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actual</w:t>
            </w:r>
          </w:p>
        </w:tc>
        <w:tc>
          <w:tcPr>
            <w:tcW w:w="850" w:type="dxa"/>
            <w:tcBorders>
              <w:top w:val="nil"/>
              <w:left w:val="nil"/>
              <w:righ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tcBorders>
              <w:top w:val="nil"/>
              <w:left w:val="nil"/>
              <w:righ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1" w:type="dxa"/>
            <w:tcBorders>
              <w:top w:val="nil"/>
              <w:lef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2017</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r>
      <w:tr w:rsidR="00B04358" w:rsidRPr="00AC6103" w:rsidTr="00B04358">
        <w:tc>
          <w:tcPr>
            <w:tcW w:w="7766" w:type="dxa"/>
            <w:gridSpan w:val="5"/>
            <w:tcBorders>
              <w:top w:val="single" w:sz="6" w:space="0" w:color="auto"/>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Assets</w:t>
            </w:r>
          </w:p>
        </w:tc>
      </w:tr>
      <w:tr w:rsidR="00B04358" w:rsidRPr="00AC6103" w:rsidTr="00B04358">
        <w:tc>
          <w:tcPr>
            <w:tcW w:w="7766" w:type="dxa"/>
            <w:gridSpan w:val="5"/>
            <w:tcBorders>
              <w:top w:val="nil"/>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Financial assets</w:t>
            </w:r>
          </w:p>
        </w:tc>
      </w:tr>
      <w:tr w:rsidR="002C39A3" w:rsidRPr="00AC6103" w:rsidTr="00B04358">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Cash and deposits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949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1 066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1 058</w:t>
            </w:r>
          </w:p>
        </w:tc>
        <w:tc>
          <w:tcPr>
            <w:tcW w:w="85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1 178</w:t>
            </w:r>
          </w:p>
        </w:tc>
      </w:tr>
      <w:tr w:rsidR="002C39A3" w:rsidRPr="00AC6103" w:rsidTr="00B04358">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Receivables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2 472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2 806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2 865</w:t>
            </w:r>
          </w:p>
        </w:tc>
        <w:tc>
          <w:tcPr>
            <w:tcW w:w="85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2 642</w:t>
            </w:r>
          </w:p>
        </w:tc>
      </w:tr>
      <w:tr w:rsidR="002C39A3" w:rsidRPr="00AC6103" w:rsidTr="00B04358">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financial assets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769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769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769</w:t>
            </w:r>
          </w:p>
        </w:tc>
        <w:tc>
          <w:tcPr>
            <w:tcW w:w="85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769</w:t>
            </w:r>
          </w:p>
        </w:tc>
      </w:tr>
      <w:tr w:rsidR="002C39A3" w:rsidRPr="00AC6103" w:rsidTr="00B04358">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Investments accounted for using equity method</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40</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40</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40</w:t>
            </w:r>
          </w:p>
        </w:tc>
        <w:tc>
          <w:tcPr>
            <w:tcW w:w="85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40</w:t>
            </w:r>
          </w:p>
        </w:tc>
      </w:tr>
      <w:tr w:rsidR="002C39A3" w:rsidRPr="00AC6103" w:rsidTr="00B04358">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financial assets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4 230</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4 681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4 732</w:t>
            </w:r>
          </w:p>
        </w:tc>
        <w:tc>
          <w:tcPr>
            <w:tcW w:w="851"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4 629</w:t>
            </w:r>
          </w:p>
        </w:tc>
      </w:tr>
      <w:tr w:rsidR="00B04358" w:rsidRPr="00AC6103" w:rsidTr="00B04358">
        <w:tc>
          <w:tcPr>
            <w:tcW w:w="7766" w:type="dxa"/>
            <w:gridSpan w:val="5"/>
            <w:tcBorders>
              <w:top w:val="single" w:sz="6" w:space="0" w:color="auto"/>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Non-financial assets</w:t>
            </w:r>
          </w:p>
        </w:tc>
      </w:tr>
      <w:tr w:rsidR="002C39A3" w:rsidRPr="00AC6103" w:rsidTr="00B04358">
        <w:tc>
          <w:tcPr>
            <w:tcW w:w="4365" w:type="dxa"/>
            <w:tcBorders>
              <w:top w:val="nil"/>
              <w:left w:val="nil"/>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Inventories</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80</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80</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80</w:t>
            </w:r>
          </w:p>
        </w:tc>
        <w:tc>
          <w:tcPr>
            <w:tcW w:w="851"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80</w:t>
            </w:r>
          </w:p>
        </w:tc>
      </w:tr>
      <w:tr w:rsidR="002C39A3" w:rsidRPr="00AC6103" w:rsidTr="00B04358">
        <w:tc>
          <w:tcPr>
            <w:tcW w:w="4365" w:type="dxa"/>
            <w:tcBorders>
              <w:top w:val="nil"/>
              <w:left w:val="nil"/>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Non-financial assets classified as held for sale including disposal group assets</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w:t>
            </w:r>
          </w:p>
        </w:tc>
        <w:tc>
          <w:tcPr>
            <w:tcW w:w="851"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w:t>
            </w:r>
          </w:p>
        </w:tc>
      </w:tr>
      <w:tr w:rsidR="002C39A3" w:rsidRPr="00AC6103" w:rsidTr="00B04358">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Property, plant and equipment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14 159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15 215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15 132</w:t>
            </w:r>
          </w:p>
        </w:tc>
        <w:tc>
          <w:tcPr>
            <w:tcW w:w="85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15 760</w:t>
            </w:r>
          </w:p>
        </w:tc>
      </w:tr>
      <w:tr w:rsidR="002C39A3" w:rsidRPr="00AC6103" w:rsidTr="00B04358">
        <w:tc>
          <w:tcPr>
            <w:tcW w:w="4365" w:type="dxa"/>
            <w:tcBorders>
              <w:top w:val="nil"/>
              <w:left w:val="nil"/>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Investment properties</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22</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22</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22</w:t>
            </w:r>
          </w:p>
        </w:tc>
        <w:tc>
          <w:tcPr>
            <w:tcW w:w="851"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22</w:t>
            </w:r>
          </w:p>
        </w:tc>
      </w:tr>
      <w:tr w:rsidR="002C39A3" w:rsidRPr="00AC6103" w:rsidTr="00B04358">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Intangible assets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129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122</w:t>
            </w:r>
          </w:p>
        </w:tc>
        <w:tc>
          <w:tcPr>
            <w:tcW w:w="85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101</w:t>
            </w:r>
          </w:p>
        </w:tc>
      </w:tr>
      <w:tr w:rsidR="002C39A3" w:rsidRPr="00AC6103" w:rsidTr="00B04358">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97</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103</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103</w:t>
            </w:r>
          </w:p>
        </w:tc>
        <w:tc>
          <w:tcPr>
            <w:tcW w:w="85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147</w:t>
            </w:r>
          </w:p>
        </w:tc>
      </w:tr>
      <w:tr w:rsidR="002C39A3" w:rsidRPr="00AC6103" w:rsidTr="00B04358">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non-financial assets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14 493</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15 539</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15 466</w:t>
            </w:r>
          </w:p>
        </w:tc>
        <w:tc>
          <w:tcPr>
            <w:tcW w:w="851"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16 117</w:t>
            </w:r>
          </w:p>
        </w:tc>
      </w:tr>
      <w:tr w:rsidR="002C39A3" w:rsidRPr="00AC6103" w:rsidTr="00B04358">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assets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18 723</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20 221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20 198</w:t>
            </w:r>
          </w:p>
        </w:tc>
        <w:tc>
          <w:tcPr>
            <w:tcW w:w="851"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20 747</w:t>
            </w:r>
          </w:p>
        </w:tc>
      </w:tr>
      <w:tr w:rsidR="00B04358" w:rsidRPr="00AC6103" w:rsidTr="00B04358">
        <w:tc>
          <w:tcPr>
            <w:tcW w:w="7766" w:type="dxa"/>
            <w:gridSpan w:val="5"/>
            <w:tcBorders>
              <w:top w:val="single" w:sz="6" w:space="0" w:color="auto"/>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Liabilities</w:t>
            </w:r>
          </w:p>
        </w:tc>
      </w:tr>
      <w:tr w:rsidR="002C39A3" w:rsidRPr="00AC6103" w:rsidTr="00B04358">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Payables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1 485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1 487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1 487</w:t>
            </w:r>
          </w:p>
        </w:tc>
        <w:tc>
          <w:tcPr>
            <w:tcW w:w="85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1 489</w:t>
            </w:r>
          </w:p>
        </w:tc>
      </w:tr>
      <w:tr w:rsidR="002C39A3" w:rsidRPr="00AC6103" w:rsidTr="00B04358">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Borrowings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1 677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2 715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2 753</w:t>
            </w:r>
          </w:p>
        </w:tc>
        <w:tc>
          <w:tcPr>
            <w:tcW w:w="85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3 006</w:t>
            </w:r>
          </w:p>
        </w:tc>
      </w:tr>
      <w:tr w:rsidR="002C39A3" w:rsidRPr="00AC6103" w:rsidTr="00B04358">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Provisions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2 485</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2 611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2 622</w:t>
            </w:r>
          </w:p>
        </w:tc>
        <w:tc>
          <w:tcPr>
            <w:tcW w:w="85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2 749</w:t>
            </w:r>
          </w:p>
        </w:tc>
      </w:tr>
      <w:tr w:rsidR="002C39A3" w:rsidRPr="00AC6103" w:rsidTr="00B04358">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liabilities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5 646</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6 813</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6 862</w:t>
            </w:r>
          </w:p>
        </w:tc>
        <w:tc>
          <w:tcPr>
            <w:tcW w:w="851"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7 245</w:t>
            </w:r>
          </w:p>
        </w:tc>
      </w:tr>
      <w:tr w:rsidR="002C39A3" w:rsidRPr="00AC6103" w:rsidTr="00B04358">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assets</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13 077</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13 408</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13 336</w:t>
            </w:r>
          </w:p>
        </w:tc>
        <w:tc>
          <w:tcPr>
            <w:tcW w:w="851"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13 502</w:t>
            </w:r>
          </w:p>
        </w:tc>
      </w:tr>
      <w:tr w:rsidR="00B04358" w:rsidRPr="00AC6103" w:rsidTr="00B04358">
        <w:tc>
          <w:tcPr>
            <w:tcW w:w="7766" w:type="dxa"/>
            <w:gridSpan w:val="5"/>
            <w:tcBorders>
              <w:top w:val="single" w:sz="12" w:space="0" w:color="auto"/>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Equity</w:t>
            </w:r>
          </w:p>
        </w:tc>
      </w:tr>
      <w:tr w:rsidR="002C39A3" w:rsidRPr="00AC6103" w:rsidTr="00B04358">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Accumulated surplus/(deficit)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984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1 079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1 074</w:t>
            </w:r>
          </w:p>
        </w:tc>
        <w:tc>
          <w:tcPr>
            <w:tcW w:w="85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1 171</w:t>
            </w:r>
          </w:p>
        </w:tc>
      </w:tr>
      <w:tr w:rsidR="002C39A3" w:rsidRPr="00AC6103" w:rsidTr="00B04358">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Reserves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5 919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5 919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5 919</w:t>
            </w:r>
          </w:p>
        </w:tc>
        <w:tc>
          <w:tcPr>
            <w:tcW w:w="85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5 919</w:t>
            </w:r>
          </w:p>
        </w:tc>
      </w:tr>
      <w:tr w:rsidR="002C39A3" w:rsidRPr="00AC6103" w:rsidTr="00B04358">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Contributed capital</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6 174</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6 410</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6 344</w:t>
            </w:r>
          </w:p>
        </w:tc>
        <w:tc>
          <w:tcPr>
            <w:tcW w:w="85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6 412</w:t>
            </w:r>
          </w:p>
        </w:tc>
      </w:tr>
      <w:tr w:rsidR="002C39A3" w:rsidRPr="00AC6103" w:rsidTr="00B04358">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equity</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13 077</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13 408</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13 336</w:t>
            </w:r>
          </w:p>
        </w:tc>
        <w:tc>
          <w:tcPr>
            <w:tcW w:w="851"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13 502</w:t>
            </w:r>
          </w:p>
        </w:tc>
      </w:tr>
    </w:tbl>
    <w:p w:rsidR="002C39A3" w:rsidRDefault="002C39A3" w:rsidP="00361FA9">
      <w:pPr>
        <w:pStyle w:val="Source"/>
        <w:rPr>
          <w:rFonts w:eastAsiaTheme="minorHAnsi"/>
        </w:rPr>
      </w:pPr>
      <w:r w:rsidRPr="00A473B4">
        <w:rPr>
          <w:rFonts w:eastAsiaTheme="minorHAnsi"/>
        </w:rPr>
        <w:t xml:space="preserve">Sources: </w:t>
      </w:r>
      <w:r w:rsidRPr="001C2643">
        <w:rPr>
          <w:rFonts w:eastAsiaTheme="minorHAnsi"/>
        </w:rPr>
        <w:t>Departments of Health and Human Services, and Treasury and Finance</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3.4.3:</w:t>
      </w:r>
      <w:r>
        <w:rPr>
          <w:rFonts w:eastAsiaTheme="minorHAnsi"/>
        </w:rPr>
        <w:tab/>
        <w:t>Statement of cash flows</w:t>
      </w:r>
    </w:p>
    <w:p w:rsidR="002C39A3" w:rsidRPr="00AC6103" w:rsidRDefault="002C39A3" w:rsidP="00361FA9">
      <w:pPr>
        <w:pStyle w:val="million"/>
        <w:rPr>
          <w:rFonts w:eastAsiaTheme="minorHAnsi"/>
          <w:b/>
          <w:bCs/>
          <w:sz w:val="15"/>
          <w:lang w:val="en-US"/>
        </w:rPr>
      </w:pPr>
      <w:r>
        <w:rPr>
          <w:rFonts w:eastAsiaTheme="minorHAnsi"/>
        </w:rPr>
        <w:t>($ million)</w:t>
      </w:r>
    </w:p>
    <w:tbl>
      <w:tblPr>
        <w:tblW w:w="7760" w:type="dxa"/>
        <w:tblInd w:w="45" w:type="dxa"/>
        <w:tblLayout w:type="fixed"/>
        <w:tblCellMar>
          <w:left w:w="45" w:type="dxa"/>
          <w:right w:w="45" w:type="dxa"/>
        </w:tblCellMar>
        <w:tblLook w:val="0000" w:firstRow="0" w:lastRow="0" w:firstColumn="0" w:lastColumn="0" w:noHBand="0" w:noVBand="0"/>
      </w:tblPr>
      <w:tblGrid>
        <w:gridCol w:w="4156"/>
        <w:gridCol w:w="239"/>
        <w:gridCol w:w="662"/>
        <w:gridCol w:w="901"/>
        <w:gridCol w:w="901"/>
        <w:gridCol w:w="901"/>
      </w:tblGrid>
      <w:tr w:rsidR="00B04358" w:rsidRPr="00AC6103" w:rsidTr="00B04358">
        <w:trPr>
          <w:trHeight w:val="464"/>
          <w:tblHeader/>
        </w:trPr>
        <w:tc>
          <w:tcPr>
            <w:tcW w:w="4156" w:type="dxa"/>
            <w:tcBorders>
              <w:right w:val="nil"/>
            </w:tcBorders>
            <w:shd w:val="solid" w:color="000000" w:fill="auto"/>
            <w:vAlign w:val="bottom"/>
          </w:tcPr>
          <w:p w:rsidR="00B04358" w:rsidRPr="00AC6103" w:rsidRDefault="00B04358" w:rsidP="00D80673">
            <w:pPr>
              <w:pStyle w:val="Source"/>
              <w:spacing w:after="0"/>
              <w:rPr>
                <w:rFonts w:eastAsiaTheme="minorEastAsia" w:cs="Calibri"/>
                <w:color w:val="FFFFFF"/>
                <w:sz w:val="19"/>
                <w:lang w:eastAsia="en-AU"/>
              </w:rPr>
            </w:pPr>
          </w:p>
        </w:tc>
        <w:tc>
          <w:tcPr>
            <w:tcW w:w="901" w:type="dxa"/>
            <w:gridSpan w:val="2"/>
            <w:tcBorders>
              <w:left w:val="nil"/>
              <w:righ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2014-15</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actual</w:t>
            </w:r>
          </w:p>
        </w:tc>
        <w:tc>
          <w:tcPr>
            <w:tcW w:w="901" w:type="dxa"/>
            <w:tcBorders>
              <w:left w:val="nil"/>
              <w:righ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901" w:type="dxa"/>
            <w:tcBorders>
              <w:left w:val="nil"/>
              <w:righ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901" w:type="dxa"/>
            <w:tcBorders>
              <w:left w:val="nil"/>
              <w:right w:val="nil"/>
            </w:tcBorders>
            <w:shd w:val="solid" w:color="000000" w:fill="auto"/>
            <w:vAlign w:val="bottom"/>
          </w:tcPr>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2016-17</w:t>
            </w:r>
          </w:p>
          <w:p w:rsidR="00B04358" w:rsidRPr="00AC6103" w:rsidRDefault="00B04358"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r>
      <w:tr w:rsidR="00D80673" w:rsidRPr="00AC6103" w:rsidTr="00B04358">
        <w:tc>
          <w:tcPr>
            <w:tcW w:w="7760" w:type="dxa"/>
            <w:gridSpan w:val="6"/>
            <w:tcBorders>
              <w:top w:val="nil"/>
              <w:left w:val="nil"/>
              <w:right w:val="nil"/>
            </w:tcBorders>
            <w:shd w:val="clear" w:color="auto" w:fill="FFFFFF"/>
          </w:tcPr>
          <w:p w:rsidR="00D80673" w:rsidRPr="00AC6103" w:rsidRDefault="00D80673" w:rsidP="00B04358">
            <w:pPr>
              <w:autoSpaceDE w:val="0"/>
              <w:autoSpaceDN w:val="0"/>
              <w:adjustRightInd w:val="0"/>
              <w:spacing w:after="0"/>
              <w:ind w:left="227" w:hanging="227"/>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Cash flows from operating activities</w:t>
            </w:r>
          </w:p>
        </w:tc>
      </w:tr>
      <w:tr w:rsidR="00B04358" w:rsidRPr="00AC6103" w:rsidTr="00B04358">
        <w:tc>
          <w:tcPr>
            <w:tcW w:w="7760" w:type="dxa"/>
            <w:gridSpan w:val="6"/>
            <w:tcBorders>
              <w:top w:val="nil"/>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Receipts</w:t>
            </w:r>
          </w:p>
        </w:tc>
      </w:tr>
      <w:tr w:rsidR="002C39A3" w:rsidRPr="00AC6103" w:rsidTr="00361FA9">
        <w:tc>
          <w:tcPr>
            <w:tcW w:w="4156"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Receipts from Government</w:t>
            </w:r>
          </w:p>
        </w:tc>
        <w:tc>
          <w:tcPr>
            <w:tcW w:w="901"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11 327</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14 498</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14 718</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15 825</w:t>
            </w:r>
          </w:p>
        </w:tc>
      </w:tr>
      <w:tr w:rsidR="002C39A3" w:rsidRPr="00AC6103" w:rsidTr="00361FA9">
        <w:tc>
          <w:tcPr>
            <w:tcW w:w="4156"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Receipts from other entities</w:t>
            </w:r>
          </w:p>
        </w:tc>
        <w:tc>
          <w:tcPr>
            <w:tcW w:w="901"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5 549</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5 970</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5 762</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6 053</w:t>
            </w:r>
          </w:p>
        </w:tc>
      </w:tr>
      <w:tr w:rsidR="002C39A3" w:rsidRPr="00AC6103" w:rsidTr="00361FA9">
        <w:tc>
          <w:tcPr>
            <w:tcW w:w="4156"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Interest received</w:t>
            </w:r>
          </w:p>
        </w:tc>
        <w:tc>
          <w:tcPr>
            <w:tcW w:w="901"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66</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68</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68</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68</w:t>
            </w:r>
          </w:p>
        </w:tc>
      </w:tr>
      <w:tr w:rsidR="002C39A3" w:rsidRPr="00AC6103" w:rsidTr="00361FA9">
        <w:tc>
          <w:tcPr>
            <w:tcW w:w="415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receipts</w:t>
            </w:r>
          </w:p>
        </w:tc>
        <w:tc>
          <w:tcPr>
            <w:tcW w:w="901"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556</w:t>
            </w:r>
          </w:p>
        </w:tc>
        <w:tc>
          <w:tcPr>
            <w:tcW w:w="90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555</w:t>
            </w:r>
          </w:p>
        </w:tc>
        <w:tc>
          <w:tcPr>
            <w:tcW w:w="90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567</w:t>
            </w:r>
          </w:p>
        </w:tc>
        <w:tc>
          <w:tcPr>
            <w:tcW w:w="90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581</w:t>
            </w:r>
          </w:p>
        </w:tc>
      </w:tr>
      <w:tr w:rsidR="002C39A3" w:rsidRPr="00AC6103" w:rsidTr="00361FA9">
        <w:tc>
          <w:tcPr>
            <w:tcW w:w="4156"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receipts</w:t>
            </w:r>
          </w:p>
        </w:tc>
        <w:tc>
          <w:tcPr>
            <w:tcW w:w="901" w:type="dxa"/>
            <w:gridSpan w:val="2"/>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17 499</w:t>
            </w:r>
          </w:p>
        </w:tc>
        <w:tc>
          <w:tcPr>
            <w:tcW w:w="90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21 091</w:t>
            </w:r>
          </w:p>
        </w:tc>
        <w:tc>
          <w:tcPr>
            <w:tcW w:w="90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21 116</w:t>
            </w:r>
          </w:p>
        </w:tc>
        <w:tc>
          <w:tcPr>
            <w:tcW w:w="90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22 527</w:t>
            </w:r>
          </w:p>
        </w:tc>
      </w:tr>
      <w:tr w:rsidR="00B04358" w:rsidRPr="00AC6103" w:rsidTr="00B04358">
        <w:tc>
          <w:tcPr>
            <w:tcW w:w="7760" w:type="dxa"/>
            <w:gridSpan w:val="6"/>
            <w:tcBorders>
              <w:top w:val="nil"/>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Pr>
                <w:rFonts w:ascii="Calibri" w:eastAsiaTheme="minorEastAsia" w:hAnsi="Calibri" w:cs="Calibri"/>
                <w:b/>
                <w:bCs/>
                <w:color w:val="000000"/>
                <w:sz w:val="19"/>
                <w:lang w:eastAsia="en-AU"/>
              </w:rPr>
              <w:t>Payments</w:t>
            </w:r>
          </w:p>
        </w:tc>
      </w:tr>
      <w:tr w:rsidR="002C39A3" w:rsidRPr="00AC6103" w:rsidTr="00361FA9">
        <w:tc>
          <w:tcPr>
            <w:tcW w:w="4156"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Payments of grants and other transfers</w:t>
            </w:r>
          </w:p>
        </w:tc>
        <w:tc>
          <w:tcPr>
            <w:tcW w:w="901"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(1 242)</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(1 706)</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(1 652)</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(1 740)</w:t>
            </w:r>
          </w:p>
        </w:tc>
      </w:tr>
      <w:tr w:rsidR="002C39A3" w:rsidRPr="00AC6103" w:rsidTr="00361FA9">
        <w:tc>
          <w:tcPr>
            <w:tcW w:w="4156"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Payments to suppliers and employees</w:t>
            </w:r>
          </w:p>
        </w:tc>
        <w:tc>
          <w:tcPr>
            <w:tcW w:w="901"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(14 653)</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(17 497)</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(17 631)</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(18 117)</w:t>
            </w:r>
          </w:p>
        </w:tc>
      </w:tr>
      <w:tr w:rsidR="002C39A3" w:rsidRPr="00AC6103" w:rsidTr="00361FA9">
        <w:tc>
          <w:tcPr>
            <w:tcW w:w="4156"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Capital asset charge</w:t>
            </w:r>
          </w:p>
        </w:tc>
        <w:tc>
          <w:tcPr>
            <w:tcW w:w="901"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(910)</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(1 017)</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(1 017)</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(1 120)</w:t>
            </w:r>
          </w:p>
        </w:tc>
      </w:tr>
      <w:tr w:rsidR="002C39A3" w:rsidRPr="00AC6103" w:rsidTr="00361FA9">
        <w:tc>
          <w:tcPr>
            <w:tcW w:w="415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Interest and other costs of finance paid</w:t>
            </w:r>
          </w:p>
        </w:tc>
        <w:tc>
          <w:tcPr>
            <w:tcW w:w="901"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(92)</w:t>
            </w:r>
          </w:p>
        </w:tc>
        <w:tc>
          <w:tcPr>
            <w:tcW w:w="90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(104)</w:t>
            </w:r>
          </w:p>
        </w:tc>
        <w:tc>
          <w:tcPr>
            <w:tcW w:w="90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(100)</w:t>
            </w:r>
          </w:p>
        </w:tc>
        <w:tc>
          <w:tcPr>
            <w:tcW w:w="90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(185)</w:t>
            </w:r>
          </w:p>
        </w:tc>
      </w:tr>
      <w:tr w:rsidR="002C39A3" w:rsidRPr="00AC6103" w:rsidTr="00361FA9">
        <w:tc>
          <w:tcPr>
            <w:tcW w:w="4156"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payments</w:t>
            </w:r>
          </w:p>
        </w:tc>
        <w:tc>
          <w:tcPr>
            <w:tcW w:w="901" w:type="dxa"/>
            <w:gridSpan w:val="2"/>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(16 897)</w:t>
            </w:r>
          </w:p>
        </w:tc>
        <w:tc>
          <w:tcPr>
            <w:tcW w:w="901"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(20 323)</w:t>
            </w:r>
          </w:p>
        </w:tc>
        <w:tc>
          <w:tcPr>
            <w:tcW w:w="901"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(20 401)</w:t>
            </w:r>
          </w:p>
        </w:tc>
        <w:tc>
          <w:tcPr>
            <w:tcW w:w="901"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(21 161)</w:t>
            </w:r>
          </w:p>
        </w:tc>
      </w:tr>
      <w:tr w:rsidR="002C39A3" w:rsidRPr="00AC6103" w:rsidTr="00361FA9">
        <w:tc>
          <w:tcPr>
            <w:tcW w:w="4156"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cash flows from/(used in) operating activities</w:t>
            </w:r>
          </w:p>
        </w:tc>
        <w:tc>
          <w:tcPr>
            <w:tcW w:w="901" w:type="dxa"/>
            <w:gridSpan w:val="2"/>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602</w:t>
            </w:r>
          </w:p>
        </w:tc>
        <w:tc>
          <w:tcPr>
            <w:tcW w:w="90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768</w:t>
            </w:r>
          </w:p>
        </w:tc>
        <w:tc>
          <w:tcPr>
            <w:tcW w:w="90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715</w:t>
            </w:r>
          </w:p>
        </w:tc>
        <w:tc>
          <w:tcPr>
            <w:tcW w:w="90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1 366</w:t>
            </w:r>
          </w:p>
        </w:tc>
      </w:tr>
      <w:tr w:rsidR="00B04358" w:rsidRPr="00AC6103" w:rsidTr="00B04358">
        <w:tc>
          <w:tcPr>
            <w:tcW w:w="7760" w:type="dxa"/>
            <w:gridSpan w:val="6"/>
            <w:tcBorders>
              <w:top w:val="nil"/>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Cash flows from investing activities</w:t>
            </w:r>
          </w:p>
        </w:tc>
      </w:tr>
      <w:tr w:rsidR="002C39A3" w:rsidRPr="00AC6103" w:rsidTr="00361FA9">
        <w:tc>
          <w:tcPr>
            <w:tcW w:w="4156"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Net investment</w:t>
            </w:r>
          </w:p>
        </w:tc>
        <w:tc>
          <w:tcPr>
            <w:tcW w:w="901"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30</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156"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Payments for non-financial assets</w:t>
            </w:r>
          </w:p>
        </w:tc>
        <w:tc>
          <w:tcPr>
            <w:tcW w:w="901"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(1 014)</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(873)</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(800)</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(1 367)</w:t>
            </w:r>
          </w:p>
        </w:tc>
      </w:tr>
      <w:tr w:rsidR="002C39A3" w:rsidRPr="00AC6103" w:rsidTr="00361FA9">
        <w:tc>
          <w:tcPr>
            <w:tcW w:w="4156"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Proceeds from sale of non-financial assets</w:t>
            </w:r>
          </w:p>
        </w:tc>
        <w:tc>
          <w:tcPr>
            <w:tcW w:w="901"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38</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156"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Net loans to other parties</w:t>
            </w:r>
          </w:p>
        </w:tc>
        <w:tc>
          <w:tcPr>
            <w:tcW w:w="901"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(18)</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r>
      <w:tr w:rsidR="002C39A3" w:rsidRPr="00AC6103" w:rsidTr="00361FA9">
        <w:tc>
          <w:tcPr>
            <w:tcW w:w="415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 xml:space="preserve">Net (purchase)/disposal of investments – </w:t>
            </w:r>
            <w:r w:rsidR="00B04358">
              <w:rPr>
                <w:rFonts w:ascii="Calibri" w:eastAsiaTheme="minorEastAsia" w:hAnsi="Calibri" w:cs="Calibri"/>
                <w:color w:val="000000"/>
                <w:sz w:val="19"/>
                <w:lang w:eastAsia="en-AU"/>
              </w:rPr>
              <w:br/>
            </w:r>
            <w:r w:rsidRPr="00AC6103">
              <w:rPr>
                <w:rFonts w:ascii="Calibri" w:eastAsiaTheme="minorEastAsia" w:hAnsi="Calibri" w:cs="Calibri"/>
                <w:color w:val="000000"/>
                <w:sz w:val="19"/>
                <w:lang w:eastAsia="en-AU"/>
              </w:rPr>
              <w:t>policy purposes</w:t>
            </w:r>
          </w:p>
        </w:tc>
        <w:tc>
          <w:tcPr>
            <w:tcW w:w="901"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(56)</w:t>
            </w:r>
          </w:p>
        </w:tc>
        <w:tc>
          <w:tcPr>
            <w:tcW w:w="90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90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90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156"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cash flow from/(used in) investing activities</w:t>
            </w:r>
          </w:p>
        </w:tc>
        <w:tc>
          <w:tcPr>
            <w:tcW w:w="901" w:type="dxa"/>
            <w:gridSpan w:val="2"/>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(1 020)</w:t>
            </w:r>
          </w:p>
        </w:tc>
        <w:tc>
          <w:tcPr>
            <w:tcW w:w="90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(874)</w:t>
            </w:r>
          </w:p>
        </w:tc>
        <w:tc>
          <w:tcPr>
            <w:tcW w:w="90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(800)</w:t>
            </w:r>
          </w:p>
        </w:tc>
        <w:tc>
          <w:tcPr>
            <w:tcW w:w="90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(1 365)</w:t>
            </w:r>
          </w:p>
        </w:tc>
      </w:tr>
      <w:tr w:rsidR="00B04358" w:rsidRPr="00AC6103" w:rsidTr="00B04358">
        <w:tc>
          <w:tcPr>
            <w:tcW w:w="7760" w:type="dxa"/>
            <w:gridSpan w:val="6"/>
            <w:tcBorders>
              <w:top w:val="nil"/>
              <w:left w:val="nil"/>
              <w:right w:val="nil"/>
            </w:tcBorders>
            <w:shd w:val="clear" w:color="auto" w:fill="FFFFFF"/>
          </w:tcPr>
          <w:p w:rsidR="00B04358" w:rsidRPr="00AC6103" w:rsidRDefault="00B04358" w:rsidP="00B04358">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Cash flows from financing activities</w:t>
            </w:r>
          </w:p>
        </w:tc>
      </w:tr>
      <w:tr w:rsidR="002C39A3" w:rsidRPr="00AC6103" w:rsidTr="00361FA9">
        <w:tc>
          <w:tcPr>
            <w:tcW w:w="4156"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Owner contributions by State Government</w:t>
            </w:r>
          </w:p>
        </w:tc>
        <w:tc>
          <w:tcPr>
            <w:tcW w:w="901"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292</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236</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169</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148</w:t>
            </w:r>
          </w:p>
        </w:tc>
      </w:tr>
      <w:tr w:rsidR="002C39A3" w:rsidRPr="00AC6103" w:rsidTr="00361FA9">
        <w:tc>
          <w:tcPr>
            <w:tcW w:w="4156"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Repayment of finance leases</w:t>
            </w:r>
          </w:p>
        </w:tc>
        <w:tc>
          <w:tcPr>
            <w:tcW w:w="901"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12</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(12)</w:t>
            </w:r>
          </w:p>
        </w:tc>
        <w:tc>
          <w:tcPr>
            <w:tcW w:w="90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(23)</w:t>
            </w:r>
          </w:p>
        </w:tc>
      </w:tr>
      <w:tr w:rsidR="002C39A3" w:rsidRPr="00AC6103" w:rsidTr="00361FA9">
        <w:tc>
          <w:tcPr>
            <w:tcW w:w="415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Net borrowings</w:t>
            </w:r>
          </w:p>
        </w:tc>
        <w:tc>
          <w:tcPr>
            <w:tcW w:w="901"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142</w:t>
            </w:r>
          </w:p>
        </w:tc>
        <w:tc>
          <w:tcPr>
            <w:tcW w:w="90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c>
          <w:tcPr>
            <w:tcW w:w="90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37</w:t>
            </w:r>
          </w:p>
        </w:tc>
        <w:tc>
          <w:tcPr>
            <w:tcW w:w="90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w:t>
            </w:r>
          </w:p>
        </w:tc>
      </w:tr>
      <w:tr w:rsidR="002C39A3" w:rsidRPr="00AC6103" w:rsidTr="00361FA9">
        <w:tc>
          <w:tcPr>
            <w:tcW w:w="4156"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cash flows from/(used in) financing activities</w:t>
            </w:r>
          </w:p>
        </w:tc>
        <w:tc>
          <w:tcPr>
            <w:tcW w:w="901" w:type="dxa"/>
            <w:gridSpan w:val="2"/>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446</w:t>
            </w:r>
          </w:p>
        </w:tc>
        <w:tc>
          <w:tcPr>
            <w:tcW w:w="901"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223</w:t>
            </w:r>
          </w:p>
        </w:tc>
        <w:tc>
          <w:tcPr>
            <w:tcW w:w="901"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194</w:t>
            </w:r>
          </w:p>
        </w:tc>
        <w:tc>
          <w:tcPr>
            <w:tcW w:w="901"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119</w:t>
            </w:r>
          </w:p>
        </w:tc>
      </w:tr>
      <w:tr w:rsidR="002C39A3" w:rsidRPr="00AC6103" w:rsidTr="00361FA9">
        <w:tc>
          <w:tcPr>
            <w:tcW w:w="4395" w:type="dxa"/>
            <w:gridSpan w:val="2"/>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increase/(decrease) in cash and cash equivalents</w:t>
            </w:r>
          </w:p>
        </w:tc>
        <w:tc>
          <w:tcPr>
            <w:tcW w:w="662" w:type="dxa"/>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28</w:t>
            </w:r>
          </w:p>
        </w:tc>
        <w:tc>
          <w:tcPr>
            <w:tcW w:w="901" w:type="dxa"/>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117</w:t>
            </w:r>
          </w:p>
        </w:tc>
        <w:tc>
          <w:tcPr>
            <w:tcW w:w="901" w:type="dxa"/>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109</w:t>
            </w:r>
          </w:p>
        </w:tc>
        <w:tc>
          <w:tcPr>
            <w:tcW w:w="901" w:type="dxa"/>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119</w:t>
            </w:r>
          </w:p>
        </w:tc>
      </w:tr>
      <w:tr w:rsidR="002C39A3" w:rsidRPr="00AC6103" w:rsidTr="00361FA9">
        <w:tc>
          <w:tcPr>
            <w:tcW w:w="4156"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Cash and cash equivalents at the beginning of the financial year</w:t>
            </w:r>
          </w:p>
        </w:tc>
        <w:tc>
          <w:tcPr>
            <w:tcW w:w="901" w:type="dxa"/>
            <w:gridSpan w:val="2"/>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920</w:t>
            </w:r>
          </w:p>
        </w:tc>
        <w:tc>
          <w:tcPr>
            <w:tcW w:w="901"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949</w:t>
            </w:r>
          </w:p>
        </w:tc>
        <w:tc>
          <w:tcPr>
            <w:tcW w:w="901"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949</w:t>
            </w:r>
          </w:p>
        </w:tc>
        <w:tc>
          <w:tcPr>
            <w:tcW w:w="901"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1 058</w:t>
            </w:r>
          </w:p>
        </w:tc>
      </w:tr>
      <w:tr w:rsidR="002C39A3" w:rsidRPr="00AC6103" w:rsidTr="00361FA9">
        <w:tc>
          <w:tcPr>
            <w:tcW w:w="4156"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Cash and cash equivalents at the end of the financial year</w:t>
            </w:r>
          </w:p>
        </w:tc>
        <w:tc>
          <w:tcPr>
            <w:tcW w:w="901" w:type="dxa"/>
            <w:gridSpan w:val="2"/>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949</w:t>
            </w:r>
          </w:p>
        </w:tc>
        <w:tc>
          <w:tcPr>
            <w:tcW w:w="901"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1 066</w:t>
            </w:r>
          </w:p>
        </w:tc>
        <w:tc>
          <w:tcPr>
            <w:tcW w:w="901"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1 058</w:t>
            </w:r>
          </w:p>
        </w:tc>
        <w:tc>
          <w:tcPr>
            <w:tcW w:w="901"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1 178</w:t>
            </w:r>
          </w:p>
        </w:tc>
      </w:tr>
    </w:tbl>
    <w:p w:rsidR="002C39A3" w:rsidRDefault="002C39A3" w:rsidP="00361FA9">
      <w:pPr>
        <w:pStyle w:val="Source"/>
        <w:rPr>
          <w:rFonts w:eastAsiaTheme="minorHAnsi"/>
        </w:rPr>
      </w:pPr>
      <w:r w:rsidRPr="00A473B4">
        <w:rPr>
          <w:rFonts w:eastAsiaTheme="minorHAnsi"/>
        </w:rPr>
        <w:t xml:space="preserve">Sources: </w:t>
      </w:r>
      <w:r w:rsidRPr="001C2643">
        <w:rPr>
          <w:rFonts w:eastAsiaTheme="minorHAnsi"/>
        </w:rPr>
        <w:t>Departments of Health and Human Services, and Treasury and Finance</w:t>
      </w:r>
    </w:p>
    <w:p w:rsidR="002C39A3" w:rsidRDefault="002C39A3" w:rsidP="00361FA9">
      <w:pPr>
        <w:pStyle w:val="Notes"/>
        <w:rPr>
          <w:rFonts w:eastAsiaTheme="minorHAnsi"/>
        </w:rPr>
      </w:pP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3.4.4:</w:t>
      </w:r>
      <w:r>
        <w:rPr>
          <w:rFonts w:eastAsiaTheme="minorHAnsi"/>
        </w:rPr>
        <w:tab/>
        <w:t>Statement of changes in equity</w:t>
      </w:r>
    </w:p>
    <w:p w:rsidR="002C39A3" w:rsidRPr="00AC6103" w:rsidRDefault="002C39A3" w:rsidP="00361FA9">
      <w:pPr>
        <w:pStyle w:val="million"/>
        <w:rPr>
          <w:rFonts w:eastAsiaTheme="minorHAnsi"/>
          <w:b/>
          <w:bCs/>
          <w:lang w:val="en-US"/>
        </w:rPr>
      </w:pPr>
      <w:r>
        <w:rPr>
          <w:rFonts w:eastAsiaTheme="minorHAnsi"/>
        </w:rPr>
        <w:t>($ million)</w:t>
      </w:r>
    </w:p>
    <w:tbl>
      <w:tblPr>
        <w:tblW w:w="7760" w:type="dxa"/>
        <w:tblInd w:w="45" w:type="dxa"/>
        <w:tblLayout w:type="fixed"/>
        <w:tblCellMar>
          <w:left w:w="45" w:type="dxa"/>
          <w:right w:w="45" w:type="dxa"/>
        </w:tblCellMar>
        <w:tblLook w:val="0000" w:firstRow="0" w:lastRow="0" w:firstColumn="0" w:lastColumn="0" w:noHBand="0" w:noVBand="0"/>
      </w:tblPr>
      <w:tblGrid>
        <w:gridCol w:w="2551"/>
        <w:gridCol w:w="567"/>
        <w:gridCol w:w="850"/>
        <w:gridCol w:w="1134"/>
        <w:gridCol w:w="1071"/>
        <w:gridCol w:w="771"/>
        <w:gridCol w:w="816"/>
      </w:tblGrid>
      <w:tr w:rsidR="002C39A3" w:rsidRPr="00AC6103" w:rsidTr="00361FA9">
        <w:trPr>
          <w:tblHeader/>
        </w:trPr>
        <w:tc>
          <w:tcPr>
            <w:tcW w:w="2551" w:type="dxa"/>
            <w:tcBorders>
              <w:bottom w:val="single" w:sz="6" w:space="0" w:color="auto"/>
              <w:right w:val="nil"/>
            </w:tcBorders>
            <w:shd w:val="solid" w:color="000000" w:fill="auto"/>
            <w:vAlign w:val="bottom"/>
          </w:tcPr>
          <w:p w:rsidR="002C39A3" w:rsidRPr="00AC6103" w:rsidRDefault="002C39A3" w:rsidP="00361FA9">
            <w:pPr>
              <w:pStyle w:val="million"/>
              <w:jc w:val="left"/>
              <w:rPr>
                <w:rFonts w:eastAsiaTheme="minorEastAsia" w:cs="Calibri"/>
                <w:color w:val="FFFFFF"/>
                <w:sz w:val="19"/>
                <w:lang w:eastAsia="en-AU"/>
              </w:rPr>
            </w:pPr>
            <w:r w:rsidRPr="00AC6103">
              <w:rPr>
                <w:rFonts w:eastAsiaTheme="minorEastAsia" w:cs="Calibri"/>
                <w:color w:val="FFFFFF"/>
                <w:sz w:val="19"/>
                <w:lang w:eastAsia="en-AU"/>
              </w:rPr>
              <w:t xml:space="preserve"> </w:t>
            </w:r>
          </w:p>
        </w:tc>
        <w:tc>
          <w:tcPr>
            <w:tcW w:w="1417" w:type="dxa"/>
            <w:gridSpan w:val="2"/>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Accumulated surplus/(deficit)</w:t>
            </w:r>
          </w:p>
        </w:tc>
        <w:tc>
          <w:tcPr>
            <w:tcW w:w="1134" w:type="dxa"/>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Contributions by owner</w:t>
            </w:r>
          </w:p>
        </w:tc>
        <w:tc>
          <w:tcPr>
            <w:tcW w:w="1071" w:type="dxa"/>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Revaluation surplus</w:t>
            </w:r>
          </w:p>
        </w:tc>
        <w:tc>
          <w:tcPr>
            <w:tcW w:w="771" w:type="dxa"/>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Other reserves</w:t>
            </w:r>
          </w:p>
        </w:tc>
        <w:tc>
          <w:tcPr>
            <w:tcW w:w="816" w:type="dxa"/>
            <w:tcBorders>
              <w:left w:val="nil"/>
              <w:bottom w:val="single" w:sz="6" w:space="0" w:color="auto"/>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 xml:space="preserve">Total equity </w:t>
            </w:r>
          </w:p>
        </w:tc>
      </w:tr>
      <w:tr w:rsidR="002C39A3" w:rsidRPr="00AC6103" w:rsidTr="00361FA9">
        <w:tc>
          <w:tcPr>
            <w:tcW w:w="3118" w:type="dxa"/>
            <w:gridSpan w:val="2"/>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Opening balance 1 July 2014</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1 025</w:t>
            </w:r>
          </w:p>
        </w:tc>
        <w:tc>
          <w:tcPr>
            <w:tcW w:w="1134"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4 927</w:t>
            </w:r>
          </w:p>
        </w:tc>
        <w:tc>
          <w:tcPr>
            <w:tcW w:w="10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5 208</w:t>
            </w:r>
          </w:p>
        </w:tc>
        <w:tc>
          <w:tcPr>
            <w:tcW w:w="7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532</w:t>
            </w:r>
          </w:p>
        </w:tc>
        <w:tc>
          <w:tcPr>
            <w:tcW w:w="816"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11 693</w:t>
            </w:r>
          </w:p>
        </w:tc>
      </w:tr>
      <w:tr w:rsidR="002C39A3" w:rsidRPr="00AC6103" w:rsidTr="00361FA9">
        <w:tc>
          <w:tcPr>
            <w:tcW w:w="3118"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(42)</w:t>
            </w:r>
          </w:p>
        </w:tc>
        <w:tc>
          <w:tcPr>
            <w:tcW w:w="1134"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83</w:t>
            </w:r>
          </w:p>
        </w:tc>
        <w:tc>
          <w:tcPr>
            <w:tcW w:w="7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95</w:t>
            </w:r>
          </w:p>
        </w:tc>
        <w:tc>
          <w:tcPr>
            <w:tcW w:w="816"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136</w:t>
            </w:r>
          </w:p>
        </w:tc>
      </w:tr>
      <w:tr w:rsidR="002C39A3" w:rsidRPr="00AC6103" w:rsidTr="00361FA9">
        <w:tc>
          <w:tcPr>
            <w:tcW w:w="3118"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134"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1 248</w:t>
            </w:r>
          </w:p>
        </w:tc>
        <w:tc>
          <w:tcPr>
            <w:tcW w:w="10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1 248</w:t>
            </w:r>
          </w:p>
        </w:tc>
      </w:tr>
      <w:tr w:rsidR="002C39A3" w:rsidRPr="00AC6103" w:rsidTr="00361FA9">
        <w:tc>
          <w:tcPr>
            <w:tcW w:w="3118" w:type="dxa"/>
            <w:gridSpan w:val="2"/>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Closing balance 30 June 2015 (actual)</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984</w:t>
            </w:r>
          </w:p>
        </w:tc>
        <w:tc>
          <w:tcPr>
            <w:tcW w:w="1134"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6 174</w:t>
            </w:r>
          </w:p>
        </w:tc>
        <w:tc>
          <w:tcPr>
            <w:tcW w:w="10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5 291</w:t>
            </w:r>
          </w:p>
        </w:tc>
        <w:tc>
          <w:tcPr>
            <w:tcW w:w="7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627</w:t>
            </w:r>
          </w:p>
        </w:tc>
        <w:tc>
          <w:tcPr>
            <w:tcW w:w="816"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13 077</w:t>
            </w:r>
          </w:p>
        </w:tc>
      </w:tr>
      <w:tr w:rsidR="002C39A3" w:rsidRPr="00AC6103" w:rsidTr="00361FA9">
        <w:tc>
          <w:tcPr>
            <w:tcW w:w="3118"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96</w:t>
            </w:r>
          </w:p>
        </w:tc>
        <w:tc>
          <w:tcPr>
            <w:tcW w:w="1134"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96</w:t>
            </w:r>
          </w:p>
        </w:tc>
      </w:tr>
      <w:tr w:rsidR="002C39A3" w:rsidRPr="00AC6103" w:rsidTr="00361FA9">
        <w:tc>
          <w:tcPr>
            <w:tcW w:w="3118"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134"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236</w:t>
            </w:r>
          </w:p>
        </w:tc>
        <w:tc>
          <w:tcPr>
            <w:tcW w:w="10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236</w:t>
            </w:r>
          </w:p>
        </w:tc>
      </w:tr>
      <w:tr w:rsidR="002C39A3" w:rsidRPr="00AC6103" w:rsidTr="00361FA9">
        <w:tc>
          <w:tcPr>
            <w:tcW w:w="3118" w:type="dxa"/>
            <w:gridSpan w:val="2"/>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Closing balance 30 June 2016 (budget)</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1 079</w:t>
            </w:r>
          </w:p>
        </w:tc>
        <w:tc>
          <w:tcPr>
            <w:tcW w:w="1134"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6 410</w:t>
            </w:r>
          </w:p>
        </w:tc>
        <w:tc>
          <w:tcPr>
            <w:tcW w:w="10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5 291</w:t>
            </w:r>
          </w:p>
        </w:tc>
        <w:tc>
          <w:tcPr>
            <w:tcW w:w="7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627</w:t>
            </w:r>
          </w:p>
        </w:tc>
        <w:tc>
          <w:tcPr>
            <w:tcW w:w="816"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13 408</w:t>
            </w:r>
          </w:p>
        </w:tc>
      </w:tr>
      <w:tr w:rsidR="002C39A3" w:rsidRPr="00AC6103" w:rsidTr="00361FA9">
        <w:tc>
          <w:tcPr>
            <w:tcW w:w="3118"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90</w:t>
            </w:r>
          </w:p>
        </w:tc>
        <w:tc>
          <w:tcPr>
            <w:tcW w:w="1134"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90</w:t>
            </w:r>
          </w:p>
        </w:tc>
      </w:tr>
      <w:tr w:rsidR="002C39A3" w:rsidRPr="00AC6103" w:rsidTr="00361FA9">
        <w:tc>
          <w:tcPr>
            <w:tcW w:w="3118"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134"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169</w:t>
            </w:r>
          </w:p>
        </w:tc>
        <w:tc>
          <w:tcPr>
            <w:tcW w:w="10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169</w:t>
            </w:r>
          </w:p>
        </w:tc>
      </w:tr>
      <w:tr w:rsidR="002C39A3" w:rsidRPr="00AC6103" w:rsidTr="00361FA9">
        <w:tc>
          <w:tcPr>
            <w:tcW w:w="3118" w:type="dxa"/>
            <w:gridSpan w:val="2"/>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Closing balance 30 June 2016 (revised)</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1 074</w:t>
            </w:r>
          </w:p>
        </w:tc>
        <w:tc>
          <w:tcPr>
            <w:tcW w:w="1134"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6 344</w:t>
            </w:r>
          </w:p>
        </w:tc>
        <w:tc>
          <w:tcPr>
            <w:tcW w:w="10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5 291</w:t>
            </w:r>
          </w:p>
        </w:tc>
        <w:tc>
          <w:tcPr>
            <w:tcW w:w="7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627</w:t>
            </w:r>
          </w:p>
        </w:tc>
        <w:tc>
          <w:tcPr>
            <w:tcW w:w="816"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13 336</w:t>
            </w:r>
          </w:p>
        </w:tc>
      </w:tr>
      <w:tr w:rsidR="002C39A3" w:rsidRPr="00AC6103" w:rsidTr="00361FA9">
        <w:tc>
          <w:tcPr>
            <w:tcW w:w="3118"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98</w:t>
            </w:r>
          </w:p>
        </w:tc>
        <w:tc>
          <w:tcPr>
            <w:tcW w:w="1134"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98</w:t>
            </w:r>
          </w:p>
        </w:tc>
      </w:tr>
      <w:tr w:rsidR="002C39A3" w:rsidRPr="00AC6103" w:rsidTr="00361FA9">
        <w:tc>
          <w:tcPr>
            <w:tcW w:w="3118"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134"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68</w:t>
            </w:r>
          </w:p>
        </w:tc>
        <w:tc>
          <w:tcPr>
            <w:tcW w:w="10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68</w:t>
            </w:r>
          </w:p>
        </w:tc>
      </w:tr>
      <w:tr w:rsidR="002C39A3" w:rsidRPr="00AC6103" w:rsidTr="00361FA9">
        <w:tc>
          <w:tcPr>
            <w:tcW w:w="3118" w:type="dxa"/>
            <w:gridSpan w:val="2"/>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Closing balance 30 June 2017 (budget)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1 171</w:t>
            </w:r>
          </w:p>
        </w:tc>
        <w:tc>
          <w:tcPr>
            <w:tcW w:w="1134"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6 412</w:t>
            </w:r>
          </w:p>
        </w:tc>
        <w:tc>
          <w:tcPr>
            <w:tcW w:w="1071"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5 291</w:t>
            </w:r>
          </w:p>
        </w:tc>
        <w:tc>
          <w:tcPr>
            <w:tcW w:w="771"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627</w:t>
            </w:r>
          </w:p>
        </w:tc>
        <w:tc>
          <w:tcPr>
            <w:tcW w:w="816"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13 502</w:t>
            </w:r>
          </w:p>
        </w:tc>
      </w:tr>
    </w:tbl>
    <w:p w:rsidR="002C39A3" w:rsidRDefault="002C39A3" w:rsidP="00361FA9">
      <w:pPr>
        <w:pStyle w:val="Source"/>
        <w:rPr>
          <w:rFonts w:eastAsiaTheme="minorHAnsi"/>
        </w:rPr>
      </w:pPr>
      <w:r w:rsidRPr="00A473B4">
        <w:rPr>
          <w:rFonts w:eastAsiaTheme="minorHAnsi"/>
        </w:rPr>
        <w:t xml:space="preserve">Sources: </w:t>
      </w:r>
      <w:r w:rsidRPr="001C2643">
        <w:rPr>
          <w:rFonts w:eastAsiaTheme="minorHAnsi"/>
        </w:rPr>
        <w:t>Departments of Health and Human Services, and Treasury and Finance</w:t>
      </w:r>
    </w:p>
    <w:p w:rsidR="002C39A3" w:rsidRDefault="002C39A3" w:rsidP="00361FA9">
      <w:pPr>
        <w:pStyle w:val="million"/>
        <w:rPr>
          <w:rFonts w:eastAsiaTheme="minorHAnsi"/>
        </w:rPr>
      </w:pPr>
    </w:p>
    <w:p w:rsidR="002C39A3" w:rsidRDefault="002C39A3" w:rsidP="00361FA9">
      <w:pPr>
        <w:pStyle w:val="million"/>
        <w:rPr>
          <w:rFonts w:eastAsiaTheme="minorHAnsi"/>
        </w:rPr>
      </w:pP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3.4.5:</w:t>
      </w:r>
      <w:r>
        <w:rPr>
          <w:rFonts w:eastAsiaTheme="minorHAnsi"/>
        </w:rPr>
        <w:tab/>
        <w:t>Administered items statement</w:t>
      </w:r>
    </w:p>
    <w:p w:rsidR="002C39A3" w:rsidRPr="00AC6103" w:rsidRDefault="002C39A3" w:rsidP="00361FA9">
      <w:pPr>
        <w:pStyle w:val="million"/>
        <w:rPr>
          <w:rFonts w:eastAsiaTheme="minorHAnsi"/>
          <w:b/>
          <w:bCs/>
          <w:sz w:val="15"/>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B90A1D" w:rsidRPr="00AC6103" w:rsidTr="00167FAD">
        <w:trPr>
          <w:trHeight w:val="464"/>
          <w:tblHeader/>
        </w:trPr>
        <w:tc>
          <w:tcPr>
            <w:tcW w:w="4365" w:type="dxa"/>
            <w:tcBorders>
              <w:right w:val="nil"/>
            </w:tcBorders>
            <w:shd w:val="solid" w:color="000000" w:fill="auto"/>
            <w:vAlign w:val="bottom"/>
          </w:tcPr>
          <w:p w:rsidR="00B90A1D" w:rsidRPr="00AC6103" w:rsidRDefault="00B90A1D" w:rsidP="00B90A1D">
            <w:pPr>
              <w:pStyle w:val="Source"/>
              <w:spacing w:after="0"/>
              <w:rPr>
                <w:rFonts w:eastAsiaTheme="minorEastAsia" w:cs="Calibri"/>
                <w:color w:val="FFFFFF"/>
                <w:sz w:val="19"/>
                <w:lang w:eastAsia="en-AU"/>
              </w:rPr>
            </w:pPr>
          </w:p>
        </w:tc>
        <w:tc>
          <w:tcPr>
            <w:tcW w:w="850" w:type="dxa"/>
            <w:tcBorders>
              <w:left w:val="nil"/>
              <w:right w:val="nil"/>
            </w:tcBorders>
            <w:shd w:val="solid" w:color="000000" w:fill="auto"/>
            <w:vAlign w:val="bottom"/>
          </w:tcPr>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2014-15</w:t>
            </w:r>
          </w:p>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actual</w:t>
            </w:r>
          </w:p>
        </w:tc>
        <w:tc>
          <w:tcPr>
            <w:tcW w:w="850" w:type="dxa"/>
            <w:tcBorders>
              <w:left w:val="nil"/>
              <w:right w:val="nil"/>
            </w:tcBorders>
            <w:shd w:val="solid" w:color="000000" w:fill="auto"/>
            <w:vAlign w:val="bottom"/>
          </w:tcPr>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2016-17</w:t>
            </w:r>
          </w:p>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r>
      <w:tr w:rsidR="00B90A1D" w:rsidRPr="00AC6103" w:rsidTr="00167FAD">
        <w:tc>
          <w:tcPr>
            <w:tcW w:w="7765" w:type="dxa"/>
            <w:gridSpan w:val="5"/>
            <w:tcBorders>
              <w:top w:val="single" w:sz="6" w:space="0" w:color="auto"/>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Administered income</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Sale of goods and services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311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334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340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335</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Grants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7 897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8 110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8 172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8 506</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Interest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income</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15</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19</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55</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administered income</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8 221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8 462</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8 535</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8 898</w:t>
            </w:r>
          </w:p>
        </w:tc>
      </w:tr>
      <w:tr w:rsidR="00B90A1D" w:rsidRPr="00AC6103" w:rsidTr="00167FAD">
        <w:trPr>
          <w:trHeight w:hRule="exact" w:val="120"/>
        </w:trPr>
        <w:tc>
          <w:tcPr>
            <w:tcW w:w="7765" w:type="dxa"/>
            <w:gridSpan w:val="5"/>
            <w:tcBorders>
              <w:top w:val="single" w:sz="6" w:space="0" w:color="auto"/>
              <w:left w:val="nil"/>
              <w:right w:val="nil"/>
            </w:tcBorders>
            <w:shd w:val="clear" w:color="auto" w:fill="FFFFFF"/>
          </w:tcPr>
          <w:p w:rsidR="00B90A1D" w:rsidRPr="00AC6103" w:rsidRDefault="00B90A1D" w:rsidP="00361FA9">
            <w:pPr>
              <w:autoSpaceDE w:val="0"/>
              <w:autoSpaceDN w:val="0"/>
              <w:adjustRightInd w:val="0"/>
              <w:spacing w:after="0"/>
              <w:jc w:val="right"/>
              <w:rPr>
                <w:rFonts w:ascii="Calibri" w:eastAsiaTheme="minorEastAsia" w:hAnsi="Calibri" w:cs="Calibri"/>
                <w:color w:val="000000"/>
                <w:sz w:val="19"/>
                <w:lang w:eastAsia="en-AU"/>
              </w:rPr>
            </w:pPr>
          </w:p>
        </w:tc>
      </w:tr>
      <w:tr w:rsidR="00B90A1D" w:rsidRPr="00AC6103" w:rsidTr="00167FAD">
        <w:tc>
          <w:tcPr>
            <w:tcW w:w="7765" w:type="dxa"/>
            <w:gridSpan w:val="5"/>
            <w:tcBorders>
              <w:top w:val="nil"/>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Administered expenses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Expenses on behalf of the State</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670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711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715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722</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Grants and other transfers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7 165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7 360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7 417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7 757</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Payments into the Consolidated Fund</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366</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398</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410</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429</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administered expenses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8 201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8 469</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8 543</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8 907</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Income less expenses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20</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w:t>
            </w:r>
          </w:p>
        </w:tc>
      </w:tr>
      <w:tr w:rsidR="00B90A1D" w:rsidRPr="00AC6103" w:rsidTr="00167FAD">
        <w:tc>
          <w:tcPr>
            <w:tcW w:w="7765" w:type="dxa"/>
            <w:gridSpan w:val="5"/>
            <w:tcBorders>
              <w:top w:val="single" w:sz="6" w:space="0" w:color="auto"/>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Other economic flows included in net result</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Net gain/(loss) on non-financial assets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gains/(losses) from other economic flows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other economic flows included in net result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w:t>
            </w:r>
          </w:p>
        </w:tc>
      </w:tr>
      <w:tr w:rsidR="002C39A3" w:rsidRPr="00AC6103" w:rsidTr="00361FA9">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result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22</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B90A1D" w:rsidRPr="00AC6103" w:rsidTr="00167FAD">
        <w:trPr>
          <w:trHeight w:hRule="exact" w:val="120"/>
        </w:trPr>
        <w:tc>
          <w:tcPr>
            <w:tcW w:w="7765" w:type="dxa"/>
            <w:gridSpan w:val="5"/>
            <w:tcBorders>
              <w:top w:val="single" w:sz="12" w:space="0" w:color="auto"/>
              <w:left w:val="nil"/>
              <w:right w:val="nil"/>
            </w:tcBorders>
            <w:shd w:val="clear" w:color="auto" w:fill="FFFFFF"/>
          </w:tcPr>
          <w:p w:rsidR="00B90A1D" w:rsidRPr="00AC6103" w:rsidRDefault="00B90A1D" w:rsidP="00361FA9">
            <w:pPr>
              <w:autoSpaceDE w:val="0"/>
              <w:autoSpaceDN w:val="0"/>
              <w:adjustRightInd w:val="0"/>
              <w:spacing w:after="0"/>
              <w:jc w:val="right"/>
              <w:rPr>
                <w:rFonts w:ascii="Calibri" w:eastAsiaTheme="minorEastAsia" w:hAnsi="Calibri" w:cs="Calibri"/>
                <w:b/>
                <w:bCs/>
                <w:color w:val="000000"/>
                <w:sz w:val="19"/>
                <w:lang w:eastAsia="en-AU"/>
              </w:rPr>
            </w:pPr>
          </w:p>
        </w:tc>
      </w:tr>
      <w:tr w:rsidR="00B90A1D" w:rsidRPr="00AC6103" w:rsidTr="00167FAD">
        <w:tc>
          <w:tcPr>
            <w:tcW w:w="7765" w:type="dxa"/>
            <w:gridSpan w:val="5"/>
            <w:tcBorders>
              <w:top w:val="nil"/>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Other economic flows – other comprehensive income</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 xml:space="preserve">Total other economic flows – </w:t>
            </w:r>
            <w:r w:rsidR="00B90A1D">
              <w:rPr>
                <w:rFonts w:ascii="Calibri" w:eastAsiaTheme="minorEastAsia" w:hAnsi="Calibri" w:cs="Calibri"/>
                <w:b/>
                <w:bCs/>
                <w:color w:val="000000"/>
                <w:sz w:val="19"/>
                <w:lang w:eastAsia="en-AU"/>
              </w:rPr>
              <w:br/>
            </w:r>
            <w:r w:rsidRPr="00AC6103">
              <w:rPr>
                <w:rFonts w:ascii="Calibri" w:eastAsiaTheme="minorEastAsia" w:hAnsi="Calibri" w:cs="Calibri"/>
                <w:b/>
                <w:bCs/>
                <w:color w:val="000000"/>
                <w:sz w:val="19"/>
                <w:lang w:eastAsia="en-AU"/>
              </w:rPr>
              <w:t>other comprehensive income</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Comprehensive result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28</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B90A1D" w:rsidRPr="00AC6103" w:rsidTr="00167FAD">
        <w:trPr>
          <w:trHeight w:hRule="exact" w:val="120"/>
        </w:trPr>
        <w:tc>
          <w:tcPr>
            <w:tcW w:w="7765" w:type="dxa"/>
            <w:gridSpan w:val="5"/>
            <w:tcBorders>
              <w:top w:val="single" w:sz="12" w:space="0" w:color="auto"/>
              <w:left w:val="nil"/>
              <w:right w:val="nil"/>
            </w:tcBorders>
            <w:shd w:val="clear" w:color="auto" w:fill="FFFFFF"/>
          </w:tcPr>
          <w:p w:rsidR="00B90A1D" w:rsidRPr="00AC6103" w:rsidRDefault="00B90A1D" w:rsidP="00361FA9">
            <w:pPr>
              <w:autoSpaceDE w:val="0"/>
              <w:autoSpaceDN w:val="0"/>
              <w:adjustRightInd w:val="0"/>
              <w:spacing w:after="0"/>
              <w:jc w:val="right"/>
              <w:rPr>
                <w:rFonts w:ascii="Calibri" w:eastAsiaTheme="minorEastAsia" w:hAnsi="Calibri" w:cs="Calibri"/>
                <w:b/>
                <w:bCs/>
                <w:color w:val="000000"/>
                <w:sz w:val="19"/>
                <w:lang w:eastAsia="en-AU"/>
              </w:rPr>
            </w:pPr>
          </w:p>
        </w:tc>
      </w:tr>
      <w:tr w:rsidR="00B90A1D" w:rsidRPr="00AC6103" w:rsidTr="00167FAD">
        <w:tc>
          <w:tcPr>
            <w:tcW w:w="7765" w:type="dxa"/>
            <w:gridSpan w:val="5"/>
            <w:tcBorders>
              <w:top w:val="nil"/>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Administered assets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Receivables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financial assets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54</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54</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54</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54</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administered assets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62</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62</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62</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62</w:t>
            </w:r>
          </w:p>
        </w:tc>
      </w:tr>
      <w:tr w:rsidR="00B90A1D" w:rsidRPr="00AC6103" w:rsidTr="00167FAD">
        <w:trPr>
          <w:trHeight w:hRule="exact" w:val="120"/>
        </w:trPr>
        <w:tc>
          <w:tcPr>
            <w:tcW w:w="7765" w:type="dxa"/>
            <w:gridSpan w:val="5"/>
            <w:tcBorders>
              <w:top w:val="single" w:sz="6" w:space="0" w:color="auto"/>
              <w:left w:val="nil"/>
              <w:right w:val="nil"/>
            </w:tcBorders>
            <w:shd w:val="clear" w:color="auto" w:fill="FFFFFF"/>
          </w:tcPr>
          <w:p w:rsidR="00B90A1D" w:rsidRPr="00AC6103" w:rsidRDefault="00B90A1D" w:rsidP="00361FA9">
            <w:pPr>
              <w:autoSpaceDE w:val="0"/>
              <w:autoSpaceDN w:val="0"/>
              <w:adjustRightInd w:val="0"/>
              <w:spacing w:after="0"/>
              <w:jc w:val="right"/>
              <w:rPr>
                <w:rFonts w:ascii="Calibri" w:eastAsiaTheme="minorEastAsia" w:hAnsi="Calibri" w:cs="Calibri"/>
                <w:color w:val="000000"/>
                <w:sz w:val="19"/>
                <w:lang w:eastAsia="en-AU"/>
              </w:rPr>
            </w:pPr>
          </w:p>
        </w:tc>
      </w:tr>
      <w:tr w:rsidR="00B90A1D" w:rsidRPr="00AC6103" w:rsidTr="00167FAD">
        <w:tc>
          <w:tcPr>
            <w:tcW w:w="7765" w:type="dxa"/>
            <w:gridSpan w:val="5"/>
            <w:tcBorders>
              <w:top w:val="nil"/>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Administered liabilities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Payables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16</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Provisions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administered liabilities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20</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20</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20</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20</w:t>
            </w:r>
          </w:p>
        </w:tc>
      </w:tr>
      <w:tr w:rsidR="002C39A3" w:rsidRPr="00AC6103" w:rsidTr="00361FA9">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assets</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41</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41</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41</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41</w:t>
            </w:r>
          </w:p>
        </w:tc>
      </w:tr>
    </w:tbl>
    <w:p w:rsidR="002C39A3" w:rsidRDefault="002C39A3" w:rsidP="00361FA9">
      <w:pPr>
        <w:pStyle w:val="Source"/>
        <w:rPr>
          <w:rFonts w:eastAsiaTheme="minorHAnsi"/>
        </w:rPr>
      </w:pPr>
      <w:r w:rsidRPr="00A473B4">
        <w:rPr>
          <w:rFonts w:eastAsiaTheme="minorHAnsi"/>
        </w:rPr>
        <w:t xml:space="preserve">Sources: </w:t>
      </w:r>
      <w:r w:rsidRPr="001C2643">
        <w:rPr>
          <w:rFonts w:eastAsiaTheme="minorHAnsi"/>
        </w:rPr>
        <w:t>Departments of Health and Human Services, and Treasury and Finance</w:t>
      </w:r>
    </w:p>
    <w:p w:rsidR="002C39A3" w:rsidRDefault="002C39A3" w:rsidP="00361FA9">
      <w:pPr>
        <w:pStyle w:val="Notes"/>
        <w:rPr>
          <w:rFonts w:eastAsiaTheme="minorHAnsi"/>
        </w:rPr>
      </w:pPr>
    </w:p>
    <w:p w:rsidR="002C39A3" w:rsidRDefault="002C39A3" w:rsidP="00361FA9">
      <w:pPr>
        <w:rPr>
          <w:rFonts w:eastAsiaTheme="minorHAnsi"/>
        </w:rPr>
      </w:pPr>
    </w:p>
    <w:p w:rsidR="002C39A3" w:rsidRDefault="002C39A3" w:rsidP="00361FA9">
      <w:pPr>
        <w:rPr>
          <w:rFonts w:eastAsiaTheme="minorHAnsi"/>
        </w:rPr>
        <w:sectPr w:rsidR="002C39A3" w:rsidSect="00361FA9">
          <w:footerReference w:type="even" r:id="rId42"/>
          <w:footerReference w:type="default" r:id="rId43"/>
          <w:pgSz w:w="9979" w:h="14181" w:code="138"/>
          <w:pgMar w:top="1140" w:right="1140" w:bottom="1140" w:left="1140" w:header="720" w:footer="431" w:gutter="0"/>
          <w:cols w:space="708"/>
          <w:docGrid w:linePitch="360"/>
        </w:sectPr>
      </w:pPr>
    </w:p>
    <w:p w:rsidR="002C39A3" w:rsidRDefault="002C39A3" w:rsidP="00361FA9">
      <w:pPr>
        <w:pStyle w:val="Heading1"/>
        <w:rPr>
          <w:rFonts w:eastAsiaTheme="minorHAnsi"/>
        </w:rPr>
      </w:pPr>
      <w:bookmarkStart w:id="41" w:name="_Toc449116200"/>
      <w:r>
        <w:rPr>
          <w:rFonts w:eastAsiaTheme="minorHAnsi"/>
        </w:rPr>
        <w:t>Department of Justice and Regulation</w:t>
      </w:r>
      <w:bookmarkEnd w:id="41"/>
    </w:p>
    <w:p w:rsidR="002C39A3" w:rsidRDefault="002C39A3" w:rsidP="00361FA9">
      <w:pPr>
        <w:pStyle w:val="Heading2"/>
        <w:rPr>
          <w:rFonts w:eastAsiaTheme="minorHAnsi"/>
        </w:rPr>
      </w:pPr>
      <w:r>
        <w:rPr>
          <w:rFonts w:eastAsiaTheme="minorHAnsi"/>
        </w:rPr>
        <w:t>Operating performance</w:t>
      </w:r>
    </w:p>
    <w:p w:rsidR="002C39A3" w:rsidRDefault="002C39A3" w:rsidP="00361FA9">
      <w:r w:rsidRPr="005F421F">
        <w:t>The Department</w:t>
      </w:r>
      <w:r>
        <w:t xml:space="preserve"> of Justice and Regulation is expected to report a</w:t>
      </w:r>
      <w:r w:rsidRPr="005F421F">
        <w:t xml:space="preserve"> net result from transactions </w:t>
      </w:r>
      <w:r>
        <w:t xml:space="preserve">of $10 million in </w:t>
      </w:r>
      <w:r w:rsidRPr="00AA5080">
        <w:t>2016</w:t>
      </w:r>
      <w:r>
        <w:noBreakHyphen/>
      </w:r>
      <w:r w:rsidRPr="00AA5080">
        <w:t>17</w:t>
      </w:r>
      <w:r>
        <w:rPr>
          <w:i/>
        </w:rPr>
        <w:t>.</w:t>
      </w:r>
      <w:r w:rsidRPr="005F421F">
        <w:t xml:space="preserve"> </w:t>
      </w:r>
    </w:p>
    <w:p w:rsidR="002C39A3" w:rsidRDefault="002C39A3" w:rsidP="00361FA9">
      <w:pPr>
        <w:pStyle w:val="BulletText"/>
        <w:numPr>
          <w:ilvl w:val="0"/>
          <w:numId w:val="0"/>
        </w:numPr>
      </w:pPr>
      <w:r w:rsidRPr="005F421F">
        <w:t>The</w:t>
      </w:r>
      <w:r>
        <w:t xml:space="preserve"> decrease of $8 million in 2016</w:t>
      </w:r>
      <w:r>
        <w:noBreakHyphen/>
        <w:t>17 relative to the 2015</w:t>
      </w:r>
      <w:r>
        <w:noBreakHyphen/>
        <w:t>16 budget mainly relates to lower forecast investment returns in 2016</w:t>
      </w:r>
      <w:r>
        <w:noBreakHyphen/>
        <w:t>17, reflecting the lower expected interest rate return on the departmental trust funds including the Victorian Property Fund and Residential Tenancies Fund.</w:t>
      </w:r>
    </w:p>
    <w:p w:rsidR="002C39A3" w:rsidRDefault="002C39A3" w:rsidP="00361FA9">
      <w:pPr>
        <w:pStyle w:val="BulletText"/>
        <w:numPr>
          <w:ilvl w:val="0"/>
          <w:numId w:val="0"/>
        </w:numPr>
      </w:pPr>
      <w:r>
        <w:t>The operating statement shows an increase in income of $457</w:t>
      </w:r>
      <w:r w:rsidRPr="00E5104E">
        <w:t xml:space="preserve"> million</w:t>
      </w:r>
      <w:r>
        <w:t xml:space="preserve"> between the 2015</w:t>
      </w:r>
      <w:r>
        <w:noBreakHyphen/>
        <w:t>16 budget and the 2016</w:t>
      </w:r>
      <w:r>
        <w:noBreakHyphen/>
        <w:t>17 b</w:t>
      </w:r>
      <w:r w:rsidRPr="007F31A0">
        <w:t>udget</w:t>
      </w:r>
      <w:r w:rsidRPr="005F421F">
        <w:t>. This is due to</w:t>
      </w:r>
      <w:r>
        <w:t xml:space="preserve"> the implementation of </w:t>
      </w:r>
      <w:r w:rsidRPr="005F421F">
        <w:t>initiatives announced in previous budgets</w:t>
      </w:r>
      <w:r>
        <w:t xml:space="preserve"> that increase </w:t>
      </w:r>
      <w:r w:rsidRPr="005F421F">
        <w:t>capacity</w:t>
      </w:r>
      <w:r>
        <w:t xml:space="preserve"> across the prison system and funding of new output initiatives announced in this budget including:</w:t>
      </w:r>
    </w:p>
    <w:p w:rsidR="002C39A3" w:rsidRDefault="002C39A3" w:rsidP="00361FA9">
      <w:pPr>
        <w:pStyle w:val="BulletText"/>
      </w:pPr>
      <w:bookmarkStart w:id="42" w:name="OLE_LINK1"/>
      <w:r>
        <w:t>Public Safety – Police Response;</w:t>
      </w:r>
    </w:p>
    <w:p w:rsidR="002C39A3" w:rsidRDefault="002C39A3" w:rsidP="00361FA9">
      <w:pPr>
        <w:pStyle w:val="BulletText"/>
      </w:pPr>
      <w:r>
        <w:t>Fiskville and Regional Victorian Emergency Management Training Centres Remediation;</w:t>
      </w:r>
    </w:p>
    <w:p w:rsidR="002C39A3" w:rsidRDefault="002C39A3" w:rsidP="00361FA9">
      <w:pPr>
        <w:pStyle w:val="BulletText"/>
      </w:pPr>
      <w:r>
        <w:t>Community Corrections – Contributing to a safer community; and</w:t>
      </w:r>
    </w:p>
    <w:p w:rsidR="002C39A3" w:rsidRPr="005F421F" w:rsidRDefault="002C39A3" w:rsidP="00361FA9">
      <w:pPr>
        <w:pStyle w:val="BulletText"/>
      </w:pPr>
      <w:r>
        <w:t>Strengthening Victoria Police</w:t>
      </w:r>
      <w:r w:rsidR="0097550F">
        <w:t>’</w:t>
      </w:r>
      <w:r>
        <w:t>s Counter – Terrorism Capacity and Capability.</w:t>
      </w:r>
    </w:p>
    <w:bookmarkEnd w:id="42"/>
    <w:p w:rsidR="002C39A3" w:rsidRPr="00DF7595" w:rsidRDefault="002C39A3" w:rsidP="00361FA9">
      <w:pPr>
        <w:rPr>
          <w:rFonts w:eastAsiaTheme="minorHAnsi"/>
        </w:rPr>
      </w:pPr>
      <w:r w:rsidRPr="005F421F">
        <w:t xml:space="preserve">Estimated </w:t>
      </w:r>
      <w:r>
        <w:t>operating expenses in 2016</w:t>
      </w:r>
      <w:r>
        <w:noBreakHyphen/>
        <w:t xml:space="preserve">17 </w:t>
      </w:r>
      <w:r w:rsidRPr="005F421F">
        <w:t>are forecast to increase by approximately the same amount as revenue due to the factors identified above.</w:t>
      </w:r>
    </w:p>
    <w:p w:rsidR="002C39A3" w:rsidRDefault="002C39A3" w:rsidP="00361FA9">
      <w:pPr>
        <w:pStyle w:val="Heading2"/>
        <w:rPr>
          <w:rFonts w:eastAsiaTheme="minorHAnsi"/>
        </w:rPr>
      </w:pPr>
      <w:r>
        <w:rPr>
          <w:rFonts w:eastAsiaTheme="minorHAnsi"/>
        </w:rPr>
        <w:t>Balance sheet</w:t>
      </w:r>
    </w:p>
    <w:p w:rsidR="002C39A3" w:rsidRDefault="002C39A3" w:rsidP="00361FA9">
      <w:r w:rsidRPr="005F421F">
        <w:t>The Department</w:t>
      </w:r>
      <w:r w:rsidR="0097550F">
        <w:t>’</w:t>
      </w:r>
      <w:r w:rsidRPr="005F421F">
        <w:t>s 201</w:t>
      </w:r>
      <w:r>
        <w:t>6</w:t>
      </w:r>
      <w:r>
        <w:noBreakHyphen/>
      </w:r>
      <w:r w:rsidRPr="005F421F">
        <w:t>1</w:t>
      </w:r>
      <w:r>
        <w:t>7</w:t>
      </w:r>
      <w:r w:rsidRPr="005F421F">
        <w:t xml:space="preserve"> net asset position is estimated to improve by $2</w:t>
      </w:r>
      <w:r>
        <w:t>11 </w:t>
      </w:r>
      <w:r w:rsidRPr="005F421F">
        <w:t>m</w:t>
      </w:r>
      <w:r>
        <w:t xml:space="preserve">illion relative to the </w:t>
      </w:r>
      <w:r w:rsidRPr="00D13D6C">
        <w:t>2015</w:t>
      </w:r>
      <w:r>
        <w:noBreakHyphen/>
      </w:r>
      <w:r w:rsidRPr="00D13D6C">
        <w:t xml:space="preserve">16 </w:t>
      </w:r>
      <w:r>
        <w:t>b</w:t>
      </w:r>
      <w:r w:rsidRPr="00D13D6C">
        <w:t>udget</w:t>
      </w:r>
      <w:r w:rsidRPr="005F421F">
        <w:t>. This is largely attributable</w:t>
      </w:r>
      <w:r>
        <w:t xml:space="preserve"> to the following:</w:t>
      </w:r>
    </w:p>
    <w:p w:rsidR="002C39A3" w:rsidRDefault="002C39A3" w:rsidP="00361FA9">
      <w:pPr>
        <w:pStyle w:val="BulletText"/>
      </w:pPr>
      <w:r>
        <w:t xml:space="preserve">new asset initiatives announced in the </w:t>
      </w:r>
      <w:r w:rsidRPr="00A83C20">
        <w:t>2016</w:t>
      </w:r>
      <w:r w:rsidRPr="00A83C20">
        <w:noBreakHyphen/>
        <w:t xml:space="preserve">17 </w:t>
      </w:r>
      <w:r>
        <w:t>b</w:t>
      </w:r>
      <w:r w:rsidRPr="00A83C20">
        <w:t>udget</w:t>
      </w:r>
      <w:r>
        <w:t xml:space="preserve">, mainly for critical equipment supporting frontline police and specialist police officers, facilities for treatment intervention to serious sex offenders, asset funding for community correctional services, corrections remand upgrades, </w:t>
      </w:r>
      <w:r w:rsidRPr="008871E1">
        <w:t>police station replacements and refurbishments across regional and rural Victoria</w:t>
      </w:r>
      <w:r>
        <w:t>; and</w:t>
      </w:r>
    </w:p>
    <w:p w:rsidR="002C39A3" w:rsidRPr="00DF7595" w:rsidRDefault="002C39A3" w:rsidP="00361FA9">
      <w:pPr>
        <w:pStyle w:val="BulletText"/>
      </w:pPr>
      <w:r>
        <w:t xml:space="preserve">an </w:t>
      </w:r>
      <w:r w:rsidRPr="00E5104E">
        <w:t>expected increase in receivables</w:t>
      </w:r>
      <w:r>
        <w:t xml:space="preserve"> from Government</w:t>
      </w:r>
      <w:r w:rsidRPr="00E5104E">
        <w:t xml:space="preserve"> mainly</w:t>
      </w:r>
      <w:r>
        <w:t xml:space="preserve"> reflecting the timing of cash flows relating to </w:t>
      </w:r>
      <w:r w:rsidRPr="00E5104E">
        <w:t>motor vehicle lease obligations and employee related provisions.</w:t>
      </w:r>
    </w:p>
    <w:p w:rsidR="002C39A3" w:rsidRDefault="002C39A3" w:rsidP="00361FA9">
      <w:pPr>
        <w:spacing w:after="0"/>
        <w:rPr>
          <w:rFonts w:ascii="Calibri" w:eastAsiaTheme="minorHAnsi" w:hAnsi="Calibri"/>
          <w:b/>
          <w:kern w:val="28"/>
          <w:sz w:val="26"/>
          <w:szCs w:val="22"/>
        </w:rPr>
      </w:pPr>
      <w:r>
        <w:rPr>
          <w:rFonts w:eastAsiaTheme="minorHAnsi"/>
        </w:rPr>
        <w:br w:type="page"/>
      </w:r>
    </w:p>
    <w:p w:rsidR="002C39A3" w:rsidRDefault="002C39A3" w:rsidP="00361FA9">
      <w:pPr>
        <w:pStyle w:val="Heading2"/>
        <w:rPr>
          <w:rFonts w:eastAsiaTheme="minorHAnsi"/>
        </w:rPr>
      </w:pPr>
      <w:r>
        <w:rPr>
          <w:rFonts w:eastAsiaTheme="minorHAnsi"/>
        </w:rPr>
        <w:t>Investing and financing</w:t>
      </w:r>
    </w:p>
    <w:p w:rsidR="002C39A3" w:rsidRPr="00DF7595" w:rsidRDefault="002C39A3" w:rsidP="00361FA9">
      <w:pPr>
        <w:rPr>
          <w:rFonts w:eastAsiaTheme="minorHAnsi"/>
        </w:rPr>
      </w:pPr>
      <w:r w:rsidRPr="005F421F">
        <w:t>The</w:t>
      </w:r>
      <w:r>
        <w:t xml:space="preserve"> </w:t>
      </w:r>
      <w:r w:rsidRPr="005F421F">
        <w:t>payments for non</w:t>
      </w:r>
      <w:r>
        <w:noBreakHyphen/>
      </w:r>
      <w:r w:rsidRPr="005F421F">
        <w:t>financial assets</w:t>
      </w:r>
      <w:r>
        <w:t xml:space="preserve"> </w:t>
      </w:r>
      <w:r w:rsidRPr="005F421F">
        <w:t>in 201</w:t>
      </w:r>
      <w:r>
        <w:t>6</w:t>
      </w:r>
      <w:r>
        <w:noBreakHyphen/>
        <w:t xml:space="preserve">17 reflect a </w:t>
      </w:r>
      <w:r w:rsidRPr="00E5104E">
        <w:t>reduction of $92 million from</w:t>
      </w:r>
      <w:r>
        <w:t xml:space="preserve"> the 2015</w:t>
      </w:r>
      <w:r>
        <w:noBreakHyphen/>
        <w:t xml:space="preserve">16 budget. This relates to the capital </w:t>
      </w:r>
      <w:r w:rsidRPr="005F421F">
        <w:t xml:space="preserve">payments for the Hopkins </w:t>
      </w:r>
      <w:r>
        <w:t>C</w:t>
      </w:r>
      <w:r w:rsidRPr="005F421F">
        <w:t xml:space="preserve">orrectional </w:t>
      </w:r>
      <w:r>
        <w:t>C</w:t>
      </w:r>
      <w:r w:rsidRPr="005F421F">
        <w:t>entre</w:t>
      </w:r>
      <w:r>
        <w:t xml:space="preserve"> made</w:t>
      </w:r>
      <w:r w:rsidRPr="005F421F">
        <w:t xml:space="preserve"> in 201</w:t>
      </w:r>
      <w:r>
        <w:t>5</w:t>
      </w:r>
      <w:r>
        <w:noBreakHyphen/>
      </w:r>
      <w:r w:rsidRPr="005F421F">
        <w:t>1</w:t>
      </w:r>
      <w:r>
        <w:t>6</w:t>
      </w:r>
      <w:r w:rsidRPr="005F421F">
        <w:t xml:space="preserve"> </w:t>
      </w:r>
      <w:r>
        <w:t>which ceased in 2016</w:t>
      </w:r>
      <w:r>
        <w:noBreakHyphen/>
        <w:t>17. This is partially offset by payments for non</w:t>
      </w:r>
      <w:r>
        <w:noBreakHyphen/>
        <w:t xml:space="preserve">financial assets reflecting new asset investment in the </w:t>
      </w:r>
      <w:r w:rsidRPr="00D13D6C">
        <w:rPr>
          <w:i/>
        </w:rPr>
        <w:t>2016</w:t>
      </w:r>
      <w:r>
        <w:rPr>
          <w:i/>
        </w:rPr>
        <w:noBreakHyphen/>
      </w:r>
      <w:r w:rsidRPr="00D13D6C">
        <w:rPr>
          <w:i/>
        </w:rPr>
        <w:t>17 Budget</w:t>
      </w:r>
      <w:r>
        <w:t>.</w:t>
      </w:r>
    </w:p>
    <w:p w:rsidR="002C39A3" w:rsidRDefault="002C39A3" w:rsidP="00361FA9">
      <w:pPr>
        <w:pStyle w:val="Heading2"/>
        <w:rPr>
          <w:rFonts w:eastAsiaTheme="minorHAnsi"/>
        </w:rPr>
      </w:pPr>
      <w:r>
        <w:rPr>
          <w:rFonts w:eastAsiaTheme="minorHAnsi"/>
        </w:rPr>
        <w:t>Administered items statement</w:t>
      </w:r>
    </w:p>
    <w:p w:rsidR="002C39A3" w:rsidRPr="005F421F" w:rsidRDefault="002C39A3" w:rsidP="00361FA9">
      <w:r w:rsidRPr="005F421F">
        <w:t xml:space="preserve">Revenue administered by the Department on behalf of the State and third parties </w:t>
      </w:r>
      <w:r>
        <w:t>is</w:t>
      </w:r>
      <w:r w:rsidRPr="005F421F">
        <w:t xml:space="preserve"> forecast to rise by $</w:t>
      </w:r>
      <w:r>
        <w:t>27</w:t>
      </w:r>
      <w:r w:rsidRPr="005F421F">
        <w:t xml:space="preserve"> million in</w:t>
      </w:r>
      <w:r>
        <w:t xml:space="preserve"> the</w:t>
      </w:r>
      <w:r w:rsidRPr="005F421F">
        <w:t xml:space="preserve"> </w:t>
      </w:r>
      <w:r w:rsidRPr="000367CB">
        <w:t>2016</w:t>
      </w:r>
      <w:r w:rsidRPr="000367CB">
        <w:noBreakHyphen/>
        <w:t xml:space="preserve">17 </w:t>
      </w:r>
      <w:r>
        <w:t>b</w:t>
      </w:r>
      <w:r w:rsidRPr="000367CB">
        <w:t>udget</w:t>
      </w:r>
      <w:r w:rsidRPr="005F421F">
        <w:t xml:space="preserve"> relative to the 201</w:t>
      </w:r>
      <w:r>
        <w:t>5</w:t>
      </w:r>
      <w:r>
        <w:noBreakHyphen/>
      </w:r>
      <w:r w:rsidRPr="005F421F">
        <w:t>1</w:t>
      </w:r>
      <w:r>
        <w:t>6</w:t>
      </w:r>
      <w:r w:rsidRPr="005F421F">
        <w:t xml:space="preserve"> budget. This is driven by </w:t>
      </w:r>
      <w:r>
        <w:t xml:space="preserve">expected </w:t>
      </w:r>
      <w:r w:rsidRPr="005F421F">
        <w:t>increases in gaming taxation</w:t>
      </w:r>
      <w:r w:rsidRPr="002F127F">
        <w:t>.</w:t>
      </w:r>
      <w:r>
        <w:t xml:space="preserve"> </w:t>
      </w:r>
      <w:r w:rsidRPr="005F421F">
        <w:t xml:space="preserve">Administered expenses </w:t>
      </w:r>
      <w:r>
        <w:t>reflect</w:t>
      </w:r>
      <w:r w:rsidRPr="005F421F">
        <w:t xml:space="preserve"> the transfer of</w:t>
      </w:r>
      <w:r>
        <w:t xml:space="preserve"> the</w:t>
      </w:r>
      <w:r w:rsidRPr="005F421F">
        <w:t xml:space="preserve"> fines and taxation revenue into the Consolidated Fund.</w:t>
      </w:r>
    </w:p>
    <w:p w:rsidR="002C39A3" w:rsidRDefault="002C39A3" w:rsidP="00361FA9">
      <w:r w:rsidRPr="005F421F">
        <w:t>Oth</w:t>
      </w:r>
      <w:r>
        <w:t xml:space="preserve">er economic flow losses have decreased </w:t>
      </w:r>
      <w:r w:rsidRPr="005F421F">
        <w:t>relative to the 2015</w:t>
      </w:r>
      <w:r>
        <w:noBreakHyphen/>
        <w:t>16 budget due to lower</w:t>
      </w:r>
      <w:r w:rsidRPr="005F421F">
        <w:t xml:space="preserve"> bad and doubtful debts resulting from fine related enforcement activities. Outstanding debts will continue to be vigorously pursued through all legal means, however prudent accounting requires that provision be made for such debts.</w:t>
      </w:r>
    </w:p>
    <w:p w:rsidR="002C39A3" w:rsidRDefault="002C39A3" w:rsidP="00361FA9">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3.5.1:</w:t>
      </w:r>
      <w:r>
        <w:rPr>
          <w:rFonts w:eastAsiaTheme="minorHAnsi"/>
        </w:rPr>
        <w:tab/>
        <w:t>Comprehensive operating statement</w:t>
      </w:r>
    </w:p>
    <w:p w:rsidR="002C39A3" w:rsidRPr="00AC6103" w:rsidRDefault="002C39A3" w:rsidP="00361FA9">
      <w:pPr>
        <w:pStyle w:val="million"/>
        <w:rPr>
          <w:rFonts w:eastAsiaTheme="minorHAnsi"/>
          <w:b/>
          <w:bCs/>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B90A1D" w:rsidRPr="00AC6103" w:rsidTr="00167FAD">
        <w:trPr>
          <w:trHeight w:val="464"/>
          <w:tblHeader/>
        </w:trPr>
        <w:tc>
          <w:tcPr>
            <w:tcW w:w="4365" w:type="dxa"/>
            <w:tcBorders>
              <w:left w:val="nil"/>
              <w:right w:val="nil"/>
            </w:tcBorders>
            <w:shd w:val="solid" w:color="000000" w:fill="auto"/>
            <w:vAlign w:val="bottom"/>
          </w:tcPr>
          <w:p w:rsidR="00B90A1D" w:rsidRPr="00AC6103" w:rsidRDefault="00B90A1D" w:rsidP="00B90A1D">
            <w:pPr>
              <w:pStyle w:val="million"/>
              <w:jc w:val="left"/>
              <w:rPr>
                <w:rFonts w:eastAsiaTheme="minorEastAsia" w:cs="Calibri"/>
                <w:color w:val="FFFFFF"/>
                <w:sz w:val="19"/>
                <w:lang w:eastAsia="en-AU"/>
              </w:rPr>
            </w:pPr>
          </w:p>
        </w:tc>
        <w:tc>
          <w:tcPr>
            <w:tcW w:w="850" w:type="dxa"/>
            <w:tcBorders>
              <w:left w:val="nil"/>
              <w:right w:val="nil"/>
            </w:tcBorders>
            <w:shd w:val="solid" w:color="000000" w:fill="auto"/>
            <w:vAlign w:val="bottom"/>
          </w:tcPr>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2014-15</w:t>
            </w:r>
          </w:p>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actual</w:t>
            </w:r>
          </w:p>
        </w:tc>
        <w:tc>
          <w:tcPr>
            <w:tcW w:w="850" w:type="dxa"/>
            <w:tcBorders>
              <w:left w:val="nil"/>
              <w:right w:val="nil"/>
            </w:tcBorders>
            <w:shd w:val="solid" w:color="000000" w:fill="auto"/>
            <w:vAlign w:val="bottom"/>
          </w:tcPr>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2016-17</w:t>
            </w:r>
          </w:p>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r>
      <w:tr w:rsidR="00B90A1D" w:rsidRPr="00AC6103" w:rsidTr="00167FAD">
        <w:tc>
          <w:tcPr>
            <w:tcW w:w="7765" w:type="dxa"/>
            <w:gridSpan w:val="5"/>
            <w:tcBorders>
              <w:top w:val="single" w:sz="6" w:space="0" w:color="auto"/>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Net result from c</w:t>
            </w:r>
            <w:r>
              <w:rPr>
                <w:rFonts w:ascii="Calibri" w:eastAsiaTheme="minorEastAsia" w:hAnsi="Calibri" w:cs="Calibri"/>
                <w:b/>
                <w:bCs/>
                <w:color w:val="000000"/>
                <w:sz w:val="19"/>
                <w:lang w:eastAsia="en-AU"/>
              </w:rPr>
              <w:t>ontinuing operations</w:t>
            </w:r>
          </w:p>
        </w:tc>
      </w:tr>
      <w:tr w:rsidR="00B90A1D" w:rsidRPr="00AC6103" w:rsidTr="00167FAD">
        <w:tc>
          <w:tcPr>
            <w:tcW w:w="7765" w:type="dxa"/>
            <w:gridSpan w:val="5"/>
            <w:tcBorders>
              <w:top w:val="nil"/>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Income from transactions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Output appropriations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5 130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5 428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5 536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5 875</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Special appropriations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Interest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60</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Sale of goods and services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20</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Grants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71</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Fair value of assets and services received free of charge or for nominal consideration</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income</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37</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23</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34</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25</w:t>
            </w:r>
          </w:p>
        </w:tc>
      </w:tr>
      <w:tr w:rsidR="002C39A3" w:rsidRPr="00AC6103" w:rsidTr="00361FA9">
        <w:tc>
          <w:tcPr>
            <w:tcW w:w="4365"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income from transactions</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5 364</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5 596</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5 700</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6 053</w:t>
            </w:r>
          </w:p>
        </w:tc>
      </w:tr>
      <w:tr w:rsidR="00B90A1D" w:rsidRPr="00AC6103" w:rsidTr="00167FAD">
        <w:tc>
          <w:tcPr>
            <w:tcW w:w="7765" w:type="dxa"/>
            <w:gridSpan w:val="5"/>
            <w:tcBorders>
              <w:top w:val="nil"/>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Expenses from transactions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Employee benefits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2 596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2 683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2 745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2 966</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 xml:space="preserve">Depreciation </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185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177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185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198</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Interest expense</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25</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Grants and other transfers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1 086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1 095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1 174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1 220</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Capital asset charge</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196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225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225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242</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operating expenses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1 271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1 375</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1 358</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1 392</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expenses from transactions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5 358</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5 578</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5 712</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6 043</w:t>
            </w:r>
          </w:p>
        </w:tc>
      </w:tr>
      <w:tr w:rsidR="002C39A3" w:rsidRPr="00AC6103" w:rsidTr="00361FA9">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result from transactions (net operating balance)</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18</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(12)</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10</w:t>
            </w:r>
          </w:p>
        </w:tc>
      </w:tr>
      <w:tr w:rsidR="00B90A1D" w:rsidRPr="00AC6103" w:rsidTr="00167FAD">
        <w:tc>
          <w:tcPr>
            <w:tcW w:w="7765" w:type="dxa"/>
            <w:gridSpan w:val="5"/>
            <w:tcBorders>
              <w:top w:val="single" w:sz="12" w:space="0" w:color="auto"/>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Other economic flows included in net result</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Net gain/(loss) on non-financial assets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Net gain/(loss) on fina</w:t>
            </w:r>
            <w:r w:rsidR="00B90A1D">
              <w:rPr>
                <w:rFonts w:ascii="Calibri" w:eastAsiaTheme="minorEastAsia" w:hAnsi="Calibri" w:cs="Calibri"/>
                <w:color w:val="000000"/>
                <w:sz w:val="19"/>
                <w:lang w:eastAsia="en-AU"/>
              </w:rPr>
              <w:t>ncial instruments and statutory </w:t>
            </w:r>
            <w:r w:rsidRPr="00AC6103">
              <w:rPr>
                <w:rFonts w:ascii="Calibri" w:eastAsiaTheme="minorEastAsia" w:hAnsi="Calibri" w:cs="Calibri"/>
                <w:color w:val="000000"/>
                <w:sz w:val="19"/>
                <w:lang w:eastAsia="en-AU"/>
              </w:rPr>
              <w:t>receivables/payables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gains/(losses) from economic flows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other economic flows included in net result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(15)</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13</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11</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result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21</w:t>
            </w:r>
          </w:p>
        </w:tc>
      </w:tr>
      <w:tr w:rsidR="00B90A1D" w:rsidRPr="00AC6103" w:rsidTr="00167FAD">
        <w:tc>
          <w:tcPr>
            <w:tcW w:w="7765" w:type="dxa"/>
            <w:gridSpan w:val="5"/>
            <w:tcBorders>
              <w:top w:val="single" w:sz="6" w:space="0" w:color="auto"/>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 xml:space="preserve">Other economic flows – other comprehensive income </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Changes in non-financial assets revaluation surplus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 xml:space="preserve">Total other economic flows – </w:t>
            </w:r>
            <w:r w:rsidR="00B90A1D">
              <w:rPr>
                <w:rFonts w:ascii="Calibri" w:eastAsiaTheme="minorEastAsia" w:hAnsi="Calibri" w:cs="Calibri"/>
                <w:b/>
                <w:bCs/>
                <w:color w:val="000000"/>
                <w:sz w:val="19"/>
                <w:lang w:eastAsia="en-AU"/>
              </w:rPr>
              <w:br/>
            </w:r>
            <w:r w:rsidRPr="00AC6103">
              <w:rPr>
                <w:rFonts w:ascii="Calibri" w:eastAsiaTheme="minorEastAsia" w:hAnsi="Calibri" w:cs="Calibri"/>
                <w:b/>
                <w:bCs/>
                <w:color w:val="000000"/>
                <w:sz w:val="19"/>
                <w:lang w:eastAsia="en-AU"/>
              </w:rPr>
              <w:t>other comprehensive income</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(13)</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Comprehensive result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(21)</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31</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21</w:t>
            </w:r>
          </w:p>
        </w:tc>
      </w:tr>
    </w:tbl>
    <w:p w:rsidR="002C39A3" w:rsidRDefault="002C39A3" w:rsidP="00361FA9">
      <w:pPr>
        <w:pStyle w:val="Source"/>
        <w:rPr>
          <w:rFonts w:eastAsiaTheme="minorHAnsi"/>
        </w:rPr>
      </w:pPr>
      <w:r w:rsidRPr="00FF0D57">
        <w:rPr>
          <w:rFonts w:eastAsiaTheme="minorHAnsi"/>
        </w:rPr>
        <w:t>Sources: Departments of Justice</w:t>
      </w:r>
      <w:r>
        <w:rPr>
          <w:rFonts w:eastAsiaTheme="minorHAnsi"/>
        </w:rPr>
        <w:t xml:space="preserve"> and Regulation, </w:t>
      </w:r>
      <w:r w:rsidRPr="00FF0D57">
        <w:rPr>
          <w:rFonts w:eastAsiaTheme="minorHAnsi"/>
        </w:rPr>
        <w:t>and Treasury and Finance</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3.5.2:</w:t>
      </w:r>
      <w:r>
        <w:rPr>
          <w:rFonts w:eastAsiaTheme="minorHAnsi"/>
        </w:rPr>
        <w:tab/>
        <w:t>Balance sheet</w:t>
      </w:r>
    </w:p>
    <w:p w:rsidR="002C39A3" w:rsidRPr="00AC6103" w:rsidRDefault="002C39A3" w:rsidP="00361FA9">
      <w:pPr>
        <w:pStyle w:val="million"/>
        <w:rPr>
          <w:rFonts w:eastAsiaTheme="minorHAnsi"/>
          <w:b/>
          <w:bCs/>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B90A1D" w:rsidRPr="00AC6103" w:rsidTr="00167FAD">
        <w:trPr>
          <w:tblHeader/>
        </w:trPr>
        <w:tc>
          <w:tcPr>
            <w:tcW w:w="4365" w:type="dxa"/>
            <w:tcBorders>
              <w:bottom w:val="nil"/>
              <w:right w:val="nil"/>
            </w:tcBorders>
            <w:shd w:val="solid" w:color="000000" w:fill="auto"/>
            <w:vAlign w:val="bottom"/>
          </w:tcPr>
          <w:p w:rsidR="00B90A1D" w:rsidRPr="00AC6103" w:rsidRDefault="00B90A1D" w:rsidP="00361FA9">
            <w:pPr>
              <w:pStyle w:val="million"/>
              <w:jc w:val="left"/>
              <w:rPr>
                <w:rFonts w:eastAsiaTheme="minorEastAsia" w:cs="Calibri"/>
                <w:iCs/>
                <w:color w:val="FFFFFF"/>
                <w:sz w:val="19"/>
                <w:lang w:eastAsia="en-AU"/>
              </w:rPr>
            </w:pPr>
            <w:r w:rsidRPr="00AC6103">
              <w:rPr>
                <w:rFonts w:eastAsiaTheme="minorEastAsia" w:cs="Calibri"/>
                <w:iCs/>
                <w:color w:val="FFFFFF"/>
                <w:sz w:val="19"/>
                <w:lang w:eastAsia="en-AU"/>
              </w:rPr>
              <w:t xml:space="preserve"> </w:t>
            </w:r>
          </w:p>
        </w:tc>
        <w:tc>
          <w:tcPr>
            <w:tcW w:w="850" w:type="dxa"/>
            <w:tcBorders>
              <w:left w:val="nil"/>
              <w:bottom w:val="nil"/>
              <w:right w:val="nil"/>
            </w:tcBorders>
            <w:shd w:val="solid" w:color="000000" w:fill="auto"/>
            <w:vAlign w:val="bottom"/>
          </w:tcPr>
          <w:p w:rsidR="00B90A1D" w:rsidRPr="00AC6103" w:rsidRDefault="00B90A1D" w:rsidP="00361FA9">
            <w:pPr>
              <w:autoSpaceDE w:val="0"/>
              <w:autoSpaceDN w:val="0"/>
              <w:adjustRightInd w:val="0"/>
              <w:spacing w:after="0"/>
              <w:jc w:val="right"/>
              <w:rPr>
                <w:rFonts w:ascii="Calibri" w:eastAsiaTheme="minorEastAsia" w:hAnsi="Calibri" w:cs="Calibri"/>
                <w:color w:val="FFFFFF"/>
                <w:sz w:val="19"/>
                <w:lang w:eastAsia="en-AU"/>
              </w:rPr>
            </w:pPr>
            <w:r w:rsidRPr="00AC6103">
              <w:rPr>
                <w:rFonts w:ascii="Calibri" w:eastAsiaTheme="minorEastAsia" w:hAnsi="Calibri" w:cs="Calibri"/>
                <w:color w:val="FFFFFF"/>
                <w:sz w:val="19"/>
                <w:lang w:eastAsia="en-AU"/>
              </w:rPr>
              <w:t xml:space="preserve">  </w:t>
            </w:r>
          </w:p>
        </w:tc>
        <w:tc>
          <w:tcPr>
            <w:tcW w:w="2550" w:type="dxa"/>
            <w:gridSpan w:val="3"/>
            <w:tcBorders>
              <w:left w:val="nil"/>
              <w:bottom w:val="nil"/>
            </w:tcBorders>
            <w:shd w:val="solid" w:color="000000" w:fill="auto"/>
            <w:vAlign w:val="bottom"/>
          </w:tcPr>
          <w:p w:rsidR="00B90A1D" w:rsidRPr="00AC6103" w:rsidRDefault="00B90A1D" w:rsidP="00B90A1D">
            <w:pPr>
              <w:autoSpaceDE w:val="0"/>
              <w:autoSpaceDN w:val="0"/>
              <w:adjustRightInd w:val="0"/>
              <w:spacing w:after="0"/>
              <w:jc w:val="center"/>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Estim</w:t>
            </w:r>
            <w:r>
              <w:rPr>
                <w:rFonts w:ascii="Calibri" w:eastAsiaTheme="minorEastAsia" w:hAnsi="Calibri" w:cs="Calibri"/>
                <w:i/>
                <w:iCs/>
                <w:color w:val="FFFFFF"/>
                <w:sz w:val="19"/>
                <w:lang w:eastAsia="en-AU"/>
              </w:rPr>
              <w:t>ated as at 30 June</w:t>
            </w:r>
          </w:p>
        </w:tc>
      </w:tr>
      <w:tr w:rsidR="00B90A1D" w:rsidRPr="00AC6103" w:rsidTr="00167FAD">
        <w:trPr>
          <w:trHeight w:val="464"/>
          <w:tblHeader/>
        </w:trPr>
        <w:tc>
          <w:tcPr>
            <w:tcW w:w="4365" w:type="dxa"/>
            <w:tcBorders>
              <w:top w:val="nil"/>
              <w:right w:val="nil"/>
            </w:tcBorders>
            <w:shd w:val="solid" w:color="000000" w:fill="auto"/>
            <w:vAlign w:val="bottom"/>
          </w:tcPr>
          <w:p w:rsidR="00B90A1D" w:rsidRPr="00AC6103" w:rsidRDefault="00B90A1D" w:rsidP="00361FA9">
            <w:pPr>
              <w:autoSpaceDE w:val="0"/>
              <w:autoSpaceDN w:val="0"/>
              <w:adjustRightInd w:val="0"/>
              <w:spacing w:after="0"/>
              <w:rPr>
                <w:rFonts w:ascii="Calibri" w:eastAsiaTheme="minorEastAsia" w:hAnsi="Calibri" w:cs="Calibri"/>
                <w:color w:val="FFFFFF"/>
                <w:sz w:val="19"/>
                <w:lang w:eastAsia="en-AU"/>
              </w:rPr>
            </w:pPr>
          </w:p>
        </w:tc>
        <w:tc>
          <w:tcPr>
            <w:tcW w:w="850" w:type="dxa"/>
            <w:tcBorders>
              <w:top w:val="nil"/>
              <w:left w:val="nil"/>
              <w:right w:val="nil"/>
            </w:tcBorders>
            <w:shd w:val="solid" w:color="000000" w:fill="auto"/>
            <w:vAlign w:val="bottom"/>
          </w:tcPr>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w:t>
            </w:r>
          </w:p>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actual</w:t>
            </w:r>
          </w:p>
        </w:tc>
        <w:tc>
          <w:tcPr>
            <w:tcW w:w="850" w:type="dxa"/>
            <w:tcBorders>
              <w:top w:val="nil"/>
              <w:left w:val="nil"/>
              <w:right w:val="nil"/>
            </w:tcBorders>
            <w:shd w:val="solid" w:color="000000" w:fill="auto"/>
            <w:vAlign w:val="bottom"/>
          </w:tcPr>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w:t>
            </w:r>
          </w:p>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tcBorders>
              <w:top w:val="nil"/>
              <w:left w:val="nil"/>
              <w:right w:val="nil"/>
            </w:tcBorders>
            <w:shd w:val="solid" w:color="000000" w:fill="auto"/>
            <w:vAlign w:val="bottom"/>
          </w:tcPr>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w:t>
            </w:r>
          </w:p>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0" w:type="dxa"/>
            <w:tcBorders>
              <w:top w:val="nil"/>
              <w:left w:val="nil"/>
            </w:tcBorders>
            <w:shd w:val="solid" w:color="000000" w:fill="auto"/>
            <w:vAlign w:val="bottom"/>
          </w:tcPr>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2017</w:t>
            </w:r>
          </w:p>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r>
      <w:tr w:rsidR="00B90A1D" w:rsidRPr="00AC6103" w:rsidTr="00167FAD">
        <w:tc>
          <w:tcPr>
            <w:tcW w:w="7765" w:type="dxa"/>
            <w:gridSpan w:val="5"/>
            <w:tcBorders>
              <w:top w:val="single" w:sz="6" w:space="0" w:color="auto"/>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Assets</w:t>
            </w:r>
          </w:p>
        </w:tc>
      </w:tr>
      <w:tr w:rsidR="00B90A1D" w:rsidRPr="00AC6103" w:rsidTr="00167FAD">
        <w:tc>
          <w:tcPr>
            <w:tcW w:w="7765" w:type="dxa"/>
            <w:gridSpan w:val="5"/>
            <w:tcBorders>
              <w:top w:val="nil"/>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Financial assets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Cash and deposits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363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380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372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385</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Receivables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878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869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860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967</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financial assets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249</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260</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250</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253</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financial assets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1 489</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1 509</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1 482</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1 604</w:t>
            </w:r>
          </w:p>
        </w:tc>
      </w:tr>
      <w:tr w:rsidR="00B90A1D" w:rsidRPr="00AC6103" w:rsidTr="00167FAD">
        <w:tc>
          <w:tcPr>
            <w:tcW w:w="7765" w:type="dxa"/>
            <w:gridSpan w:val="5"/>
            <w:tcBorders>
              <w:top w:val="single" w:sz="6" w:space="0" w:color="auto"/>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Non-financial assets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Inventories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Non-financial assets classified as held for sale including disposal group assets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Property, plant and equipment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3 761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4 011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3 887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4 106</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Intangible assets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79</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non-financial assets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3 832</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4 089</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3 973</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4 214</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assets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5 321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5 598</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5 455</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5 819</w:t>
            </w:r>
          </w:p>
        </w:tc>
      </w:tr>
      <w:tr w:rsidR="00B90A1D" w:rsidRPr="00AC6103" w:rsidTr="00167FAD">
        <w:tc>
          <w:tcPr>
            <w:tcW w:w="7765" w:type="dxa"/>
            <w:gridSpan w:val="5"/>
            <w:tcBorders>
              <w:top w:val="single" w:sz="6" w:space="0" w:color="auto"/>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Liabilities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Payables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409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310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310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316</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Borrowings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279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250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250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221</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Provisions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689</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723</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723</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755</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liabilities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1 377</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1 283</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1 283</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1 293</w:t>
            </w:r>
          </w:p>
        </w:tc>
      </w:tr>
      <w:tr w:rsidR="002C39A3" w:rsidRPr="00AC6103" w:rsidTr="00361FA9">
        <w:tc>
          <w:tcPr>
            <w:tcW w:w="4365"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assets</w:t>
            </w:r>
          </w:p>
        </w:tc>
        <w:tc>
          <w:tcPr>
            <w:tcW w:w="850"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3 944</w:t>
            </w:r>
          </w:p>
        </w:tc>
        <w:tc>
          <w:tcPr>
            <w:tcW w:w="850"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4 315</w:t>
            </w:r>
          </w:p>
        </w:tc>
        <w:tc>
          <w:tcPr>
            <w:tcW w:w="850"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4 172</w:t>
            </w:r>
          </w:p>
        </w:tc>
        <w:tc>
          <w:tcPr>
            <w:tcW w:w="850"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4 526</w:t>
            </w:r>
          </w:p>
        </w:tc>
      </w:tr>
      <w:tr w:rsidR="00B90A1D" w:rsidRPr="00AC6103" w:rsidTr="00167FAD">
        <w:tc>
          <w:tcPr>
            <w:tcW w:w="7765" w:type="dxa"/>
            <w:gridSpan w:val="5"/>
            <w:tcBorders>
              <w:top w:val="single" w:sz="12" w:space="0" w:color="auto"/>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Equity</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Accumulated surplus/(deficit)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1 102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1 133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1 101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1 122</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Reserves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1 182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1 182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1 182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1 182</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Contributed capital</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1 660</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2 001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1 890</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2 223</w:t>
            </w:r>
          </w:p>
        </w:tc>
      </w:tr>
      <w:tr w:rsidR="002C39A3" w:rsidRPr="00AC6103" w:rsidTr="00361FA9">
        <w:tc>
          <w:tcPr>
            <w:tcW w:w="4365"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equity</w:t>
            </w:r>
          </w:p>
        </w:tc>
        <w:tc>
          <w:tcPr>
            <w:tcW w:w="850"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3 944</w:t>
            </w:r>
          </w:p>
        </w:tc>
        <w:tc>
          <w:tcPr>
            <w:tcW w:w="850"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4 315</w:t>
            </w:r>
          </w:p>
        </w:tc>
        <w:tc>
          <w:tcPr>
            <w:tcW w:w="850"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4 172</w:t>
            </w:r>
          </w:p>
        </w:tc>
        <w:tc>
          <w:tcPr>
            <w:tcW w:w="850"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4 526</w:t>
            </w:r>
          </w:p>
        </w:tc>
      </w:tr>
    </w:tbl>
    <w:p w:rsidR="002C39A3" w:rsidRDefault="002C39A3" w:rsidP="00361FA9">
      <w:pPr>
        <w:pStyle w:val="Source"/>
        <w:rPr>
          <w:rFonts w:eastAsiaTheme="minorHAnsi"/>
        </w:rPr>
      </w:pPr>
      <w:r w:rsidRPr="00FF0D57">
        <w:rPr>
          <w:rFonts w:eastAsiaTheme="minorHAnsi"/>
        </w:rPr>
        <w:t xml:space="preserve">Sources: </w:t>
      </w:r>
      <w:r w:rsidRPr="003D744C">
        <w:rPr>
          <w:rFonts w:eastAsiaTheme="minorHAnsi"/>
        </w:rPr>
        <w:t>Departments of Justice and Regulation, and Treasury and Finance</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3.5.3:</w:t>
      </w:r>
      <w:r>
        <w:rPr>
          <w:rFonts w:eastAsiaTheme="minorHAnsi"/>
        </w:rPr>
        <w:tab/>
        <w:t>Statement of cash flows</w:t>
      </w:r>
    </w:p>
    <w:p w:rsidR="002C39A3" w:rsidRPr="00AC6103" w:rsidRDefault="002C39A3" w:rsidP="00361FA9">
      <w:pPr>
        <w:pStyle w:val="million"/>
        <w:rPr>
          <w:rFonts w:eastAsiaTheme="minorHAnsi"/>
          <w:b/>
          <w:bCs/>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B90A1D" w:rsidRPr="00AC6103" w:rsidTr="00167FAD">
        <w:trPr>
          <w:trHeight w:val="464"/>
          <w:tblHeader/>
        </w:trPr>
        <w:tc>
          <w:tcPr>
            <w:tcW w:w="4365" w:type="dxa"/>
            <w:tcBorders>
              <w:left w:val="nil"/>
              <w:right w:val="nil"/>
            </w:tcBorders>
            <w:shd w:val="solid" w:color="000000" w:fill="auto"/>
            <w:vAlign w:val="bottom"/>
          </w:tcPr>
          <w:p w:rsidR="00B90A1D" w:rsidRPr="00AC6103" w:rsidRDefault="00B90A1D" w:rsidP="00B90A1D">
            <w:pPr>
              <w:pStyle w:val="million"/>
              <w:jc w:val="left"/>
              <w:rPr>
                <w:rFonts w:eastAsiaTheme="minorEastAsia" w:cs="Calibri"/>
                <w:color w:val="FFFFFF"/>
                <w:sz w:val="19"/>
                <w:lang w:eastAsia="en-AU"/>
              </w:rPr>
            </w:pPr>
          </w:p>
        </w:tc>
        <w:tc>
          <w:tcPr>
            <w:tcW w:w="850" w:type="dxa"/>
            <w:tcBorders>
              <w:left w:val="nil"/>
              <w:right w:val="nil"/>
            </w:tcBorders>
            <w:shd w:val="solid" w:color="000000" w:fill="auto"/>
            <w:vAlign w:val="bottom"/>
          </w:tcPr>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2014-15</w:t>
            </w:r>
          </w:p>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actual</w:t>
            </w:r>
          </w:p>
        </w:tc>
        <w:tc>
          <w:tcPr>
            <w:tcW w:w="850" w:type="dxa"/>
            <w:tcBorders>
              <w:left w:val="nil"/>
              <w:right w:val="nil"/>
            </w:tcBorders>
            <w:shd w:val="solid" w:color="000000" w:fill="auto"/>
            <w:vAlign w:val="bottom"/>
          </w:tcPr>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2016-17</w:t>
            </w:r>
          </w:p>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r>
      <w:tr w:rsidR="00B90A1D" w:rsidRPr="00AC6103" w:rsidTr="00167FAD">
        <w:tc>
          <w:tcPr>
            <w:tcW w:w="7765" w:type="dxa"/>
            <w:gridSpan w:val="5"/>
            <w:tcBorders>
              <w:top w:val="single" w:sz="6" w:space="0" w:color="auto"/>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Cash flows from operating activities</w:t>
            </w:r>
          </w:p>
        </w:tc>
      </w:tr>
      <w:tr w:rsidR="00B90A1D" w:rsidRPr="00AC6103" w:rsidTr="00167FAD">
        <w:tc>
          <w:tcPr>
            <w:tcW w:w="7765" w:type="dxa"/>
            <w:gridSpan w:val="5"/>
            <w:tcBorders>
              <w:top w:val="nil"/>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Receipts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AC6103">
              <w:rPr>
                <w:rFonts w:ascii="Calibri" w:eastAsiaTheme="minorEastAsia" w:hAnsi="Calibri" w:cs="Calibri"/>
                <w:color w:val="000000"/>
                <w:sz w:val="19"/>
                <w:lang w:eastAsia="en-AU"/>
              </w:rPr>
              <w:t>Receipts from Government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5 010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5 442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5 561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5 773</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Receipts from other entities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85</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Interest received</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60</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receipts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55</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26</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37</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29</w:t>
            </w:r>
          </w:p>
        </w:tc>
      </w:tr>
      <w:tr w:rsidR="002C39A3" w:rsidRPr="00AC6103" w:rsidTr="00361FA9">
        <w:tc>
          <w:tcPr>
            <w:tcW w:w="4365"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receipts</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5 190</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5 605</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5 718</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5 947</w:t>
            </w:r>
          </w:p>
        </w:tc>
      </w:tr>
      <w:tr w:rsidR="00B90A1D" w:rsidRPr="00AC6103" w:rsidTr="00167FAD">
        <w:tc>
          <w:tcPr>
            <w:tcW w:w="7765" w:type="dxa"/>
            <w:gridSpan w:val="5"/>
            <w:tcBorders>
              <w:top w:val="nil"/>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color w:val="000000"/>
                <w:sz w:val="19"/>
                <w:lang w:eastAsia="en-AU"/>
              </w:rPr>
            </w:pPr>
            <w:r>
              <w:rPr>
                <w:rFonts w:ascii="Calibri" w:eastAsiaTheme="minorEastAsia" w:hAnsi="Calibri" w:cs="Calibri"/>
                <w:b/>
                <w:bCs/>
                <w:color w:val="000000"/>
                <w:sz w:val="19"/>
                <w:lang w:eastAsia="en-AU"/>
              </w:rPr>
              <w:t>Payments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Payments of grants and other transfers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(1 087)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(1 096)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(1 175)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(1 221)</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Payments to suppliers and employees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(3 764)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(4 014)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(4 057)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(4 319)</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Capital asset charge</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(196)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(225)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(225)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(242)</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Interest and other costs of finance paid</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(24)</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(22)</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(24)</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(25)</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payments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(5 071)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(5 357)</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(5 481)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(5 807)</w:t>
            </w:r>
          </w:p>
        </w:tc>
      </w:tr>
      <w:tr w:rsidR="002C39A3" w:rsidRPr="00AC6103" w:rsidTr="00361FA9">
        <w:tc>
          <w:tcPr>
            <w:tcW w:w="4365"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cash flows from/(used in) operating activities</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119</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248</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238</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140</w:t>
            </w:r>
          </w:p>
        </w:tc>
      </w:tr>
      <w:tr w:rsidR="00B90A1D" w:rsidRPr="00AC6103" w:rsidTr="00167FAD">
        <w:tc>
          <w:tcPr>
            <w:tcW w:w="7765" w:type="dxa"/>
            <w:gridSpan w:val="5"/>
            <w:tcBorders>
              <w:top w:val="nil"/>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Cash flows from investing activities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vertAlign w:val="superscript"/>
                <w:lang w:eastAsia="en-AU"/>
              </w:rPr>
            </w:pPr>
            <w:r w:rsidRPr="00AC6103">
              <w:rPr>
                <w:rFonts w:ascii="Calibri" w:eastAsiaTheme="minorEastAsia" w:hAnsi="Calibri" w:cs="Calibri"/>
                <w:color w:val="000000"/>
                <w:sz w:val="19"/>
                <w:lang w:eastAsia="en-AU"/>
              </w:rPr>
              <w:t>Net investment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Payments for non-financial assets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(636)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(567)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(462)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(475)</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Proceeds from sale of non-financial assets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34</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Net loans to other parties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65"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cash flow from/(used in) investing activities</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(585)</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(542)</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(429)</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(444)</w:t>
            </w:r>
          </w:p>
        </w:tc>
      </w:tr>
      <w:tr w:rsidR="00B90A1D" w:rsidRPr="00AC6103" w:rsidTr="00167FAD">
        <w:tc>
          <w:tcPr>
            <w:tcW w:w="7765" w:type="dxa"/>
            <w:gridSpan w:val="5"/>
            <w:tcBorders>
              <w:top w:val="nil"/>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Cash flows from financing activities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Owner contributions by State Government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519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341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229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346</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Repayment of finance leases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(18)</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Net borrowings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w:t>
            </w:r>
          </w:p>
        </w:tc>
      </w:tr>
      <w:tr w:rsidR="002C39A3" w:rsidRPr="00AC6103" w:rsidTr="00361FA9">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cash flows from/(used in) financing activities</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507</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312</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201</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317</w:t>
            </w:r>
          </w:p>
        </w:tc>
      </w:tr>
      <w:tr w:rsidR="002C39A3" w:rsidRPr="00AC6103" w:rsidTr="00361FA9">
        <w:tc>
          <w:tcPr>
            <w:tcW w:w="4365" w:type="dxa"/>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increase/(decrease) in cash and cash equivalents</w:t>
            </w:r>
          </w:p>
        </w:tc>
        <w:tc>
          <w:tcPr>
            <w:tcW w:w="850" w:type="dxa"/>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41</w:t>
            </w:r>
          </w:p>
        </w:tc>
        <w:tc>
          <w:tcPr>
            <w:tcW w:w="850" w:type="dxa"/>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17</w:t>
            </w:r>
          </w:p>
        </w:tc>
        <w:tc>
          <w:tcPr>
            <w:tcW w:w="850" w:type="dxa"/>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9</w:t>
            </w:r>
          </w:p>
        </w:tc>
        <w:tc>
          <w:tcPr>
            <w:tcW w:w="850" w:type="dxa"/>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13</w:t>
            </w:r>
          </w:p>
        </w:tc>
      </w:tr>
      <w:tr w:rsidR="002C39A3" w:rsidRPr="00AC6103" w:rsidTr="00361FA9">
        <w:tc>
          <w:tcPr>
            <w:tcW w:w="4365"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Cash and cash equivalents at the beginning of the financial year</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322</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363</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363</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372</w:t>
            </w:r>
          </w:p>
        </w:tc>
      </w:tr>
      <w:tr w:rsidR="002C39A3" w:rsidRPr="00AC6103" w:rsidTr="00361FA9">
        <w:tc>
          <w:tcPr>
            <w:tcW w:w="4365"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 xml:space="preserve">Cash and cash equivalents at the end of </w:t>
            </w:r>
            <w:r w:rsidR="00B90A1D">
              <w:rPr>
                <w:rFonts w:ascii="Calibri" w:eastAsiaTheme="minorEastAsia" w:hAnsi="Calibri" w:cs="Calibri"/>
                <w:b/>
                <w:bCs/>
                <w:color w:val="000000"/>
                <w:sz w:val="19"/>
                <w:lang w:eastAsia="en-AU"/>
              </w:rPr>
              <w:t>the financial </w:t>
            </w:r>
            <w:r w:rsidRPr="00AC6103">
              <w:rPr>
                <w:rFonts w:ascii="Calibri" w:eastAsiaTheme="minorEastAsia" w:hAnsi="Calibri" w:cs="Calibri"/>
                <w:b/>
                <w:bCs/>
                <w:color w:val="000000"/>
                <w:sz w:val="19"/>
                <w:lang w:eastAsia="en-AU"/>
              </w:rPr>
              <w:t>year</w:t>
            </w:r>
          </w:p>
        </w:tc>
        <w:tc>
          <w:tcPr>
            <w:tcW w:w="850"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363</w:t>
            </w:r>
          </w:p>
        </w:tc>
        <w:tc>
          <w:tcPr>
            <w:tcW w:w="850"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380</w:t>
            </w:r>
          </w:p>
        </w:tc>
        <w:tc>
          <w:tcPr>
            <w:tcW w:w="850"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372</w:t>
            </w:r>
          </w:p>
        </w:tc>
        <w:tc>
          <w:tcPr>
            <w:tcW w:w="850"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385</w:t>
            </w:r>
          </w:p>
        </w:tc>
      </w:tr>
    </w:tbl>
    <w:p w:rsidR="002C39A3" w:rsidRDefault="002C39A3" w:rsidP="00361FA9">
      <w:pPr>
        <w:pStyle w:val="Source"/>
        <w:rPr>
          <w:rFonts w:eastAsiaTheme="minorHAnsi"/>
        </w:rPr>
      </w:pPr>
      <w:r w:rsidRPr="00FF0D57">
        <w:rPr>
          <w:rFonts w:eastAsiaTheme="minorHAnsi"/>
        </w:rPr>
        <w:t xml:space="preserve">Sources: </w:t>
      </w:r>
      <w:r w:rsidRPr="003D744C">
        <w:rPr>
          <w:rFonts w:eastAsiaTheme="minorHAnsi"/>
        </w:rPr>
        <w:t>Departments of Justice and Regulation, and Treasury and Finance</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3.5.4:</w:t>
      </w:r>
      <w:r>
        <w:rPr>
          <w:rFonts w:eastAsiaTheme="minorHAnsi"/>
        </w:rPr>
        <w:tab/>
        <w:t>Statement of changes in equity</w:t>
      </w:r>
    </w:p>
    <w:p w:rsidR="002C39A3" w:rsidRPr="00AC6103" w:rsidRDefault="002C39A3" w:rsidP="00361FA9">
      <w:pPr>
        <w:pStyle w:val="million"/>
        <w:rPr>
          <w:rFonts w:eastAsiaTheme="minorEastAsia"/>
          <w:b/>
          <w:bCs/>
          <w:lang w:val="en-US" w:eastAsia="en-AU"/>
        </w:rPr>
      </w:pPr>
      <w:r>
        <w:rPr>
          <w:rFonts w:eastAsiaTheme="minorHAnsi"/>
        </w:rPr>
        <w:t>($ million)</w:t>
      </w:r>
    </w:p>
    <w:tbl>
      <w:tblPr>
        <w:tblW w:w="7760" w:type="dxa"/>
        <w:tblInd w:w="45" w:type="dxa"/>
        <w:tblLayout w:type="fixed"/>
        <w:tblCellMar>
          <w:left w:w="45" w:type="dxa"/>
          <w:right w:w="45" w:type="dxa"/>
        </w:tblCellMar>
        <w:tblLook w:val="0000" w:firstRow="0" w:lastRow="0" w:firstColumn="0" w:lastColumn="0" w:noHBand="0" w:noVBand="0"/>
      </w:tblPr>
      <w:tblGrid>
        <w:gridCol w:w="2551"/>
        <w:gridCol w:w="567"/>
        <w:gridCol w:w="850"/>
        <w:gridCol w:w="1134"/>
        <w:gridCol w:w="1071"/>
        <w:gridCol w:w="771"/>
        <w:gridCol w:w="816"/>
      </w:tblGrid>
      <w:tr w:rsidR="002C39A3" w:rsidRPr="00AC6103" w:rsidTr="00361FA9">
        <w:trPr>
          <w:tblHeader/>
        </w:trPr>
        <w:tc>
          <w:tcPr>
            <w:tcW w:w="2551" w:type="dxa"/>
            <w:tcBorders>
              <w:left w:val="nil"/>
              <w:bottom w:val="single" w:sz="6" w:space="0" w:color="auto"/>
              <w:right w:val="nil"/>
            </w:tcBorders>
            <w:shd w:val="solid" w:color="000000" w:fill="auto"/>
            <w:vAlign w:val="bottom"/>
          </w:tcPr>
          <w:p w:rsidR="002C39A3" w:rsidRPr="00AC6103" w:rsidRDefault="002C39A3" w:rsidP="00361FA9">
            <w:pPr>
              <w:pStyle w:val="Source"/>
              <w:spacing w:after="0"/>
              <w:rPr>
                <w:rFonts w:eastAsiaTheme="minorEastAsia" w:cs="Calibri"/>
                <w:color w:val="FFFFFF"/>
                <w:sz w:val="19"/>
                <w:lang w:eastAsia="en-AU"/>
              </w:rPr>
            </w:pPr>
            <w:r w:rsidRPr="00AC6103">
              <w:rPr>
                <w:rFonts w:eastAsiaTheme="minorEastAsia" w:cs="Calibri"/>
                <w:color w:val="FFFFFF"/>
                <w:sz w:val="19"/>
                <w:lang w:eastAsia="en-AU"/>
              </w:rPr>
              <w:t xml:space="preserve"> </w:t>
            </w:r>
          </w:p>
        </w:tc>
        <w:tc>
          <w:tcPr>
            <w:tcW w:w="1417" w:type="dxa"/>
            <w:gridSpan w:val="2"/>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Accumulated surplus/(deficit)</w:t>
            </w:r>
          </w:p>
        </w:tc>
        <w:tc>
          <w:tcPr>
            <w:tcW w:w="1134" w:type="dxa"/>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Contributions by owner</w:t>
            </w:r>
          </w:p>
        </w:tc>
        <w:tc>
          <w:tcPr>
            <w:tcW w:w="1071" w:type="dxa"/>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Revaluation surplus</w:t>
            </w:r>
          </w:p>
        </w:tc>
        <w:tc>
          <w:tcPr>
            <w:tcW w:w="771" w:type="dxa"/>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Other reserves</w:t>
            </w:r>
          </w:p>
        </w:tc>
        <w:tc>
          <w:tcPr>
            <w:tcW w:w="816" w:type="dxa"/>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 xml:space="preserve">Total equity </w:t>
            </w:r>
          </w:p>
        </w:tc>
      </w:tr>
      <w:tr w:rsidR="002C39A3" w:rsidRPr="00AC6103" w:rsidTr="00361FA9">
        <w:tc>
          <w:tcPr>
            <w:tcW w:w="3118" w:type="dxa"/>
            <w:gridSpan w:val="2"/>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Opening balance 1 July 2014</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756</w:t>
            </w:r>
          </w:p>
        </w:tc>
        <w:tc>
          <w:tcPr>
            <w:tcW w:w="1134"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1 800</w:t>
            </w:r>
          </w:p>
        </w:tc>
        <w:tc>
          <w:tcPr>
            <w:tcW w:w="10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1 538</w:t>
            </w:r>
          </w:p>
        </w:tc>
        <w:tc>
          <w:tcPr>
            <w:tcW w:w="7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16"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4 094</w:t>
            </w:r>
          </w:p>
        </w:tc>
      </w:tr>
      <w:tr w:rsidR="002C39A3" w:rsidRPr="00AC6103" w:rsidTr="00361FA9">
        <w:tc>
          <w:tcPr>
            <w:tcW w:w="3118"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(16)</w:t>
            </w:r>
          </w:p>
        </w:tc>
        <w:tc>
          <w:tcPr>
            <w:tcW w:w="1134"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c>
          <w:tcPr>
            <w:tcW w:w="7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(21)</w:t>
            </w:r>
          </w:p>
        </w:tc>
      </w:tr>
      <w:tr w:rsidR="002C39A3" w:rsidRPr="00AC6103" w:rsidTr="00361FA9">
        <w:tc>
          <w:tcPr>
            <w:tcW w:w="3118"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Transfer from revaluation surplus to accumulated surplus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352</w:t>
            </w:r>
          </w:p>
        </w:tc>
        <w:tc>
          <w:tcPr>
            <w:tcW w:w="1134"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(352)</w:t>
            </w:r>
          </w:p>
        </w:tc>
        <w:tc>
          <w:tcPr>
            <w:tcW w:w="7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c>
          <w:tcPr>
            <w:tcW w:w="3118"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w:t>
            </w:r>
          </w:p>
        </w:tc>
        <w:tc>
          <w:tcPr>
            <w:tcW w:w="1134"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(139)</w:t>
            </w:r>
          </w:p>
        </w:tc>
        <w:tc>
          <w:tcPr>
            <w:tcW w:w="10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(130)</w:t>
            </w:r>
          </w:p>
        </w:tc>
      </w:tr>
      <w:tr w:rsidR="002C39A3" w:rsidRPr="00AC6103" w:rsidTr="00361FA9">
        <w:tc>
          <w:tcPr>
            <w:tcW w:w="3118" w:type="dxa"/>
            <w:gridSpan w:val="2"/>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vertAlign w:val="superscript"/>
                <w:lang w:eastAsia="en-AU"/>
              </w:rPr>
            </w:pPr>
            <w:r w:rsidRPr="00AC6103">
              <w:rPr>
                <w:rFonts w:ascii="Calibri" w:eastAsiaTheme="minorEastAsia" w:hAnsi="Calibri" w:cs="Calibri"/>
                <w:b/>
                <w:bCs/>
                <w:color w:val="000000"/>
                <w:sz w:val="19"/>
                <w:lang w:eastAsia="en-AU"/>
              </w:rPr>
              <w:t>Closing balance 30 June 2015 (actual)</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1 102</w:t>
            </w:r>
          </w:p>
        </w:tc>
        <w:tc>
          <w:tcPr>
            <w:tcW w:w="1134"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1 660</w:t>
            </w:r>
          </w:p>
        </w:tc>
        <w:tc>
          <w:tcPr>
            <w:tcW w:w="10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1 182</w:t>
            </w:r>
          </w:p>
        </w:tc>
        <w:tc>
          <w:tcPr>
            <w:tcW w:w="7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16"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3 944</w:t>
            </w:r>
          </w:p>
        </w:tc>
      </w:tr>
      <w:tr w:rsidR="002C39A3" w:rsidRPr="00AC6103" w:rsidTr="00361FA9">
        <w:tc>
          <w:tcPr>
            <w:tcW w:w="3118"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31</w:t>
            </w:r>
          </w:p>
        </w:tc>
        <w:tc>
          <w:tcPr>
            <w:tcW w:w="1134"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31</w:t>
            </w:r>
          </w:p>
        </w:tc>
      </w:tr>
      <w:tr w:rsidR="002C39A3" w:rsidRPr="00AC6103" w:rsidTr="00361FA9">
        <w:tc>
          <w:tcPr>
            <w:tcW w:w="3118"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134"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341</w:t>
            </w:r>
          </w:p>
        </w:tc>
        <w:tc>
          <w:tcPr>
            <w:tcW w:w="10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341</w:t>
            </w:r>
          </w:p>
        </w:tc>
      </w:tr>
      <w:tr w:rsidR="002C39A3" w:rsidRPr="00AC6103" w:rsidTr="00361FA9">
        <w:tc>
          <w:tcPr>
            <w:tcW w:w="3118" w:type="dxa"/>
            <w:gridSpan w:val="2"/>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Closing balance 30 June 2016 (budget)</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1 133</w:t>
            </w:r>
          </w:p>
        </w:tc>
        <w:tc>
          <w:tcPr>
            <w:tcW w:w="1134"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2 001</w:t>
            </w:r>
          </w:p>
        </w:tc>
        <w:tc>
          <w:tcPr>
            <w:tcW w:w="10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1 182</w:t>
            </w:r>
          </w:p>
        </w:tc>
        <w:tc>
          <w:tcPr>
            <w:tcW w:w="7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16"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4 315</w:t>
            </w:r>
          </w:p>
        </w:tc>
      </w:tr>
      <w:tr w:rsidR="002C39A3" w:rsidRPr="00AC6103" w:rsidTr="00361FA9">
        <w:tc>
          <w:tcPr>
            <w:tcW w:w="3118"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1134"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w:t>
            </w:r>
          </w:p>
        </w:tc>
      </w:tr>
      <w:tr w:rsidR="002C39A3" w:rsidRPr="00AC6103" w:rsidTr="00361FA9">
        <w:tc>
          <w:tcPr>
            <w:tcW w:w="3118"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134"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229</w:t>
            </w:r>
          </w:p>
        </w:tc>
        <w:tc>
          <w:tcPr>
            <w:tcW w:w="10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229</w:t>
            </w:r>
          </w:p>
        </w:tc>
      </w:tr>
      <w:tr w:rsidR="002C39A3" w:rsidRPr="00AC6103" w:rsidTr="00361FA9">
        <w:tc>
          <w:tcPr>
            <w:tcW w:w="3118" w:type="dxa"/>
            <w:gridSpan w:val="2"/>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Closing balance 30 June 2016 (revised)</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1 101</w:t>
            </w:r>
          </w:p>
        </w:tc>
        <w:tc>
          <w:tcPr>
            <w:tcW w:w="1134"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1 890</w:t>
            </w:r>
          </w:p>
        </w:tc>
        <w:tc>
          <w:tcPr>
            <w:tcW w:w="10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1 182</w:t>
            </w:r>
          </w:p>
        </w:tc>
        <w:tc>
          <w:tcPr>
            <w:tcW w:w="7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16"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4 172</w:t>
            </w:r>
          </w:p>
        </w:tc>
      </w:tr>
      <w:tr w:rsidR="002C39A3" w:rsidRPr="00AC6103" w:rsidTr="00361FA9">
        <w:tc>
          <w:tcPr>
            <w:tcW w:w="3118"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21</w:t>
            </w:r>
          </w:p>
        </w:tc>
        <w:tc>
          <w:tcPr>
            <w:tcW w:w="1134"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21</w:t>
            </w:r>
          </w:p>
        </w:tc>
      </w:tr>
      <w:tr w:rsidR="002C39A3" w:rsidRPr="00AC6103" w:rsidTr="00361FA9">
        <w:tc>
          <w:tcPr>
            <w:tcW w:w="3118"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134"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333</w:t>
            </w:r>
          </w:p>
        </w:tc>
        <w:tc>
          <w:tcPr>
            <w:tcW w:w="10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333</w:t>
            </w:r>
          </w:p>
        </w:tc>
      </w:tr>
      <w:tr w:rsidR="002C39A3" w:rsidRPr="00AC6103" w:rsidTr="00361FA9">
        <w:tc>
          <w:tcPr>
            <w:tcW w:w="3118" w:type="dxa"/>
            <w:gridSpan w:val="2"/>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Closing balance 30 June 2017 (budget)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1 122</w:t>
            </w:r>
          </w:p>
        </w:tc>
        <w:tc>
          <w:tcPr>
            <w:tcW w:w="1134"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2 223</w:t>
            </w:r>
          </w:p>
        </w:tc>
        <w:tc>
          <w:tcPr>
            <w:tcW w:w="1071"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1 182</w:t>
            </w:r>
          </w:p>
        </w:tc>
        <w:tc>
          <w:tcPr>
            <w:tcW w:w="771"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16"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4 526</w:t>
            </w:r>
          </w:p>
        </w:tc>
      </w:tr>
    </w:tbl>
    <w:p w:rsidR="002C39A3" w:rsidRDefault="002C39A3" w:rsidP="00361FA9">
      <w:pPr>
        <w:pStyle w:val="Source"/>
        <w:rPr>
          <w:rFonts w:eastAsiaTheme="minorHAnsi"/>
        </w:rPr>
      </w:pPr>
      <w:r w:rsidRPr="00FF0D57">
        <w:rPr>
          <w:rFonts w:eastAsiaTheme="minorHAnsi"/>
        </w:rPr>
        <w:t xml:space="preserve">Sources: </w:t>
      </w:r>
      <w:r w:rsidRPr="003D744C">
        <w:rPr>
          <w:rFonts w:eastAsiaTheme="minorHAnsi"/>
        </w:rPr>
        <w:t>Departments of Justice and Regulation, and Treasury and Finance</w:t>
      </w:r>
    </w:p>
    <w:p w:rsidR="002C39A3" w:rsidRDefault="002C39A3" w:rsidP="00361FA9">
      <w:pPr>
        <w:pStyle w:val="million"/>
        <w:rPr>
          <w:rFonts w:eastAsiaTheme="minorHAnsi"/>
        </w:rPr>
      </w:pP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3.5.5:</w:t>
      </w:r>
      <w:r>
        <w:rPr>
          <w:rFonts w:eastAsiaTheme="minorHAnsi"/>
        </w:rPr>
        <w:tab/>
        <w:t>Administered items statement</w:t>
      </w:r>
    </w:p>
    <w:p w:rsidR="002C39A3" w:rsidRPr="00AC6103" w:rsidRDefault="002C39A3" w:rsidP="00361FA9">
      <w:pPr>
        <w:pStyle w:val="million"/>
        <w:rPr>
          <w:rFonts w:eastAsiaTheme="minorHAnsi"/>
          <w:b/>
          <w:bCs/>
          <w:sz w:val="15"/>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171"/>
        <w:gridCol w:w="679"/>
        <w:gridCol w:w="850"/>
        <w:gridCol w:w="850"/>
        <w:gridCol w:w="850"/>
      </w:tblGrid>
      <w:tr w:rsidR="00B90A1D" w:rsidRPr="00AC6103" w:rsidTr="00167FAD">
        <w:trPr>
          <w:cantSplit/>
          <w:trHeight w:val="464"/>
          <w:tblHeader/>
        </w:trPr>
        <w:tc>
          <w:tcPr>
            <w:tcW w:w="4365" w:type="dxa"/>
            <w:tcBorders>
              <w:left w:val="nil"/>
              <w:right w:val="nil"/>
            </w:tcBorders>
            <w:shd w:val="solid" w:color="000000" w:fill="auto"/>
            <w:vAlign w:val="bottom"/>
          </w:tcPr>
          <w:p w:rsidR="00B90A1D" w:rsidRPr="00AC6103" w:rsidRDefault="00B90A1D" w:rsidP="00B90A1D">
            <w:pPr>
              <w:pStyle w:val="Source"/>
              <w:spacing w:after="0"/>
              <w:rPr>
                <w:rFonts w:eastAsiaTheme="minorEastAsia" w:cs="Calibri"/>
                <w:color w:val="FFFFFF"/>
                <w:sz w:val="19"/>
                <w:lang w:eastAsia="en-AU"/>
              </w:rPr>
            </w:pPr>
          </w:p>
        </w:tc>
        <w:tc>
          <w:tcPr>
            <w:tcW w:w="850" w:type="dxa"/>
            <w:gridSpan w:val="2"/>
            <w:tcBorders>
              <w:left w:val="nil"/>
              <w:right w:val="nil"/>
            </w:tcBorders>
            <w:shd w:val="solid" w:color="000000" w:fill="auto"/>
            <w:vAlign w:val="bottom"/>
          </w:tcPr>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2014-15</w:t>
            </w:r>
          </w:p>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actual</w:t>
            </w:r>
          </w:p>
        </w:tc>
        <w:tc>
          <w:tcPr>
            <w:tcW w:w="850" w:type="dxa"/>
            <w:tcBorders>
              <w:left w:val="nil"/>
              <w:right w:val="nil"/>
            </w:tcBorders>
            <w:shd w:val="solid" w:color="000000" w:fill="auto"/>
            <w:vAlign w:val="bottom"/>
          </w:tcPr>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2016-17</w:t>
            </w:r>
          </w:p>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r>
      <w:tr w:rsidR="00B90A1D" w:rsidRPr="00AC6103" w:rsidTr="00167FAD">
        <w:trPr>
          <w:cantSplit/>
        </w:trPr>
        <w:tc>
          <w:tcPr>
            <w:tcW w:w="7765" w:type="dxa"/>
            <w:gridSpan w:val="6"/>
            <w:tcBorders>
              <w:top w:val="single" w:sz="6" w:space="0" w:color="auto"/>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Administered income</w:t>
            </w:r>
          </w:p>
        </w:tc>
      </w:tr>
      <w:tr w:rsidR="002C39A3" w:rsidRPr="00AC6103" w:rsidTr="00361FA9">
        <w:trPr>
          <w:cantSplit/>
        </w:trPr>
        <w:tc>
          <w:tcPr>
            <w:tcW w:w="4536"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Appropriations – payments made on behalf of the State</w:t>
            </w:r>
          </w:p>
        </w:tc>
        <w:tc>
          <w:tcPr>
            <w:tcW w:w="679"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54</w:t>
            </w:r>
          </w:p>
        </w:tc>
      </w:tr>
      <w:tr w:rsidR="002C39A3" w:rsidRPr="00AC6103" w:rsidTr="00361FA9">
        <w:trPr>
          <w:cantSplit/>
        </w:trPr>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Special appropriations</w:t>
            </w:r>
          </w:p>
        </w:tc>
        <w:tc>
          <w:tcPr>
            <w:tcW w:w="850"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10</w:t>
            </w:r>
          </w:p>
        </w:tc>
      </w:tr>
      <w:tr w:rsidR="002C39A3" w:rsidRPr="00AC6103" w:rsidTr="00361FA9">
        <w:trPr>
          <w:cantSplit/>
        </w:trPr>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Sale of goods and services</w:t>
            </w:r>
          </w:p>
        </w:tc>
        <w:tc>
          <w:tcPr>
            <w:tcW w:w="850"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443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446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459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444</w:t>
            </w:r>
          </w:p>
        </w:tc>
      </w:tr>
      <w:tr w:rsidR="002C39A3" w:rsidRPr="00AC6103" w:rsidTr="00361FA9">
        <w:trPr>
          <w:cantSplit/>
        </w:trPr>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Grants</w:t>
            </w:r>
          </w:p>
        </w:tc>
        <w:tc>
          <w:tcPr>
            <w:tcW w:w="850"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7</w:t>
            </w:r>
          </w:p>
        </w:tc>
      </w:tr>
      <w:tr w:rsidR="002C39A3" w:rsidRPr="00AC6103" w:rsidTr="00361FA9">
        <w:trPr>
          <w:cantSplit/>
        </w:trPr>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Interest</w:t>
            </w:r>
          </w:p>
        </w:tc>
        <w:tc>
          <w:tcPr>
            <w:tcW w:w="850"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14</w:t>
            </w:r>
          </w:p>
        </w:tc>
      </w:tr>
      <w:tr w:rsidR="002C39A3" w:rsidRPr="00AC6103" w:rsidTr="00361FA9">
        <w:trPr>
          <w:cantSplit/>
        </w:trPr>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income</w:t>
            </w:r>
          </w:p>
        </w:tc>
        <w:tc>
          <w:tcPr>
            <w:tcW w:w="850"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2 464</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2 605</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2 570</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2 637</w:t>
            </w:r>
          </w:p>
        </w:tc>
      </w:tr>
      <w:tr w:rsidR="002C39A3" w:rsidRPr="00AC6103" w:rsidTr="00361FA9">
        <w:trPr>
          <w:cantSplit/>
        </w:trPr>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administered income</w:t>
            </w:r>
          </w:p>
        </w:tc>
        <w:tc>
          <w:tcPr>
            <w:tcW w:w="850" w:type="dxa"/>
            <w:gridSpan w:val="2"/>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2 971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3 140</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3 118</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3 167</w:t>
            </w:r>
          </w:p>
        </w:tc>
      </w:tr>
      <w:tr w:rsidR="00B90A1D" w:rsidRPr="00AC6103" w:rsidTr="00167FAD">
        <w:trPr>
          <w:cantSplit/>
          <w:trHeight w:hRule="exact" w:val="120"/>
        </w:trPr>
        <w:tc>
          <w:tcPr>
            <w:tcW w:w="7765" w:type="dxa"/>
            <w:gridSpan w:val="6"/>
            <w:tcBorders>
              <w:top w:val="single" w:sz="6" w:space="0" w:color="auto"/>
              <w:left w:val="nil"/>
              <w:right w:val="nil"/>
            </w:tcBorders>
            <w:shd w:val="clear" w:color="auto" w:fill="FFFFFF"/>
          </w:tcPr>
          <w:p w:rsidR="00B90A1D" w:rsidRPr="00AC6103" w:rsidRDefault="00B90A1D" w:rsidP="00361FA9">
            <w:pPr>
              <w:autoSpaceDE w:val="0"/>
              <w:autoSpaceDN w:val="0"/>
              <w:adjustRightInd w:val="0"/>
              <w:spacing w:after="0"/>
              <w:jc w:val="right"/>
              <w:rPr>
                <w:rFonts w:ascii="Calibri" w:eastAsiaTheme="minorEastAsia" w:hAnsi="Calibri" w:cs="Calibri"/>
                <w:color w:val="000000"/>
                <w:sz w:val="19"/>
                <w:lang w:eastAsia="en-AU"/>
              </w:rPr>
            </w:pPr>
          </w:p>
        </w:tc>
      </w:tr>
      <w:tr w:rsidR="00B90A1D" w:rsidRPr="00AC6103" w:rsidTr="00167FAD">
        <w:trPr>
          <w:cantSplit/>
        </w:trPr>
        <w:tc>
          <w:tcPr>
            <w:tcW w:w="7765" w:type="dxa"/>
            <w:gridSpan w:val="6"/>
            <w:tcBorders>
              <w:top w:val="nil"/>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Administered expenses</w:t>
            </w:r>
          </w:p>
        </w:tc>
      </w:tr>
      <w:tr w:rsidR="002C39A3" w:rsidRPr="00AC6103" w:rsidTr="00361FA9">
        <w:trPr>
          <w:cantSplit/>
        </w:trPr>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Expenses on behalf of the State</w:t>
            </w:r>
          </w:p>
        </w:tc>
        <w:tc>
          <w:tcPr>
            <w:tcW w:w="850"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14</w:t>
            </w:r>
          </w:p>
        </w:tc>
      </w:tr>
      <w:tr w:rsidR="002C39A3" w:rsidRPr="00AC6103" w:rsidTr="00361FA9">
        <w:trPr>
          <w:cantSplit/>
        </w:trPr>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Grants and other transfers</w:t>
            </w:r>
          </w:p>
        </w:tc>
        <w:tc>
          <w:tcPr>
            <w:tcW w:w="850"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w:t>
            </w:r>
          </w:p>
        </w:tc>
      </w:tr>
      <w:tr w:rsidR="002C39A3" w:rsidRPr="00AC6103" w:rsidTr="00361FA9">
        <w:trPr>
          <w:cantSplit/>
        </w:trPr>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Payments into the Consolidated Fund</w:t>
            </w:r>
          </w:p>
        </w:tc>
        <w:tc>
          <w:tcPr>
            <w:tcW w:w="850"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2 922</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2 746</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2 746</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2 734</w:t>
            </w:r>
          </w:p>
        </w:tc>
      </w:tr>
      <w:tr w:rsidR="002C39A3" w:rsidRPr="00AC6103" w:rsidTr="00361FA9">
        <w:trPr>
          <w:cantSplit/>
        </w:trPr>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administered expenses</w:t>
            </w:r>
          </w:p>
        </w:tc>
        <w:tc>
          <w:tcPr>
            <w:tcW w:w="850" w:type="dxa"/>
            <w:gridSpan w:val="2"/>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2 952</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2 764</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2 764</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2 753</w:t>
            </w:r>
          </w:p>
        </w:tc>
      </w:tr>
      <w:tr w:rsidR="002C39A3" w:rsidRPr="00AC6103" w:rsidTr="00361FA9">
        <w:trPr>
          <w:cantSplit/>
        </w:trPr>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Income less expenses</w:t>
            </w:r>
          </w:p>
        </w:tc>
        <w:tc>
          <w:tcPr>
            <w:tcW w:w="850" w:type="dxa"/>
            <w:gridSpan w:val="2"/>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19</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376</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354</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415</w:t>
            </w:r>
          </w:p>
        </w:tc>
      </w:tr>
      <w:tr w:rsidR="00B90A1D" w:rsidRPr="00AC6103" w:rsidTr="00167FAD">
        <w:trPr>
          <w:cantSplit/>
        </w:trPr>
        <w:tc>
          <w:tcPr>
            <w:tcW w:w="7765" w:type="dxa"/>
            <w:gridSpan w:val="6"/>
            <w:tcBorders>
              <w:top w:val="single" w:sz="6" w:space="0" w:color="auto"/>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Other economic flows included in net result</w:t>
            </w:r>
          </w:p>
        </w:tc>
      </w:tr>
      <w:tr w:rsidR="002C39A3" w:rsidRPr="00AC6103" w:rsidTr="00361FA9">
        <w:trPr>
          <w:cantSplit/>
        </w:trPr>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Net gain/(loss) on non-financial assets</w:t>
            </w:r>
          </w:p>
        </w:tc>
        <w:tc>
          <w:tcPr>
            <w:tcW w:w="850"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r>
      <w:tr w:rsidR="002C39A3" w:rsidRPr="00AC6103" w:rsidTr="00361FA9">
        <w:trPr>
          <w:cantSplit/>
        </w:trPr>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gains/(losses) from other economic flows</w:t>
            </w:r>
          </w:p>
        </w:tc>
        <w:tc>
          <w:tcPr>
            <w:tcW w:w="850"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(285)</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(315)</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(301)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(294)</w:t>
            </w:r>
          </w:p>
        </w:tc>
      </w:tr>
      <w:tr w:rsidR="002C39A3" w:rsidRPr="00AC6103" w:rsidTr="00361FA9">
        <w:trPr>
          <w:cantSplit/>
        </w:trPr>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other economic flows included in net result</w:t>
            </w:r>
          </w:p>
        </w:tc>
        <w:tc>
          <w:tcPr>
            <w:tcW w:w="850" w:type="dxa"/>
            <w:gridSpan w:val="2"/>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(286)</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(314)</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(300)</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(293)</w:t>
            </w:r>
          </w:p>
        </w:tc>
      </w:tr>
      <w:tr w:rsidR="002C39A3" w:rsidRPr="00AC6103" w:rsidTr="00361FA9">
        <w:trPr>
          <w:cantSplit/>
        </w:trPr>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result</w:t>
            </w:r>
          </w:p>
        </w:tc>
        <w:tc>
          <w:tcPr>
            <w:tcW w:w="850" w:type="dxa"/>
            <w:gridSpan w:val="2"/>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(267)</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62</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54</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122</w:t>
            </w:r>
          </w:p>
        </w:tc>
      </w:tr>
      <w:tr w:rsidR="00B90A1D" w:rsidRPr="00AC6103" w:rsidTr="00167FAD">
        <w:trPr>
          <w:cantSplit/>
          <w:trHeight w:hRule="exact" w:val="120"/>
        </w:trPr>
        <w:tc>
          <w:tcPr>
            <w:tcW w:w="7765" w:type="dxa"/>
            <w:gridSpan w:val="6"/>
            <w:tcBorders>
              <w:top w:val="single" w:sz="12" w:space="0" w:color="auto"/>
              <w:left w:val="nil"/>
              <w:right w:val="nil"/>
            </w:tcBorders>
            <w:shd w:val="clear" w:color="auto" w:fill="FFFFFF"/>
          </w:tcPr>
          <w:p w:rsidR="00B90A1D" w:rsidRPr="00AC6103" w:rsidRDefault="00B90A1D"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 xml:space="preserve">  </w:t>
            </w:r>
          </w:p>
          <w:p w:rsidR="00B90A1D" w:rsidRPr="00AC6103" w:rsidRDefault="00B90A1D"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 xml:space="preserve">  </w:t>
            </w:r>
          </w:p>
          <w:p w:rsidR="00B90A1D" w:rsidRPr="00AC6103" w:rsidRDefault="00B90A1D"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 xml:space="preserve">  </w:t>
            </w:r>
          </w:p>
          <w:p w:rsidR="00B90A1D" w:rsidRPr="00AC6103" w:rsidRDefault="00B90A1D"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 xml:space="preserve">  </w:t>
            </w:r>
          </w:p>
          <w:p w:rsidR="00B90A1D" w:rsidRPr="00AC6103" w:rsidRDefault="00B90A1D"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 xml:space="preserve">  </w:t>
            </w:r>
          </w:p>
        </w:tc>
      </w:tr>
      <w:tr w:rsidR="00B90A1D" w:rsidRPr="00AC6103" w:rsidTr="00167FAD">
        <w:trPr>
          <w:cantSplit/>
        </w:trPr>
        <w:tc>
          <w:tcPr>
            <w:tcW w:w="7765" w:type="dxa"/>
            <w:gridSpan w:val="6"/>
            <w:tcBorders>
              <w:top w:val="nil"/>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Other economic flows – other comprehensive income</w:t>
            </w:r>
          </w:p>
        </w:tc>
      </w:tr>
      <w:tr w:rsidR="002C39A3" w:rsidRPr="00AC6103" w:rsidTr="00361FA9">
        <w:trPr>
          <w:cantSplit/>
        </w:trPr>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w:t>
            </w:r>
          </w:p>
        </w:tc>
        <w:tc>
          <w:tcPr>
            <w:tcW w:w="850"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rPr>
          <w:cantSplit/>
        </w:trPr>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 xml:space="preserve">Total other economic flows – </w:t>
            </w:r>
            <w:r w:rsidR="00B90A1D">
              <w:rPr>
                <w:rFonts w:ascii="Calibri" w:eastAsiaTheme="minorEastAsia" w:hAnsi="Calibri" w:cs="Calibri"/>
                <w:b/>
                <w:bCs/>
                <w:color w:val="000000"/>
                <w:sz w:val="19"/>
                <w:lang w:eastAsia="en-AU"/>
              </w:rPr>
              <w:br/>
            </w:r>
            <w:r w:rsidRPr="00AC6103">
              <w:rPr>
                <w:rFonts w:ascii="Calibri" w:eastAsiaTheme="minorEastAsia" w:hAnsi="Calibri" w:cs="Calibri"/>
                <w:b/>
                <w:bCs/>
                <w:color w:val="000000"/>
                <w:sz w:val="19"/>
                <w:lang w:eastAsia="en-AU"/>
              </w:rPr>
              <w:t>other comprehensive income</w:t>
            </w:r>
          </w:p>
        </w:tc>
        <w:tc>
          <w:tcPr>
            <w:tcW w:w="850" w:type="dxa"/>
            <w:gridSpan w:val="2"/>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rPr>
          <w:cantSplit/>
        </w:trPr>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Comprehensive result</w:t>
            </w:r>
          </w:p>
        </w:tc>
        <w:tc>
          <w:tcPr>
            <w:tcW w:w="850" w:type="dxa"/>
            <w:gridSpan w:val="2"/>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(267)</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62</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54</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122</w:t>
            </w:r>
          </w:p>
        </w:tc>
      </w:tr>
      <w:tr w:rsidR="00B90A1D" w:rsidRPr="00AC6103" w:rsidTr="00167FAD">
        <w:trPr>
          <w:cantSplit/>
          <w:trHeight w:hRule="exact" w:val="120"/>
        </w:trPr>
        <w:tc>
          <w:tcPr>
            <w:tcW w:w="7765" w:type="dxa"/>
            <w:gridSpan w:val="6"/>
            <w:tcBorders>
              <w:top w:val="single" w:sz="12" w:space="0" w:color="auto"/>
              <w:left w:val="nil"/>
              <w:right w:val="nil"/>
            </w:tcBorders>
            <w:shd w:val="clear" w:color="auto" w:fill="FFFFFF"/>
          </w:tcPr>
          <w:p w:rsidR="00B90A1D" w:rsidRPr="00AC6103" w:rsidRDefault="00B90A1D" w:rsidP="00361FA9">
            <w:pPr>
              <w:autoSpaceDE w:val="0"/>
              <w:autoSpaceDN w:val="0"/>
              <w:adjustRightInd w:val="0"/>
              <w:spacing w:after="0"/>
              <w:jc w:val="right"/>
              <w:rPr>
                <w:rFonts w:ascii="Calibri" w:eastAsiaTheme="minorEastAsia" w:hAnsi="Calibri" w:cs="Calibri"/>
                <w:b/>
                <w:bCs/>
                <w:color w:val="000000"/>
                <w:sz w:val="19"/>
                <w:lang w:eastAsia="en-AU"/>
              </w:rPr>
            </w:pPr>
          </w:p>
        </w:tc>
      </w:tr>
      <w:tr w:rsidR="00B90A1D" w:rsidRPr="00AC6103" w:rsidTr="00167FAD">
        <w:trPr>
          <w:cantSplit/>
        </w:trPr>
        <w:tc>
          <w:tcPr>
            <w:tcW w:w="7765" w:type="dxa"/>
            <w:gridSpan w:val="6"/>
            <w:tcBorders>
              <w:top w:val="nil"/>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Administered assets</w:t>
            </w:r>
          </w:p>
        </w:tc>
      </w:tr>
      <w:tr w:rsidR="002C39A3" w:rsidRPr="00AC6103" w:rsidTr="00361FA9">
        <w:trPr>
          <w:cantSplit/>
        </w:trPr>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Cash and deposits</w:t>
            </w:r>
          </w:p>
        </w:tc>
        <w:tc>
          <w:tcPr>
            <w:tcW w:w="850"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68</w:t>
            </w:r>
          </w:p>
        </w:tc>
      </w:tr>
      <w:tr w:rsidR="002C39A3" w:rsidRPr="00AC6103" w:rsidTr="00361FA9">
        <w:trPr>
          <w:cantSplit/>
        </w:trPr>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Receivables</w:t>
            </w:r>
          </w:p>
        </w:tc>
        <w:tc>
          <w:tcPr>
            <w:tcW w:w="850"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1 631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1 543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1 535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1 507</w:t>
            </w:r>
          </w:p>
        </w:tc>
      </w:tr>
      <w:tr w:rsidR="002C39A3" w:rsidRPr="00AC6103" w:rsidTr="00361FA9">
        <w:trPr>
          <w:cantSplit/>
        </w:trPr>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financial assets</w:t>
            </w:r>
          </w:p>
        </w:tc>
        <w:tc>
          <w:tcPr>
            <w:tcW w:w="850"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w:t>
            </w:r>
          </w:p>
        </w:tc>
      </w:tr>
      <w:tr w:rsidR="002C39A3" w:rsidRPr="00AC6103" w:rsidTr="00361FA9">
        <w:trPr>
          <w:cantSplit/>
        </w:trPr>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administered assets</w:t>
            </w:r>
          </w:p>
        </w:tc>
        <w:tc>
          <w:tcPr>
            <w:tcW w:w="850" w:type="dxa"/>
            <w:gridSpan w:val="2"/>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1 699</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1 613</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1 605</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1 579</w:t>
            </w:r>
          </w:p>
        </w:tc>
      </w:tr>
      <w:tr w:rsidR="00B90A1D" w:rsidRPr="00AC6103" w:rsidTr="00167FAD">
        <w:trPr>
          <w:cantSplit/>
          <w:trHeight w:hRule="exact" w:val="120"/>
        </w:trPr>
        <w:tc>
          <w:tcPr>
            <w:tcW w:w="7765" w:type="dxa"/>
            <w:gridSpan w:val="6"/>
            <w:tcBorders>
              <w:top w:val="single" w:sz="6" w:space="0" w:color="auto"/>
              <w:left w:val="nil"/>
              <w:right w:val="nil"/>
            </w:tcBorders>
            <w:shd w:val="clear" w:color="auto" w:fill="FFFFFF"/>
          </w:tcPr>
          <w:p w:rsidR="00B90A1D" w:rsidRPr="00AC6103" w:rsidRDefault="00B90A1D" w:rsidP="00361FA9">
            <w:pPr>
              <w:autoSpaceDE w:val="0"/>
              <w:autoSpaceDN w:val="0"/>
              <w:adjustRightInd w:val="0"/>
              <w:spacing w:after="0"/>
              <w:jc w:val="right"/>
              <w:rPr>
                <w:rFonts w:ascii="Calibri" w:eastAsiaTheme="minorEastAsia" w:hAnsi="Calibri" w:cs="Calibri"/>
                <w:color w:val="000000"/>
                <w:sz w:val="19"/>
                <w:lang w:eastAsia="en-AU"/>
              </w:rPr>
            </w:pPr>
          </w:p>
        </w:tc>
      </w:tr>
      <w:tr w:rsidR="00B90A1D" w:rsidRPr="00AC6103" w:rsidTr="00167FAD">
        <w:trPr>
          <w:cantSplit/>
        </w:trPr>
        <w:tc>
          <w:tcPr>
            <w:tcW w:w="7765" w:type="dxa"/>
            <w:gridSpan w:val="6"/>
            <w:tcBorders>
              <w:top w:val="nil"/>
              <w:left w:val="nil"/>
              <w:right w:val="nil"/>
            </w:tcBorders>
            <w:shd w:val="clear" w:color="auto" w:fill="FFFFFF"/>
          </w:tcPr>
          <w:p w:rsidR="00B90A1D" w:rsidRPr="00AC6103" w:rsidRDefault="00B90A1D" w:rsidP="00B90A1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Administered liabilities</w:t>
            </w:r>
          </w:p>
        </w:tc>
      </w:tr>
      <w:tr w:rsidR="002C39A3" w:rsidRPr="00AC6103" w:rsidTr="00361FA9">
        <w:trPr>
          <w:cantSplit/>
        </w:trPr>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Payables</w:t>
            </w:r>
          </w:p>
        </w:tc>
        <w:tc>
          <w:tcPr>
            <w:tcW w:w="850"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1 579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1 430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1 430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1 282</w:t>
            </w:r>
          </w:p>
        </w:tc>
      </w:tr>
      <w:tr w:rsidR="002C39A3" w:rsidRPr="00AC6103" w:rsidTr="00361FA9">
        <w:trPr>
          <w:cantSplit/>
        </w:trPr>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Provisions</w:t>
            </w:r>
          </w:p>
        </w:tc>
        <w:tc>
          <w:tcPr>
            <w:tcW w:w="850"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r>
      <w:tr w:rsidR="002C39A3" w:rsidRPr="00AC6103" w:rsidTr="00361FA9">
        <w:trPr>
          <w:cantSplit/>
        </w:trPr>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administered liabilities</w:t>
            </w:r>
          </w:p>
        </w:tc>
        <w:tc>
          <w:tcPr>
            <w:tcW w:w="850" w:type="dxa"/>
            <w:gridSpan w:val="2"/>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1 579</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1 431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1 431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1 283</w:t>
            </w:r>
          </w:p>
        </w:tc>
      </w:tr>
      <w:tr w:rsidR="002C39A3" w:rsidRPr="00AC6103" w:rsidTr="00361FA9">
        <w:trPr>
          <w:cantSplit/>
        </w:trPr>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assets</w:t>
            </w:r>
          </w:p>
        </w:tc>
        <w:tc>
          <w:tcPr>
            <w:tcW w:w="850" w:type="dxa"/>
            <w:gridSpan w:val="2"/>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120</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182</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174</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296</w:t>
            </w:r>
          </w:p>
        </w:tc>
      </w:tr>
    </w:tbl>
    <w:p w:rsidR="002C39A3" w:rsidRDefault="002C39A3" w:rsidP="00361FA9">
      <w:pPr>
        <w:pStyle w:val="Source"/>
        <w:rPr>
          <w:rFonts w:eastAsiaTheme="minorHAnsi"/>
        </w:rPr>
      </w:pPr>
      <w:r w:rsidRPr="00FF0D57">
        <w:rPr>
          <w:rFonts w:eastAsiaTheme="minorHAnsi"/>
        </w:rPr>
        <w:t xml:space="preserve">Sources: </w:t>
      </w:r>
      <w:r w:rsidRPr="003D744C">
        <w:rPr>
          <w:rFonts w:eastAsiaTheme="minorHAnsi"/>
        </w:rPr>
        <w:t>Departments of Justice and Regulation, and Treasury and Finance</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3.5.6:</w:t>
      </w:r>
      <w:r>
        <w:rPr>
          <w:rFonts w:eastAsiaTheme="minorHAnsi"/>
        </w:rPr>
        <w:tab/>
        <w:t>Payments made on behalf of the State</w:t>
      </w:r>
    </w:p>
    <w:p w:rsidR="002C39A3" w:rsidRPr="00AC6103" w:rsidRDefault="002C39A3" w:rsidP="00361FA9">
      <w:pPr>
        <w:pStyle w:val="million"/>
        <w:rPr>
          <w:rFonts w:eastAsiaTheme="minorHAnsi"/>
          <w:b/>
          <w:bCs/>
          <w:lang w:val="en-US"/>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5216"/>
        <w:gridCol w:w="850"/>
        <w:gridCol w:w="850"/>
        <w:gridCol w:w="850"/>
      </w:tblGrid>
      <w:tr w:rsidR="00B90A1D" w:rsidRPr="00AC6103" w:rsidTr="00167FAD">
        <w:trPr>
          <w:trHeight w:val="464"/>
          <w:tblHeader/>
        </w:trPr>
        <w:tc>
          <w:tcPr>
            <w:tcW w:w="5216" w:type="dxa"/>
            <w:tcBorders>
              <w:left w:val="nil"/>
              <w:right w:val="nil"/>
            </w:tcBorders>
            <w:shd w:val="solid" w:color="000000" w:fill="auto"/>
            <w:vAlign w:val="bottom"/>
          </w:tcPr>
          <w:p w:rsidR="00B90A1D" w:rsidRPr="00B90A1D" w:rsidRDefault="00B90A1D" w:rsidP="00B90A1D">
            <w:pPr>
              <w:pStyle w:val="million"/>
              <w:jc w:val="left"/>
              <w:rPr>
                <w:rFonts w:eastAsiaTheme="minorEastAsia" w:cs="Calibri"/>
                <w:iCs/>
                <w:color w:val="FFFFFF"/>
                <w:sz w:val="19"/>
                <w:lang w:eastAsia="en-AU"/>
              </w:rPr>
            </w:pPr>
            <w:r w:rsidRPr="00B90A1D">
              <w:rPr>
                <w:rFonts w:eastAsiaTheme="minorEastAsia" w:cs="Calibri"/>
                <w:iCs/>
                <w:color w:val="FFFFFF"/>
                <w:sz w:val="19"/>
                <w:lang w:eastAsia="en-AU"/>
              </w:rPr>
              <w:t>Accounts</w:t>
            </w:r>
          </w:p>
        </w:tc>
        <w:tc>
          <w:tcPr>
            <w:tcW w:w="850" w:type="dxa"/>
            <w:tcBorders>
              <w:left w:val="nil"/>
              <w:right w:val="nil"/>
            </w:tcBorders>
            <w:shd w:val="solid" w:color="000000" w:fill="auto"/>
            <w:vAlign w:val="bottom"/>
          </w:tcPr>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2016-17</w:t>
            </w:r>
          </w:p>
          <w:p w:rsidR="00B90A1D" w:rsidRPr="00AC6103" w:rsidRDefault="00B90A1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r>
      <w:tr w:rsidR="002C39A3" w:rsidRPr="00AC6103" w:rsidTr="00361FA9">
        <w:tc>
          <w:tcPr>
            <w:tcW w:w="521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Tattersalls duty payments to other jurisdictions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54</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54</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54</w:t>
            </w:r>
          </w:p>
        </w:tc>
      </w:tr>
      <w:tr w:rsidR="002C39A3" w:rsidRPr="00AC6103" w:rsidTr="00361FA9">
        <w:tc>
          <w:tcPr>
            <w:tcW w:w="5216"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54</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54</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54</w:t>
            </w:r>
          </w:p>
        </w:tc>
      </w:tr>
    </w:tbl>
    <w:p w:rsidR="002C39A3" w:rsidRDefault="002C39A3" w:rsidP="00361FA9">
      <w:pPr>
        <w:pStyle w:val="Source"/>
        <w:rPr>
          <w:rFonts w:eastAsiaTheme="minorHAnsi"/>
        </w:rPr>
      </w:pPr>
      <w:r w:rsidRPr="00FF0D57">
        <w:rPr>
          <w:rFonts w:eastAsiaTheme="minorHAnsi"/>
        </w:rPr>
        <w:t xml:space="preserve">Sources: </w:t>
      </w:r>
      <w:r w:rsidRPr="003D744C">
        <w:rPr>
          <w:rFonts w:eastAsiaTheme="minorHAnsi"/>
        </w:rPr>
        <w:t>Departments of Justice and Regulation, and Treasury and Finance</w:t>
      </w:r>
    </w:p>
    <w:p w:rsidR="002C39A3" w:rsidRDefault="002C39A3" w:rsidP="00361FA9">
      <w:pPr>
        <w:rPr>
          <w:rFonts w:eastAsiaTheme="minorHAnsi"/>
        </w:rPr>
      </w:pPr>
    </w:p>
    <w:p w:rsidR="002C39A3" w:rsidRDefault="002C39A3" w:rsidP="00361FA9">
      <w:pPr>
        <w:rPr>
          <w:rFonts w:eastAsiaTheme="minorHAnsi"/>
        </w:rPr>
      </w:pPr>
    </w:p>
    <w:p w:rsidR="002C39A3" w:rsidRDefault="002C39A3" w:rsidP="00361FA9">
      <w:pPr>
        <w:rPr>
          <w:rFonts w:eastAsiaTheme="minorHAnsi"/>
        </w:rPr>
        <w:sectPr w:rsidR="002C39A3" w:rsidSect="00361FA9">
          <w:footerReference w:type="even" r:id="rId44"/>
          <w:footerReference w:type="default" r:id="rId45"/>
          <w:pgSz w:w="9979" w:h="14181" w:code="138"/>
          <w:pgMar w:top="1140" w:right="1140" w:bottom="1140" w:left="1140" w:header="720" w:footer="431" w:gutter="0"/>
          <w:cols w:space="708"/>
          <w:docGrid w:linePitch="360"/>
        </w:sectPr>
      </w:pPr>
    </w:p>
    <w:p w:rsidR="002C39A3" w:rsidRDefault="002C39A3" w:rsidP="00361FA9">
      <w:pPr>
        <w:pStyle w:val="Heading1"/>
        <w:rPr>
          <w:rFonts w:eastAsiaTheme="minorHAnsi"/>
        </w:rPr>
      </w:pPr>
      <w:bookmarkStart w:id="43" w:name="_Toc449116201"/>
      <w:r>
        <w:rPr>
          <w:rFonts w:eastAsiaTheme="minorHAnsi"/>
        </w:rPr>
        <w:t>Department of Premier and Cabinet</w:t>
      </w:r>
      <w:bookmarkEnd w:id="43"/>
    </w:p>
    <w:p w:rsidR="002C39A3" w:rsidRDefault="002C39A3" w:rsidP="00361FA9">
      <w:pPr>
        <w:pStyle w:val="Heading2"/>
        <w:rPr>
          <w:rFonts w:eastAsiaTheme="minorHAnsi"/>
        </w:rPr>
      </w:pPr>
      <w:r>
        <w:rPr>
          <w:rFonts w:eastAsiaTheme="minorHAnsi"/>
        </w:rPr>
        <w:t>Operating performance</w:t>
      </w:r>
    </w:p>
    <w:p w:rsidR="002C39A3" w:rsidRPr="003E4787" w:rsidRDefault="002C39A3" w:rsidP="00361FA9">
      <w:r w:rsidRPr="003E4787">
        <w:t>The net result from transactions for the Departme</w:t>
      </w:r>
      <w:r>
        <w:t xml:space="preserve">nt of Premier and Cabinet </w:t>
      </w:r>
      <w:r w:rsidRPr="003E4787">
        <w:t>is forecast to decrease from a surplus of $5 million in the 2015-16 revised budget to a deficit of $15</w:t>
      </w:r>
      <w:r>
        <w:t> million in the 2016</w:t>
      </w:r>
      <w:r>
        <w:noBreakHyphen/>
      </w:r>
      <w:r w:rsidRPr="003E4787">
        <w:t xml:space="preserve">17 budget. The estimated deficit in 2016-17 reflects expenditure for Digital Government that is sourced from revenue recognised in prior years. </w:t>
      </w:r>
    </w:p>
    <w:p w:rsidR="002C39A3" w:rsidRPr="003E4787" w:rsidRDefault="002C39A3" w:rsidP="00361FA9">
      <w:r w:rsidRPr="003E4787">
        <w:t>The Department anticipates that total income from tran</w:t>
      </w:r>
      <w:r>
        <w:t>sactions will increase by $17</w:t>
      </w:r>
      <w:r w:rsidRPr="003E4787">
        <w:t xml:space="preserve">7 million in 2016-17 compared to the 2015-16 revised budget. This increase is primarily due to increased funding for Service Victoria and new output initiative funding announced in the </w:t>
      </w:r>
      <w:r w:rsidRPr="00FD2B87">
        <w:rPr>
          <w:i/>
        </w:rPr>
        <w:t>2016-17 Budget</w:t>
      </w:r>
      <w:r w:rsidRPr="003E4787">
        <w:t>, that aim to:</w:t>
      </w:r>
    </w:p>
    <w:p w:rsidR="002C39A3" w:rsidRPr="003E4787" w:rsidRDefault="002C39A3" w:rsidP="00361FA9">
      <w:pPr>
        <w:pStyle w:val="BulletText"/>
      </w:pPr>
      <w:r w:rsidRPr="003E4787">
        <w:t>support the implementation of a range of Whole of Victorian government initiatives including the recommendations from the Royal Commission into Family Violence and the Hazelwood Inquiry reports as well as protecting and maintaining Victorian Aboriginal heritage and strengthen self</w:t>
      </w:r>
      <w:r>
        <w:t>-</w:t>
      </w:r>
      <w:r w:rsidRPr="003E4787">
        <w:t>determination</w:t>
      </w:r>
      <w:r>
        <w:t>;</w:t>
      </w:r>
    </w:p>
    <w:p w:rsidR="002C39A3" w:rsidRPr="003E4787" w:rsidRDefault="002C39A3" w:rsidP="00361FA9">
      <w:pPr>
        <w:pStyle w:val="BulletText"/>
      </w:pPr>
      <w:r w:rsidRPr="003E4787">
        <w:rPr>
          <w:rFonts w:cstheme="minorHAnsi"/>
        </w:rPr>
        <w:t>assist the Government in supporting and promoting full participation of diverse and vibrant communities</w:t>
      </w:r>
      <w:r>
        <w:rPr>
          <w:rFonts w:cstheme="minorHAnsi"/>
        </w:rPr>
        <w:t>;</w:t>
      </w:r>
    </w:p>
    <w:p w:rsidR="002C39A3" w:rsidRPr="003E4787" w:rsidRDefault="002C39A3" w:rsidP="00361FA9">
      <w:pPr>
        <w:pStyle w:val="BulletText"/>
      </w:pPr>
      <w:r w:rsidRPr="003E4787">
        <w:rPr>
          <w:rFonts w:cstheme="minorHAnsi"/>
        </w:rPr>
        <w:t>ensure Victoria</w:t>
      </w:r>
      <w:r w:rsidR="0097550F">
        <w:rPr>
          <w:rFonts w:cstheme="minorHAnsi"/>
        </w:rPr>
        <w:t>’</w:t>
      </w:r>
      <w:r w:rsidRPr="003E4787">
        <w:rPr>
          <w:rFonts w:cstheme="minorHAnsi"/>
        </w:rPr>
        <w:t>s competitiveness and productivity increases</w:t>
      </w:r>
      <w:r>
        <w:rPr>
          <w:rFonts w:cstheme="minorHAnsi"/>
        </w:rPr>
        <w:t>;</w:t>
      </w:r>
      <w:r w:rsidRPr="003E4787">
        <w:rPr>
          <w:rFonts w:cstheme="minorHAnsi"/>
        </w:rPr>
        <w:t xml:space="preserve"> </w:t>
      </w:r>
    </w:p>
    <w:p w:rsidR="002C39A3" w:rsidRPr="003E4787" w:rsidRDefault="002C39A3" w:rsidP="00361FA9">
      <w:pPr>
        <w:pStyle w:val="BulletText"/>
      </w:pPr>
      <w:r w:rsidRPr="003E4787">
        <w:rPr>
          <w:rFonts w:cstheme="minorHAnsi"/>
        </w:rPr>
        <w:t>promote an effective, accountable and professional public administration</w:t>
      </w:r>
      <w:r>
        <w:rPr>
          <w:rFonts w:cstheme="minorHAnsi"/>
        </w:rPr>
        <w:t>; and</w:t>
      </w:r>
      <w:r w:rsidRPr="003E4787">
        <w:t xml:space="preserve"> </w:t>
      </w:r>
    </w:p>
    <w:p w:rsidR="002C39A3" w:rsidRPr="003E4787" w:rsidRDefault="002C39A3" w:rsidP="00361FA9">
      <w:pPr>
        <w:pStyle w:val="BulletText"/>
      </w:pPr>
      <w:r w:rsidRPr="003E4787">
        <w:t>ensure leadership for the public sector response to significant state issues and policy and service delivery excellence</w:t>
      </w:r>
      <w:r>
        <w:t>.</w:t>
      </w:r>
    </w:p>
    <w:p w:rsidR="002C39A3" w:rsidRPr="005F4021" w:rsidRDefault="002C39A3" w:rsidP="00361FA9">
      <w:pPr>
        <w:rPr>
          <w:b/>
        </w:rPr>
      </w:pPr>
      <w:r w:rsidRPr="003E4787">
        <w:t>Estimated departmental operating expenses in 2016-17 are forecast to increase greater than revenue reflecting expenditure for Digital Government identified above.</w:t>
      </w:r>
    </w:p>
    <w:p w:rsidR="002C39A3" w:rsidRDefault="002C39A3" w:rsidP="00361FA9">
      <w:pPr>
        <w:pStyle w:val="Heading2"/>
        <w:rPr>
          <w:rFonts w:eastAsiaTheme="minorHAnsi"/>
        </w:rPr>
      </w:pPr>
      <w:r>
        <w:rPr>
          <w:rFonts w:eastAsiaTheme="minorHAnsi"/>
        </w:rPr>
        <w:t>Balance sheet</w:t>
      </w:r>
    </w:p>
    <w:p w:rsidR="002C39A3" w:rsidRPr="002D1DD8" w:rsidRDefault="002C39A3" w:rsidP="00361FA9">
      <w:pPr>
        <w:rPr>
          <w:rFonts w:eastAsiaTheme="minorHAnsi"/>
        </w:rPr>
      </w:pPr>
      <w:r w:rsidRPr="00580E5D">
        <w:t>The Department</w:t>
      </w:r>
      <w:r w:rsidR="0097550F">
        <w:t>’</w:t>
      </w:r>
      <w:r w:rsidRPr="00580E5D">
        <w:t>s net asset position is estimated to decrease by $4 million in 2016-17. This reduction is driven by accessing cash balances built up from revenue recognised in prior years, resulting in lower financial assets.</w:t>
      </w:r>
      <w:r w:rsidRPr="002D1DD8">
        <w:rPr>
          <w:rFonts w:eastAsiaTheme="minorHAnsi"/>
        </w:rPr>
        <w:t xml:space="preserve"> </w:t>
      </w:r>
    </w:p>
    <w:p w:rsidR="002C39A3" w:rsidRDefault="002C39A3" w:rsidP="00361FA9">
      <w:pPr>
        <w:pStyle w:val="Heading2"/>
        <w:rPr>
          <w:rFonts w:eastAsiaTheme="minorHAnsi"/>
        </w:rPr>
      </w:pPr>
      <w:r>
        <w:rPr>
          <w:rFonts w:eastAsiaTheme="minorHAnsi"/>
        </w:rPr>
        <w:t>Investing and financing</w:t>
      </w:r>
    </w:p>
    <w:p w:rsidR="002C39A3" w:rsidRDefault="002C39A3" w:rsidP="00361FA9">
      <w:pPr>
        <w:rPr>
          <w:rFonts w:eastAsiaTheme="minorHAnsi"/>
        </w:rPr>
      </w:pPr>
      <w:r w:rsidRPr="00580E5D">
        <w:t>The Department</w:t>
      </w:r>
      <w:r w:rsidR="0097550F">
        <w:t>’</w:t>
      </w:r>
      <w:r w:rsidRPr="00580E5D">
        <w:t>s statement of cash flows shows payments for non-financial assets of $1</w:t>
      </w:r>
      <w:r>
        <w:t>7</w:t>
      </w:r>
      <w:r w:rsidRPr="00580E5D">
        <w:t> million in 2016-17, which includes projects funded from minor works</w:t>
      </w:r>
      <w:r>
        <w:t xml:space="preserve"> and </w:t>
      </w:r>
      <w:r w:rsidRPr="00580E5D">
        <w:t>further expenditure on exis</w:t>
      </w:r>
      <w:r>
        <w:t>ting capital projects, including the Public Record Office Victoria</w:t>
      </w:r>
      <w:r w:rsidR="0097550F">
        <w:t>’</w:t>
      </w:r>
      <w:r>
        <w:t>s Digital Archive and Asset Maintenance and Renewal Programs and continuing the digital enhancements of the Victorian Electoral Commission.</w:t>
      </w:r>
      <w:r>
        <w:rPr>
          <w:rFonts w:eastAsiaTheme="minorHAnsi"/>
        </w:rPr>
        <w:t xml:space="preserve"> </w:t>
      </w:r>
    </w:p>
    <w:p w:rsidR="002C39A3" w:rsidRDefault="002C39A3" w:rsidP="00361FA9">
      <w:pPr>
        <w:pStyle w:val="Heading2"/>
        <w:rPr>
          <w:rFonts w:eastAsiaTheme="minorHAnsi"/>
        </w:rPr>
      </w:pPr>
      <w:r>
        <w:rPr>
          <w:rFonts w:eastAsiaTheme="minorHAnsi"/>
        </w:rPr>
        <w:t>Administered items statement</w:t>
      </w:r>
    </w:p>
    <w:p w:rsidR="002C39A3" w:rsidRPr="00806B5B" w:rsidRDefault="002C39A3" w:rsidP="00361FA9">
      <w:pPr>
        <w:rPr>
          <w:rFonts w:eastAsiaTheme="minorHAnsi"/>
        </w:rPr>
      </w:pPr>
      <w:r w:rsidRPr="00580E5D">
        <w:t>The Department</w:t>
      </w:r>
      <w:r w:rsidR="0097550F">
        <w:t>’</w:t>
      </w:r>
      <w:r w:rsidRPr="00580E5D">
        <w:t>s administered items statement shows increased revenue and expenditure in the 2016-17 budget of $</w:t>
      </w:r>
      <w:r>
        <w:t>1</w:t>
      </w:r>
      <w:r w:rsidRPr="00580E5D">
        <w:t xml:space="preserve"> million which relates to the Aboriginal Cultural Heritage Strategy initiative.</w:t>
      </w:r>
    </w:p>
    <w:p w:rsidR="002C39A3" w:rsidRDefault="002C39A3" w:rsidP="00361FA9">
      <w:pPr>
        <w:pStyle w:val="Tableheading"/>
        <w:rPr>
          <w:rFonts w:eastAsiaTheme="minorHAnsi"/>
        </w:rPr>
      </w:pPr>
      <w:r>
        <w:rPr>
          <w:rFonts w:eastAsiaTheme="minorHAnsi"/>
        </w:rPr>
        <w:t>Table 3.6.1:</w:t>
      </w:r>
      <w:r>
        <w:rPr>
          <w:rFonts w:eastAsiaTheme="minorHAnsi"/>
        </w:rPr>
        <w:tab/>
        <w:t>Comprehensive operating statement</w:t>
      </w:r>
    </w:p>
    <w:p w:rsidR="002C39A3" w:rsidRPr="000906DF" w:rsidRDefault="002C39A3" w:rsidP="00361FA9">
      <w:pPr>
        <w:pStyle w:val="million"/>
        <w:rPr>
          <w:rFonts w:eastAsiaTheme="minorHAnsi"/>
          <w:b/>
          <w:bCs/>
          <w:sz w:val="15"/>
          <w:lang w:val="en-US"/>
        </w:rPr>
      </w:pPr>
      <w:r>
        <w:rPr>
          <w:rFonts w:eastAsiaTheme="minorHAnsi"/>
        </w:rPr>
        <w:t xml:space="preserve">($ </w:t>
      </w:r>
      <w:r w:rsidRPr="001D5F1E">
        <w:rPr>
          <w:rFonts w:eastAsiaTheme="minorHAnsi"/>
        </w:rPr>
        <w:t>million</w:t>
      </w:r>
      <w:r>
        <w:rPr>
          <w:rFonts w:eastAsiaTheme="minorHAnsi"/>
        </w:rPr>
        <w:t>)</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167FAD" w:rsidRPr="000906DF" w:rsidTr="00167FAD">
        <w:trPr>
          <w:cantSplit/>
          <w:trHeight w:val="464"/>
          <w:tblHeader/>
        </w:trPr>
        <w:tc>
          <w:tcPr>
            <w:tcW w:w="4365" w:type="dxa"/>
            <w:tcBorders>
              <w:left w:val="nil"/>
              <w:right w:val="nil"/>
            </w:tcBorders>
            <w:shd w:val="solid" w:color="000000" w:fill="auto"/>
            <w:vAlign w:val="bottom"/>
          </w:tcPr>
          <w:p w:rsidR="00167FAD" w:rsidRPr="000906DF" w:rsidRDefault="00167FAD" w:rsidP="00167FAD">
            <w:pPr>
              <w:pStyle w:val="Source"/>
              <w:spacing w:after="0"/>
              <w:rPr>
                <w:rFonts w:eastAsiaTheme="minorEastAsia" w:cs="Calibri"/>
                <w:color w:val="FFFFFF"/>
                <w:sz w:val="19"/>
                <w:lang w:eastAsia="en-AU"/>
              </w:rPr>
            </w:pPr>
          </w:p>
        </w:tc>
        <w:tc>
          <w:tcPr>
            <w:tcW w:w="850" w:type="dxa"/>
            <w:tcBorders>
              <w:left w:val="nil"/>
              <w:right w:val="nil"/>
            </w:tcBorders>
            <w:shd w:val="solid" w:color="000000" w:fill="auto"/>
            <w:vAlign w:val="bottom"/>
          </w:tcPr>
          <w:p w:rsidR="00167FAD" w:rsidRPr="000906DF"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0906DF">
              <w:rPr>
                <w:rFonts w:ascii="Calibri" w:eastAsiaTheme="minorEastAsia" w:hAnsi="Calibri" w:cs="Calibri"/>
                <w:i/>
                <w:iCs/>
                <w:color w:val="FFFFFF"/>
                <w:sz w:val="19"/>
                <w:lang w:eastAsia="en-AU"/>
              </w:rPr>
              <w:t>2014-15</w:t>
            </w:r>
          </w:p>
          <w:p w:rsidR="00167FAD" w:rsidRPr="000906DF"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0906DF">
              <w:rPr>
                <w:rFonts w:ascii="Calibri" w:eastAsiaTheme="minorEastAsia" w:hAnsi="Calibri" w:cs="Calibri"/>
                <w:i/>
                <w:iCs/>
                <w:color w:val="FFFFFF"/>
                <w:sz w:val="19"/>
                <w:lang w:eastAsia="en-AU"/>
              </w:rPr>
              <w:t>actual</w:t>
            </w:r>
          </w:p>
        </w:tc>
        <w:tc>
          <w:tcPr>
            <w:tcW w:w="850" w:type="dxa"/>
            <w:tcBorders>
              <w:left w:val="nil"/>
              <w:right w:val="nil"/>
            </w:tcBorders>
            <w:shd w:val="solid" w:color="000000" w:fill="auto"/>
            <w:vAlign w:val="bottom"/>
          </w:tcPr>
          <w:p w:rsidR="00167FAD" w:rsidRPr="000906DF"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0906DF">
              <w:rPr>
                <w:rFonts w:ascii="Calibri" w:eastAsiaTheme="minorEastAsia" w:hAnsi="Calibri" w:cs="Calibri"/>
                <w:i/>
                <w:iCs/>
                <w:color w:val="FFFFFF"/>
                <w:sz w:val="19"/>
                <w:lang w:eastAsia="en-AU"/>
              </w:rPr>
              <w:t>2015-16</w:t>
            </w:r>
          </w:p>
          <w:p w:rsidR="00167FAD" w:rsidRPr="000906DF"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0906DF">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167FAD" w:rsidRPr="000906DF"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0906DF">
              <w:rPr>
                <w:rFonts w:ascii="Calibri" w:eastAsiaTheme="minorEastAsia" w:hAnsi="Calibri" w:cs="Calibri"/>
                <w:i/>
                <w:iCs/>
                <w:color w:val="FFFFFF"/>
                <w:sz w:val="19"/>
                <w:lang w:eastAsia="en-AU"/>
              </w:rPr>
              <w:t>2015-16</w:t>
            </w:r>
          </w:p>
          <w:p w:rsidR="00167FAD" w:rsidRPr="000906DF"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0906DF">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167FAD" w:rsidRPr="000906DF"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0906DF">
              <w:rPr>
                <w:rFonts w:ascii="Calibri" w:eastAsiaTheme="minorEastAsia" w:hAnsi="Calibri" w:cs="Calibri"/>
                <w:i/>
                <w:iCs/>
                <w:color w:val="FFFFFF"/>
                <w:sz w:val="19"/>
                <w:lang w:eastAsia="en-AU"/>
              </w:rPr>
              <w:t>2016-17</w:t>
            </w:r>
          </w:p>
          <w:p w:rsidR="00167FAD" w:rsidRPr="000906DF"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0906DF">
              <w:rPr>
                <w:rFonts w:ascii="Calibri" w:eastAsiaTheme="minorEastAsia" w:hAnsi="Calibri" w:cs="Calibri"/>
                <w:i/>
                <w:iCs/>
                <w:color w:val="FFFFFF"/>
                <w:sz w:val="19"/>
                <w:lang w:eastAsia="en-AU"/>
              </w:rPr>
              <w:t>budget</w:t>
            </w:r>
          </w:p>
        </w:tc>
      </w:tr>
      <w:tr w:rsidR="00167FAD" w:rsidRPr="000906DF" w:rsidTr="00167FAD">
        <w:trPr>
          <w:cantSplit/>
        </w:trPr>
        <w:tc>
          <w:tcPr>
            <w:tcW w:w="7765" w:type="dxa"/>
            <w:gridSpan w:val="5"/>
            <w:tcBorders>
              <w:top w:val="single" w:sz="6" w:space="0" w:color="auto"/>
              <w:left w:val="nil"/>
              <w:right w:val="nil"/>
            </w:tcBorders>
            <w:shd w:val="solid" w:color="FFFFFF" w:fill="FFFFFF"/>
          </w:tcPr>
          <w:p w:rsidR="00167FAD" w:rsidRPr="000906DF" w:rsidRDefault="00167FAD" w:rsidP="00167FAD">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b/>
                <w:bCs/>
                <w:color w:val="000000"/>
                <w:sz w:val="19"/>
                <w:lang w:eastAsia="en-AU"/>
              </w:rPr>
              <w:t>Net resu</w:t>
            </w:r>
            <w:r>
              <w:rPr>
                <w:rFonts w:ascii="Calibri" w:eastAsiaTheme="minorEastAsia" w:hAnsi="Calibri" w:cs="Calibri"/>
                <w:b/>
                <w:bCs/>
                <w:color w:val="000000"/>
                <w:sz w:val="19"/>
                <w:lang w:eastAsia="en-AU"/>
              </w:rPr>
              <w:t>lt from continuing operations</w:t>
            </w:r>
          </w:p>
        </w:tc>
      </w:tr>
      <w:tr w:rsidR="00167FAD" w:rsidRPr="000906DF" w:rsidTr="00167FAD">
        <w:trPr>
          <w:cantSplit/>
        </w:trPr>
        <w:tc>
          <w:tcPr>
            <w:tcW w:w="7765" w:type="dxa"/>
            <w:gridSpan w:val="5"/>
            <w:tcBorders>
              <w:top w:val="nil"/>
              <w:left w:val="nil"/>
              <w:right w:val="nil"/>
            </w:tcBorders>
            <w:shd w:val="solid" w:color="FFFFFF" w:fill="FFFFFF"/>
          </w:tcPr>
          <w:p w:rsidR="00167FAD" w:rsidRPr="000906DF" w:rsidRDefault="00167FAD" w:rsidP="00167FAD">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b/>
                <w:bCs/>
                <w:color w:val="000000"/>
                <w:sz w:val="19"/>
                <w:lang w:eastAsia="en-AU"/>
              </w:rPr>
              <w:t>Income from transactions</w:t>
            </w:r>
          </w:p>
        </w:tc>
      </w:tr>
      <w:tr w:rsidR="002C39A3" w:rsidRPr="000906DF" w:rsidTr="00361FA9">
        <w:trPr>
          <w:cantSplit/>
        </w:trPr>
        <w:tc>
          <w:tcPr>
            <w:tcW w:w="4365" w:type="dxa"/>
            <w:tcBorders>
              <w:top w:val="nil"/>
              <w:left w:val="nil"/>
              <w:right w:val="nil"/>
            </w:tcBorders>
            <w:shd w:val="solid" w:color="FFFFFF"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Output appropriations</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443</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339</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322</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490</w:t>
            </w:r>
          </w:p>
        </w:tc>
      </w:tr>
      <w:tr w:rsidR="002C39A3" w:rsidRPr="000906DF" w:rsidTr="00361FA9">
        <w:trPr>
          <w:cantSplit/>
        </w:trPr>
        <w:tc>
          <w:tcPr>
            <w:tcW w:w="4365" w:type="dxa"/>
            <w:tcBorders>
              <w:top w:val="nil"/>
              <w:left w:val="nil"/>
              <w:right w:val="nil"/>
            </w:tcBorders>
            <w:shd w:val="solid" w:color="FFFFFF"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Special appropriations</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28</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57</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60</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76</w:t>
            </w:r>
          </w:p>
        </w:tc>
      </w:tr>
      <w:tr w:rsidR="002C39A3" w:rsidRPr="000906DF" w:rsidTr="00361FA9">
        <w:trPr>
          <w:cantSplit/>
        </w:trPr>
        <w:tc>
          <w:tcPr>
            <w:tcW w:w="4365" w:type="dxa"/>
            <w:tcBorders>
              <w:top w:val="nil"/>
              <w:left w:val="nil"/>
              <w:right w:val="nil"/>
            </w:tcBorders>
            <w:shd w:val="solid" w:color="FFFFFF"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Interest</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w:t>
            </w:r>
          </w:p>
        </w:tc>
      </w:tr>
      <w:tr w:rsidR="002C39A3" w:rsidRPr="000906DF" w:rsidTr="00361FA9">
        <w:trPr>
          <w:cantSplit/>
        </w:trPr>
        <w:tc>
          <w:tcPr>
            <w:tcW w:w="4365" w:type="dxa"/>
            <w:tcBorders>
              <w:top w:val="nil"/>
              <w:left w:val="nil"/>
              <w:right w:val="nil"/>
            </w:tcBorders>
            <w:shd w:val="solid" w:color="FFFFFF"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Sale of goods and services</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35</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w:t>
            </w:r>
          </w:p>
        </w:tc>
      </w:tr>
      <w:tr w:rsidR="002C39A3" w:rsidRPr="000906DF" w:rsidTr="00361FA9">
        <w:trPr>
          <w:cantSplit/>
        </w:trPr>
        <w:tc>
          <w:tcPr>
            <w:tcW w:w="4365" w:type="dxa"/>
            <w:tcBorders>
              <w:top w:val="nil"/>
              <w:left w:val="nil"/>
              <w:right w:val="nil"/>
            </w:tcBorders>
            <w:shd w:val="solid" w:color="FFFFFF"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Grants</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13</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28</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33</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27</w:t>
            </w:r>
          </w:p>
        </w:tc>
      </w:tr>
      <w:tr w:rsidR="002C39A3" w:rsidRPr="000906DF" w:rsidTr="00361FA9">
        <w:trPr>
          <w:cantSplit/>
        </w:trPr>
        <w:tc>
          <w:tcPr>
            <w:tcW w:w="4365"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Other income</w:t>
            </w:r>
          </w:p>
        </w:tc>
        <w:tc>
          <w:tcPr>
            <w:tcW w:w="850"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13</w:t>
            </w:r>
          </w:p>
        </w:tc>
        <w:tc>
          <w:tcPr>
            <w:tcW w:w="850"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w:t>
            </w:r>
          </w:p>
        </w:tc>
        <w:tc>
          <w:tcPr>
            <w:tcW w:w="850"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850"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r>
      <w:tr w:rsidR="002C39A3" w:rsidRPr="000906DF" w:rsidTr="00361FA9">
        <w:trPr>
          <w:cantSplit/>
        </w:trPr>
        <w:tc>
          <w:tcPr>
            <w:tcW w:w="4365" w:type="dxa"/>
            <w:tcBorders>
              <w:top w:val="single" w:sz="6" w:space="0" w:color="auto"/>
              <w:left w:val="nil"/>
              <w:right w:val="nil"/>
            </w:tcBorders>
            <w:shd w:val="solid" w:color="FFFFFF"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0906DF">
              <w:rPr>
                <w:rFonts w:ascii="Calibri" w:eastAsiaTheme="minorEastAsia" w:hAnsi="Calibri" w:cs="Calibri"/>
                <w:b/>
                <w:bCs/>
                <w:color w:val="000000"/>
                <w:sz w:val="19"/>
                <w:lang w:eastAsia="en-AU"/>
              </w:rPr>
              <w:t>Total income from transactions</w:t>
            </w:r>
          </w:p>
        </w:tc>
        <w:tc>
          <w:tcPr>
            <w:tcW w:w="850" w:type="dxa"/>
            <w:tcBorders>
              <w:top w:val="single" w:sz="6" w:space="0" w:color="auto"/>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540</w:t>
            </w:r>
          </w:p>
        </w:tc>
        <w:tc>
          <w:tcPr>
            <w:tcW w:w="850" w:type="dxa"/>
            <w:tcBorders>
              <w:top w:val="single" w:sz="6" w:space="0" w:color="auto"/>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430</w:t>
            </w:r>
          </w:p>
        </w:tc>
        <w:tc>
          <w:tcPr>
            <w:tcW w:w="850" w:type="dxa"/>
            <w:tcBorders>
              <w:top w:val="single" w:sz="6" w:space="0" w:color="auto"/>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421</w:t>
            </w:r>
          </w:p>
        </w:tc>
        <w:tc>
          <w:tcPr>
            <w:tcW w:w="850" w:type="dxa"/>
            <w:tcBorders>
              <w:top w:val="single" w:sz="6" w:space="0" w:color="auto"/>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598</w:t>
            </w:r>
          </w:p>
        </w:tc>
      </w:tr>
      <w:tr w:rsidR="00167FAD" w:rsidRPr="000906DF" w:rsidTr="00167FAD">
        <w:trPr>
          <w:cantSplit/>
        </w:trPr>
        <w:tc>
          <w:tcPr>
            <w:tcW w:w="7765" w:type="dxa"/>
            <w:gridSpan w:val="5"/>
            <w:tcBorders>
              <w:top w:val="nil"/>
              <w:left w:val="nil"/>
              <w:right w:val="nil"/>
            </w:tcBorders>
            <w:shd w:val="solid" w:color="FFFFFF" w:fill="FFFFFF"/>
          </w:tcPr>
          <w:p w:rsidR="00167FAD" w:rsidRPr="000906DF" w:rsidRDefault="00167FAD" w:rsidP="00167FAD">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b/>
                <w:bCs/>
                <w:color w:val="000000"/>
                <w:sz w:val="19"/>
                <w:lang w:eastAsia="en-AU"/>
              </w:rPr>
              <w:t>Expenses from transactions</w:t>
            </w:r>
          </w:p>
        </w:tc>
      </w:tr>
      <w:tr w:rsidR="002C39A3" w:rsidRPr="000906DF" w:rsidTr="00361FA9">
        <w:trPr>
          <w:cantSplit/>
        </w:trPr>
        <w:tc>
          <w:tcPr>
            <w:tcW w:w="4365" w:type="dxa"/>
            <w:tcBorders>
              <w:top w:val="nil"/>
              <w:left w:val="nil"/>
              <w:right w:val="nil"/>
            </w:tcBorders>
            <w:shd w:val="solid" w:color="FFFFFF"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Employee benefits</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215</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215</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212</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246</w:t>
            </w:r>
          </w:p>
        </w:tc>
      </w:tr>
      <w:tr w:rsidR="002C39A3" w:rsidRPr="000906DF" w:rsidTr="00361FA9">
        <w:trPr>
          <w:cantSplit/>
        </w:trPr>
        <w:tc>
          <w:tcPr>
            <w:tcW w:w="4365" w:type="dxa"/>
            <w:tcBorders>
              <w:top w:val="nil"/>
              <w:left w:val="nil"/>
              <w:right w:val="nil"/>
            </w:tcBorders>
            <w:shd w:val="solid" w:color="FFFFFF"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 xml:space="preserve">Depreciation </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37</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14</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14</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16</w:t>
            </w:r>
          </w:p>
        </w:tc>
      </w:tr>
      <w:tr w:rsidR="002C39A3" w:rsidRPr="000906DF" w:rsidTr="00361FA9">
        <w:trPr>
          <w:cantSplit/>
        </w:trPr>
        <w:tc>
          <w:tcPr>
            <w:tcW w:w="4365" w:type="dxa"/>
            <w:tcBorders>
              <w:top w:val="nil"/>
              <w:left w:val="nil"/>
              <w:right w:val="nil"/>
            </w:tcBorders>
            <w:shd w:val="solid" w:color="FFFFFF"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Grants and other transfers</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77</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53</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50</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72</w:t>
            </w:r>
          </w:p>
        </w:tc>
      </w:tr>
      <w:tr w:rsidR="002C39A3" w:rsidRPr="000906DF" w:rsidTr="00361FA9">
        <w:trPr>
          <w:cantSplit/>
        </w:trPr>
        <w:tc>
          <w:tcPr>
            <w:tcW w:w="4365" w:type="dxa"/>
            <w:tcBorders>
              <w:top w:val="nil"/>
              <w:left w:val="nil"/>
              <w:right w:val="nil"/>
            </w:tcBorders>
            <w:shd w:val="solid" w:color="FFFFFF"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Capital asset charge</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55</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9</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9</w:t>
            </w:r>
          </w:p>
        </w:tc>
        <w:tc>
          <w:tcPr>
            <w:tcW w:w="850" w:type="dxa"/>
            <w:tcBorders>
              <w:top w:val="nil"/>
              <w:left w:val="nil"/>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9</w:t>
            </w:r>
          </w:p>
        </w:tc>
      </w:tr>
      <w:tr w:rsidR="002C39A3" w:rsidRPr="000906DF" w:rsidTr="00361FA9">
        <w:trPr>
          <w:cantSplit/>
        </w:trPr>
        <w:tc>
          <w:tcPr>
            <w:tcW w:w="4365"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Other operating expenses</w:t>
            </w:r>
          </w:p>
        </w:tc>
        <w:tc>
          <w:tcPr>
            <w:tcW w:w="850"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151</w:t>
            </w:r>
          </w:p>
        </w:tc>
        <w:tc>
          <w:tcPr>
            <w:tcW w:w="850"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141</w:t>
            </w:r>
          </w:p>
        </w:tc>
        <w:tc>
          <w:tcPr>
            <w:tcW w:w="850"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131</w:t>
            </w:r>
          </w:p>
        </w:tc>
        <w:tc>
          <w:tcPr>
            <w:tcW w:w="850"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271</w:t>
            </w:r>
          </w:p>
        </w:tc>
      </w:tr>
      <w:tr w:rsidR="002C39A3" w:rsidRPr="000906DF" w:rsidTr="00361FA9">
        <w:trPr>
          <w:cantSplit/>
        </w:trPr>
        <w:tc>
          <w:tcPr>
            <w:tcW w:w="4365" w:type="dxa"/>
            <w:tcBorders>
              <w:top w:val="single" w:sz="6" w:space="0" w:color="auto"/>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0906DF">
              <w:rPr>
                <w:rFonts w:ascii="Calibri" w:eastAsiaTheme="minorEastAsia" w:hAnsi="Calibri" w:cs="Calibri"/>
                <w:b/>
                <w:bCs/>
                <w:color w:val="000000"/>
                <w:sz w:val="19"/>
                <w:lang w:eastAsia="en-AU"/>
              </w:rPr>
              <w:t>Total expenses from transactions</w:t>
            </w:r>
          </w:p>
        </w:tc>
        <w:tc>
          <w:tcPr>
            <w:tcW w:w="850" w:type="dxa"/>
            <w:tcBorders>
              <w:top w:val="single" w:sz="6" w:space="0" w:color="auto"/>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535</w:t>
            </w:r>
          </w:p>
        </w:tc>
        <w:tc>
          <w:tcPr>
            <w:tcW w:w="850" w:type="dxa"/>
            <w:tcBorders>
              <w:top w:val="single" w:sz="6" w:space="0" w:color="auto"/>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432</w:t>
            </w:r>
          </w:p>
        </w:tc>
        <w:tc>
          <w:tcPr>
            <w:tcW w:w="850" w:type="dxa"/>
            <w:tcBorders>
              <w:top w:val="single" w:sz="6" w:space="0" w:color="auto"/>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417</w:t>
            </w:r>
          </w:p>
        </w:tc>
        <w:tc>
          <w:tcPr>
            <w:tcW w:w="850" w:type="dxa"/>
            <w:tcBorders>
              <w:top w:val="single" w:sz="6" w:space="0" w:color="auto"/>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613</w:t>
            </w:r>
          </w:p>
        </w:tc>
      </w:tr>
      <w:tr w:rsidR="002C39A3" w:rsidRPr="000906DF" w:rsidTr="00361FA9">
        <w:trPr>
          <w:cantSplit/>
        </w:trPr>
        <w:tc>
          <w:tcPr>
            <w:tcW w:w="4365" w:type="dxa"/>
            <w:tcBorders>
              <w:top w:val="single" w:sz="6" w:space="0" w:color="auto"/>
              <w:left w:val="nil"/>
              <w:bottom w:val="single" w:sz="12" w:space="0" w:color="auto"/>
              <w:right w:val="nil"/>
            </w:tcBorders>
            <w:shd w:val="solid" w:color="FFFFFF"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0906DF">
              <w:rPr>
                <w:rFonts w:ascii="Calibri" w:eastAsiaTheme="minorEastAsia" w:hAnsi="Calibri" w:cs="Calibri"/>
                <w:b/>
                <w:bCs/>
                <w:color w:val="000000"/>
                <w:sz w:val="19"/>
                <w:lang w:eastAsia="en-AU"/>
              </w:rPr>
              <w:t>Net result from transactions (net operating balance)</w:t>
            </w:r>
          </w:p>
        </w:tc>
        <w:tc>
          <w:tcPr>
            <w:tcW w:w="850" w:type="dxa"/>
            <w:tcBorders>
              <w:top w:val="single" w:sz="6" w:space="0" w:color="auto"/>
              <w:left w:val="nil"/>
              <w:bottom w:val="single" w:sz="12"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w:t>
            </w:r>
          </w:p>
        </w:tc>
        <w:tc>
          <w:tcPr>
            <w:tcW w:w="850" w:type="dxa"/>
            <w:tcBorders>
              <w:top w:val="single" w:sz="6" w:space="0" w:color="auto"/>
              <w:left w:val="nil"/>
              <w:bottom w:val="single" w:sz="12"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w:t>
            </w:r>
          </w:p>
        </w:tc>
        <w:tc>
          <w:tcPr>
            <w:tcW w:w="850" w:type="dxa"/>
            <w:tcBorders>
              <w:top w:val="single" w:sz="6" w:space="0" w:color="auto"/>
              <w:left w:val="nil"/>
              <w:bottom w:val="single" w:sz="12"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w:t>
            </w:r>
          </w:p>
        </w:tc>
        <w:tc>
          <w:tcPr>
            <w:tcW w:w="850" w:type="dxa"/>
            <w:tcBorders>
              <w:top w:val="single" w:sz="6" w:space="0" w:color="auto"/>
              <w:left w:val="nil"/>
              <w:bottom w:val="single" w:sz="12"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(15)</w:t>
            </w:r>
          </w:p>
        </w:tc>
      </w:tr>
      <w:tr w:rsidR="00167FAD" w:rsidRPr="000906DF" w:rsidTr="00167FAD">
        <w:trPr>
          <w:cantSplit/>
        </w:trPr>
        <w:tc>
          <w:tcPr>
            <w:tcW w:w="7765" w:type="dxa"/>
            <w:gridSpan w:val="5"/>
            <w:tcBorders>
              <w:top w:val="single" w:sz="12" w:space="0" w:color="auto"/>
              <w:left w:val="nil"/>
              <w:right w:val="nil"/>
            </w:tcBorders>
            <w:shd w:val="solid" w:color="FFFFFF" w:fill="FFFFFF"/>
          </w:tcPr>
          <w:p w:rsidR="00167FAD" w:rsidRPr="000906DF" w:rsidRDefault="00167FAD" w:rsidP="00167FAD">
            <w:pPr>
              <w:autoSpaceDE w:val="0"/>
              <w:autoSpaceDN w:val="0"/>
              <w:adjustRightInd w:val="0"/>
              <w:spacing w:after="0"/>
              <w:ind w:left="227" w:hanging="227"/>
              <w:rPr>
                <w:rFonts w:ascii="Calibri" w:eastAsiaTheme="minorEastAsia" w:hAnsi="Calibri" w:cs="Calibri"/>
                <w:b/>
                <w:bCs/>
                <w:color w:val="000000"/>
                <w:sz w:val="19"/>
                <w:lang w:eastAsia="en-AU"/>
              </w:rPr>
            </w:pPr>
            <w:r w:rsidRPr="000906DF">
              <w:rPr>
                <w:rFonts w:ascii="Calibri" w:eastAsiaTheme="minorEastAsia" w:hAnsi="Calibri" w:cs="Calibri"/>
                <w:b/>
                <w:bCs/>
                <w:color w:val="000000"/>
                <w:sz w:val="19"/>
                <w:lang w:eastAsia="en-AU"/>
              </w:rPr>
              <w:t>Other economic flows included in net result</w:t>
            </w:r>
          </w:p>
        </w:tc>
      </w:tr>
      <w:tr w:rsidR="002C39A3" w:rsidRPr="000906DF" w:rsidTr="00361FA9">
        <w:trPr>
          <w:cantSplit/>
        </w:trPr>
        <w:tc>
          <w:tcPr>
            <w:tcW w:w="4365"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Net gain/(loss) on fina</w:t>
            </w:r>
            <w:r w:rsidR="00167FAD">
              <w:rPr>
                <w:rFonts w:ascii="Calibri" w:eastAsiaTheme="minorEastAsia" w:hAnsi="Calibri" w:cs="Calibri"/>
                <w:color w:val="000000"/>
                <w:sz w:val="19"/>
                <w:lang w:eastAsia="en-AU"/>
              </w:rPr>
              <w:t>ncial instruments and statutory </w:t>
            </w:r>
            <w:r w:rsidRPr="000906DF">
              <w:rPr>
                <w:rFonts w:ascii="Calibri" w:eastAsiaTheme="minorEastAsia" w:hAnsi="Calibri" w:cs="Calibri"/>
                <w:color w:val="000000"/>
                <w:sz w:val="19"/>
                <w:lang w:eastAsia="en-AU"/>
              </w:rPr>
              <w:t>receivables/payables</w:t>
            </w:r>
          </w:p>
        </w:tc>
        <w:tc>
          <w:tcPr>
            <w:tcW w:w="850"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850"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w:t>
            </w:r>
          </w:p>
        </w:tc>
      </w:tr>
      <w:tr w:rsidR="002C39A3" w:rsidRPr="000906DF" w:rsidTr="00361FA9">
        <w:trPr>
          <w:cantSplit/>
        </w:trPr>
        <w:tc>
          <w:tcPr>
            <w:tcW w:w="4365" w:type="dxa"/>
            <w:tcBorders>
              <w:top w:val="single" w:sz="6" w:space="0" w:color="auto"/>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0906DF">
              <w:rPr>
                <w:rFonts w:ascii="Calibri" w:eastAsiaTheme="minorEastAsia" w:hAnsi="Calibri" w:cs="Calibri"/>
                <w:b/>
                <w:bCs/>
                <w:color w:val="000000"/>
                <w:sz w:val="19"/>
                <w:lang w:eastAsia="en-AU"/>
              </w:rPr>
              <w:t>Total other economic flows included in net result</w:t>
            </w:r>
          </w:p>
        </w:tc>
        <w:tc>
          <w:tcPr>
            <w:tcW w:w="850" w:type="dxa"/>
            <w:tcBorders>
              <w:top w:val="single" w:sz="6" w:space="0" w:color="auto"/>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w:t>
            </w:r>
          </w:p>
        </w:tc>
        <w:tc>
          <w:tcPr>
            <w:tcW w:w="850" w:type="dxa"/>
            <w:tcBorders>
              <w:top w:val="single" w:sz="6" w:space="0" w:color="auto"/>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w:t>
            </w:r>
          </w:p>
        </w:tc>
      </w:tr>
      <w:tr w:rsidR="002C39A3" w:rsidRPr="000906DF" w:rsidTr="00361FA9">
        <w:trPr>
          <w:cantSplit/>
        </w:trPr>
        <w:tc>
          <w:tcPr>
            <w:tcW w:w="4365" w:type="dxa"/>
            <w:tcBorders>
              <w:top w:val="single" w:sz="6" w:space="0" w:color="auto"/>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0906DF">
              <w:rPr>
                <w:rFonts w:ascii="Calibri" w:eastAsiaTheme="minorEastAsia" w:hAnsi="Calibri" w:cs="Calibri"/>
                <w:b/>
                <w:bCs/>
                <w:color w:val="000000"/>
                <w:sz w:val="19"/>
                <w:lang w:eastAsia="en-AU"/>
              </w:rPr>
              <w:t>Net result</w:t>
            </w:r>
          </w:p>
        </w:tc>
        <w:tc>
          <w:tcPr>
            <w:tcW w:w="850" w:type="dxa"/>
            <w:tcBorders>
              <w:top w:val="single" w:sz="6" w:space="0" w:color="auto"/>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w:t>
            </w:r>
          </w:p>
        </w:tc>
        <w:tc>
          <w:tcPr>
            <w:tcW w:w="850" w:type="dxa"/>
            <w:tcBorders>
              <w:top w:val="single" w:sz="6" w:space="0" w:color="auto"/>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w:t>
            </w:r>
          </w:p>
        </w:tc>
        <w:tc>
          <w:tcPr>
            <w:tcW w:w="850" w:type="dxa"/>
            <w:tcBorders>
              <w:top w:val="single" w:sz="6" w:space="0" w:color="auto"/>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w:t>
            </w:r>
          </w:p>
        </w:tc>
        <w:tc>
          <w:tcPr>
            <w:tcW w:w="850" w:type="dxa"/>
            <w:tcBorders>
              <w:top w:val="single" w:sz="6" w:space="0" w:color="auto"/>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(15)</w:t>
            </w:r>
          </w:p>
        </w:tc>
      </w:tr>
      <w:tr w:rsidR="00167FAD" w:rsidRPr="000906DF" w:rsidTr="00167FAD">
        <w:trPr>
          <w:cantSplit/>
        </w:trPr>
        <w:tc>
          <w:tcPr>
            <w:tcW w:w="7765" w:type="dxa"/>
            <w:gridSpan w:val="5"/>
            <w:tcBorders>
              <w:top w:val="single" w:sz="6" w:space="0" w:color="auto"/>
              <w:left w:val="nil"/>
              <w:right w:val="nil"/>
            </w:tcBorders>
            <w:shd w:val="solid" w:color="FFFFFF" w:fill="FFFFFF"/>
          </w:tcPr>
          <w:p w:rsidR="00167FAD" w:rsidRPr="000906DF" w:rsidRDefault="00167FAD" w:rsidP="00167FAD">
            <w:pPr>
              <w:autoSpaceDE w:val="0"/>
              <w:autoSpaceDN w:val="0"/>
              <w:adjustRightInd w:val="0"/>
              <w:spacing w:after="0"/>
              <w:ind w:left="227" w:hanging="227"/>
              <w:rPr>
                <w:rFonts w:ascii="Calibri" w:eastAsiaTheme="minorEastAsia" w:hAnsi="Calibri" w:cs="Calibri"/>
                <w:b/>
                <w:bCs/>
                <w:color w:val="000000"/>
                <w:sz w:val="19"/>
                <w:lang w:eastAsia="en-AU"/>
              </w:rPr>
            </w:pPr>
            <w:r w:rsidRPr="000906DF">
              <w:rPr>
                <w:rFonts w:ascii="Calibri" w:eastAsiaTheme="minorEastAsia" w:hAnsi="Calibri" w:cs="Calibri"/>
                <w:b/>
                <w:bCs/>
                <w:color w:val="000000"/>
                <w:sz w:val="19"/>
                <w:lang w:eastAsia="en-AU"/>
              </w:rPr>
              <w:t>Other economic flows – other comprehensive income</w:t>
            </w:r>
          </w:p>
        </w:tc>
      </w:tr>
      <w:tr w:rsidR="002C39A3" w:rsidRPr="000906DF" w:rsidTr="00361FA9">
        <w:trPr>
          <w:cantSplit/>
        </w:trPr>
        <w:tc>
          <w:tcPr>
            <w:tcW w:w="4365" w:type="dxa"/>
            <w:tcBorders>
              <w:top w:val="nil"/>
              <w:left w:val="nil"/>
              <w:right w:val="nil"/>
            </w:tcBorders>
            <w:shd w:val="clear" w:color="000000"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Changes in non-financial assets revaluation surplus</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w:t>
            </w:r>
          </w:p>
        </w:tc>
      </w:tr>
      <w:tr w:rsidR="002C39A3" w:rsidRPr="000906DF" w:rsidTr="00361FA9">
        <w:trPr>
          <w:cantSplit/>
        </w:trPr>
        <w:tc>
          <w:tcPr>
            <w:tcW w:w="4365"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Other</w:t>
            </w:r>
          </w:p>
        </w:tc>
        <w:tc>
          <w:tcPr>
            <w:tcW w:w="850"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850"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w:t>
            </w:r>
          </w:p>
        </w:tc>
      </w:tr>
      <w:tr w:rsidR="002C39A3" w:rsidRPr="000906DF" w:rsidTr="00361FA9">
        <w:trPr>
          <w:cantSplit/>
        </w:trPr>
        <w:tc>
          <w:tcPr>
            <w:tcW w:w="4365" w:type="dxa"/>
            <w:tcBorders>
              <w:top w:val="single" w:sz="6" w:space="0" w:color="auto"/>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0906DF">
              <w:rPr>
                <w:rFonts w:ascii="Calibri" w:eastAsiaTheme="minorEastAsia" w:hAnsi="Calibri" w:cs="Calibri"/>
                <w:b/>
                <w:bCs/>
                <w:color w:val="000000"/>
                <w:sz w:val="19"/>
                <w:lang w:eastAsia="en-AU"/>
              </w:rPr>
              <w:t xml:space="preserve">Total other economic flows – </w:t>
            </w:r>
            <w:r w:rsidR="00167FAD">
              <w:rPr>
                <w:rFonts w:ascii="Calibri" w:eastAsiaTheme="minorEastAsia" w:hAnsi="Calibri" w:cs="Calibri"/>
                <w:b/>
                <w:bCs/>
                <w:color w:val="000000"/>
                <w:sz w:val="19"/>
                <w:lang w:eastAsia="en-AU"/>
              </w:rPr>
              <w:br/>
            </w:r>
            <w:r w:rsidRPr="000906DF">
              <w:rPr>
                <w:rFonts w:ascii="Calibri" w:eastAsiaTheme="minorEastAsia" w:hAnsi="Calibri" w:cs="Calibri"/>
                <w:b/>
                <w:bCs/>
                <w:color w:val="000000"/>
                <w:sz w:val="19"/>
                <w:lang w:eastAsia="en-AU"/>
              </w:rPr>
              <w:t>other comprehensive income</w:t>
            </w:r>
          </w:p>
        </w:tc>
        <w:tc>
          <w:tcPr>
            <w:tcW w:w="850" w:type="dxa"/>
            <w:tcBorders>
              <w:top w:val="single" w:sz="6" w:space="0" w:color="auto"/>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w:t>
            </w:r>
          </w:p>
        </w:tc>
        <w:tc>
          <w:tcPr>
            <w:tcW w:w="850" w:type="dxa"/>
            <w:tcBorders>
              <w:top w:val="single" w:sz="6" w:space="0" w:color="auto"/>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0906DF">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0906DF">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0906DF">
              <w:rPr>
                <w:rFonts w:ascii="Calibri" w:eastAsiaTheme="minorEastAsia" w:hAnsi="Calibri" w:cs="Calibri"/>
                <w:b/>
                <w:bCs/>
                <w:color w:val="000000"/>
                <w:sz w:val="19"/>
                <w:lang w:eastAsia="en-AU"/>
              </w:rPr>
              <w:t>..</w:t>
            </w:r>
          </w:p>
        </w:tc>
      </w:tr>
      <w:tr w:rsidR="002C39A3" w:rsidRPr="000906DF" w:rsidTr="00361FA9">
        <w:trPr>
          <w:cantSplit/>
        </w:trPr>
        <w:tc>
          <w:tcPr>
            <w:tcW w:w="4365" w:type="dxa"/>
            <w:tcBorders>
              <w:top w:val="single" w:sz="6" w:space="0" w:color="auto"/>
              <w:left w:val="nil"/>
              <w:bottom w:val="single" w:sz="12" w:space="0" w:color="auto"/>
              <w:right w:val="nil"/>
            </w:tcBorders>
            <w:shd w:val="solid" w:color="FFFFFF"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0906DF">
              <w:rPr>
                <w:rFonts w:ascii="Calibri" w:eastAsiaTheme="minorEastAsia" w:hAnsi="Calibri" w:cs="Calibri"/>
                <w:b/>
                <w:bCs/>
                <w:color w:val="000000"/>
                <w:sz w:val="19"/>
                <w:lang w:eastAsia="en-AU"/>
              </w:rPr>
              <w:t>Comprehensive result</w:t>
            </w:r>
          </w:p>
        </w:tc>
        <w:tc>
          <w:tcPr>
            <w:tcW w:w="850" w:type="dxa"/>
            <w:tcBorders>
              <w:top w:val="single" w:sz="6" w:space="0" w:color="auto"/>
              <w:left w:val="nil"/>
              <w:bottom w:val="single" w:sz="12"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w:t>
            </w:r>
          </w:p>
        </w:tc>
        <w:tc>
          <w:tcPr>
            <w:tcW w:w="850" w:type="dxa"/>
            <w:tcBorders>
              <w:top w:val="single" w:sz="6" w:space="0" w:color="auto"/>
              <w:left w:val="nil"/>
              <w:bottom w:val="single" w:sz="12"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w:t>
            </w:r>
          </w:p>
        </w:tc>
        <w:tc>
          <w:tcPr>
            <w:tcW w:w="850" w:type="dxa"/>
            <w:tcBorders>
              <w:top w:val="single" w:sz="6" w:space="0" w:color="auto"/>
              <w:left w:val="nil"/>
              <w:bottom w:val="single" w:sz="12"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(15)</w:t>
            </w:r>
          </w:p>
        </w:tc>
      </w:tr>
    </w:tbl>
    <w:p w:rsidR="002C39A3" w:rsidRDefault="002C39A3" w:rsidP="00361FA9">
      <w:pPr>
        <w:pStyle w:val="Source"/>
        <w:rPr>
          <w:rFonts w:eastAsiaTheme="minorHAnsi"/>
        </w:rPr>
      </w:pPr>
      <w:r w:rsidRPr="00EE5097">
        <w:rPr>
          <w:rFonts w:eastAsiaTheme="minorHAnsi"/>
        </w:rPr>
        <w:t>Sources: Departments of Premier and Cabinet</w:t>
      </w:r>
      <w:r>
        <w:rPr>
          <w:rFonts w:eastAsiaTheme="minorHAnsi"/>
        </w:rPr>
        <w:t>,</w:t>
      </w:r>
      <w:r w:rsidRPr="00EE5097">
        <w:rPr>
          <w:rFonts w:eastAsiaTheme="minorHAnsi"/>
        </w:rPr>
        <w:t xml:space="preserve"> and Treasury and Finance</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3.6.2:</w:t>
      </w:r>
      <w:r>
        <w:rPr>
          <w:rFonts w:eastAsiaTheme="minorHAnsi"/>
        </w:rPr>
        <w:tab/>
        <w:t>Balance sheet</w:t>
      </w:r>
    </w:p>
    <w:p w:rsidR="002C39A3" w:rsidRPr="00AC6103" w:rsidRDefault="002C39A3" w:rsidP="00361FA9">
      <w:pPr>
        <w:pStyle w:val="million"/>
        <w:rPr>
          <w:rFonts w:eastAsiaTheme="minorHAnsi"/>
          <w:b/>
          <w:bCs/>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167FAD" w:rsidRPr="00AC6103" w:rsidTr="00167FAD">
        <w:trPr>
          <w:tblHeader/>
        </w:trPr>
        <w:tc>
          <w:tcPr>
            <w:tcW w:w="4365" w:type="dxa"/>
            <w:tcBorders>
              <w:bottom w:val="nil"/>
              <w:right w:val="nil"/>
            </w:tcBorders>
            <w:shd w:val="solid" w:color="000000" w:fill="auto"/>
            <w:vAlign w:val="bottom"/>
          </w:tcPr>
          <w:p w:rsidR="00167FAD" w:rsidRPr="00AC6103" w:rsidRDefault="00167FAD" w:rsidP="00361FA9">
            <w:pPr>
              <w:pStyle w:val="million"/>
              <w:jc w:val="left"/>
              <w:rPr>
                <w:rFonts w:eastAsiaTheme="minorEastAsia" w:cs="Calibri"/>
                <w:iCs/>
                <w:color w:val="FFFFFF"/>
                <w:sz w:val="19"/>
                <w:lang w:eastAsia="en-AU"/>
              </w:rPr>
            </w:pPr>
            <w:r w:rsidRPr="00AC6103">
              <w:rPr>
                <w:rFonts w:eastAsiaTheme="minorEastAsia" w:cs="Calibri"/>
                <w:iCs/>
                <w:color w:val="FFFFFF"/>
                <w:sz w:val="19"/>
                <w:lang w:eastAsia="en-AU"/>
              </w:rPr>
              <w:t xml:space="preserve"> </w:t>
            </w:r>
          </w:p>
        </w:tc>
        <w:tc>
          <w:tcPr>
            <w:tcW w:w="850" w:type="dxa"/>
            <w:tcBorders>
              <w:left w:val="nil"/>
              <w:bottom w:val="nil"/>
              <w:right w:val="nil"/>
            </w:tcBorders>
            <w:shd w:val="solid" w:color="000000" w:fill="auto"/>
            <w:vAlign w:val="bottom"/>
          </w:tcPr>
          <w:p w:rsidR="00167FAD" w:rsidRPr="00AC6103" w:rsidRDefault="00167FAD" w:rsidP="00361FA9">
            <w:pPr>
              <w:autoSpaceDE w:val="0"/>
              <w:autoSpaceDN w:val="0"/>
              <w:adjustRightInd w:val="0"/>
              <w:spacing w:after="0"/>
              <w:jc w:val="right"/>
              <w:rPr>
                <w:rFonts w:ascii="Calibri" w:eastAsiaTheme="minorEastAsia" w:hAnsi="Calibri" w:cs="Calibri"/>
                <w:color w:val="FFFFFF"/>
                <w:sz w:val="19"/>
                <w:lang w:eastAsia="en-AU"/>
              </w:rPr>
            </w:pPr>
            <w:r w:rsidRPr="00AC6103">
              <w:rPr>
                <w:rFonts w:ascii="Calibri" w:eastAsiaTheme="minorEastAsia" w:hAnsi="Calibri" w:cs="Calibri"/>
                <w:color w:val="FFFFFF"/>
                <w:sz w:val="19"/>
                <w:lang w:eastAsia="en-AU"/>
              </w:rPr>
              <w:t xml:space="preserve">  </w:t>
            </w:r>
          </w:p>
        </w:tc>
        <w:tc>
          <w:tcPr>
            <w:tcW w:w="2550" w:type="dxa"/>
            <w:gridSpan w:val="3"/>
            <w:tcBorders>
              <w:left w:val="nil"/>
              <w:bottom w:val="nil"/>
            </w:tcBorders>
            <w:shd w:val="solid" w:color="000000" w:fill="auto"/>
            <w:vAlign w:val="bottom"/>
          </w:tcPr>
          <w:p w:rsidR="00167FAD" w:rsidRPr="00AC6103" w:rsidRDefault="00167FAD" w:rsidP="00167FAD">
            <w:pPr>
              <w:autoSpaceDE w:val="0"/>
              <w:autoSpaceDN w:val="0"/>
              <w:adjustRightInd w:val="0"/>
              <w:spacing w:after="0"/>
              <w:jc w:val="center"/>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Estimated as at 30 June</w:t>
            </w:r>
          </w:p>
        </w:tc>
      </w:tr>
      <w:tr w:rsidR="00167FAD" w:rsidRPr="00AC6103" w:rsidTr="00167FAD">
        <w:trPr>
          <w:trHeight w:val="464"/>
          <w:tblHeader/>
        </w:trPr>
        <w:tc>
          <w:tcPr>
            <w:tcW w:w="4365" w:type="dxa"/>
            <w:tcBorders>
              <w:top w:val="nil"/>
              <w:right w:val="nil"/>
            </w:tcBorders>
            <w:shd w:val="solid" w:color="000000" w:fill="auto"/>
            <w:vAlign w:val="bottom"/>
          </w:tcPr>
          <w:p w:rsidR="00167FAD" w:rsidRPr="00AC6103" w:rsidRDefault="00167FAD" w:rsidP="00361FA9">
            <w:pPr>
              <w:autoSpaceDE w:val="0"/>
              <w:autoSpaceDN w:val="0"/>
              <w:adjustRightInd w:val="0"/>
              <w:spacing w:after="0"/>
              <w:rPr>
                <w:rFonts w:ascii="Calibri" w:eastAsiaTheme="minorEastAsia" w:hAnsi="Calibri" w:cs="Calibri"/>
                <w:color w:val="FFFFFF"/>
                <w:sz w:val="19"/>
                <w:lang w:eastAsia="en-AU"/>
              </w:rPr>
            </w:pPr>
          </w:p>
        </w:tc>
        <w:tc>
          <w:tcPr>
            <w:tcW w:w="850" w:type="dxa"/>
            <w:tcBorders>
              <w:top w:val="nil"/>
              <w:left w:val="nil"/>
              <w:right w:val="nil"/>
            </w:tcBorders>
            <w:shd w:val="solid" w:color="000000" w:fill="auto"/>
            <w:vAlign w:val="bottom"/>
          </w:tcPr>
          <w:p w:rsidR="00167FAD" w:rsidRPr="00AC6103"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w:t>
            </w:r>
          </w:p>
          <w:p w:rsidR="00167FAD" w:rsidRPr="00AC6103"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actual</w:t>
            </w:r>
          </w:p>
        </w:tc>
        <w:tc>
          <w:tcPr>
            <w:tcW w:w="850" w:type="dxa"/>
            <w:tcBorders>
              <w:top w:val="nil"/>
              <w:left w:val="nil"/>
              <w:right w:val="nil"/>
            </w:tcBorders>
            <w:shd w:val="solid" w:color="000000" w:fill="auto"/>
            <w:vAlign w:val="bottom"/>
          </w:tcPr>
          <w:p w:rsidR="00167FAD" w:rsidRPr="00AC6103"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w:t>
            </w:r>
          </w:p>
          <w:p w:rsidR="00167FAD" w:rsidRPr="00AC6103"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tcBorders>
              <w:top w:val="nil"/>
              <w:left w:val="nil"/>
              <w:right w:val="nil"/>
            </w:tcBorders>
            <w:shd w:val="solid" w:color="000000" w:fill="auto"/>
            <w:vAlign w:val="bottom"/>
          </w:tcPr>
          <w:p w:rsidR="00167FAD" w:rsidRPr="00AC6103"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w:t>
            </w:r>
          </w:p>
          <w:p w:rsidR="00167FAD" w:rsidRPr="00AC6103"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0" w:type="dxa"/>
            <w:tcBorders>
              <w:top w:val="nil"/>
              <w:left w:val="nil"/>
            </w:tcBorders>
            <w:shd w:val="solid" w:color="000000" w:fill="auto"/>
            <w:vAlign w:val="bottom"/>
          </w:tcPr>
          <w:p w:rsidR="00167FAD" w:rsidRPr="00AC6103"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2017</w:t>
            </w:r>
          </w:p>
          <w:p w:rsidR="00167FAD" w:rsidRPr="00AC6103"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r>
      <w:tr w:rsidR="00167FAD" w:rsidRPr="00AC6103" w:rsidTr="00167FAD">
        <w:tc>
          <w:tcPr>
            <w:tcW w:w="7765" w:type="dxa"/>
            <w:gridSpan w:val="5"/>
            <w:tcBorders>
              <w:top w:val="single" w:sz="6" w:space="0" w:color="auto"/>
              <w:left w:val="nil"/>
              <w:right w:val="nil"/>
            </w:tcBorders>
            <w:shd w:val="solid" w:color="FFFFFF" w:fill="FFFFFF"/>
          </w:tcPr>
          <w:p w:rsidR="00167FAD" w:rsidRPr="00AC6103" w:rsidRDefault="00167FAD" w:rsidP="00167FA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Assets</w:t>
            </w:r>
          </w:p>
        </w:tc>
      </w:tr>
      <w:tr w:rsidR="00167FAD" w:rsidRPr="00AC6103" w:rsidTr="00167FAD">
        <w:tc>
          <w:tcPr>
            <w:tcW w:w="7765" w:type="dxa"/>
            <w:gridSpan w:val="5"/>
            <w:tcBorders>
              <w:top w:val="nil"/>
              <w:left w:val="nil"/>
              <w:right w:val="nil"/>
            </w:tcBorders>
            <w:shd w:val="solid" w:color="FFFFFF" w:fill="FFFFFF"/>
          </w:tcPr>
          <w:p w:rsidR="00167FAD" w:rsidRPr="00AC6103" w:rsidRDefault="00167FAD" w:rsidP="00167FA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Financial assets</w:t>
            </w:r>
          </w:p>
        </w:tc>
      </w:tr>
      <w:tr w:rsidR="002C39A3" w:rsidRPr="00AC6103" w:rsidTr="00361FA9">
        <w:tc>
          <w:tcPr>
            <w:tcW w:w="4365" w:type="dxa"/>
            <w:tcBorders>
              <w:top w:val="nil"/>
              <w:left w:val="nil"/>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Cash and deposits</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34</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33</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40</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25</w:t>
            </w:r>
          </w:p>
        </w:tc>
      </w:tr>
      <w:tr w:rsidR="002C39A3" w:rsidRPr="00AC6103" w:rsidTr="00361FA9">
        <w:tc>
          <w:tcPr>
            <w:tcW w:w="4365" w:type="dxa"/>
            <w:tcBorders>
              <w:top w:val="nil"/>
              <w:left w:val="nil"/>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Receivables</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100</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107</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103</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112</w:t>
            </w:r>
          </w:p>
        </w:tc>
      </w:tr>
      <w:tr w:rsidR="002C39A3" w:rsidRPr="00AC6103" w:rsidTr="00361FA9">
        <w:tc>
          <w:tcPr>
            <w:tcW w:w="4365"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financial assets</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r>
      <w:tr w:rsidR="002C39A3" w:rsidRPr="00AC6103" w:rsidTr="00361FA9">
        <w:tc>
          <w:tcPr>
            <w:tcW w:w="4365" w:type="dxa"/>
            <w:tcBorders>
              <w:top w:val="single" w:sz="6" w:space="0" w:color="auto"/>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financial assets</w:t>
            </w:r>
          </w:p>
        </w:tc>
        <w:tc>
          <w:tcPr>
            <w:tcW w:w="850" w:type="dxa"/>
            <w:tcBorders>
              <w:top w:val="single" w:sz="6" w:space="0" w:color="auto"/>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136</w:t>
            </w:r>
          </w:p>
        </w:tc>
        <w:tc>
          <w:tcPr>
            <w:tcW w:w="850" w:type="dxa"/>
            <w:tcBorders>
              <w:top w:val="single" w:sz="6" w:space="0" w:color="auto"/>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142</w:t>
            </w:r>
          </w:p>
        </w:tc>
        <w:tc>
          <w:tcPr>
            <w:tcW w:w="850" w:type="dxa"/>
            <w:tcBorders>
              <w:top w:val="single" w:sz="6" w:space="0" w:color="auto"/>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145</w:t>
            </w:r>
          </w:p>
        </w:tc>
        <w:tc>
          <w:tcPr>
            <w:tcW w:w="850" w:type="dxa"/>
            <w:tcBorders>
              <w:top w:val="single" w:sz="6" w:space="0" w:color="auto"/>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139</w:t>
            </w:r>
          </w:p>
        </w:tc>
      </w:tr>
      <w:tr w:rsidR="00167FAD" w:rsidRPr="00AC6103" w:rsidTr="00167FAD">
        <w:tc>
          <w:tcPr>
            <w:tcW w:w="7765" w:type="dxa"/>
            <w:gridSpan w:val="5"/>
            <w:tcBorders>
              <w:top w:val="single" w:sz="6" w:space="0" w:color="auto"/>
              <w:left w:val="nil"/>
              <w:right w:val="nil"/>
            </w:tcBorders>
            <w:shd w:val="solid" w:color="FFFFFF" w:fill="FFFFFF"/>
          </w:tcPr>
          <w:p w:rsidR="00167FAD" w:rsidRPr="00AC6103" w:rsidRDefault="00167FAD" w:rsidP="00167FA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Non-financial assets</w:t>
            </w:r>
          </w:p>
        </w:tc>
      </w:tr>
      <w:tr w:rsidR="002C39A3" w:rsidRPr="00AC6103" w:rsidTr="00361FA9">
        <w:tc>
          <w:tcPr>
            <w:tcW w:w="4365" w:type="dxa"/>
            <w:tcBorders>
              <w:top w:val="nil"/>
              <w:left w:val="nil"/>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Inventories</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r>
      <w:tr w:rsidR="002C39A3" w:rsidRPr="00AC6103" w:rsidTr="00361FA9">
        <w:tc>
          <w:tcPr>
            <w:tcW w:w="4365" w:type="dxa"/>
            <w:tcBorders>
              <w:top w:val="nil"/>
              <w:left w:val="nil"/>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Property, plant and equipment</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467</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468</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471</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470</w:t>
            </w:r>
          </w:p>
        </w:tc>
      </w:tr>
      <w:tr w:rsidR="002C39A3" w:rsidRPr="00AC6103" w:rsidTr="00361FA9">
        <w:tc>
          <w:tcPr>
            <w:tcW w:w="4365" w:type="dxa"/>
            <w:tcBorders>
              <w:top w:val="nil"/>
              <w:left w:val="nil"/>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Intangible assets</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12</w:t>
            </w:r>
          </w:p>
        </w:tc>
      </w:tr>
      <w:tr w:rsidR="002C39A3" w:rsidRPr="00AC6103" w:rsidTr="00361FA9">
        <w:tc>
          <w:tcPr>
            <w:tcW w:w="4365"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r>
      <w:tr w:rsidR="002C39A3" w:rsidRPr="00AC6103" w:rsidTr="00361FA9">
        <w:tc>
          <w:tcPr>
            <w:tcW w:w="4365" w:type="dxa"/>
            <w:tcBorders>
              <w:top w:val="single" w:sz="6" w:space="0" w:color="auto"/>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non-financial assets</w:t>
            </w:r>
          </w:p>
        </w:tc>
        <w:tc>
          <w:tcPr>
            <w:tcW w:w="850" w:type="dxa"/>
            <w:tcBorders>
              <w:top w:val="single" w:sz="6" w:space="0" w:color="auto"/>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482</w:t>
            </w:r>
          </w:p>
        </w:tc>
        <w:tc>
          <w:tcPr>
            <w:tcW w:w="850" w:type="dxa"/>
            <w:tcBorders>
              <w:top w:val="single" w:sz="6" w:space="0" w:color="auto"/>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483</w:t>
            </w:r>
          </w:p>
        </w:tc>
        <w:tc>
          <w:tcPr>
            <w:tcW w:w="850" w:type="dxa"/>
            <w:tcBorders>
              <w:top w:val="single" w:sz="6" w:space="0" w:color="auto"/>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486</w:t>
            </w:r>
          </w:p>
        </w:tc>
        <w:tc>
          <w:tcPr>
            <w:tcW w:w="850" w:type="dxa"/>
            <w:tcBorders>
              <w:top w:val="single" w:sz="6" w:space="0" w:color="auto"/>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486</w:t>
            </w:r>
          </w:p>
        </w:tc>
      </w:tr>
      <w:tr w:rsidR="002C39A3" w:rsidRPr="00AC6103" w:rsidTr="00361FA9">
        <w:tc>
          <w:tcPr>
            <w:tcW w:w="4365" w:type="dxa"/>
            <w:tcBorders>
              <w:top w:val="single" w:sz="6" w:space="0" w:color="auto"/>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assets</w:t>
            </w:r>
          </w:p>
        </w:tc>
        <w:tc>
          <w:tcPr>
            <w:tcW w:w="850" w:type="dxa"/>
            <w:tcBorders>
              <w:top w:val="single" w:sz="6" w:space="0" w:color="auto"/>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617</w:t>
            </w:r>
          </w:p>
        </w:tc>
        <w:tc>
          <w:tcPr>
            <w:tcW w:w="850" w:type="dxa"/>
            <w:tcBorders>
              <w:top w:val="single" w:sz="6" w:space="0" w:color="auto"/>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624</w:t>
            </w:r>
          </w:p>
        </w:tc>
        <w:tc>
          <w:tcPr>
            <w:tcW w:w="850" w:type="dxa"/>
            <w:tcBorders>
              <w:top w:val="single" w:sz="6" w:space="0" w:color="auto"/>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631</w:t>
            </w:r>
          </w:p>
        </w:tc>
        <w:tc>
          <w:tcPr>
            <w:tcW w:w="850" w:type="dxa"/>
            <w:tcBorders>
              <w:top w:val="single" w:sz="6" w:space="0" w:color="auto"/>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625</w:t>
            </w:r>
          </w:p>
        </w:tc>
      </w:tr>
      <w:tr w:rsidR="00167FAD" w:rsidRPr="00AC6103" w:rsidTr="00167FAD">
        <w:tc>
          <w:tcPr>
            <w:tcW w:w="7765" w:type="dxa"/>
            <w:gridSpan w:val="5"/>
            <w:tcBorders>
              <w:top w:val="single" w:sz="6" w:space="0" w:color="auto"/>
              <w:left w:val="nil"/>
              <w:right w:val="nil"/>
            </w:tcBorders>
            <w:shd w:val="solid" w:color="FFFFFF" w:fill="FFFFFF"/>
          </w:tcPr>
          <w:p w:rsidR="00167FAD" w:rsidRPr="00AC6103" w:rsidRDefault="00167FAD" w:rsidP="00167FA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Liabilities</w:t>
            </w:r>
          </w:p>
        </w:tc>
      </w:tr>
      <w:tr w:rsidR="002C39A3" w:rsidRPr="00AC6103" w:rsidTr="00361FA9">
        <w:tc>
          <w:tcPr>
            <w:tcW w:w="4365" w:type="dxa"/>
            <w:tcBorders>
              <w:top w:val="nil"/>
              <w:left w:val="nil"/>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Payables</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25</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25</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25</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25</w:t>
            </w:r>
          </w:p>
        </w:tc>
      </w:tr>
      <w:tr w:rsidR="002C39A3" w:rsidRPr="00AC6103" w:rsidTr="00361FA9">
        <w:tc>
          <w:tcPr>
            <w:tcW w:w="4365" w:type="dxa"/>
            <w:tcBorders>
              <w:top w:val="nil"/>
              <w:left w:val="nil"/>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Borrowings</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r>
      <w:tr w:rsidR="002C39A3" w:rsidRPr="00AC6103" w:rsidTr="00361FA9">
        <w:tc>
          <w:tcPr>
            <w:tcW w:w="4365"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Provisions</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34</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33</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33</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32</w:t>
            </w:r>
          </w:p>
        </w:tc>
      </w:tr>
      <w:tr w:rsidR="002C39A3" w:rsidRPr="00AC6103" w:rsidTr="00361FA9">
        <w:tc>
          <w:tcPr>
            <w:tcW w:w="4365" w:type="dxa"/>
            <w:tcBorders>
              <w:top w:val="single" w:sz="6" w:space="0" w:color="auto"/>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liabilities</w:t>
            </w:r>
          </w:p>
        </w:tc>
        <w:tc>
          <w:tcPr>
            <w:tcW w:w="850" w:type="dxa"/>
            <w:tcBorders>
              <w:top w:val="single" w:sz="6" w:space="0" w:color="auto"/>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63</w:t>
            </w:r>
          </w:p>
        </w:tc>
        <w:tc>
          <w:tcPr>
            <w:tcW w:w="850" w:type="dxa"/>
            <w:tcBorders>
              <w:top w:val="single" w:sz="6" w:space="0" w:color="auto"/>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62</w:t>
            </w:r>
          </w:p>
        </w:tc>
        <w:tc>
          <w:tcPr>
            <w:tcW w:w="850" w:type="dxa"/>
            <w:tcBorders>
              <w:top w:val="single" w:sz="6" w:space="0" w:color="auto"/>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61</w:t>
            </w:r>
          </w:p>
        </w:tc>
        <w:tc>
          <w:tcPr>
            <w:tcW w:w="850" w:type="dxa"/>
            <w:tcBorders>
              <w:top w:val="single" w:sz="6" w:space="0" w:color="auto"/>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60</w:t>
            </w:r>
          </w:p>
        </w:tc>
      </w:tr>
      <w:tr w:rsidR="002C39A3" w:rsidRPr="00AC6103" w:rsidTr="00361FA9">
        <w:tc>
          <w:tcPr>
            <w:tcW w:w="4365"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assets</w:t>
            </w:r>
          </w:p>
        </w:tc>
        <w:tc>
          <w:tcPr>
            <w:tcW w:w="850"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554</w:t>
            </w:r>
          </w:p>
        </w:tc>
        <w:tc>
          <w:tcPr>
            <w:tcW w:w="850"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562</w:t>
            </w:r>
          </w:p>
        </w:tc>
        <w:tc>
          <w:tcPr>
            <w:tcW w:w="850"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569</w:t>
            </w:r>
          </w:p>
        </w:tc>
        <w:tc>
          <w:tcPr>
            <w:tcW w:w="850"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565</w:t>
            </w:r>
          </w:p>
        </w:tc>
      </w:tr>
      <w:tr w:rsidR="00167FAD" w:rsidRPr="00AC6103" w:rsidTr="00167FAD">
        <w:tc>
          <w:tcPr>
            <w:tcW w:w="7765" w:type="dxa"/>
            <w:gridSpan w:val="5"/>
            <w:tcBorders>
              <w:top w:val="single" w:sz="12" w:space="0" w:color="auto"/>
              <w:left w:val="nil"/>
              <w:right w:val="nil"/>
            </w:tcBorders>
            <w:shd w:val="solid" w:color="FFFFFF" w:fill="FFFFFF"/>
          </w:tcPr>
          <w:p w:rsidR="00167FAD" w:rsidRPr="00AC6103" w:rsidRDefault="00167FAD" w:rsidP="00167FA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Equity</w:t>
            </w:r>
          </w:p>
        </w:tc>
      </w:tr>
      <w:tr w:rsidR="002C39A3" w:rsidRPr="00AC6103" w:rsidTr="00361FA9">
        <w:tc>
          <w:tcPr>
            <w:tcW w:w="4365" w:type="dxa"/>
            <w:tcBorders>
              <w:top w:val="nil"/>
              <w:left w:val="nil"/>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Accumulated surplus/(deficit)</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81</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79</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86</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71</w:t>
            </w:r>
          </w:p>
        </w:tc>
      </w:tr>
      <w:tr w:rsidR="002C39A3" w:rsidRPr="00AC6103" w:rsidTr="00361FA9">
        <w:tc>
          <w:tcPr>
            <w:tcW w:w="4365" w:type="dxa"/>
            <w:tcBorders>
              <w:top w:val="nil"/>
              <w:left w:val="nil"/>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Reserves</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197</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197</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197</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197</w:t>
            </w:r>
          </w:p>
        </w:tc>
      </w:tr>
      <w:tr w:rsidR="002C39A3" w:rsidRPr="00AC6103" w:rsidTr="00361FA9">
        <w:tc>
          <w:tcPr>
            <w:tcW w:w="4365"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Contributed capital</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276</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286</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286</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297</w:t>
            </w:r>
          </w:p>
        </w:tc>
      </w:tr>
      <w:tr w:rsidR="002C39A3" w:rsidRPr="00AC6103" w:rsidTr="00361FA9">
        <w:tc>
          <w:tcPr>
            <w:tcW w:w="4365"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equity</w:t>
            </w:r>
          </w:p>
        </w:tc>
        <w:tc>
          <w:tcPr>
            <w:tcW w:w="850"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554</w:t>
            </w:r>
          </w:p>
        </w:tc>
        <w:tc>
          <w:tcPr>
            <w:tcW w:w="850"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562</w:t>
            </w:r>
          </w:p>
        </w:tc>
        <w:tc>
          <w:tcPr>
            <w:tcW w:w="850"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569</w:t>
            </w:r>
          </w:p>
        </w:tc>
        <w:tc>
          <w:tcPr>
            <w:tcW w:w="850"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565</w:t>
            </w:r>
          </w:p>
        </w:tc>
      </w:tr>
    </w:tbl>
    <w:p w:rsidR="002C39A3" w:rsidRDefault="002C39A3" w:rsidP="00361FA9">
      <w:pPr>
        <w:pStyle w:val="Source"/>
        <w:rPr>
          <w:rFonts w:eastAsiaTheme="minorHAnsi"/>
        </w:rPr>
      </w:pPr>
      <w:r w:rsidRPr="00EE5097">
        <w:rPr>
          <w:rFonts w:eastAsiaTheme="minorHAnsi"/>
        </w:rPr>
        <w:t xml:space="preserve">Sources: </w:t>
      </w:r>
      <w:r w:rsidRPr="00B210CD">
        <w:rPr>
          <w:rFonts w:eastAsiaTheme="minorHAnsi"/>
        </w:rPr>
        <w:t>Departments of Premier and Cabinet, and Treasury and Finance</w:t>
      </w:r>
    </w:p>
    <w:p w:rsidR="002C39A3" w:rsidRDefault="002C39A3" w:rsidP="00361FA9">
      <w:pPr>
        <w:pStyle w:val="million"/>
        <w:rPr>
          <w:rFonts w:eastAsiaTheme="minorHAnsi"/>
        </w:rPr>
      </w:pP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3.6.3:</w:t>
      </w:r>
      <w:r>
        <w:rPr>
          <w:rFonts w:eastAsiaTheme="minorHAnsi"/>
        </w:rPr>
        <w:tab/>
        <w:t>Statement of cash flows</w:t>
      </w:r>
    </w:p>
    <w:p w:rsidR="002C39A3" w:rsidRPr="000906DF" w:rsidRDefault="002C39A3" w:rsidP="00361FA9">
      <w:pPr>
        <w:pStyle w:val="million"/>
        <w:rPr>
          <w:rFonts w:eastAsiaTheme="minorHAnsi"/>
          <w:b/>
          <w:bCs/>
          <w:sz w:val="15"/>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167FAD" w:rsidRPr="000906DF" w:rsidTr="00167FAD">
        <w:trPr>
          <w:cantSplit/>
          <w:trHeight w:val="464"/>
          <w:tblHeader/>
        </w:trPr>
        <w:tc>
          <w:tcPr>
            <w:tcW w:w="4365" w:type="dxa"/>
            <w:tcBorders>
              <w:left w:val="nil"/>
              <w:right w:val="nil"/>
            </w:tcBorders>
            <w:shd w:val="solid" w:color="000000" w:fill="auto"/>
            <w:vAlign w:val="bottom"/>
          </w:tcPr>
          <w:p w:rsidR="00167FAD" w:rsidRPr="000906DF" w:rsidRDefault="00167FAD" w:rsidP="00361FA9">
            <w:pPr>
              <w:autoSpaceDE w:val="0"/>
              <w:autoSpaceDN w:val="0"/>
              <w:adjustRightInd w:val="0"/>
              <w:spacing w:after="0"/>
              <w:rPr>
                <w:rFonts w:eastAsiaTheme="minorEastAsia" w:cs="Calibri"/>
                <w:color w:val="FFFFFF"/>
                <w:sz w:val="19"/>
                <w:lang w:eastAsia="en-AU"/>
              </w:rPr>
            </w:pPr>
          </w:p>
        </w:tc>
        <w:tc>
          <w:tcPr>
            <w:tcW w:w="850" w:type="dxa"/>
            <w:tcBorders>
              <w:left w:val="nil"/>
              <w:right w:val="nil"/>
            </w:tcBorders>
            <w:shd w:val="solid" w:color="000000" w:fill="auto"/>
            <w:vAlign w:val="bottom"/>
          </w:tcPr>
          <w:p w:rsidR="00167FAD" w:rsidRPr="000906DF"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0906DF">
              <w:rPr>
                <w:rFonts w:ascii="Calibri" w:eastAsiaTheme="minorEastAsia" w:hAnsi="Calibri" w:cs="Calibri"/>
                <w:i/>
                <w:iCs/>
                <w:color w:val="FFFFFF"/>
                <w:sz w:val="19"/>
                <w:lang w:eastAsia="en-AU"/>
              </w:rPr>
              <w:t>2014-15</w:t>
            </w:r>
          </w:p>
          <w:p w:rsidR="00167FAD" w:rsidRPr="000906DF"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0906DF">
              <w:rPr>
                <w:rFonts w:ascii="Calibri" w:eastAsiaTheme="minorEastAsia" w:hAnsi="Calibri" w:cs="Calibri"/>
                <w:i/>
                <w:iCs/>
                <w:color w:val="FFFFFF"/>
                <w:sz w:val="19"/>
                <w:lang w:eastAsia="en-AU"/>
              </w:rPr>
              <w:t>actual</w:t>
            </w:r>
          </w:p>
        </w:tc>
        <w:tc>
          <w:tcPr>
            <w:tcW w:w="850" w:type="dxa"/>
            <w:tcBorders>
              <w:left w:val="nil"/>
              <w:right w:val="nil"/>
            </w:tcBorders>
            <w:shd w:val="solid" w:color="000000" w:fill="auto"/>
            <w:vAlign w:val="bottom"/>
          </w:tcPr>
          <w:p w:rsidR="00167FAD" w:rsidRPr="000906DF"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0906DF">
              <w:rPr>
                <w:rFonts w:ascii="Calibri" w:eastAsiaTheme="minorEastAsia" w:hAnsi="Calibri" w:cs="Calibri"/>
                <w:i/>
                <w:iCs/>
                <w:color w:val="FFFFFF"/>
                <w:sz w:val="19"/>
                <w:lang w:eastAsia="en-AU"/>
              </w:rPr>
              <w:t>2015-16</w:t>
            </w:r>
          </w:p>
          <w:p w:rsidR="00167FAD" w:rsidRPr="000906DF"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0906DF">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167FAD" w:rsidRPr="000906DF"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0906DF">
              <w:rPr>
                <w:rFonts w:ascii="Calibri" w:eastAsiaTheme="minorEastAsia" w:hAnsi="Calibri" w:cs="Calibri"/>
                <w:i/>
                <w:iCs/>
                <w:color w:val="FFFFFF"/>
                <w:sz w:val="19"/>
                <w:lang w:eastAsia="en-AU"/>
              </w:rPr>
              <w:t>2015-16</w:t>
            </w:r>
          </w:p>
          <w:p w:rsidR="00167FAD" w:rsidRPr="000906DF"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0906DF">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167FAD" w:rsidRPr="000906DF"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0906DF">
              <w:rPr>
                <w:rFonts w:ascii="Calibri" w:eastAsiaTheme="minorEastAsia" w:hAnsi="Calibri" w:cs="Calibri"/>
                <w:i/>
                <w:iCs/>
                <w:color w:val="FFFFFF"/>
                <w:sz w:val="19"/>
                <w:lang w:eastAsia="en-AU"/>
              </w:rPr>
              <w:t>2016-17</w:t>
            </w:r>
          </w:p>
          <w:p w:rsidR="00167FAD" w:rsidRPr="000906DF"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0906DF">
              <w:rPr>
                <w:rFonts w:ascii="Calibri" w:eastAsiaTheme="minorEastAsia" w:hAnsi="Calibri" w:cs="Calibri"/>
                <w:i/>
                <w:iCs/>
                <w:color w:val="FFFFFF"/>
                <w:sz w:val="19"/>
                <w:lang w:eastAsia="en-AU"/>
              </w:rPr>
              <w:t>budget</w:t>
            </w:r>
          </w:p>
        </w:tc>
      </w:tr>
      <w:tr w:rsidR="00167FAD" w:rsidRPr="000906DF" w:rsidTr="00167FAD">
        <w:trPr>
          <w:cantSplit/>
        </w:trPr>
        <w:tc>
          <w:tcPr>
            <w:tcW w:w="7765" w:type="dxa"/>
            <w:gridSpan w:val="5"/>
            <w:tcBorders>
              <w:top w:val="single" w:sz="6" w:space="0" w:color="auto"/>
              <w:left w:val="nil"/>
              <w:right w:val="nil"/>
            </w:tcBorders>
            <w:shd w:val="solid" w:color="FFFFFF" w:fill="FFFFFF"/>
          </w:tcPr>
          <w:p w:rsidR="00167FAD" w:rsidRPr="000906DF" w:rsidRDefault="00167FAD" w:rsidP="00167FAD">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b/>
                <w:bCs/>
                <w:color w:val="000000"/>
                <w:sz w:val="19"/>
                <w:lang w:eastAsia="en-AU"/>
              </w:rPr>
              <w:t>Cash flows from operating activities</w:t>
            </w:r>
          </w:p>
        </w:tc>
      </w:tr>
      <w:tr w:rsidR="00167FAD" w:rsidRPr="000906DF" w:rsidTr="00167FAD">
        <w:trPr>
          <w:cantSplit/>
        </w:trPr>
        <w:tc>
          <w:tcPr>
            <w:tcW w:w="7765" w:type="dxa"/>
            <w:gridSpan w:val="5"/>
            <w:tcBorders>
              <w:top w:val="nil"/>
              <w:left w:val="nil"/>
              <w:right w:val="nil"/>
            </w:tcBorders>
            <w:shd w:val="solid" w:color="FFFFFF" w:fill="FFFFFF"/>
          </w:tcPr>
          <w:p w:rsidR="00167FAD" w:rsidRPr="000906DF" w:rsidRDefault="00167FAD" w:rsidP="00167FAD">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b/>
                <w:bCs/>
                <w:color w:val="000000"/>
                <w:sz w:val="19"/>
                <w:lang w:eastAsia="en-AU"/>
              </w:rPr>
              <w:t>Receipts</w:t>
            </w:r>
          </w:p>
        </w:tc>
      </w:tr>
      <w:tr w:rsidR="002C39A3" w:rsidRPr="000906DF" w:rsidTr="00361FA9">
        <w:trPr>
          <w:cantSplit/>
        </w:trPr>
        <w:tc>
          <w:tcPr>
            <w:tcW w:w="4365" w:type="dxa"/>
            <w:tcBorders>
              <w:top w:val="nil"/>
              <w:left w:val="nil"/>
              <w:right w:val="nil"/>
            </w:tcBorders>
            <w:shd w:val="clear" w:color="000000"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Receipts from Government</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406</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389</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379</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558</w:t>
            </w:r>
          </w:p>
        </w:tc>
      </w:tr>
      <w:tr w:rsidR="002C39A3" w:rsidRPr="000906DF" w:rsidTr="00361FA9">
        <w:trPr>
          <w:cantSplit/>
        </w:trPr>
        <w:tc>
          <w:tcPr>
            <w:tcW w:w="4365" w:type="dxa"/>
            <w:tcBorders>
              <w:top w:val="nil"/>
              <w:left w:val="nil"/>
              <w:right w:val="nil"/>
            </w:tcBorders>
            <w:shd w:val="clear" w:color="000000"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Receipts from other entities</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45</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28</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34</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27</w:t>
            </w:r>
          </w:p>
        </w:tc>
      </w:tr>
      <w:tr w:rsidR="002C39A3" w:rsidRPr="000906DF" w:rsidTr="00361FA9">
        <w:trPr>
          <w:cantSplit/>
        </w:trPr>
        <w:tc>
          <w:tcPr>
            <w:tcW w:w="4365" w:type="dxa"/>
            <w:tcBorders>
              <w:top w:val="nil"/>
              <w:left w:val="nil"/>
              <w:right w:val="nil"/>
            </w:tcBorders>
            <w:shd w:val="clear" w:color="000000"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Interest received</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w:t>
            </w:r>
          </w:p>
        </w:tc>
      </w:tr>
      <w:tr w:rsidR="002C39A3" w:rsidRPr="000906DF" w:rsidTr="00361FA9">
        <w:trPr>
          <w:cantSplit/>
        </w:trPr>
        <w:tc>
          <w:tcPr>
            <w:tcW w:w="4365" w:type="dxa"/>
            <w:tcBorders>
              <w:top w:val="nil"/>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Other receipts</w:t>
            </w:r>
          </w:p>
        </w:tc>
        <w:tc>
          <w:tcPr>
            <w:tcW w:w="850" w:type="dxa"/>
            <w:tcBorders>
              <w:top w:val="nil"/>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19</w:t>
            </w:r>
          </w:p>
        </w:tc>
        <w:tc>
          <w:tcPr>
            <w:tcW w:w="850" w:type="dxa"/>
            <w:tcBorders>
              <w:top w:val="nil"/>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w:t>
            </w:r>
          </w:p>
        </w:tc>
        <w:tc>
          <w:tcPr>
            <w:tcW w:w="850" w:type="dxa"/>
            <w:tcBorders>
              <w:top w:val="nil"/>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w:t>
            </w:r>
          </w:p>
        </w:tc>
        <w:tc>
          <w:tcPr>
            <w:tcW w:w="850" w:type="dxa"/>
            <w:tcBorders>
              <w:top w:val="nil"/>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w:t>
            </w:r>
          </w:p>
        </w:tc>
      </w:tr>
      <w:tr w:rsidR="002C39A3" w:rsidRPr="000906DF" w:rsidTr="00361FA9">
        <w:trPr>
          <w:cantSplit/>
        </w:trPr>
        <w:tc>
          <w:tcPr>
            <w:tcW w:w="4365" w:type="dxa"/>
            <w:tcBorders>
              <w:top w:val="single" w:sz="6" w:space="0" w:color="auto"/>
              <w:left w:val="nil"/>
              <w:right w:val="nil"/>
            </w:tcBorders>
            <w:shd w:val="clear" w:color="000000"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0906DF">
              <w:rPr>
                <w:rFonts w:ascii="Calibri" w:eastAsiaTheme="minorEastAsia" w:hAnsi="Calibri" w:cs="Calibri"/>
                <w:b/>
                <w:bCs/>
                <w:color w:val="000000"/>
                <w:sz w:val="19"/>
                <w:lang w:eastAsia="en-AU"/>
              </w:rPr>
              <w:t>Total receipts</w:t>
            </w:r>
          </w:p>
        </w:tc>
        <w:tc>
          <w:tcPr>
            <w:tcW w:w="850" w:type="dxa"/>
            <w:tcBorders>
              <w:top w:val="single" w:sz="6" w:space="0" w:color="auto"/>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478</w:t>
            </w:r>
          </w:p>
        </w:tc>
        <w:tc>
          <w:tcPr>
            <w:tcW w:w="850" w:type="dxa"/>
            <w:tcBorders>
              <w:top w:val="single" w:sz="6" w:space="0" w:color="auto"/>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423</w:t>
            </w:r>
          </w:p>
        </w:tc>
        <w:tc>
          <w:tcPr>
            <w:tcW w:w="850" w:type="dxa"/>
            <w:tcBorders>
              <w:top w:val="single" w:sz="6" w:space="0" w:color="auto"/>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418</w:t>
            </w:r>
          </w:p>
        </w:tc>
        <w:tc>
          <w:tcPr>
            <w:tcW w:w="850" w:type="dxa"/>
            <w:tcBorders>
              <w:top w:val="single" w:sz="6" w:space="0" w:color="auto"/>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590</w:t>
            </w:r>
          </w:p>
        </w:tc>
      </w:tr>
      <w:tr w:rsidR="00167FAD" w:rsidRPr="000906DF" w:rsidTr="00167FAD">
        <w:trPr>
          <w:cantSplit/>
        </w:trPr>
        <w:tc>
          <w:tcPr>
            <w:tcW w:w="7765" w:type="dxa"/>
            <w:gridSpan w:val="5"/>
            <w:tcBorders>
              <w:top w:val="nil"/>
              <w:left w:val="nil"/>
              <w:right w:val="nil"/>
            </w:tcBorders>
            <w:shd w:val="clear" w:color="000000" w:fill="FFFFFF"/>
          </w:tcPr>
          <w:p w:rsidR="00167FAD" w:rsidRPr="000906DF" w:rsidRDefault="00167FAD" w:rsidP="00167FAD">
            <w:pPr>
              <w:autoSpaceDE w:val="0"/>
              <w:autoSpaceDN w:val="0"/>
              <w:adjustRightInd w:val="0"/>
              <w:spacing w:after="0"/>
              <w:ind w:left="227" w:hanging="227"/>
              <w:rPr>
                <w:rFonts w:ascii="Calibri" w:eastAsiaTheme="minorEastAsia" w:hAnsi="Calibri" w:cs="Calibri"/>
                <w:color w:val="000000"/>
                <w:sz w:val="19"/>
                <w:lang w:eastAsia="en-AU"/>
              </w:rPr>
            </w:pPr>
            <w:r>
              <w:rPr>
                <w:rFonts w:ascii="Calibri" w:eastAsiaTheme="minorEastAsia" w:hAnsi="Calibri" w:cs="Calibri"/>
                <w:b/>
                <w:bCs/>
                <w:color w:val="000000"/>
                <w:sz w:val="19"/>
                <w:lang w:eastAsia="en-AU"/>
              </w:rPr>
              <w:t>Payments</w:t>
            </w:r>
          </w:p>
        </w:tc>
      </w:tr>
      <w:tr w:rsidR="002C39A3" w:rsidRPr="000906DF" w:rsidTr="00361FA9">
        <w:trPr>
          <w:cantSplit/>
        </w:trPr>
        <w:tc>
          <w:tcPr>
            <w:tcW w:w="4365" w:type="dxa"/>
            <w:tcBorders>
              <w:top w:val="nil"/>
              <w:left w:val="nil"/>
              <w:right w:val="nil"/>
            </w:tcBorders>
            <w:shd w:val="clear" w:color="000000"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Payments of grants and other transfers</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(77)</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(53)</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(50)</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(72)</w:t>
            </w:r>
          </w:p>
        </w:tc>
      </w:tr>
      <w:tr w:rsidR="002C39A3" w:rsidRPr="000906DF" w:rsidTr="00361FA9">
        <w:trPr>
          <w:cantSplit/>
        </w:trPr>
        <w:tc>
          <w:tcPr>
            <w:tcW w:w="4365" w:type="dxa"/>
            <w:tcBorders>
              <w:top w:val="nil"/>
              <w:left w:val="nil"/>
              <w:right w:val="nil"/>
            </w:tcBorders>
            <w:shd w:val="clear" w:color="000000"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Payments to suppliers and employees</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(355)</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(356)</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(344)</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(518)</w:t>
            </w:r>
          </w:p>
        </w:tc>
      </w:tr>
      <w:tr w:rsidR="002C39A3" w:rsidRPr="000906DF" w:rsidTr="00361FA9">
        <w:trPr>
          <w:cantSplit/>
        </w:trPr>
        <w:tc>
          <w:tcPr>
            <w:tcW w:w="4365" w:type="dxa"/>
            <w:tcBorders>
              <w:top w:val="nil"/>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Capital asset charge</w:t>
            </w:r>
          </w:p>
        </w:tc>
        <w:tc>
          <w:tcPr>
            <w:tcW w:w="850" w:type="dxa"/>
            <w:tcBorders>
              <w:top w:val="nil"/>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(55)</w:t>
            </w:r>
          </w:p>
        </w:tc>
        <w:tc>
          <w:tcPr>
            <w:tcW w:w="850" w:type="dxa"/>
            <w:tcBorders>
              <w:top w:val="nil"/>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(9)</w:t>
            </w:r>
          </w:p>
        </w:tc>
        <w:tc>
          <w:tcPr>
            <w:tcW w:w="850" w:type="dxa"/>
            <w:tcBorders>
              <w:top w:val="nil"/>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(9)</w:t>
            </w:r>
          </w:p>
        </w:tc>
        <w:tc>
          <w:tcPr>
            <w:tcW w:w="850" w:type="dxa"/>
            <w:tcBorders>
              <w:top w:val="nil"/>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(9)</w:t>
            </w:r>
          </w:p>
        </w:tc>
      </w:tr>
      <w:tr w:rsidR="002C39A3" w:rsidRPr="000906DF" w:rsidTr="00361FA9">
        <w:trPr>
          <w:cantSplit/>
        </w:trPr>
        <w:tc>
          <w:tcPr>
            <w:tcW w:w="4365" w:type="dxa"/>
            <w:tcBorders>
              <w:top w:val="single" w:sz="6" w:space="0" w:color="auto"/>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0906DF">
              <w:rPr>
                <w:rFonts w:ascii="Calibri" w:eastAsiaTheme="minorEastAsia" w:hAnsi="Calibri" w:cs="Calibri"/>
                <w:b/>
                <w:bCs/>
                <w:color w:val="000000"/>
                <w:sz w:val="19"/>
                <w:lang w:eastAsia="en-AU"/>
              </w:rPr>
              <w:t>Total payments</w:t>
            </w:r>
          </w:p>
        </w:tc>
        <w:tc>
          <w:tcPr>
            <w:tcW w:w="850" w:type="dxa"/>
            <w:tcBorders>
              <w:top w:val="single" w:sz="6" w:space="0" w:color="auto"/>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(487)</w:t>
            </w:r>
          </w:p>
        </w:tc>
        <w:tc>
          <w:tcPr>
            <w:tcW w:w="850" w:type="dxa"/>
            <w:tcBorders>
              <w:top w:val="single" w:sz="6" w:space="0" w:color="auto"/>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(418)</w:t>
            </w:r>
          </w:p>
        </w:tc>
        <w:tc>
          <w:tcPr>
            <w:tcW w:w="850" w:type="dxa"/>
            <w:tcBorders>
              <w:top w:val="single" w:sz="6" w:space="0" w:color="auto"/>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(403)</w:t>
            </w:r>
          </w:p>
        </w:tc>
        <w:tc>
          <w:tcPr>
            <w:tcW w:w="850" w:type="dxa"/>
            <w:tcBorders>
              <w:top w:val="single" w:sz="6" w:space="0" w:color="auto"/>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(599)</w:t>
            </w:r>
          </w:p>
        </w:tc>
      </w:tr>
      <w:tr w:rsidR="002C39A3" w:rsidRPr="000906DF" w:rsidTr="00361FA9">
        <w:trPr>
          <w:cantSplit/>
        </w:trPr>
        <w:tc>
          <w:tcPr>
            <w:tcW w:w="4365" w:type="dxa"/>
            <w:tcBorders>
              <w:top w:val="single" w:sz="6" w:space="0" w:color="auto"/>
              <w:left w:val="nil"/>
              <w:right w:val="nil"/>
            </w:tcBorders>
            <w:shd w:val="clear" w:color="000000"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0906DF">
              <w:rPr>
                <w:rFonts w:ascii="Calibri" w:eastAsiaTheme="minorEastAsia" w:hAnsi="Calibri" w:cs="Calibri"/>
                <w:b/>
                <w:bCs/>
                <w:color w:val="000000"/>
                <w:sz w:val="19"/>
                <w:lang w:eastAsia="en-AU"/>
              </w:rPr>
              <w:t>Net cash flows from/(used in) operating activities</w:t>
            </w:r>
          </w:p>
        </w:tc>
        <w:tc>
          <w:tcPr>
            <w:tcW w:w="850" w:type="dxa"/>
            <w:tcBorders>
              <w:top w:val="single" w:sz="6" w:space="0" w:color="auto"/>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(9)</w:t>
            </w:r>
          </w:p>
        </w:tc>
        <w:tc>
          <w:tcPr>
            <w:tcW w:w="850" w:type="dxa"/>
            <w:tcBorders>
              <w:top w:val="single" w:sz="6" w:space="0" w:color="auto"/>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w:t>
            </w:r>
          </w:p>
        </w:tc>
        <w:tc>
          <w:tcPr>
            <w:tcW w:w="850" w:type="dxa"/>
            <w:tcBorders>
              <w:top w:val="single" w:sz="6" w:space="0" w:color="auto"/>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14</w:t>
            </w:r>
          </w:p>
        </w:tc>
        <w:tc>
          <w:tcPr>
            <w:tcW w:w="850" w:type="dxa"/>
            <w:tcBorders>
              <w:top w:val="single" w:sz="6" w:space="0" w:color="auto"/>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(9)</w:t>
            </w:r>
          </w:p>
        </w:tc>
      </w:tr>
      <w:tr w:rsidR="00167FAD" w:rsidRPr="000906DF" w:rsidTr="00167FAD">
        <w:trPr>
          <w:cantSplit/>
        </w:trPr>
        <w:tc>
          <w:tcPr>
            <w:tcW w:w="7765" w:type="dxa"/>
            <w:gridSpan w:val="5"/>
            <w:tcBorders>
              <w:top w:val="nil"/>
              <w:left w:val="nil"/>
              <w:right w:val="nil"/>
            </w:tcBorders>
            <w:shd w:val="clear" w:color="000000" w:fill="FFFFFF"/>
          </w:tcPr>
          <w:p w:rsidR="00167FAD" w:rsidRPr="000906DF" w:rsidRDefault="00167FAD" w:rsidP="00167FAD">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b/>
                <w:bCs/>
                <w:color w:val="000000"/>
                <w:sz w:val="19"/>
                <w:lang w:eastAsia="en-AU"/>
              </w:rPr>
              <w:t>Cash flows from investing activities</w:t>
            </w:r>
          </w:p>
        </w:tc>
      </w:tr>
      <w:tr w:rsidR="002C39A3" w:rsidRPr="000906DF" w:rsidTr="00361FA9">
        <w:trPr>
          <w:cantSplit/>
        </w:trPr>
        <w:tc>
          <w:tcPr>
            <w:tcW w:w="4365" w:type="dxa"/>
            <w:tcBorders>
              <w:top w:val="nil"/>
              <w:left w:val="nil"/>
              <w:right w:val="nil"/>
            </w:tcBorders>
            <w:shd w:val="clear" w:color="000000"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Net investment</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w:t>
            </w:r>
          </w:p>
        </w:tc>
      </w:tr>
      <w:tr w:rsidR="002C39A3" w:rsidRPr="000906DF" w:rsidTr="00361FA9">
        <w:trPr>
          <w:cantSplit/>
        </w:trPr>
        <w:tc>
          <w:tcPr>
            <w:tcW w:w="4365" w:type="dxa"/>
            <w:tcBorders>
              <w:top w:val="nil"/>
              <w:left w:val="nil"/>
              <w:right w:val="nil"/>
            </w:tcBorders>
            <w:shd w:val="clear" w:color="000000"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Payments for non-financial assets</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(29)</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(16)</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(19)</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(17)</w:t>
            </w:r>
          </w:p>
        </w:tc>
      </w:tr>
      <w:tr w:rsidR="002C39A3" w:rsidRPr="000906DF" w:rsidTr="00361FA9">
        <w:trPr>
          <w:cantSplit/>
        </w:trPr>
        <w:tc>
          <w:tcPr>
            <w:tcW w:w="4365" w:type="dxa"/>
            <w:tcBorders>
              <w:top w:val="nil"/>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Proceeds from sale of non-financial assets</w:t>
            </w:r>
          </w:p>
        </w:tc>
        <w:tc>
          <w:tcPr>
            <w:tcW w:w="850" w:type="dxa"/>
            <w:tcBorders>
              <w:top w:val="nil"/>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850" w:type="dxa"/>
            <w:tcBorders>
              <w:top w:val="nil"/>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w:t>
            </w:r>
          </w:p>
        </w:tc>
      </w:tr>
      <w:tr w:rsidR="002C39A3" w:rsidRPr="000906DF" w:rsidTr="00361FA9">
        <w:trPr>
          <w:cantSplit/>
        </w:trPr>
        <w:tc>
          <w:tcPr>
            <w:tcW w:w="4365" w:type="dxa"/>
            <w:tcBorders>
              <w:top w:val="single" w:sz="6" w:space="0" w:color="auto"/>
              <w:left w:val="nil"/>
              <w:right w:val="nil"/>
            </w:tcBorders>
            <w:shd w:val="clear" w:color="000000"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0906DF">
              <w:rPr>
                <w:rFonts w:ascii="Calibri" w:eastAsiaTheme="minorEastAsia" w:hAnsi="Calibri" w:cs="Calibri"/>
                <w:b/>
                <w:bCs/>
                <w:color w:val="000000"/>
                <w:sz w:val="19"/>
                <w:lang w:eastAsia="en-AU"/>
              </w:rPr>
              <w:t>Net cash flow from/(used in) investing activities</w:t>
            </w:r>
          </w:p>
        </w:tc>
        <w:tc>
          <w:tcPr>
            <w:tcW w:w="850" w:type="dxa"/>
            <w:tcBorders>
              <w:top w:val="single" w:sz="6" w:space="0" w:color="auto"/>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(32)</w:t>
            </w:r>
          </w:p>
        </w:tc>
        <w:tc>
          <w:tcPr>
            <w:tcW w:w="850" w:type="dxa"/>
            <w:tcBorders>
              <w:top w:val="single" w:sz="6" w:space="0" w:color="auto"/>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(16)</w:t>
            </w:r>
          </w:p>
        </w:tc>
        <w:tc>
          <w:tcPr>
            <w:tcW w:w="850" w:type="dxa"/>
            <w:tcBorders>
              <w:top w:val="single" w:sz="6" w:space="0" w:color="auto"/>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(19)</w:t>
            </w:r>
          </w:p>
        </w:tc>
        <w:tc>
          <w:tcPr>
            <w:tcW w:w="850" w:type="dxa"/>
            <w:tcBorders>
              <w:top w:val="single" w:sz="6" w:space="0" w:color="auto"/>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(17)</w:t>
            </w:r>
          </w:p>
        </w:tc>
      </w:tr>
      <w:tr w:rsidR="00167FAD" w:rsidRPr="000906DF" w:rsidTr="00167FAD">
        <w:trPr>
          <w:cantSplit/>
        </w:trPr>
        <w:tc>
          <w:tcPr>
            <w:tcW w:w="7765" w:type="dxa"/>
            <w:gridSpan w:val="5"/>
            <w:tcBorders>
              <w:top w:val="nil"/>
              <w:left w:val="nil"/>
              <w:right w:val="nil"/>
            </w:tcBorders>
            <w:shd w:val="clear" w:color="000000" w:fill="FFFFFF"/>
          </w:tcPr>
          <w:p w:rsidR="00167FAD" w:rsidRPr="000906DF" w:rsidRDefault="00167FAD" w:rsidP="00167FAD">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b/>
                <w:bCs/>
                <w:color w:val="000000"/>
                <w:sz w:val="19"/>
                <w:lang w:eastAsia="en-AU"/>
              </w:rPr>
              <w:t>Cash flows from financing activities</w:t>
            </w:r>
          </w:p>
        </w:tc>
      </w:tr>
      <w:tr w:rsidR="002C39A3" w:rsidRPr="000906DF" w:rsidTr="00361FA9">
        <w:trPr>
          <w:cantSplit/>
        </w:trPr>
        <w:tc>
          <w:tcPr>
            <w:tcW w:w="4365" w:type="dxa"/>
            <w:tcBorders>
              <w:top w:val="nil"/>
              <w:left w:val="nil"/>
              <w:right w:val="nil"/>
            </w:tcBorders>
            <w:shd w:val="clear" w:color="000000"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Owner contributions by State Government</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(21)</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10</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10</w:t>
            </w:r>
          </w:p>
        </w:tc>
        <w:tc>
          <w:tcPr>
            <w:tcW w:w="850" w:type="dxa"/>
            <w:tcBorders>
              <w:top w:val="nil"/>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w:t>
            </w:r>
          </w:p>
        </w:tc>
      </w:tr>
      <w:tr w:rsidR="002C39A3" w:rsidRPr="000906DF" w:rsidTr="00361FA9">
        <w:trPr>
          <w:cantSplit/>
        </w:trPr>
        <w:tc>
          <w:tcPr>
            <w:tcW w:w="4365" w:type="dxa"/>
            <w:tcBorders>
              <w:top w:val="nil"/>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Net borrowings</w:t>
            </w:r>
          </w:p>
        </w:tc>
        <w:tc>
          <w:tcPr>
            <w:tcW w:w="850" w:type="dxa"/>
            <w:tcBorders>
              <w:top w:val="nil"/>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36</w:t>
            </w:r>
          </w:p>
        </w:tc>
        <w:tc>
          <w:tcPr>
            <w:tcW w:w="850" w:type="dxa"/>
            <w:tcBorders>
              <w:top w:val="nil"/>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r>
      <w:tr w:rsidR="002C39A3" w:rsidRPr="000906DF" w:rsidTr="00361FA9">
        <w:trPr>
          <w:cantSplit/>
        </w:trPr>
        <w:tc>
          <w:tcPr>
            <w:tcW w:w="4365" w:type="dxa"/>
            <w:tcBorders>
              <w:top w:val="single" w:sz="6" w:space="0" w:color="auto"/>
              <w:left w:val="nil"/>
              <w:bottom w:val="single" w:sz="12" w:space="0" w:color="auto"/>
              <w:right w:val="nil"/>
            </w:tcBorders>
            <w:shd w:val="clear" w:color="000000"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0906DF">
              <w:rPr>
                <w:rFonts w:ascii="Calibri" w:eastAsiaTheme="minorEastAsia" w:hAnsi="Calibri" w:cs="Calibri"/>
                <w:b/>
                <w:bCs/>
                <w:color w:val="000000"/>
                <w:sz w:val="19"/>
                <w:lang w:eastAsia="en-AU"/>
              </w:rPr>
              <w:t>Net cash flows from/(used in) financing activities</w:t>
            </w:r>
          </w:p>
        </w:tc>
        <w:tc>
          <w:tcPr>
            <w:tcW w:w="850" w:type="dxa"/>
            <w:tcBorders>
              <w:top w:val="single" w:sz="6" w:space="0" w:color="auto"/>
              <w:left w:val="nil"/>
              <w:bottom w:val="single" w:sz="12" w:space="0" w:color="auto"/>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15</w:t>
            </w:r>
          </w:p>
        </w:tc>
        <w:tc>
          <w:tcPr>
            <w:tcW w:w="850" w:type="dxa"/>
            <w:tcBorders>
              <w:top w:val="single" w:sz="6" w:space="0" w:color="auto"/>
              <w:left w:val="nil"/>
              <w:bottom w:val="single" w:sz="12" w:space="0" w:color="auto"/>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10</w:t>
            </w:r>
          </w:p>
        </w:tc>
        <w:tc>
          <w:tcPr>
            <w:tcW w:w="850" w:type="dxa"/>
            <w:tcBorders>
              <w:top w:val="single" w:sz="6" w:space="0" w:color="auto"/>
              <w:left w:val="nil"/>
              <w:bottom w:val="single" w:sz="12" w:space="0" w:color="auto"/>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10</w:t>
            </w:r>
          </w:p>
        </w:tc>
        <w:tc>
          <w:tcPr>
            <w:tcW w:w="850" w:type="dxa"/>
            <w:tcBorders>
              <w:top w:val="single" w:sz="6" w:space="0" w:color="auto"/>
              <w:left w:val="nil"/>
              <w:bottom w:val="single" w:sz="12" w:space="0" w:color="auto"/>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10</w:t>
            </w:r>
          </w:p>
        </w:tc>
      </w:tr>
      <w:tr w:rsidR="002C39A3" w:rsidRPr="000906DF" w:rsidTr="00361FA9">
        <w:trPr>
          <w:cantSplit/>
        </w:trPr>
        <w:tc>
          <w:tcPr>
            <w:tcW w:w="4365" w:type="dxa"/>
            <w:tcBorders>
              <w:top w:val="single" w:sz="12" w:space="0" w:color="auto"/>
              <w:left w:val="nil"/>
              <w:right w:val="nil"/>
            </w:tcBorders>
            <w:shd w:val="clear" w:color="000000"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0906DF">
              <w:rPr>
                <w:rFonts w:ascii="Calibri" w:eastAsiaTheme="minorEastAsia" w:hAnsi="Calibri" w:cs="Calibri"/>
                <w:b/>
                <w:bCs/>
                <w:color w:val="000000"/>
                <w:sz w:val="19"/>
                <w:lang w:eastAsia="en-AU"/>
              </w:rPr>
              <w:t>Net increase/(decrease) in cash and cash equivalents</w:t>
            </w:r>
          </w:p>
        </w:tc>
        <w:tc>
          <w:tcPr>
            <w:tcW w:w="850" w:type="dxa"/>
            <w:tcBorders>
              <w:top w:val="single" w:sz="12" w:space="0" w:color="auto"/>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(26)</w:t>
            </w:r>
          </w:p>
        </w:tc>
        <w:tc>
          <w:tcPr>
            <w:tcW w:w="850" w:type="dxa"/>
            <w:tcBorders>
              <w:top w:val="single" w:sz="12" w:space="0" w:color="auto"/>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w:t>
            </w:r>
          </w:p>
        </w:tc>
        <w:tc>
          <w:tcPr>
            <w:tcW w:w="850" w:type="dxa"/>
            <w:tcBorders>
              <w:top w:val="single" w:sz="12" w:space="0" w:color="auto"/>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6</w:t>
            </w:r>
          </w:p>
        </w:tc>
        <w:tc>
          <w:tcPr>
            <w:tcW w:w="850" w:type="dxa"/>
            <w:tcBorders>
              <w:top w:val="single" w:sz="12" w:space="0" w:color="auto"/>
              <w:left w:val="nil"/>
              <w:right w:val="nil"/>
            </w:tcBorders>
            <w:shd w:val="clear" w:color="000000"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(15)</w:t>
            </w:r>
          </w:p>
        </w:tc>
      </w:tr>
      <w:tr w:rsidR="002C39A3" w:rsidRPr="000906DF" w:rsidTr="00361FA9">
        <w:trPr>
          <w:cantSplit/>
        </w:trPr>
        <w:tc>
          <w:tcPr>
            <w:tcW w:w="4365"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0906DF">
              <w:rPr>
                <w:rFonts w:ascii="Calibri" w:eastAsiaTheme="minorEastAsia" w:hAnsi="Calibri" w:cs="Calibri"/>
                <w:color w:val="000000"/>
                <w:sz w:val="19"/>
                <w:lang w:eastAsia="en-AU"/>
              </w:rPr>
              <w:t>Cash and cash equivalents at the beginning of the financial year</w:t>
            </w:r>
          </w:p>
        </w:tc>
        <w:tc>
          <w:tcPr>
            <w:tcW w:w="850"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60</w:t>
            </w:r>
          </w:p>
        </w:tc>
        <w:tc>
          <w:tcPr>
            <w:tcW w:w="850"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34</w:t>
            </w:r>
          </w:p>
        </w:tc>
        <w:tc>
          <w:tcPr>
            <w:tcW w:w="850"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34</w:t>
            </w:r>
          </w:p>
        </w:tc>
        <w:tc>
          <w:tcPr>
            <w:tcW w:w="850" w:type="dxa"/>
            <w:tcBorders>
              <w:top w:val="nil"/>
              <w:left w:val="nil"/>
              <w:bottom w:val="single" w:sz="6"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40</w:t>
            </w:r>
          </w:p>
        </w:tc>
      </w:tr>
      <w:tr w:rsidR="002C39A3" w:rsidRPr="000906DF" w:rsidTr="00361FA9">
        <w:trPr>
          <w:cantSplit/>
        </w:trPr>
        <w:tc>
          <w:tcPr>
            <w:tcW w:w="4365" w:type="dxa"/>
            <w:tcBorders>
              <w:top w:val="single" w:sz="6" w:space="0" w:color="auto"/>
              <w:left w:val="nil"/>
              <w:bottom w:val="single" w:sz="12" w:space="0" w:color="auto"/>
              <w:right w:val="nil"/>
            </w:tcBorders>
            <w:shd w:val="solid" w:color="FFFFFF" w:fill="FFFFFF"/>
          </w:tcPr>
          <w:p w:rsidR="002C39A3" w:rsidRPr="000906DF" w:rsidRDefault="002C39A3" w:rsidP="00167FAD">
            <w:pPr>
              <w:autoSpaceDE w:val="0"/>
              <w:autoSpaceDN w:val="0"/>
              <w:adjustRightInd w:val="0"/>
              <w:spacing w:after="0"/>
              <w:ind w:left="227" w:hanging="227"/>
              <w:rPr>
                <w:rFonts w:ascii="Calibri" w:eastAsiaTheme="minorEastAsia" w:hAnsi="Calibri" w:cs="Calibri"/>
                <w:b/>
                <w:bCs/>
                <w:color w:val="000000"/>
                <w:sz w:val="19"/>
                <w:lang w:eastAsia="en-AU"/>
              </w:rPr>
            </w:pPr>
            <w:r w:rsidRPr="000906DF">
              <w:rPr>
                <w:rFonts w:ascii="Calibri" w:eastAsiaTheme="minorEastAsia" w:hAnsi="Calibri" w:cs="Calibri"/>
                <w:b/>
                <w:bCs/>
                <w:color w:val="000000"/>
                <w:sz w:val="19"/>
                <w:lang w:eastAsia="en-AU"/>
              </w:rPr>
              <w:t>Cash and cash equivalents at the end of the financial</w:t>
            </w:r>
            <w:r w:rsidR="00167FAD">
              <w:rPr>
                <w:rFonts w:ascii="Calibri" w:eastAsiaTheme="minorEastAsia" w:hAnsi="Calibri" w:cs="Calibri"/>
                <w:b/>
                <w:bCs/>
                <w:color w:val="000000"/>
                <w:sz w:val="19"/>
                <w:lang w:eastAsia="en-AU"/>
              </w:rPr>
              <w:t> </w:t>
            </w:r>
            <w:r w:rsidRPr="000906DF">
              <w:rPr>
                <w:rFonts w:ascii="Calibri" w:eastAsiaTheme="minorEastAsia" w:hAnsi="Calibri" w:cs="Calibri"/>
                <w:b/>
                <w:bCs/>
                <w:color w:val="000000"/>
                <w:sz w:val="19"/>
                <w:lang w:eastAsia="en-AU"/>
              </w:rPr>
              <w:t>year</w:t>
            </w:r>
          </w:p>
        </w:tc>
        <w:tc>
          <w:tcPr>
            <w:tcW w:w="850" w:type="dxa"/>
            <w:tcBorders>
              <w:top w:val="single" w:sz="6" w:space="0" w:color="auto"/>
              <w:left w:val="nil"/>
              <w:bottom w:val="single" w:sz="12"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34</w:t>
            </w:r>
          </w:p>
        </w:tc>
        <w:tc>
          <w:tcPr>
            <w:tcW w:w="850" w:type="dxa"/>
            <w:tcBorders>
              <w:top w:val="single" w:sz="6" w:space="0" w:color="auto"/>
              <w:left w:val="nil"/>
              <w:bottom w:val="single" w:sz="12"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33</w:t>
            </w:r>
          </w:p>
        </w:tc>
        <w:tc>
          <w:tcPr>
            <w:tcW w:w="850" w:type="dxa"/>
            <w:tcBorders>
              <w:top w:val="single" w:sz="6" w:space="0" w:color="auto"/>
              <w:left w:val="nil"/>
              <w:bottom w:val="single" w:sz="12"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40</w:t>
            </w:r>
          </w:p>
        </w:tc>
        <w:tc>
          <w:tcPr>
            <w:tcW w:w="850" w:type="dxa"/>
            <w:tcBorders>
              <w:top w:val="single" w:sz="6" w:space="0" w:color="auto"/>
              <w:left w:val="nil"/>
              <w:bottom w:val="single" w:sz="12" w:space="0" w:color="auto"/>
              <w:right w:val="nil"/>
            </w:tcBorders>
            <w:shd w:val="solid" w:color="FFFFFF" w:fill="FFFFFF"/>
          </w:tcPr>
          <w:p w:rsidR="002C39A3" w:rsidRPr="000906DF"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25</w:t>
            </w:r>
          </w:p>
        </w:tc>
      </w:tr>
    </w:tbl>
    <w:p w:rsidR="002C39A3" w:rsidRDefault="002C39A3" w:rsidP="00361FA9">
      <w:pPr>
        <w:pStyle w:val="Source"/>
        <w:rPr>
          <w:rFonts w:eastAsiaTheme="minorHAnsi"/>
        </w:rPr>
      </w:pPr>
      <w:r w:rsidRPr="00EE5097">
        <w:rPr>
          <w:rFonts w:eastAsiaTheme="minorHAnsi"/>
        </w:rPr>
        <w:t xml:space="preserve">Sources: </w:t>
      </w:r>
      <w:r w:rsidRPr="00B210CD">
        <w:rPr>
          <w:rFonts w:eastAsiaTheme="minorHAnsi"/>
        </w:rPr>
        <w:t>Departments of Premier and Cabinet, and Treasury and Finance</w:t>
      </w:r>
    </w:p>
    <w:p w:rsidR="002C39A3" w:rsidRDefault="002C39A3" w:rsidP="00361FA9">
      <w:pPr>
        <w:pStyle w:val="million"/>
        <w:rPr>
          <w:rFonts w:eastAsiaTheme="minorHAnsi"/>
        </w:rPr>
      </w:pP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3.6.4:</w:t>
      </w:r>
      <w:r>
        <w:rPr>
          <w:rFonts w:eastAsiaTheme="minorHAnsi"/>
        </w:rPr>
        <w:tab/>
        <w:t>Statement of changes in equity</w:t>
      </w:r>
    </w:p>
    <w:p w:rsidR="002C39A3" w:rsidRPr="00AC6103" w:rsidRDefault="002C39A3" w:rsidP="00361FA9">
      <w:pPr>
        <w:pStyle w:val="million"/>
        <w:rPr>
          <w:rFonts w:eastAsiaTheme="minorEastAsia"/>
          <w:b/>
          <w:bCs/>
          <w:lang w:val="en-US" w:eastAsia="en-AU"/>
        </w:rPr>
      </w:pPr>
      <w:r>
        <w:rPr>
          <w:rFonts w:eastAsiaTheme="minorHAnsi"/>
        </w:rPr>
        <w:t>($ million)</w:t>
      </w:r>
    </w:p>
    <w:tbl>
      <w:tblPr>
        <w:tblW w:w="7760" w:type="dxa"/>
        <w:tblInd w:w="45" w:type="dxa"/>
        <w:tblLayout w:type="fixed"/>
        <w:tblCellMar>
          <w:left w:w="45" w:type="dxa"/>
          <w:right w:w="45" w:type="dxa"/>
        </w:tblCellMar>
        <w:tblLook w:val="0000" w:firstRow="0" w:lastRow="0" w:firstColumn="0" w:lastColumn="0" w:noHBand="0" w:noVBand="0"/>
      </w:tblPr>
      <w:tblGrid>
        <w:gridCol w:w="2551"/>
        <w:gridCol w:w="567"/>
        <w:gridCol w:w="850"/>
        <w:gridCol w:w="1134"/>
        <w:gridCol w:w="1071"/>
        <w:gridCol w:w="771"/>
        <w:gridCol w:w="816"/>
      </w:tblGrid>
      <w:tr w:rsidR="002C39A3" w:rsidRPr="00AC6103" w:rsidTr="00361FA9">
        <w:trPr>
          <w:tblHeader/>
        </w:trPr>
        <w:tc>
          <w:tcPr>
            <w:tcW w:w="2551" w:type="dxa"/>
            <w:tcBorders>
              <w:left w:val="nil"/>
              <w:bottom w:val="single" w:sz="6" w:space="0" w:color="auto"/>
              <w:right w:val="nil"/>
            </w:tcBorders>
            <w:shd w:val="solid" w:color="000000" w:fill="auto"/>
            <w:vAlign w:val="bottom"/>
          </w:tcPr>
          <w:p w:rsidR="002C39A3" w:rsidRPr="00AC6103" w:rsidRDefault="002C39A3" w:rsidP="00361FA9">
            <w:pPr>
              <w:pStyle w:val="Source"/>
              <w:spacing w:after="0"/>
              <w:rPr>
                <w:rFonts w:eastAsiaTheme="minorEastAsia" w:cs="Calibri"/>
                <w:color w:val="FFFFFF"/>
                <w:sz w:val="19"/>
                <w:lang w:eastAsia="en-AU"/>
              </w:rPr>
            </w:pPr>
            <w:r w:rsidRPr="00AC6103">
              <w:rPr>
                <w:rFonts w:eastAsiaTheme="minorEastAsia" w:cs="Calibri"/>
                <w:color w:val="FFFFFF"/>
                <w:sz w:val="19"/>
                <w:lang w:eastAsia="en-AU"/>
              </w:rPr>
              <w:t xml:space="preserve"> </w:t>
            </w:r>
          </w:p>
        </w:tc>
        <w:tc>
          <w:tcPr>
            <w:tcW w:w="1417" w:type="dxa"/>
            <w:gridSpan w:val="2"/>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Accumulated surplus/(deficit)</w:t>
            </w:r>
          </w:p>
        </w:tc>
        <w:tc>
          <w:tcPr>
            <w:tcW w:w="1134" w:type="dxa"/>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Contributions by owner</w:t>
            </w:r>
          </w:p>
        </w:tc>
        <w:tc>
          <w:tcPr>
            <w:tcW w:w="1071" w:type="dxa"/>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Revaluation surplus</w:t>
            </w:r>
          </w:p>
        </w:tc>
        <w:tc>
          <w:tcPr>
            <w:tcW w:w="771" w:type="dxa"/>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Other reserves</w:t>
            </w:r>
          </w:p>
        </w:tc>
        <w:tc>
          <w:tcPr>
            <w:tcW w:w="816" w:type="dxa"/>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 xml:space="preserve">Total equity </w:t>
            </w:r>
          </w:p>
        </w:tc>
      </w:tr>
      <w:tr w:rsidR="002C39A3" w:rsidRPr="00AC6103" w:rsidTr="00361FA9">
        <w:tc>
          <w:tcPr>
            <w:tcW w:w="3118" w:type="dxa"/>
            <w:gridSpan w:val="2"/>
            <w:tcBorders>
              <w:top w:val="single" w:sz="6" w:space="0" w:color="auto"/>
              <w:left w:val="nil"/>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Opening balance 1 July 2014</w:t>
            </w:r>
          </w:p>
        </w:tc>
        <w:tc>
          <w:tcPr>
            <w:tcW w:w="850" w:type="dxa"/>
            <w:tcBorders>
              <w:top w:val="single" w:sz="6" w:space="0" w:color="auto"/>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59</w:t>
            </w:r>
          </w:p>
        </w:tc>
        <w:tc>
          <w:tcPr>
            <w:tcW w:w="1134" w:type="dxa"/>
            <w:tcBorders>
              <w:top w:val="single" w:sz="6" w:space="0" w:color="auto"/>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1 652</w:t>
            </w:r>
          </w:p>
        </w:tc>
        <w:tc>
          <w:tcPr>
            <w:tcW w:w="1071" w:type="dxa"/>
            <w:tcBorders>
              <w:top w:val="single" w:sz="6" w:space="0" w:color="auto"/>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5 155</w:t>
            </w:r>
          </w:p>
        </w:tc>
        <w:tc>
          <w:tcPr>
            <w:tcW w:w="771" w:type="dxa"/>
            <w:tcBorders>
              <w:top w:val="single" w:sz="6" w:space="0" w:color="auto"/>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40</w:t>
            </w:r>
          </w:p>
        </w:tc>
        <w:tc>
          <w:tcPr>
            <w:tcW w:w="816" w:type="dxa"/>
            <w:tcBorders>
              <w:top w:val="single" w:sz="6" w:space="0" w:color="auto"/>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6 905</w:t>
            </w:r>
          </w:p>
        </w:tc>
      </w:tr>
      <w:tr w:rsidR="002C39A3" w:rsidRPr="00AC6103" w:rsidTr="00361FA9">
        <w:tc>
          <w:tcPr>
            <w:tcW w:w="3118" w:type="dxa"/>
            <w:gridSpan w:val="2"/>
            <w:tcBorders>
              <w:top w:val="nil"/>
              <w:left w:val="nil"/>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Comprehensive result</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c>
          <w:tcPr>
            <w:tcW w:w="1134"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c>
          <w:tcPr>
            <w:tcW w:w="771"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3118" w:type="dxa"/>
            <w:gridSpan w:val="2"/>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20</w:t>
            </w:r>
          </w:p>
        </w:tc>
        <w:tc>
          <w:tcPr>
            <w:tcW w:w="1134"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(1 376)</w:t>
            </w:r>
          </w:p>
        </w:tc>
        <w:tc>
          <w:tcPr>
            <w:tcW w:w="1071"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(4 954)</w:t>
            </w:r>
          </w:p>
        </w:tc>
        <w:tc>
          <w:tcPr>
            <w:tcW w:w="771"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(40)</w:t>
            </w:r>
          </w:p>
        </w:tc>
        <w:tc>
          <w:tcPr>
            <w:tcW w:w="816"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(6 351)</w:t>
            </w:r>
          </w:p>
        </w:tc>
      </w:tr>
      <w:tr w:rsidR="002C39A3" w:rsidRPr="00AC6103" w:rsidTr="00361FA9">
        <w:tc>
          <w:tcPr>
            <w:tcW w:w="3118" w:type="dxa"/>
            <w:gridSpan w:val="2"/>
            <w:tcBorders>
              <w:top w:val="single" w:sz="6" w:space="0" w:color="auto"/>
              <w:left w:val="nil"/>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Closing balance 30 June 2015 (actual)</w:t>
            </w:r>
          </w:p>
        </w:tc>
        <w:tc>
          <w:tcPr>
            <w:tcW w:w="850" w:type="dxa"/>
            <w:tcBorders>
              <w:top w:val="single" w:sz="6" w:space="0" w:color="auto"/>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81</w:t>
            </w:r>
          </w:p>
        </w:tc>
        <w:tc>
          <w:tcPr>
            <w:tcW w:w="1134" w:type="dxa"/>
            <w:tcBorders>
              <w:top w:val="single" w:sz="6" w:space="0" w:color="auto"/>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276</w:t>
            </w:r>
          </w:p>
        </w:tc>
        <w:tc>
          <w:tcPr>
            <w:tcW w:w="1071" w:type="dxa"/>
            <w:tcBorders>
              <w:top w:val="single" w:sz="6" w:space="0" w:color="auto"/>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197</w:t>
            </w:r>
          </w:p>
        </w:tc>
        <w:tc>
          <w:tcPr>
            <w:tcW w:w="771" w:type="dxa"/>
            <w:tcBorders>
              <w:top w:val="single" w:sz="6" w:space="0" w:color="auto"/>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16" w:type="dxa"/>
            <w:tcBorders>
              <w:top w:val="single" w:sz="6" w:space="0" w:color="auto"/>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554</w:t>
            </w:r>
          </w:p>
        </w:tc>
      </w:tr>
      <w:tr w:rsidR="002C39A3" w:rsidRPr="00AC6103" w:rsidTr="00361FA9">
        <w:tc>
          <w:tcPr>
            <w:tcW w:w="3118" w:type="dxa"/>
            <w:gridSpan w:val="2"/>
            <w:tcBorders>
              <w:top w:val="nil"/>
              <w:left w:val="nil"/>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Comprehensive result</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1134"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r>
      <w:tr w:rsidR="002C39A3" w:rsidRPr="00AC6103" w:rsidTr="00361FA9">
        <w:tc>
          <w:tcPr>
            <w:tcW w:w="3118" w:type="dxa"/>
            <w:gridSpan w:val="2"/>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134"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w:t>
            </w:r>
          </w:p>
        </w:tc>
        <w:tc>
          <w:tcPr>
            <w:tcW w:w="1071"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w:t>
            </w:r>
          </w:p>
        </w:tc>
      </w:tr>
      <w:tr w:rsidR="002C39A3" w:rsidRPr="00AC6103" w:rsidTr="00361FA9">
        <w:tc>
          <w:tcPr>
            <w:tcW w:w="3118" w:type="dxa"/>
            <w:gridSpan w:val="2"/>
            <w:tcBorders>
              <w:top w:val="single" w:sz="6" w:space="0" w:color="auto"/>
              <w:left w:val="nil"/>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Closing balance 30 June 2016 (budget)</w:t>
            </w:r>
          </w:p>
        </w:tc>
        <w:tc>
          <w:tcPr>
            <w:tcW w:w="850" w:type="dxa"/>
            <w:tcBorders>
              <w:top w:val="single" w:sz="6" w:space="0" w:color="auto"/>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79</w:t>
            </w:r>
          </w:p>
        </w:tc>
        <w:tc>
          <w:tcPr>
            <w:tcW w:w="1134" w:type="dxa"/>
            <w:tcBorders>
              <w:top w:val="single" w:sz="6" w:space="0" w:color="auto"/>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286</w:t>
            </w:r>
          </w:p>
        </w:tc>
        <w:tc>
          <w:tcPr>
            <w:tcW w:w="1071" w:type="dxa"/>
            <w:tcBorders>
              <w:top w:val="single" w:sz="6" w:space="0" w:color="auto"/>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197</w:t>
            </w:r>
          </w:p>
        </w:tc>
        <w:tc>
          <w:tcPr>
            <w:tcW w:w="771" w:type="dxa"/>
            <w:tcBorders>
              <w:top w:val="single" w:sz="6" w:space="0" w:color="auto"/>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16" w:type="dxa"/>
            <w:tcBorders>
              <w:top w:val="single" w:sz="6" w:space="0" w:color="auto"/>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562</w:t>
            </w:r>
          </w:p>
        </w:tc>
      </w:tr>
      <w:tr w:rsidR="002C39A3" w:rsidRPr="00AC6103" w:rsidTr="00361FA9">
        <w:tc>
          <w:tcPr>
            <w:tcW w:w="3118" w:type="dxa"/>
            <w:gridSpan w:val="2"/>
            <w:tcBorders>
              <w:top w:val="nil"/>
              <w:left w:val="nil"/>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Comprehensive result</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c>
          <w:tcPr>
            <w:tcW w:w="1134"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r>
      <w:tr w:rsidR="002C39A3" w:rsidRPr="00AC6103" w:rsidTr="00361FA9">
        <w:tc>
          <w:tcPr>
            <w:tcW w:w="3118" w:type="dxa"/>
            <w:gridSpan w:val="2"/>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134"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w:t>
            </w:r>
          </w:p>
        </w:tc>
        <w:tc>
          <w:tcPr>
            <w:tcW w:w="1071"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w:t>
            </w:r>
          </w:p>
        </w:tc>
      </w:tr>
      <w:tr w:rsidR="002C39A3" w:rsidRPr="00AC6103" w:rsidTr="00361FA9">
        <w:tc>
          <w:tcPr>
            <w:tcW w:w="3118" w:type="dxa"/>
            <w:gridSpan w:val="2"/>
            <w:tcBorders>
              <w:top w:val="single" w:sz="6" w:space="0" w:color="auto"/>
              <w:left w:val="nil"/>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Closing balance 30 June 2016 (revised)</w:t>
            </w:r>
          </w:p>
        </w:tc>
        <w:tc>
          <w:tcPr>
            <w:tcW w:w="850" w:type="dxa"/>
            <w:tcBorders>
              <w:top w:val="single" w:sz="6" w:space="0" w:color="auto"/>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86</w:t>
            </w:r>
          </w:p>
        </w:tc>
        <w:tc>
          <w:tcPr>
            <w:tcW w:w="1134" w:type="dxa"/>
            <w:tcBorders>
              <w:top w:val="single" w:sz="6" w:space="0" w:color="auto"/>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286</w:t>
            </w:r>
          </w:p>
        </w:tc>
        <w:tc>
          <w:tcPr>
            <w:tcW w:w="1071" w:type="dxa"/>
            <w:tcBorders>
              <w:top w:val="single" w:sz="6" w:space="0" w:color="auto"/>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197</w:t>
            </w:r>
          </w:p>
        </w:tc>
        <w:tc>
          <w:tcPr>
            <w:tcW w:w="771" w:type="dxa"/>
            <w:tcBorders>
              <w:top w:val="single" w:sz="6" w:space="0" w:color="auto"/>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16" w:type="dxa"/>
            <w:tcBorders>
              <w:top w:val="single" w:sz="6" w:space="0" w:color="auto"/>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569</w:t>
            </w:r>
          </w:p>
        </w:tc>
      </w:tr>
      <w:tr w:rsidR="002C39A3" w:rsidRPr="00AC6103" w:rsidTr="00361FA9">
        <w:tc>
          <w:tcPr>
            <w:tcW w:w="3118" w:type="dxa"/>
            <w:gridSpan w:val="2"/>
            <w:tcBorders>
              <w:top w:val="nil"/>
              <w:left w:val="nil"/>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Comprehensive result</w:t>
            </w:r>
          </w:p>
        </w:tc>
        <w:tc>
          <w:tcPr>
            <w:tcW w:w="850"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(15)</w:t>
            </w:r>
          </w:p>
        </w:tc>
        <w:tc>
          <w:tcPr>
            <w:tcW w:w="1134"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(15)</w:t>
            </w:r>
          </w:p>
        </w:tc>
      </w:tr>
      <w:tr w:rsidR="002C39A3" w:rsidRPr="00AC6103" w:rsidTr="00361FA9">
        <w:tc>
          <w:tcPr>
            <w:tcW w:w="3118" w:type="dxa"/>
            <w:gridSpan w:val="2"/>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134"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w:t>
            </w:r>
          </w:p>
        </w:tc>
        <w:tc>
          <w:tcPr>
            <w:tcW w:w="1071"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w:t>
            </w:r>
          </w:p>
        </w:tc>
      </w:tr>
      <w:tr w:rsidR="002C39A3" w:rsidRPr="00AC6103" w:rsidTr="00361FA9">
        <w:tc>
          <w:tcPr>
            <w:tcW w:w="3118" w:type="dxa"/>
            <w:gridSpan w:val="2"/>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Closing balance 30 June 2017 (budget)</w:t>
            </w:r>
          </w:p>
        </w:tc>
        <w:tc>
          <w:tcPr>
            <w:tcW w:w="850"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71</w:t>
            </w:r>
          </w:p>
        </w:tc>
        <w:tc>
          <w:tcPr>
            <w:tcW w:w="1134"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297</w:t>
            </w:r>
          </w:p>
        </w:tc>
        <w:tc>
          <w:tcPr>
            <w:tcW w:w="1071"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197</w:t>
            </w:r>
          </w:p>
        </w:tc>
        <w:tc>
          <w:tcPr>
            <w:tcW w:w="771"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16" w:type="dxa"/>
            <w:tcBorders>
              <w:top w:val="single" w:sz="6" w:space="0" w:color="auto"/>
              <w:left w:val="nil"/>
              <w:bottom w:val="single" w:sz="12"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565</w:t>
            </w:r>
          </w:p>
        </w:tc>
      </w:tr>
    </w:tbl>
    <w:p w:rsidR="002C39A3" w:rsidRDefault="002C39A3" w:rsidP="00361FA9">
      <w:pPr>
        <w:pStyle w:val="Source"/>
        <w:rPr>
          <w:rFonts w:eastAsiaTheme="minorHAnsi"/>
        </w:rPr>
      </w:pPr>
      <w:r w:rsidRPr="00EE5097">
        <w:rPr>
          <w:rFonts w:eastAsiaTheme="minorHAnsi"/>
        </w:rPr>
        <w:t xml:space="preserve">Sources: </w:t>
      </w:r>
      <w:r w:rsidRPr="00B210CD">
        <w:rPr>
          <w:rFonts w:eastAsiaTheme="minorHAnsi"/>
        </w:rPr>
        <w:t>Departments of Premier and Cabinet, and Treasury and Finance</w:t>
      </w:r>
    </w:p>
    <w:p w:rsidR="002C39A3" w:rsidRDefault="002C39A3" w:rsidP="00361FA9">
      <w:pPr>
        <w:pStyle w:val="million"/>
        <w:rPr>
          <w:rFonts w:eastAsiaTheme="minorHAnsi"/>
        </w:rPr>
      </w:pPr>
    </w:p>
    <w:p w:rsidR="002C39A3" w:rsidRDefault="002C39A3" w:rsidP="00361FA9">
      <w:pPr>
        <w:pStyle w:val="million"/>
        <w:rPr>
          <w:rFonts w:eastAsiaTheme="minorHAnsi"/>
        </w:rPr>
      </w:pP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3.6.5:</w:t>
      </w:r>
      <w:r>
        <w:rPr>
          <w:rFonts w:eastAsiaTheme="minorHAnsi"/>
        </w:rPr>
        <w:tab/>
        <w:t>Administered items statement</w:t>
      </w:r>
    </w:p>
    <w:p w:rsidR="002C39A3" w:rsidRPr="00AC6103" w:rsidRDefault="002C39A3" w:rsidP="00361FA9">
      <w:pPr>
        <w:pStyle w:val="million"/>
        <w:rPr>
          <w:rFonts w:eastAsiaTheme="minorEastAsia"/>
          <w:lang w:val="en-US" w:eastAsia="en-AU"/>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4394"/>
        <w:gridCol w:w="822"/>
        <w:gridCol w:w="850"/>
        <w:gridCol w:w="850"/>
        <w:gridCol w:w="850"/>
      </w:tblGrid>
      <w:tr w:rsidR="00167FAD" w:rsidRPr="00AC6103" w:rsidTr="00167FAD">
        <w:trPr>
          <w:trHeight w:val="464"/>
          <w:tblHeader/>
        </w:trPr>
        <w:tc>
          <w:tcPr>
            <w:tcW w:w="4394" w:type="dxa"/>
            <w:tcBorders>
              <w:left w:val="nil"/>
              <w:right w:val="nil"/>
            </w:tcBorders>
            <w:shd w:val="solid" w:color="000000" w:fill="auto"/>
            <w:vAlign w:val="bottom"/>
          </w:tcPr>
          <w:p w:rsidR="00167FAD" w:rsidRPr="00AC6103" w:rsidRDefault="00167FAD" w:rsidP="00361FA9">
            <w:pPr>
              <w:autoSpaceDE w:val="0"/>
              <w:autoSpaceDN w:val="0"/>
              <w:adjustRightInd w:val="0"/>
              <w:spacing w:after="0"/>
              <w:rPr>
                <w:rFonts w:eastAsiaTheme="minorEastAsia" w:cs="Calibri"/>
                <w:color w:val="FFFFFF"/>
                <w:sz w:val="19"/>
                <w:lang w:eastAsia="en-AU"/>
              </w:rPr>
            </w:pPr>
          </w:p>
        </w:tc>
        <w:tc>
          <w:tcPr>
            <w:tcW w:w="822" w:type="dxa"/>
            <w:tcBorders>
              <w:left w:val="nil"/>
              <w:right w:val="nil"/>
            </w:tcBorders>
            <w:shd w:val="solid" w:color="000000" w:fill="auto"/>
            <w:vAlign w:val="bottom"/>
          </w:tcPr>
          <w:p w:rsidR="00167FAD" w:rsidRPr="00AC6103"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2014-15</w:t>
            </w:r>
          </w:p>
          <w:p w:rsidR="00167FAD" w:rsidRPr="00AC6103"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actual</w:t>
            </w:r>
          </w:p>
        </w:tc>
        <w:tc>
          <w:tcPr>
            <w:tcW w:w="850" w:type="dxa"/>
            <w:tcBorders>
              <w:left w:val="nil"/>
              <w:right w:val="nil"/>
            </w:tcBorders>
            <w:shd w:val="solid" w:color="000000" w:fill="auto"/>
            <w:vAlign w:val="bottom"/>
          </w:tcPr>
          <w:p w:rsidR="00167FAD" w:rsidRPr="00AC6103"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167FAD" w:rsidRPr="00AC6103"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167FAD" w:rsidRPr="00AC6103"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167FAD" w:rsidRPr="00AC6103"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167FAD" w:rsidRPr="00AC6103"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2016-17</w:t>
            </w:r>
          </w:p>
          <w:p w:rsidR="00167FAD" w:rsidRPr="00AC6103"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r>
      <w:tr w:rsidR="00167FAD" w:rsidRPr="00AC6103" w:rsidTr="00167FAD">
        <w:tc>
          <w:tcPr>
            <w:tcW w:w="7766" w:type="dxa"/>
            <w:gridSpan w:val="5"/>
            <w:tcBorders>
              <w:top w:val="single" w:sz="6" w:space="0" w:color="auto"/>
              <w:left w:val="nil"/>
              <w:right w:val="nil"/>
            </w:tcBorders>
            <w:shd w:val="solid" w:color="FFFFFF" w:fill="FFFFFF"/>
          </w:tcPr>
          <w:p w:rsidR="00167FAD" w:rsidRPr="00AC6103" w:rsidRDefault="00167FAD" w:rsidP="00167FA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Administered income</w:t>
            </w:r>
          </w:p>
        </w:tc>
      </w:tr>
      <w:tr w:rsidR="002C39A3" w:rsidRPr="00AC6103" w:rsidTr="00361FA9">
        <w:tc>
          <w:tcPr>
            <w:tcW w:w="4394" w:type="dxa"/>
            <w:tcBorders>
              <w:top w:val="nil"/>
              <w:left w:val="nil"/>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Appropriations – payments made on behalf of the State</w:t>
            </w:r>
          </w:p>
        </w:tc>
        <w:tc>
          <w:tcPr>
            <w:tcW w:w="822"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94" w:type="dxa"/>
            <w:tcBorders>
              <w:top w:val="nil"/>
              <w:left w:val="nil"/>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Special Appropriations</w:t>
            </w:r>
          </w:p>
        </w:tc>
        <w:tc>
          <w:tcPr>
            <w:tcW w:w="822"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94" w:type="dxa"/>
            <w:tcBorders>
              <w:top w:val="nil"/>
              <w:left w:val="nil"/>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Sale of goods and services</w:t>
            </w:r>
          </w:p>
        </w:tc>
        <w:tc>
          <w:tcPr>
            <w:tcW w:w="822"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r>
      <w:tr w:rsidR="002C39A3" w:rsidRPr="00AC6103" w:rsidTr="00361FA9">
        <w:tc>
          <w:tcPr>
            <w:tcW w:w="4394" w:type="dxa"/>
            <w:tcBorders>
              <w:top w:val="nil"/>
              <w:left w:val="nil"/>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Grants</w:t>
            </w:r>
          </w:p>
        </w:tc>
        <w:tc>
          <w:tcPr>
            <w:tcW w:w="822"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94" w:type="dxa"/>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income</w:t>
            </w:r>
          </w:p>
        </w:tc>
        <w:tc>
          <w:tcPr>
            <w:tcW w:w="822" w:type="dxa"/>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94" w:type="dxa"/>
            <w:tcBorders>
              <w:top w:val="single" w:sz="6" w:space="0" w:color="auto"/>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administered income</w:t>
            </w:r>
          </w:p>
        </w:tc>
        <w:tc>
          <w:tcPr>
            <w:tcW w:w="822" w:type="dxa"/>
            <w:tcBorders>
              <w:top w:val="single" w:sz="6" w:space="0" w:color="auto"/>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w:t>
            </w:r>
          </w:p>
        </w:tc>
        <w:tc>
          <w:tcPr>
            <w:tcW w:w="850" w:type="dxa"/>
            <w:tcBorders>
              <w:top w:val="single" w:sz="6" w:space="0" w:color="auto"/>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w:t>
            </w:r>
          </w:p>
        </w:tc>
        <w:tc>
          <w:tcPr>
            <w:tcW w:w="850" w:type="dxa"/>
            <w:tcBorders>
              <w:top w:val="single" w:sz="6" w:space="0" w:color="auto"/>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w:t>
            </w:r>
          </w:p>
        </w:tc>
        <w:tc>
          <w:tcPr>
            <w:tcW w:w="850" w:type="dxa"/>
            <w:tcBorders>
              <w:top w:val="single" w:sz="6" w:space="0" w:color="auto"/>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w:t>
            </w:r>
          </w:p>
        </w:tc>
      </w:tr>
      <w:tr w:rsidR="00167FAD" w:rsidRPr="00AC6103" w:rsidTr="00167FAD">
        <w:trPr>
          <w:trHeight w:hRule="exact" w:val="120"/>
        </w:trPr>
        <w:tc>
          <w:tcPr>
            <w:tcW w:w="7766" w:type="dxa"/>
            <w:gridSpan w:val="5"/>
            <w:tcBorders>
              <w:top w:val="single" w:sz="6" w:space="0" w:color="auto"/>
              <w:left w:val="nil"/>
              <w:right w:val="nil"/>
            </w:tcBorders>
            <w:shd w:val="clear" w:color="000000" w:fill="FFFFFF"/>
          </w:tcPr>
          <w:p w:rsidR="00167FAD" w:rsidRPr="00AC6103" w:rsidRDefault="00167FAD" w:rsidP="00361FA9">
            <w:pPr>
              <w:autoSpaceDE w:val="0"/>
              <w:autoSpaceDN w:val="0"/>
              <w:adjustRightInd w:val="0"/>
              <w:spacing w:after="0"/>
              <w:jc w:val="right"/>
              <w:rPr>
                <w:rFonts w:ascii="Calibri" w:eastAsiaTheme="minorEastAsia" w:hAnsi="Calibri" w:cs="Calibri"/>
                <w:color w:val="000000"/>
                <w:sz w:val="19"/>
                <w:lang w:eastAsia="en-AU"/>
              </w:rPr>
            </w:pPr>
          </w:p>
        </w:tc>
      </w:tr>
      <w:tr w:rsidR="00167FAD" w:rsidRPr="00AC6103" w:rsidTr="00167FAD">
        <w:tc>
          <w:tcPr>
            <w:tcW w:w="7766" w:type="dxa"/>
            <w:gridSpan w:val="5"/>
            <w:tcBorders>
              <w:top w:val="nil"/>
              <w:left w:val="nil"/>
              <w:right w:val="nil"/>
            </w:tcBorders>
            <w:shd w:val="clear" w:color="000000" w:fill="FFFFFF"/>
          </w:tcPr>
          <w:p w:rsidR="00167FAD" w:rsidRPr="00AC6103" w:rsidRDefault="00167FAD" w:rsidP="00167FA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Administered expenses</w:t>
            </w:r>
          </w:p>
        </w:tc>
      </w:tr>
      <w:tr w:rsidR="002C39A3" w:rsidRPr="00AC6103" w:rsidTr="00361FA9">
        <w:tc>
          <w:tcPr>
            <w:tcW w:w="4394" w:type="dxa"/>
            <w:tcBorders>
              <w:top w:val="nil"/>
              <w:left w:val="nil"/>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Expenses on behalf of the State</w:t>
            </w:r>
          </w:p>
        </w:tc>
        <w:tc>
          <w:tcPr>
            <w:tcW w:w="822"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94" w:type="dxa"/>
            <w:tcBorders>
              <w:top w:val="nil"/>
              <w:left w:val="nil"/>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Grants and other transfers</w:t>
            </w:r>
          </w:p>
        </w:tc>
        <w:tc>
          <w:tcPr>
            <w:tcW w:w="822"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94" w:type="dxa"/>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Payments into the Consolidated Fund</w:t>
            </w:r>
          </w:p>
        </w:tc>
        <w:tc>
          <w:tcPr>
            <w:tcW w:w="822" w:type="dxa"/>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c>
          <w:tcPr>
            <w:tcW w:w="850" w:type="dxa"/>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r>
      <w:tr w:rsidR="002C39A3" w:rsidRPr="00AC6103" w:rsidTr="00361FA9">
        <w:tc>
          <w:tcPr>
            <w:tcW w:w="4394" w:type="dxa"/>
            <w:tcBorders>
              <w:top w:val="single" w:sz="6" w:space="0" w:color="auto"/>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administered expenses</w:t>
            </w:r>
          </w:p>
        </w:tc>
        <w:tc>
          <w:tcPr>
            <w:tcW w:w="822" w:type="dxa"/>
            <w:tcBorders>
              <w:top w:val="single" w:sz="6" w:space="0" w:color="auto"/>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w:t>
            </w:r>
          </w:p>
        </w:tc>
        <w:tc>
          <w:tcPr>
            <w:tcW w:w="850" w:type="dxa"/>
            <w:tcBorders>
              <w:top w:val="single" w:sz="6" w:space="0" w:color="auto"/>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w:t>
            </w:r>
          </w:p>
        </w:tc>
        <w:tc>
          <w:tcPr>
            <w:tcW w:w="850" w:type="dxa"/>
            <w:tcBorders>
              <w:top w:val="single" w:sz="6" w:space="0" w:color="auto"/>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w:t>
            </w:r>
          </w:p>
        </w:tc>
        <w:tc>
          <w:tcPr>
            <w:tcW w:w="850" w:type="dxa"/>
            <w:tcBorders>
              <w:top w:val="single" w:sz="6" w:space="0" w:color="auto"/>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w:t>
            </w:r>
          </w:p>
        </w:tc>
      </w:tr>
      <w:tr w:rsidR="002C39A3" w:rsidRPr="00AC6103" w:rsidTr="00361FA9">
        <w:tc>
          <w:tcPr>
            <w:tcW w:w="4394"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result</w:t>
            </w:r>
          </w:p>
        </w:tc>
        <w:tc>
          <w:tcPr>
            <w:tcW w:w="822"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167FAD" w:rsidRPr="00AC6103" w:rsidTr="00167FAD">
        <w:trPr>
          <w:trHeight w:hRule="exact" w:val="120"/>
        </w:trPr>
        <w:tc>
          <w:tcPr>
            <w:tcW w:w="7766" w:type="dxa"/>
            <w:gridSpan w:val="5"/>
            <w:tcBorders>
              <w:top w:val="single" w:sz="12" w:space="0" w:color="auto"/>
              <w:left w:val="nil"/>
              <w:right w:val="nil"/>
            </w:tcBorders>
            <w:shd w:val="solid" w:color="FFFFFF" w:fill="FFFFFF"/>
          </w:tcPr>
          <w:p w:rsidR="00167FAD" w:rsidRPr="00AC6103" w:rsidRDefault="00167FAD" w:rsidP="00361FA9">
            <w:pPr>
              <w:autoSpaceDE w:val="0"/>
              <w:autoSpaceDN w:val="0"/>
              <w:adjustRightInd w:val="0"/>
              <w:spacing w:after="0"/>
              <w:jc w:val="right"/>
              <w:rPr>
                <w:rFonts w:ascii="Calibri" w:eastAsiaTheme="minorEastAsia" w:hAnsi="Calibri" w:cs="Calibri"/>
                <w:b/>
                <w:bCs/>
                <w:color w:val="000000"/>
                <w:sz w:val="19"/>
                <w:lang w:eastAsia="en-AU"/>
              </w:rPr>
            </w:pPr>
          </w:p>
        </w:tc>
      </w:tr>
      <w:tr w:rsidR="002C39A3" w:rsidRPr="00AC6103" w:rsidTr="00361FA9">
        <w:tc>
          <w:tcPr>
            <w:tcW w:w="4394" w:type="dxa"/>
            <w:tcBorders>
              <w:top w:val="nil"/>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Comprehensive result</w:t>
            </w:r>
          </w:p>
        </w:tc>
        <w:tc>
          <w:tcPr>
            <w:tcW w:w="822" w:type="dxa"/>
            <w:tcBorders>
              <w:top w:val="nil"/>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nil"/>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nil"/>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nil"/>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167FAD" w:rsidRPr="00AC6103" w:rsidTr="00167FAD">
        <w:tc>
          <w:tcPr>
            <w:tcW w:w="7766" w:type="dxa"/>
            <w:gridSpan w:val="5"/>
            <w:tcBorders>
              <w:top w:val="single" w:sz="12" w:space="0" w:color="auto"/>
              <w:left w:val="nil"/>
              <w:bottom w:val="single" w:sz="6" w:space="0" w:color="auto"/>
              <w:right w:val="nil"/>
            </w:tcBorders>
            <w:shd w:val="clear" w:color="000000" w:fill="FFFFFF"/>
          </w:tcPr>
          <w:p w:rsidR="00167FAD" w:rsidRPr="00AC6103" w:rsidRDefault="00167FAD" w:rsidP="00167FA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Administered assets</w:t>
            </w:r>
          </w:p>
        </w:tc>
      </w:tr>
      <w:tr w:rsidR="002C39A3" w:rsidRPr="00AC6103" w:rsidTr="00361FA9">
        <w:tc>
          <w:tcPr>
            <w:tcW w:w="4394" w:type="dxa"/>
            <w:tcBorders>
              <w:top w:val="single" w:sz="6" w:space="0" w:color="auto"/>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administered assets</w:t>
            </w:r>
          </w:p>
        </w:tc>
        <w:tc>
          <w:tcPr>
            <w:tcW w:w="822" w:type="dxa"/>
            <w:tcBorders>
              <w:top w:val="single" w:sz="6" w:space="0" w:color="auto"/>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167FAD" w:rsidRPr="00AC6103" w:rsidTr="00167FAD">
        <w:trPr>
          <w:trHeight w:hRule="exact" w:val="120"/>
        </w:trPr>
        <w:tc>
          <w:tcPr>
            <w:tcW w:w="7766" w:type="dxa"/>
            <w:gridSpan w:val="5"/>
            <w:tcBorders>
              <w:top w:val="single" w:sz="6" w:space="0" w:color="auto"/>
              <w:left w:val="nil"/>
              <w:right w:val="nil"/>
            </w:tcBorders>
            <w:shd w:val="clear" w:color="000000" w:fill="FFFFFF"/>
          </w:tcPr>
          <w:p w:rsidR="00167FAD" w:rsidRPr="00AC6103" w:rsidRDefault="00167FAD" w:rsidP="00361FA9">
            <w:pPr>
              <w:autoSpaceDE w:val="0"/>
              <w:autoSpaceDN w:val="0"/>
              <w:adjustRightInd w:val="0"/>
              <w:spacing w:after="0"/>
              <w:jc w:val="right"/>
              <w:rPr>
                <w:rFonts w:ascii="Calibri" w:eastAsiaTheme="minorEastAsia" w:hAnsi="Calibri" w:cs="Calibri"/>
                <w:color w:val="000000"/>
                <w:sz w:val="19"/>
                <w:lang w:eastAsia="en-AU"/>
              </w:rPr>
            </w:pPr>
          </w:p>
        </w:tc>
      </w:tr>
      <w:tr w:rsidR="00167FAD" w:rsidRPr="00AC6103" w:rsidTr="00167FAD">
        <w:tc>
          <w:tcPr>
            <w:tcW w:w="7766" w:type="dxa"/>
            <w:gridSpan w:val="5"/>
            <w:tcBorders>
              <w:top w:val="nil"/>
              <w:left w:val="nil"/>
              <w:bottom w:val="single" w:sz="6" w:space="0" w:color="auto"/>
              <w:right w:val="nil"/>
            </w:tcBorders>
            <w:shd w:val="clear" w:color="000000" w:fill="FFFFFF"/>
          </w:tcPr>
          <w:p w:rsidR="00167FAD" w:rsidRPr="00AC6103" w:rsidRDefault="00167FAD" w:rsidP="00167FAD">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Administered liabilities</w:t>
            </w:r>
          </w:p>
        </w:tc>
      </w:tr>
      <w:tr w:rsidR="002C39A3" w:rsidRPr="00AC6103" w:rsidTr="00361FA9">
        <w:tc>
          <w:tcPr>
            <w:tcW w:w="4394" w:type="dxa"/>
            <w:tcBorders>
              <w:top w:val="single" w:sz="6" w:space="0" w:color="auto"/>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administered liabilities</w:t>
            </w:r>
          </w:p>
        </w:tc>
        <w:tc>
          <w:tcPr>
            <w:tcW w:w="822" w:type="dxa"/>
            <w:tcBorders>
              <w:top w:val="single" w:sz="6" w:space="0" w:color="auto"/>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c>
          <w:tcPr>
            <w:tcW w:w="4394"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assets</w:t>
            </w:r>
          </w:p>
        </w:tc>
        <w:tc>
          <w:tcPr>
            <w:tcW w:w="822"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bl>
    <w:p w:rsidR="002C39A3" w:rsidRDefault="002C39A3" w:rsidP="00361FA9">
      <w:pPr>
        <w:pStyle w:val="Source"/>
        <w:rPr>
          <w:rFonts w:eastAsiaTheme="minorHAnsi"/>
        </w:rPr>
      </w:pPr>
      <w:r w:rsidRPr="00EE5097">
        <w:rPr>
          <w:rFonts w:eastAsiaTheme="minorHAnsi"/>
        </w:rPr>
        <w:t xml:space="preserve">Sources: </w:t>
      </w:r>
      <w:r w:rsidRPr="00B210CD">
        <w:rPr>
          <w:rFonts w:eastAsiaTheme="minorHAnsi"/>
        </w:rPr>
        <w:t>Departments of Premier and Cabinet, and Treasury and Finance</w:t>
      </w:r>
    </w:p>
    <w:p w:rsidR="002C39A3" w:rsidRDefault="002C39A3" w:rsidP="00361FA9">
      <w:pPr>
        <w:rPr>
          <w:rFonts w:eastAsiaTheme="minorHAnsi"/>
        </w:rPr>
      </w:pPr>
    </w:p>
    <w:p w:rsidR="002C39A3" w:rsidRDefault="002C39A3" w:rsidP="00361FA9">
      <w:pPr>
        <w:rPr>
          <w:rFonts w:eastAsiaTheme="minorHAnsi"/>
        </w:rPr>
      </w:pPr>
    </w:p>
    <w:p w:rsidR="002C39A3" w:rsidRDefault="002C39A3" w:rsidP="00361FA9">
      <w:pPr>
        <w:pStyle w:val="Tableheading"/>
        <w:rPr>
          <w:rFonts w:eastAsiaTheme="minorHAnsi"/>
        </w:rPr>
      </w:pPr>
      <w:r>
        <w:rPr>
          <w:rFonts w:eastAsiaTheme="minorHAnsi"/>
        </w:rPr>
        <w:t>Table 3.6.6:</w:t>
      </w:r>
      <w:r>
        <w:rPr>
          <w:rFonts w:eastAsiaTheme="minorHAnsi"/>
        </w:rPr>
        <w:tab/>
        <w:t>Payments made on behalf of the State</w:t>
      </w:r>
    </w:p>
    <w:p w:rsidR="002C39A3" w:rsidRPr="00AC6103" w:rsidRDefault="002C39A3" w:rsidP="00361FA9">
      <w:pPr>
        <w:pStyle w:val="million"/>
        <w:rPr>
          <w:rFonts w:eastAsiaTheme="minorHAnsi"/>
          <w:b/>
          <w:bCs/>
          <w:lang w:val="en-US"/>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5216"/>
        <w:gridCol w:w="850"/>
        <w:gridCol w:w="850"/>
        <w:gridCol w:w="850"/>
      </w:tblGrid>
      <w:tr w:rsidR="00167FAD" w:rsidRPr="00AC6103" w:rsidTr="00167FAD">
        <w:trPr>
          <w:trHeight w:val="464"/>
          <w:tblHeader/>
        </w:trPr>
        <w:tc>
          <w:tcPr>
            <w:tcW w:w="5216" w:type="dxa"/>
            <w:tcBorders>
              <w:left w:val="nil"/>
              <w:right w:val="nil"/>
            </w:tcBorders>
            <w:shd w:val="solid" w:color="000000" w:fill="auto"/>
            <w:vAlign w:val="bottom"/>
          </w:tcPr>
          <w:p w:rsidR="00167FAD" w:rsidRPr="00AC6103" w:rsidRDefault="00167FAD" w:rsidP="00361FA9">
            <w:pPr>
              <w:pStyle w:val="million"/>
              <w:jc w:val="left"/>
              <w:rPr>
                <w:rFonts w:eastAsiaTheme="minorEastAsia" w:cs="Calibri"/>
                <w:iCs/>
                <w:color w:val="FFFFFF"/>
                <w:sz w:val="19"/>
                <w:lang w:eastAsia="en-AU"/>
              </w:rPr>
            </w:pPr>
          </w:p>
        </w:tc>
        <w:tc>
          <w:tcPr>
            <w:tcW w:w="850" w:type="dxa"/>
            <w:tcBorders>
              <w:left w:val="nil"/>
              <w:right w:val="nil"/>
            </w:tcBorders>
            <w:shd w:val="solid" w:color="000000" w:fill="auto"/>
            <w:vAlign w:val="bottom"/>
          </w:tcPr>
          <w:p w:rsidR="00167FAD" w:rsidRPr="00AC6103"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167FAD" w:rsidRPr="00AC6103"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167FAD" w:rsidRPr="00AC6103"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167FAD" w:rsidRPr="00AC6103"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167FAD" w:rsidRPr="00AC6103"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2016-17</w:t>
            </w:r>
          </w:p>
          <w:p w:rsidR="00167FAD" w:rsidRPr="00AC6103"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r>
      <w:tr w:rsidR="002C39A3" w:rsidRPr="00AC6103" w:rsidTr="00361FA9">
        <w:tc>
          <w:tcPr>
            <w:tcW w:w="521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Hazelwood Mine Fire Inquiry</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5216"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bl>
    <w:p w:rsidR="002C39A3" w:rsidRDefault="002C39A3" w:rsidP="00361FA9">
      <w:pPr>
        <w:pStyle w:val="Source"/>
        <w:rPr>
          <w:rFonts w:eastAsiaTheme="minorHAnsi"/>
        </w:rPr>
      </w:pPr>
      <w:r w:rsidRPr="00EE5097">
        <w:rPr>
          <w:rFonts w:eastAsiaTheme="minorHAnsi"/>
        </w:rPr>
        <w:t xml:space="preserve">Sources: </w:t>
      </w:r>
      <w:r w:rsidRPr="00B210CD">
        <w:rPr>
          <w:rFonts w:eastAsiaTheme="minorHAnsi"/>
        </w:rPr>
        <w:t>Departments of Premier and Cabinet, and Treasury and Finance</w:t>
      </w:r>
    </w:p>
    <w:p w:rsidR="002C39A3" w:rsidRDefault="002C39A3" w:rsidP="00361FA9">
      <w:pPr>
        <w:rPr>
          <w:rFonts w:eastAsiaTheme="minorHAnsi"/>
        </w:rPr>
      </w:pPr>
    </w:p>
    <w:p w:rsidR="002C39A3" w:rsidRDefault="002C39A3" w:rsidP="00361FA9">
      <w:pPr>
        <w:rPr>
          <w:rFonts w:eastAsiaTheme="minorHAnsi"/>
        </w:rPr>
        <w:sectPr w:rsidR="002C39A3" w:rsidSect="00361FA9">
          <w:footerReference w:type="even" r:id="rId46"/>
          <w:footerReference w:type="default" r:id="rId47"/>
          <w:pgSz w:w="9979" w:h="14181" w:code="138"/>
          <w:pgMar w:top="1140" w:right="1140" w:bottom="1140" w:left="1140" w:header="720" w:footer="431" w:gutter="0"/>
          <w:cols w:space="708"/>
          <w:docGrid w:linePitch="360"/>
        </w:sectPr>
      </w:pPr>
    </w:p>
    <w:p w:rsidR="002C39A3" w:rsidRDefault="002C39A3" w:rsidP="00361FA9">
      <w:pPr>
        <w:pStyle w:val="Heading1"/>
        <w:rPr>
          <w:rFonts w:eastAsiaTheme="minorHAnsi"/>
        </w:rPr>
      </w:pPr>
      <w:bookmarkStart w:id="44" w:name="_Toc449116202"/>
      <w:r>
        <w:rPr>
          <w:rFonts w:eastAsiaTheme="minorHAnsi"/>
        </w:rPr>
        <w:t>Department of Treasury and Finance</w:t>
      </w:r>
      <w:bookmarkEnd w:id="44"/>
    </w:p>
    <w:p w:rsidR="002C39A3" w:rsidRDefault="002C39A3" w:rsidP="00361FA9">
      <w:pPr>
        <w:pStyle w:val="Heading2"/>
        <w:rPr>
          <w:rFonts w:eastAsiaTheme="minorHAnsi"/>
        </w:rPr>
      </w:pPr>
      <w:r>
        <w:rPr>
          <w:rFonts w:eastAsiaTheme="minorHAnsi"/>
        </w:rPr>
        <w:t>Operating performance</w:t>
      </w:r>
    </w:p>
    <w:p w:rsidR="002C39A3" w:rsidRPr="0025212E" w:rsidRDefault="002C39A3" w:rsidP="00361FA9">
      <w:pPr>
        <w:rPr>
          <w:rFonts w:eastAsiaTheme="minorHAnsi"/>
        </w:rPr>
      </w:pPr>
      <w:r w:rsidRPr="0025212E">
        <w:rPr>
          <w:rFonts w:eastAsiaTheme="minorHAnsi"/>
        </w:rPr>
        <w:t xml:space="preserve">The Department of Treasury and Finance is expected to </w:t>
      </w:r>
      <w:r>
        <w:rPr>
          <w:rFonts w:eastAsiaTheme="minorHAnsi"/>
        </w:rPr>
        <w:t>report</w:t>
      </w:r>
      <w:r w:rsidRPr="0025212E">
        <w:rPr>
          <w:rFonts w:eastAsiaTheme="minorHAnsi"/>
        </w:rPr>
        <w:t xml:space="preserve"> a net surplus from transactions of $1</w:t>
      </w:r>
      <w:r>
        <w:rPr>
          <w:rFonts w:eastAsiaTheme="minorHAnsi"/>
        </w:rPr>
        <w:t>2</w:t>
      </w:r>
      <w:r w:rsidRPr="0025212E">
        <w:rPr>
          <w:rFonts w:eastAsiaTheme="minorHAnsi"/>
        </w:rPr>
        <w:t xml:space="preserve"> million in 2016</w:t>
      </w:r>
      <w:r>
        <w:rPr>
          <w:rFonts w:eastAsiaTheme="minorHAnsi"/>
        </w:rPr>
        <w:noBreakHyphen/>
      </w:r>
      <w:r w:rsidRPr="0025212E">
        <w:rPr>
          <w:rFonts w:eastAsiaTheme="minorHAnsi"/>
        </w:rPr>
        <w:t>17</w:t>
      </w:r>
      <w:r>
        <w:rPr>
          <w:rFonts w:eastAsiaTheme="minorHAnsi"/>
        </w:rPr>
        <w:t xml:space="preserve">. </w:t>
      </w:r>
      <w:r w:rsidRPr="0025212E">
        <w:rPr>
          <w:rFonts w:eastAsiaTheme="minorHAnsi"/>
        </w:rPr>
        <w:t xml:space="preserve">This result is </w:t>
      </w:r>
      <w:r>
        <w:rPr>
          <w:rFonts w:eastAsiaTheme="minorHAnsi"/>
        </w:rPr>
        <w:t>largely due</w:t>
      </w:r>
      <w:r w:rsidRPr="0025212E">
        <w:rPr>
          <w:rFonts w:eastAsiaTheme="minorHAnsi"/>
        </w:rPr>
        <w:t xml:space="preserve"> to retained rental income to fund capital expenditure on government owned buildings and a higher surplus earned by CenITex (the centralised information technology provider).</w:t>
      </w:r>
    </w:p>
    <w:p w:rsidR="002C39A3" w:rsidRPr="0025212E" w:rsidRDefault="002C39A3" w:rsidP="00361FA9">
      <w:pPr>
        <w:rPr>
          <w:rFonts w:eastAsiaTheme="minorHAnsi"/>
        </w:rPr>
      </w:pPr>
      <w:r w:rsidRPr="0025212E">
        <w:rPr>
          <w:rFonts w:eastAsiaTheme="minorHAnsi"/>
        </w:rPr>
        <w:t>The operating statement shows a decrease in income of $1</w:t>
      </w:r>
      <w:r>
        <w:rPr>
          <w:rFonts w:eastAsiaTheme="minorHAnsi"/>
        </w:rPr>
        <w:t>1</w:t>
      </w:r>
      <w:r w:rsidRPr="0025212E">
        <w:rPr>
          <w:rFonts w:eastAsiaTheme="minorHAnsi"/>
        </w:rPr>
        <w:t xml:space="preserve"> million between the 2015</w:t>
      </w:r>
      <w:r>
        <w:rPr>
          <w:rFonts w:eastAsiaTheme="minorHAnsi"/>
        </w:rPr>
        <w:noBreakHyphen/>
      </w:r>
      <w:r w:rsidRPr="0025212E">
        <w:rPr>
          <w:rFonts w:eastAsiaTheme="minorHAnsi"/>
        </w:rPr>
        <w:t>16 revised budget and 2016</w:t>
      </w:r>
      <w:r>
        <w:rPr>
          <w:rFonts w:eastAsiaTheme="minorHAnsi"/>
        </w:rPr>
        <w:noBreakHyphen/>
      </w:r>
      <w:r w:rsidRPr="0025212E">
        <w:rPr>
          <w:rFonts w:eastAsiaTheme="minorHAnsi"/>
        </w:rPr>
        <w:t>17 budget</w:t>
      </w:r>
      <w:r>
        <w:rPr>
          <w:rFonts w:eastAsiaTheme="minorHAnsi"/>
        </w:rPr>
        <w:t xml:space="preserve">. </w:t>
      </w:r>
      <w:r w:rsidRPr="0025212E">
        <w:rPr>
          <w:rFonts w:eastAsiaTheme="minorHAnsi"/>
        </w:rPr>
        <w:t>The decrease is mainly due to CenITex project revenue returning to normal levels coupled with reduced customer charges in 2016</w:t>
      </w:r>
      <w:r>
        <w:rPr>
          <w:rFonts w:eastAsiaTheme="minorHAnsi"/>
        </w:rPr>
        <w:noBreakHyphen/>
      </w:r>
      <w:r w:rsidRPr="0025212E">
        <w:rPr>
          <w:rFonts w:eastAsiaTheme="minorHAnsi"/>
        </w:rPr>
        <w:t>17.</w:t>
      </w:r>
    </w:p>
    <w:p w:rsidR="002C39A3" w:rsidRPr="0025212E" w:rsidRDefault="002C39A3" w:rsidP="00361FA9">
      <w:pPr>
        <w:rPr>
          <w:rFonts w:eastAsiaTheme="minorHAnsi"/>
        </w:rPr>
      </w:pPr>
      <w:r w:rsidRPr="0025212E">
        <w:rPr>
          <w:rFonts w:eastAsiaTheme="minorHAnsi"/>
        </w:rPr>
        <w:t>Output appropriation revenue for 2016</w:t>
      </w:r>
      <w:r>
        <w:rPr>
          <w:rFonts w:eastAsiaTheme="minorHAnsi"/>
        </w:rPr>
        <w:noBreakHyphen/>
      </w:r>
      <w:r w:rsidRPr="0025212E">
        <w:rPr>
          <w:rFonts w:eastAsiaTheme="minorHAnsi"/>
        </w:rPr>
        <w:t>17 includes the following initiatives:</w:t>
      </w:r>
    </w:p>
    <w:p w:rsidR="002C39A3" w:rsidRPr="0025212E" w:rsidRDefault="002C39A3" w:rsidP="00361FA9">
      <w:pPr>
        <w:pStyle w:val="BulletText"/>
        <w:rPr>
          <w:rFonts w:eastAsiaTheme="minorHAnsi"/>
        </w:rPr>
      </w:pPr>
      <w:r>
        <w:rPr>
          <w:rFonts w:eastAsiaTheme="minorHAnsi"/>
        </w:rPr>
        <w:t>$6</w:t>
      </w:r>
      <w:r w:rsidRPr="0025212E">
        <w:rPr>
          <w:rFonts w:eastAsiaTheme="minorHAnsi"/>
        </w:rPr>
        <w:t xml:space="preserve"> million for the Essential Services Commission to deliver regulatory obligations relating to Local Councils</w:t>
      </w:r>
      <w:r w:rsidR="0097550F">
        <w:rPr>
          <w:rFonts w:eastAsiaTheme="minorHAnsi"/>
        </w:rPr>
        <w:t>’</w:t>
      </w:r>
      <w:r w:rsidRPr="0025212E">
        <w:rPr>
          <w:rFonts w:eastAsiaTheme="minorHAnsi"/>
        </w:rPr>
        <w:t xml:space="preserve"> rate charges, cons</w:t>
      </w:r>
      <w:r>
        <w:rPr>
          <w:rFonts w:eastAsiaTheme="minorHAnsi"/>
        </w:rPr>
        <w:t xml:space="preserve">umer protection for electricity and gas customers </w:t>
      </w:r>
      <w:r w:rsidRPr="0025212E">
        <w:rPr>
          <w:rFonts w:eastAsiaTheme="minorHAnsi"/>
        </w:rPr>
        <w:t>and pric</w:t>
      </w:r>
      <w:r>
        <w:rPr>
          <w:rFonts w:eastAsiaTheme="minorHAnsi"/>
        </w:rPr>
        <w:t>ing</w:t>
      </w:r>
      <w:r w:rsidRPr="0025212E">
        <w:rPr>
          <w:rFonts w:eastAsiaTheme="minorHAnsi"/>
        </w:rPr>
        <w:t xml:space="preserve"> </w:t>
      </w:r>
      <w:r>
        <w:rPr>
          <w:rFonts w:eastAsiaTheme="minorHAnsi"/>
        </w:rPr>
        <w:t>regulation</w:t>
      </w:r>
      <w:r w:rsidRPr="0025212E">
        <w:rPr>
          <w:rFonts w:eastAsiaTheme="minorHAnsi"/>
        </w:rPr>
        <w:t xml:space="preserve"> </w:t>
      </w:r>
      <w:r>
        <w:rPr>
          <w:rFonts w:eastAsiaTheme="minorHAnsi"/>
        </w:rPr>
        <w:t>as part of the lease of the operations of</w:t>
      </w:r>
      <w:r w:rsidRPr="0025212E">
        <w:rPr>
          <w:rFonts w:eastAsiaTheme="minorHAnsi"/>
        </w:rPr>
        <w:t xml:space="preserve"> </w:t>
      </w:r>
      <w:r>
        <w:rPr>
          <w:rFonts w:eastAsiaTheme="minorHAnsi"/>
        </w:rPr>
        <w:t>the Port of Melbourne;</w:t>
      </w:r>
      <w:r w:rsidRPr="0025212E">
        <w:rPr>
          <w:rFonts w:eastAsiaTheme="minorHAnsi"/>
        </w:rPr>
        <w:t xml:space="preserve"> and </w:t>
      </w:r>
    </w:p>
    <w:p w:rsidR="002C39A3" w:rsidRPr="0025212E" w:rsidRDefault="002C39A3" w:rsidP="00361FA9">
      <w:pPr>
        <w:pStyle w:val="BulletText"/>
        <w:rPr>
          <w:rFonts w:eastAsiaTheme="minorHAnsi"/>
        </w:rPr>
      </w:pPr>
      <w:r>
        <w:rPr>
          <w:rFonts w:eastAsiaTheme="minorHAnsi"/>
        </w:rPr>
        <w:t>$8</w:t>
      </w:r>
      <w:r w:rsidRPr="0025212E">
        <w:rPr>
          <w:rFonts w:eastAsiaTheme="minorHAnsi"/>
        </w:rPr>
        <w:t xml:space="preserve"> million on strengthening the Department</w:t>
      </w:r>
      <w:r w:rsidR="0097550F">
        <w:rPr>
          <w:rFonts w:eastAsiaTheme="minorHAnsi"/>
        </w:rPr>
        <w:t>’</w:t>
      </w:r>
      <w:r w:rsidRPr="0025212E">
        <w:rPr>
          <w:rFonts w:eastAsiaTheme="minorHAnsi"/>
        </w:rPr>
        <w:t>s strategic capability to be more effective in delivering the Government</w:t>
      </w:r>
      <w:r w:rsidR="0097550F">
        <w:rPr>
          <w:rFonts w:eastAsiaTheme="minorHAnsi"/>
        </w:rPr>
        <w:t>’</w:t>
      </w:r>
      <w:r w:rsidRPr="0025212E">
        <w:rPr>
          <w:rFonts w:eastAsiaTheme="minorHAnsi"/>
        </w:rPr>
        <w:t xml:space="preserve">s priorities. </w:t>
      </w:r>
    </w:p>
    <w:p w:rsidR="002C39A3" w:rsidRPr="00D43D1C" w:rsidRDefault="002C39A3" w:rsidP="00361FA9">
      <w:pPr>
        <w:rPr>
          <w:rFonts w:eastAsiaTheme="minorHAnsi"/>
        </w:rPr>
      </w:pPr>
      <w:r w:rsidRPr="0025212E">
        <w:rPr>
          <w:rFonts w:eastAsiaTheme="minorHAnsi"/>
        </w:rPr>
        <w:t>Estimated 2016</w:t>
      </w:r>
      <w:r>
        <w:rPr>
          <w:rFonts w:eastAsiaTheme="minorHAnsi"/>
        </w:rPr>
        <w:noBreakHyphen/>
      </w:r>
      <w:r w:rsidRPr="0025212E">
        <w:rPr>
          <w:rFonts w:eastAsiaTheme="minorHAnsi"/>
        </w:rPr>
        <w:t>17 departmental operating expenses are forecast to decrease by</w:t>
      </w:r>
      <w:r>
        <w:rPr>
          <w:rFonts w:eastAsiaTheme="minorHAnsi"/>
        </w:rPr>
        <w:t xml:space="preserve"> </w:t>
      </w:r>
      <w:r w:rsidRPr="0025212E">
        <w:rPr>
          <w:rFonts w:eastAsiaTheme="minorHAnsi"/>
        </w:rPr>
        <w:t>$</w:t>
      </w:r>
      <w:r>
        <w:rPr>
          <w:rFonts w:eastAsiaTheme="minorHAnsi"/>
        </w:rPr>
        <w:t>5 </w:t>
      </w:r>
      <w:r w:rsidRPr="0025212E">
        <w:rPr>
          <w:rFonts w:eastAsiaTheme="minorHAnsi"/>
        </w:rPr>
        <w:t>million largely relating to reduced CenITex project costs in line with this activity returning to normal levels.</w:t>
      </w:r>
    </w:p>
    <w:p w:rsidR="002C39A3" w:rsidRDefault="002C39A3" w:rsidP="00361FA9">
      <w:pPr>
        <w:pStyle w:val="Heading2"/>
        <w:rPr>
          <w:rFonts w:eastAsiaTheme="minorHAnsi"/>
        </w:rPr>
      </w:pPr>
      <w:r>
        <w:rPr>
          <w:rFonts w:eastAsiaTheme="minorHAnsi"/>
        </w:rPr>
        <w:t>Balance sheet</w:t>
      </w:r>
    </w:p>
    <w:p w:rsidR="002C39A3" w:rsidRPr="00D43D1C" w:rsidRDefault="002C39A3" w:rsidP="00361FA9">
      <w:pPr>
        <w:rPr>
          <w:rFonts w:eastAsiaTheme="minorHAnsi"/>
        </w:rPr>
      </w:pPr>
      <w:r w:rsidRPr="0025212E">
        <w:rPr>
          <w:rFonts w:eastAsiaTheme="minorHAnsi"/>
        </w:rPr>
        <w:t>The Department</w:t>
      </w:r>
      <w:r w:rsidR="0097550F">
        <w:rPr>
          <w:rFonts w:eastAsiaTheme="minorHAnsi"/>
        </w:rPr>
        <w:t>’</w:t>
      </w:r>
      <w:r w:rsidRPr="0025212E">
        <w:rPr>
          <w:rFonts w:eastAsiaTheme="minorHAnsi"/>
        </w:rPr>
        <w:t xml:space="preserve">s net asset position </w:t>
      </w:r>
      <w:r>
        <w:rPr>
          <w:rFonts w:eastAsiaTheme="minorHAnsi"/>
        </w:rPr>
        <w:t>is forecast to increase by $34</w:t>
      </w:r>
      <w:r w:rsidRPr="0025212E">
        <w:rPr>
          <w:rFonts w:eastAsiaTheme="minorHAnsi"/>
        </w:rPr>
        <w:t xml:space="preserve"> million between the 2015</w:t>
      </w:r>
      <w:r>
        <w:rPr>
          <w:rFonts w:eastAsiaTheme="minorHAnsi"/>
        </w:rPr>
        <w:noBreakHyphen/>
      </w:r>
      <w:r w:rsidRPr="0025212E">
        <w:rPr>
          <w:rFonts w:eastAsiaTheme="minorHAnsi"/>
        </w:rPr>
        <w:t>16 revised budget and the 2016</w:t>
      </w:r>
      <w:r>
        <w:rPr>
          <w:rFonts w:eastAsiaTheme="minorHAnsi"/>
        </w:rPr>
        <w:noBreakHyphen/>
      </w:r>
      <w:r w:rsidRPr="0025212E">
        <w:rPr>
          <w:rFonts w:eastAsiaTheme="minorHAnsi"/>
        </w:rPr>
        <w:t>17 budget. This primarily relates to capital investment for the purchase of municipal land valuations and information technology projects.</w:t>
      </w:r>
    </w:p>
    <w:p w:rsidR="002C39A3" w:rsidRDefault="002C39A3" w:rsidP="00361FA9">
      <w:pPr>
        <w:pStyle w:val="Heading2"/>
        <w:rPr>
          <w:rFonts w:eastAsiaTheme="minorHAnsi"/>
        </w:rPr>
      </w:pPr>
      <w:r>
        <w:rPr>
          <w:rFonts w:eastAsiaTheme="minorHAnsi"/>
        </w:rPr>
        <w:t>Investing and financing</w:t>
      </w:r>
    </w:p>
    <w:p w:rsidR="002C39A3" w:rsidRPr="0025212E" w:rsidRDefault="002C39A3" w:rsidP="00361FA9">
      <w:pPr>
        <w:rPr>
          <w:rFonts w:eastAsiaTheme="minorHAnsi"/>
        </w:rPr>
      </w:pPr>
      <w:r w:rsidRPr="0025212E">
        <w:rPr>
          <w:rFonts w:eastAsiaTheme="minorHAnsi"/>
        </w:rPr>
        <w:t>The Department</w:t>
      </w:r>
      <w:r w:rsidR="0097550F">
        <w:rPr>
          <w:rFonts w:eastAsiaTheme="minorHAnsi"/>
        </w:rPr>
        <w:t>’</w:t>
      </w:r>
      <w:r w:rsidRPr="0025212E">
        <w:rPr>
          <w:rFonts w:eastAsiaTheme="minorHAnsi"/>
        </w:rPr>
        <w:t>s 2016</w:t>
      </w:r>
      <w:r>
        <w:rPr>
          <w:rFonts w:eastAsiaTheme="minorHAnsi"/>
        </w:rPr>
        <w:noBreakHyphen/>
      </w:r>
      <w:r w:rsidRPr="0025212E">
        <w:rPr>
          <w:rFonts w:eastAsiaTheme="minorHAnsi"/>
        </w:rPr>
        <w:t>17 payments for non</w:t>
      </w:r>
      <w:r>
        <w:rPr>
          <w:rFonts w:eastAsiaTheme="minorHAnsi"/>
        </w:rPr>
        <w:noBreakHyphen/>
        <w:t>financial assets is $25</w:t>
      </w:r>
      <w:r w:rsidRPr="0025212E">
        <w:rPr>
          <w:rFonts w:eastAsiaTheme="minorHAnsi"/>
        </w:rPr>
        <w:t xml:space="preserve"> million higher than the 2015</w:t>
      </w:r>
      <w:r>
        <w:rPr>
          <w:rFonts w:eastAsiaTheme="minorHAnsi"/>
        </w:rPr>
        <w:noBreakHyphen/>
      </w:r>
      <w:r w:rsidRPr="0025212E">
        <w:rPr>
          <w:rFonts w:eastAsiaTheme="minorHAnsi"/>
        </w:rPr>
        <w:t>16 revised budget, predominantly from the purchase of municipal land valuations, purchase of information technology assets and capital spend on government owned buildings.</w:t>
      </w:r>
    </w:p>
    <w:p w:rsidR="002C39A3" w:rsidRPr="0025212E" w:rsidRDefault="002C39A3" w:rsidP="00361FA9">
      <w:pPr>
        <w:rPr>
          <w:rFonts w:eastAsiaTheme="minorHAnsi"/>
        </w:rPr>
      </w:pPr>
      <w:r w:rsidRPr="0025212E">
        <w:rPr>
          <w:rFonts w:eastAsiaTheme="minorHAnsi"/>
        </w:rPr>
        <w:t xml:space="preserve">Net borrowing </w:t>
      </w:r>
      <w:r>
        <w:rPr>
          <w:rFonts w:eastAsiaTheme="minorHAnsi"/>
        </w:rPr>
        <w:t xml:space="preserve">cash flows </w:t>
      </w:r>
      <w:r w:rsidRPr="0025212E">
        <w:rPr>
          <w:rFonts w:eastAsiaTheme="minorHAnsi"/>
        </w:rPr>
        <w:t>ar</w:t>
      </w:r>
      <w:r>
        <w:rPr>
          <w:rFonts w:eastAsiaTheme="minorHAnsi"/>
        </w:rPr>
        <w:t>e estimated to decrease by $16</w:t>
      </w:r>
      <w:r w:rsidRPr="0025212E">
        <w:rPr>
          <w:rFonts w:eastAsiaTheme="minorHAnsi"/>
        </w:rPr>
        <w:t xml:space="preserve"> million in 2016</w:t>
      </w:r>
      <w:r>
        <w:rPr>
          <w:rFonts w:eastAsiaTheme="minorHAnsi"/>
        </w:rPr>
        <w:noBreakHyphen/>
      </w:r>
      <w:r w:rsidRPr="0025212E">
        <w:rPr>
          <w:rFonts w:eastAsiaTheme="minorHAnsi"/>
        </w:rPr>
        <w:t>17 due to CenITex</w:t>
      </w:r>
      <w:r w:rsidR="0097550F">
        <w:rPr>
          <w:rFonts w:eastAsiaTheme="minorHAnsi"/>
        </w:rPr>
        <w:t>’</w:t>
      </w:r>
      <w:r w:rsidRPr="0025212E">
        <w:rPr>
          <w:rFonts w:eastAsiaTheme="minorHAnsi"/>
        </w:rPr>
        <w:t>s repayment of a government loan during 2015</w:t>
      </w:r>
      <w:r>
        <w:rPr>
          <w:rFonts w:eastAsiaTheme="minorHAnsi"/>
        </w:rPr>
        <w:noBreakHyphen/>
      </w:r>
      <w:r w:rsidRPr="0025212E">
        <w:rPr>
          <w:rFonts w:eastAsiaTheme="minorHAnsi"/>
        </w:rPr>
        <w:t>16.</w:t>
      </w:r>
    </w:p>
    <w:p w:rsidR="002C39A3" w:rsidRDefault="002C39A3">
      <w:pPr>
        <w:spacing w:after="0"/>
        <w:rPr>
          <w:rFonts w:ascii="Calibri" w:eastAsiaTheme="minorHAnsi" w:hAnsi="Calibri"/>
          <w:b/>
          <w:kern w:val="28"/>
          <w:sz w:val="26"/>
          <w:szCs w:val="22"/>
        </w:rPr>
      </w:pPr>
      <w:r>
        <w:rPr>
          <w:rFonts w:eastAsiaTheme="minorHAnsi"/>
        </w:rPr>
        <w:br w:type="page"/>
      </w:r>
    </w:p>
    <w:p w:rsidR="002C39A3" w:rsidRDefault="002C39A3" w:rsidP="00361FA9">
      <w:pPr>
        <w:pStyle w:val="Heading2"/>
        <w:rPr>
          <w:rFonts w:eastAsiaTheme="minorHAnsi"/>
        </w:rPr>
      </w:pPr>
      <w:r>
        <w:rPr>
          <w:rFonts w:eastAsiaTheme="minorHAnsi"/>
        </w:rPr>
        <w:t>Administered items statement</w:t>
      </w:r>
    </w:p>
    <w:p w:rsidR="002C39A3" w:rsidRPr="00464C16" w:rsidRDefault="002C39A3" w:rsidP="00361FA9">
      <w:pPr>
        <w:rPr>
          <w:rFonts w:eastAsiaTheme="minorHAnsi"/>
        </w:rPr>
      </w:pPr>
      <w:r w:rsidRPr="00464C16">
        <w:rPr>
          <w:rFonts w:eastAsiaTheme="minorHAnsi"/>
        </w:rPr>
        <w:t>The Department manages a large number of transactions on behalf of the State, for which it does not exercise direct control, for example, the collection of State taxation income and administration of the State</w:t>
      </w:r>
      <w:r w:rsidR="0097550F">
        <w:rPr>
          <w:rFonts w:eastAsiaTheme="minorHAnsi"/>
        </w:rPr>
        <w:t>’</w:t>
      </w:r>
      <w:r w:rsidRPr="00464C16">
        <w:rPr>
          <w:rFonts w:eastAsiaTheme="minorHAnsi"/>
        </w:rPr>
        <w:t>s superannuation expenses.</w:t>
      </w:r>
    </w:p>
    <w:p w:rsidR="002C39A3" w:rsidRPr="00464C16" w:rsidRDefault="002C39A3" w:rsidP="00361FA9">
      <w:pPr>
        <w:rPr>
          <w:rFonts w:eastAsiaTheme="minorHAnsi"/>
        </w:rPr>
      </w:pPr>
      <w:r w:rsidRPr="00464C16">
        <w:rPr>
          <w:rFonts w:eastAsiaTheme="minorHAnsi"/>
        </w:rPr>
        <w:t>Total administered income is expected to increase by $14 billion between the 2015</w:t>
      </w:r>
      <w:r w:rsidRPr="00464C16">
        <w:rPr>
          <w:rFonts w:eastAsiaTheme="minorHAnsi"/>
        </w:rPr>
        <w:noBreakHyphen/>
        <w:t>16 revised budget and the 2016</w:t>
      </w:r>
      <w:r w:rsidRPr="00464C16">
        <w:rPr>
          <w:rFonts w:eastAsiaTheme="minorHAnsi"/>
        </w:rPr>
        <w:noBreakHyphen/>
        <w:t>17 budget. This is largely due to:</w:t>
      </w:r>
    </w:p>
    <w:p w:rsidR="002C39A3" w:rsidRPr="00464C16" w:rsidRDefault="002C39A3" w:rsidP="00361FA9">
      <w:pPr>
        <w:pStyle w:val="BulletText"/>
        <w:rPr>
          <w:rFonts w:eastAsiaTheme="minorHAnsi"/>
        </w:rPr>
      </w:pPr>
      <w:r>
        <w:rPr>
          <w:rFonts w:eastAsiaTheme="minorHAnsi"/>
        </w:rPr>
        <w:t>an increase of $5</w:t>
      </w:r>
      <w:r w:rsidRPr="00464C16">
        <w:rPr>
          <w:rFonts w:eastAsiaTheme="minorHAnsi"/>
        </w:rPr>
        <w:t xml:space="preserve"> billion in 2016</w:t>
      </w:r>
      <w:r w:rsidRPr="00464C16">
        <w:rPr>
          <w:rFonts w:eastAsiaTheme="minorHAnsi"/>
        </w:rPr>
        <w:noBreakHyphen/>
        <w:t xml:space="preserve">17 relating to appropriations – payments made on behalf of the </w:t>
      </w:r>
      <w:r>
        <w:rPr>
          <w:rFonts w:eastAsiaTheme="minorHAnsi"/>
        </w:rPr>
        <w:t>State</w:t>
      </w:r>
      <w:r w:rsidRPr="00464C16">
        <w:rPr>
          <w:rFonts w:eastAsiaTheme="minorHAnsi"/>
        </w:rPr>
        <w:t>;</w:t>
      </w:r>
    </w:p>
    <w:p w:rsidR="002C39A3" w:rsidRPr="00464C16" w:rsidRDefault="002C39A3" w:rsidP="00361FA9">
      <w:pPr>
        <w:pStyle w:val="BulletText"/>
        <w:rPr>
          <w:rFonts w:eastAsiaTheme="minorHAnsi"/>
        </w:rPr>
      </w:pPr>
      <w:r w:rsidRPr="00464C16">
        <w:rPr>
          <w:rFonts w:eastAsiaTheme="minorHAnsi"/>
        </w:rPr>
        <w:t>additional special</w:t>
      </w:r>
      <w:r>
        <w:rPr>
          <w:rFonts w:eastAsiaTheme="minorHAnsi"/>
        </w:rPr>
        <w:t xml:space="preserve"> appropriations </w:t>
      </w:r>
      <w:r w:rsidRPr="00464C16">
        <w:rPr>
          <w:rFonts w:eastAsiaTheme="minorHAnsi"/>
        </w:rPr>
        <w:t>ha</w:t>
      </w:r>
      <w:r>
        <w:rPr>
          <w:rFonts w:eastAsiaTheme="minorHAnsi"/>
        </w:rPr>
        <w:t>ve</w:t>
      </w:r>
      <w:r w:rsidRPr="00464C16">
        <w:rPr>
          <w:rFonts w:eastAsiaTheme="minorHAnsi"/>
        </w:rPr>
        <w:t xml:space="preserve"> been provided for further budget sector debt retirement;</w:t>
      </w:r>
    </w:p>
    <w:p w:rsidR="002C39A3" w:rsidRPr="00464C16" w:rsidRDefault="002C39A3" w:rsidP="00361FA9">
      <w:pPr>
        <w:pStyle w:val="BulletText"/>
        <w:rPr>
          <w:rFonts w:eastAsiaTheme="minorHAnsi"/>
        </w:rPr>
      </w:pPr>
      <w:r w:rsidRPr="00464C16">
        <w:rPr>
          <w:rFonts w:eastAsiaTheme="minorHAnsi"/>
        </w:rPr>
        <w:t>an increase in grant revenue by $</w:t>
      </w:r>
      <w:r>
        <w:rPr>
          <w:rFonts w:eastAsiaTheme="minorHAnsi"/>
        </w:rPr>
        <w:t>1</w:t>
      </w:r>
      <w:r w:rsidRPr="00464C16">
        <w:rPr>
          <w:rFonts w:eastAsiaTheme="minorHAnsi"/>
        </w:rPr>
        <w:t xml:space="preserve"> billion, primarily associated with the Commonwealth Government aggregated payments, covering Specific Purpose and National Partnership payments; and </w:t>
      </w:r>
    </w:p>
    <w:p w:rsidR="002C39A3" w:rsidRPr="00464C16" w:rsidRDefault="002C39A3" w:rsidP="00361FA9">
      <w:pPr>
        <w:pStyle w:val="BulletText"/>
        <w:rPr>
          <w:rFonts w:eastAsiaTheme="minorHAnsi"/>
        </w:rPr>
      </w:pPr>
      <w:r>
        <w:rPr>
          <w:rFonts w:eastAsiaTheme="minorHAnsi"/>
        </w:rPr>
        <w:t>an estimated $1</w:t>
      </w:r>
      <w:r w:rsidRPr="00464C16">
        <w:rPr>
          <w:rFonts w:eastAsiaTheme="minorHAnsi"/>
        </w:rPr>
        <w:t xml:space="preserve"> billion increase in other income relating to dividends and State taxation revenues.</w:t>
      </w:r>
    </w:p>
    <w:p w:rsidR="002C39A3" w:rsidRPr="00464C16" w:rsidRDefault="002C39A3" w:rsidP="00361FA9">
      <w:pPr>
        <w:rPr>
          <w:rFonts w:eastAsiaTheme="minorHAnsi"/>
        </w:rPr>
      </w:pPr>
      <w:r w:rsidRPr="00464C16">
        <w:rPr>
          <w:rFonts w:eastAsiaTheme="minorHAnsi"/>
        </w:rPr>
        <w:t>Administered operating expenses a</w:t>
      </w:r>
      <w:r>
        <w:rPr>
          <w:rFonts w:eastAsiaTheme="minorHAnsi"/>
        </w:rPr>
        <w:t>re expected to increase by $12</w:t>
      </w:r>
      <w:r w:rsidRPr="00464C16">
        <w:rPr>
          <w:rFonts w:eastAsiaTheme="minorHAnsi"/>
        </w:rPr>
        <w:t xml:space="preserve"> billion, largely reflecting cash receipts from adm</w:t>
      </w:r>
      <w:r>
        <w:rPr>
          <w:rFonts w:eastAsiaTheme="minorHAnsi"/>
        </w:rPr>
        <w:t xml:space="preserve">inistered income and proceeds from advances </w:t>
      </w:r>
      <w:r w:rsidRPr="00464C16">
        <w:rPr>
          <w:rFonts w:eastAsiaTheme="minorHAnsi"/>
        </w:rPr>
        <w:t>that are required to be transferred into the Consolidated Fund.</w:t>
      </w:r>
    </w:p>
    <w:p w:rsidR="002C39A3" w:rsidRDefault="002C39A3" w:rsidP="00361FA9">
      <w:pPr>
        <w:rPr>
          <w:rFonts w:ascii="Calibri" w:eastAsiaTheme="minorHAnsi" w:hAnsi="Calibri"/>
          <w:b/>
        </w:rPr>
      </w:pPr>
      <w:r w:rsidRPr="00464C16">
        <w:rPr>
          <w:rFonts w:eastAsiaTheme="minorHAnsi"/>
        </w:rPr>
        <w:t>A</w:t>
      </w:r>
      <w:r>
        <w:rPr>
          <w:rFonts w:eastAsiaTheme="minorHAnsi"/>
        </w:rPr>
        <w:t>dministered liabilities reflect</w:t>
      </w:r>
      <w:r w:rsidRPr="00464C16">
        <w:rPr>
          <w:rFonts w:eastAsiaTheme="minorHAnsi"/>
        </w:rPr>
        <w:t xml:space="preserve"> the</w:t>
      </w:r>
      <w:r>
        <w:rPr>
          <w:rFonts w:eastAsiaTheme="minorHAnsi"/>
        </w:rPr>
        <w:t xml:space="preserve"> expected</w:t>
      </w:r>
      <w:r w:rsidRPr="00464C16">
        <w:rPr>
          <w:rFonts w:eastAsiaTheme="minorHAnsi"/>
        </w:rPr>
        <w:t xml:space="preserve"> Port lease sale transaction including the reduction in general government sector debt through lower borrowings and a higher payables for the State</w:t>
      </w:r>
      <w:r w:rsidR="0097550F">
        <w:rPr>
          <w:rFonts w:eastAsiaTheme="minorHAnsi"/>
        </w:rPr>
        <w:t>’</w:t>
      </w:r>
      <w:r w:rsidRPr="00464C16">
        <w:rPr>
          <w:rFonts w:eastAsiaTheme="minorHAnsi"/>
        </w:rPr>
        <w:t>s dedicated transport investment fund.</w:t>
      </w:r>
      <w:r>
        <w:rPr>
          <w:rFonts w:eastAsiaTheme="minorHAnsi"/>
        </w:rPr>
        <w:br w:type="page"/>
      </w:r>
    </w:p>
    <w:p w:rsidR="002C39A3" w:rsidRDefault="002C39A3" w:rsidP="00361FA9">
      <w:pPr>
        <w:pStyle w:val="Tableheading"/>
        <w:rPr>
          <w:rFonts w:eastAsiaTheme="minorHAnsi"/>
        </w:rPr>
      </w:pPr>
      <w:r>
        <w:rPr>
          <w:rFonts w:eastAsiaTheme="minorHAnsi"/>
        </w:rPr>
        <w:t>Table 3.7.1:</w:t>
      </w:r>
      <w:r>
        <w:rPr>
          <w:rFonts w:eastAsiaTheme="minorHAnsi"/>
        </w:rPr>
        <w:tab/>
        <w:t>Comprehensive operating statement</w:t>
      </w:r>
    </w:p>
    <w:p w:rsidR="002C39A3" w:rsidRPr="005353A5" w:rsidRDefault="002C39A3" w:rsidP="00361FA9">
      <w:pPr>
        <w:pStyle w:val="million"/>
        <w:rPr>
          <w:rFonts w:eastAsiaTheme="minorHAnsi"/>
          <w:b/>
          <w:bCs/>
          <w:sz w:val="15"/>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167FAD" w:rsidRPr="005353A5" w:rsidTr="00167FAD">
        <w:trPr>
          <w:trHeight w:val="464"/>
          <w:tblHeader/>
        </w:trPr>
        <w:tc>
          <w:tcPr>
            <w:tcW w:w="4365" w:type="dxa"/>
            <w:tcBorders>
              <w:left w:val="nil"/>
              <w:right w:val="nil"/>
            </w:tcBorders>
            <w:shd w:val="solid" w:color="000000" w:fill="auto"/>
            <w:vAlign w:val="bottom"/>
          </w:tcPr>
          <w:p w:rsidR="00167FAD" w:rsidRPr="005353A5" w:rsidRDefault="00167FAD" w:rsidP="00167FAD">
            <w:pPr>
              <w:pStyle w:val="Source"/>
              <w:spacing w:after="0"/>
              <w:rPr>
                <w:rFonts w:eastAsiaTheme="minorEastAsia" w:cs="Calibri"/>
                <w:color w:val="FFFFFF"/>
                <w:sz w:val="19"/>
                <w:lang w:eastAsia="en-AU"/>
              </w:rPr>
            </w:pPr>
          </w:p>
        </w:tc>
        <w:tc>
          <w:tcPr>
            <w:tcW w:w="850" w:type="dxa"/>
            <w:tcBorders>
              <w:left w:val="nil"/>
              <w:right w:val="nil"/>
            </w:tcBorders>
            <w:shd w:val="solid" w:color="000000" w:fill="auto"/>
            <w:vAlign w:val="bottom"/>
          </w:tcPr>
          <w:p w:rsidR="00167FAD" w:rsidRPr="005353A5"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2014-15</w:t>
            </w:r>
          </w:p>
          <w:p w:rsidR="00167FAD" w:rsidRPr="005353A5"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actual</w:t>
            </w:r>
          </w:p>
        </w:tc>
        <w:tc>
          <w:tcPr>
            <w:tcW w:w="850" w:type="dxa"/>
            <w:tcBorders>
              <w:left w:val="nil"/>
              <w:right w:val="nil"/>
            </w:tcBorders>
            <w:shd w:val="solid" w:color="000000" w:fill="auto"/>
            <w:vAlign w:val="bottom"/>
          </w:tcPr>
          <w:p w:rsidR="00167FAD" w:rsidRPr="005353A5"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2015-16</w:t>
            </w:r>
          </w:p>
          <w:p w:rsidR="00167FAD" w:rsidRPr="005353A5"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167FAD" w:rsidRPr="005353A5"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2015-16</w:t>
            </w:r>
          </w:p>
          <w:p w:rsidR="00167FAD" w:rsidRPr="005353A5"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167FAD" w:rsidRPr="005353A5"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2016-17</w:t>
            </w:r>
          </w:p>
          <w:p w:rsidR="00167FAD" w:rsidRPr="005353A5" w:rsidRDefault="00167FAD"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budget</w:t>
            </w:r>
          </w:p>
        </w:tc>
      </w:tr>
      <w:tr w:rsidR="00167FAD" w:rsidRPr="005353A5" w:rsidTr="00167FAD">
        <w:tc>
          <w:tcPr>
            <w:tcW w:w="7765" w:type="dxa"/>
            <w:gridSpan w:val="5"/>
            <w:tcBorders>
              <w:top w:val="single" w:sz="6" w:space="0" w:color="auto"/>
              <w:left w:val="nil"/>
              <w:right w:val="nil"/>
            </w:tcBorders>
            <w:shd w:val="clear" w:color="auto" w:fill="FFFFFF"/>
          </w:tcPr>
          <w:p w:rsidR="00167FAD" w:rsidRPr="005353A5" w:rsidRDefault="00167FAD" w:rsidP="00167FAD">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b/>
                <w:bCs/>
                <w:color w:val="000000"/>
                <w:sz w:val="19"/>
                <w:lang w:eastAsia="en-AU"/>
              </w:rPr>
              <w:t>Net re</w:t>
            </w:r>
            <w:r>
              <w:rPr>
                <w:rFonts w:ascii="Calibri" w:eastAsiaTheme="minorEastAsia" w:hAnsi="Calibri" w:cs="Calibri"/>
                <w:b/>
                <w:bCs/>
                <w:color w:val="000000"/>
                <w:sz w:val="19"/>
                <w:lang w:eastAsia="en-AU"/>
              </w:rPr>
              <w:t>sult from continuing operations</w:t>
            </w:r>
          </w:p>
        </w:tc>
      </w:tr>
      <w:tr w:rsidR="00167FAD" w:rsidRPr="005353A5" w:rsidTr="00167FAD">
        <w:tc>
          <w:tcPr>
            <w:tcW w:w="7765" w:type="dxa"/>
            <w:gridSpan w:val="5"/>
            <w:tcBorders>
              <w:top w:val="nil"/>
              <w:left w:val="nil"/>
              <w:right w:val="nil"/>
            </w:tcBorders>
            <w:shd w:val="clear" w:color="auto" w:fill="FFFFFF"/>
          </w:tcPr>
          <w:p w:rsidR="00167FAD" w:rsidRPr="005353A5" w:rsidRDefault="00167FAD" w:rsidP="00167FAD">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b/>
                <w:bCs/>
                <w:color w:val="000000"/>
                <w:sz w:val="19"/>
                <w:lang w:eastAsia="en-AU"/>
              </w:rPr>
              <w:t>Income from transactions</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Output appropriations</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251</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243</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259</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259</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Interest</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w:t>
            </w:r>
          </w:p>
        </w:tc>
      </w:tr>
      <w:tr w:rsidR="002C39A3" w:rsidRPr="005353A5" w:rsidTr="00361FA9">
        <w:tc>
          <w:tcPr>
            <w:tcW w:w="4365" w:type="dxa"/>
            <w:tcBorders>
              <w:top w:val="nil"/>
              <w:left w:val="nil"/>
              <w:right w:val="nil"/>
            </w:tcBorders>
            <w:shd w:val="clear" w:color="000000"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Sale of goods and services</w:t>
            </w:r>
          </w:p>
        </w:tc>
        <w:tc>
          <w:tcPr>
            <w:tcW w:w="850" w:type="dxa"/>
            <w:tcBorders>
              <w:top w:val="nil"/>
              <w:left w:val="nil"/>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91</w:t>
            </w:r>
          </w:p>
        </w:tc>
        <w:tc>
          <w:tcPr>
            <w:tcW w:w="850" w:type="dxa"/>
            <w:tcBorders>
              <w:top w:val="nil"/>
              <w:left w:val="nil"/>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155</w:t>
            </w:r>
          </w:p>
        </w:tc>
        <w:tc>
          <w:tcPr>
            <w:tcW w:w="850" w:type="dxa"/>
            <w:tcBorders>
              <w:top w:val="nil"/>
              <w:left w:val="nil"/>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174</w:t>
            </w:r>
          </w:p>
        </w:tc>
        <w:tc>
          <w:tcPr>
            <w:tcW w:w="850" w:type="dxa"/>
            <w:tcBorders>
              <w:top w:val="nil"/>
              <w:left w:val="nil"/>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164</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Fair value of assets and services received free of charge or for nominal consideration</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5</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r>
      <w:tr w:rsidR="002C39A3" w:rsidRPr="005353A5" w:rsidTr="00361FA9">
        <w:tc>
          <w:tcPr>
            <w:tcW w:w="4365"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Other income</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21</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29</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30</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30</w:t>
            </w:r>
          </w:p>
        </w:tc>
      </w:tr>
      <w:tr w:rsidR="002C39A3" w:rsidRPr="005353A5" w:rsidTr="00361FA9">
        <w:tc>
          <w:tcPr>
            <w:tcW w:w="4365"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Total income from transactions</w:t>
            </w:r>
          </w:p>
        </w:tc>
        <w:tc>
          <w:tcPr>
            <w:tcW w:w="850"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364</w:t>
            </w:r>
          </w:p>
        </w:tc>
        <w:tc>
          <w:tcPr>
            <w:tcW w:w="850"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432</w:t>
            </w:r>
          </w:p>
        </w:tc>
        <w:tc>
          <w:tcPr>
            <w:tcW w:w="850"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465</w:t>
            </w:r>
          </w:p>
        </w:tc>
        <w:tc>
          <w:tcPr>
            <w:tcW w:w="850"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454</w:t>
            </w:r>
          </w:p>
        </w:tc>
      </w:tr>
      <w:tr w:rsidR="00167FAD" w:rsidRPr="005353A5" w:rsidTr="00167FAD">
        <w:tc>
          <w:tcPr>
            <w:tcW w:w="7765" w:type="dxa"/>
            <w:gridSpan w:val="5"/>
            <w:tcBorders>
              <w:top w:val="nil"/>
              <w:left w:val="nil"/>
              <w:right w:val="nil"/>
            </w:tcBorders>
            <w:shd w:val="clear" w:color="auto" w:fill="FFFFFF"/>
          </w:tcPr>
          <w:p w:rsidR="00167FAD" w:rsidRPr="005353A5" w:rsidRDefault="00167FAD" w:rsidP="00167FAD">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b/>
                <w:bCs/>
                <w:color w:val="000000"/>
                <w:sz w:val="19"/>
                <w:lang w:eastAsia="en-AU"/>
              </w:rPr>
              <w:t>Expenses from transactions</w:t>
            </w:r>
          </w:p>
        </w:tc>
      </w:tr>
      <w:tr w:rsidR="002C39A3" w:rsidRPr="005353A5" w:rsidTr="00361FA9">
        <w:tc>
          <w:tcPr>
            <w:tcW w:w="4365" w:type="dxa"/>
            <w:tcBorders>
              <w:top w:val="nil"/>
              <w:left w:val="nil"/>
              <w:right w:val="nil"/>
            </w:tcBorders>
            <w:shd w:val="clear" w:color="000000"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Employee benefits</w:t>
            </w:r>
          </w:p>
        </w:tc>
        <w:tc>
          <w:tcPr>
            <w:tcW w:w="850" w:type="dxa"/>
            <w:tcBorders>
              <w:top w:val="nil"/>
              <w:left w:val="nil"/>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151</w:t>
            </w:r>
          </w:p>
        </w:tc>
        <w:tc>
          <w:tcPr>
            <w:tcW w:w="850" w:type="dxa"/>
            <w:tcBorders>
              <w:top w:val="nil"/>
              <w:left w:val="nil"/>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183</w:t>
            </w:r>
          </w:p>
        </w:tc>
        <w:tc>
          <w:tcPr>
            <w:tcW w:w="850" w:type="dxa"/>
            <w:tcBorders>
              <w:top w:val="nil"/>
              <w:left w:val="nil"/>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181</w:t>
            </w:r>
          </w:p>
        </w:tc>
        <w:tc>
          <w:tcPr>
            <w:tcW w:w="850" w:type="dxa"/>
            <w:tcBorders>
              <w:top w:val="nil"/>
              <w:left w:val="nil"/>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201</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 xml:space="preserve">Depreciation </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43</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63</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57</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42</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Grants and other transfers</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7</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5</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5</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5</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Capital asset charge</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21</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21</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21</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22</w:t>
            </w:r>
          </w:p>
        </w:tc>
      </w:tr>
      <w:tr w:rsidR="002C39A3" w:rsidRPr="005353A5" w:rsidTr="00361FA9">
        <w:tc>
          <w:tcPr>
            <w:tcW w:w="4365" w:type="dxa"/>
            <w:tcBorders>
              <w:top w:val="nil"/>
              <w:left w:val="nil"/>
              <w:bottom w:val="single" w:sz="6" w:space="0" w:color="auto"/>
              <w:right w:val="nil"/>
            </w:tcBorders>
            <w:shd w:val="clear" w:color="000000"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Other operating expenses</w:t>
            </w:r>
          </w:p>
        </w:tc>
        <w:tc>
          <w:tcPr>
            <w:tcW w:w="850" w:type="dxa"/>
            <w:tcBorders>
              <w:top w:val="nil"/>
              <w:left w:val="nil"/>
              <w:bottom w:val="single" w:sz="6" w:space="0" w:color="auto"/>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128</w:t>
            </w:r>
          </w:p>
        </w:tc>
        <w:tc>
          <w:tcPr>
            <w:tcW w:w="850" w:type="dxa"/>
            <w:tcBorders>
              <w:top w:val="nil"/>
              <w:left w:val="nil"/>
              <w:bottom w:val="single" w:sz="6" w:space="0" w:color="auto"/>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159</w:t>
            </w:r>
          </w:p>
        </w:tc>
        <w:tc>
          <w:tcPr>
            <w:tcW w:w="850" w:type="dxa"/>
            <w:tcBorders>
              <w:top w:val="nil"/>
              <w:left w:val="nil"/>
              <w:bottom w:val="single" w:sz="6" w:space="0" w:color="auto"/>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183</w:t>
            </w:r>
          </w:p>
        </w:tc>
        <w:tc>
          <w:tcPr>
            <w:tcW w:w="850" w:type="dxa"/>
            <w:tcBorders>
              <w:top w:val="nil"/>
              <w:left w:val="nil"/>
              <w:bottom w:val="single" w:sz="6" w:space="0" w:color="auto"/>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172</w:t>
            </w:r>
          </w:p>
        </w:tc>
      </w:tr>
      <w:tr w:rsidR="002C39A3" w:rsidRPr="005353A5" w:rsidTr="00361FA9">
        <w:tc>
          <w:tcPr>
            <w:tcW w:w="4365"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Total expenses from transactions</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350</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432</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447</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442</w:t>
            </w:r>
          </w:p>
        </w:tc>
      </w:tr>
      <w:tr w:rsidR="002C39A3" w:rsidRPr="005353A5" w:rsidTr="00361FA9">
        <w:tc>
          <w:tcPr>
            <w:tcW w:w="4365" w:type="dxa"/>
            <w:tcBorders>
              <w:top w:val="single" w:sz="6" w:space="0" w:color="auto"/>
              <w:left w:val="nil"/>
              <w:bottom w:val="single" w:sz="12" w:space="0" w:color="auto"/>
              <w:right w:val="nil"/>
            </w:tcBorders>
            <w:shd w:val="clear" w:color="000000"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Net result from transactions (net operating balance)</w:t>
            </w:r>
          </w:p>
        </w:tc>
        <w:tc>
          <w:tcPr>
            <w:tcW w:w="850" w:type="dxa"/>
            <w:tcBorders>
              <w:top w:val="single" w:sz="6" w:space="0" w:color="auto"/>
              <w:left w:val="nil"/>
              <w:bottom w:val="single" w:sz="12" w:space="0" w:color="auto"/>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14</w:t>
            </w:r>
          </w:p>
        </w:tc>
        <w:tc>
          <w:tcPr>
            <w:tcW w:w="850" w:type="dxa"/>
            <w:tcBorders>
              <w:top w:val="single" w:sz="6" w:space="0" w:color="auto"/>
              <w:left w:val="nil"/>
              <w:bottom w:val="single" w:sz="12" w:space="0" w:color="auto"/>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18</w:t>
            </w:r>
          </w:p>
        </w:tc>
        <w:tc>
          <w:tcPr>
            <w:tcW w:w="850" w:type="dxa"/>
            <w:tcBorders>
              <w:top w:val="single" w:sz="6" w:space="0" w:color="auto"/>
              <w:left w:val="nil"/>
              <w:bottom w:val="single" w:sz="12" w:space="0" w:color="auto"/>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12</w:t>
            </w:r>
          </w:p>
        </w:tc>
      </w:tr>
      <w:tr w:rsidR="00167FAD" w:rsidRPr="005353A5" w:rsidTr="00167FAD">
        <w:tc>
          <w:tcPr>
            <w:tcW w:w="7765" w:type="dxa"/>
            <w:gridSpan w:val="5"/>
            <w:tcBorders>
              <w:top w:val="single" w:sz="12" w:space="0" w:color="auto"/>
              <w:left w:val="nil"/>
              <w:right w:val="nil"/>
            </w:tcBorders>
            <w:shd w:val="clear" w:color="auto" w:fill="FFFFFF"/>
          </w:tcPr>
          <w:p w:rsidR="00167FAD" w:rsidRPr="005353A5" w:rsidRDefault="00167FAD" w:rsidP="00167FAD">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Other economic flows included in net result</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Net gain/(loss) on non-financial assets</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(7)</w:t>
            </w:r>
          </w:p>
        </w:tc>
      </w:tr>
      <w:tr w:rsidR="002C39A3" w:rsidRPr="005353A5" w:rsidTr="00361FA9">
        <w:tc>
          <w:tcPr>
            <w:tcW w:w="4365"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Net gain/(loss) on fina</w:t>
            </w:r>
            <w:r w:rsidR="005B5183">
              <w:rPr>
                <w:rFonts w:ascii="Calibri" w:eastAsiaTheme="minorEastAsia" w:hAnsi="Calibri" w:cs="Calibri"/>
                <w:color w:val="000000"/>
                <w:sz w:val="19"/>
                <w:lang w:eastAsia="en-AU"/>
              </w:rPr>
              <w:t>ncial instruments and statutory </w:t>
            </w:r>
            <w:r w:rsidRPr="005353A5">
              <w:rPr>
                <w:rFonts w:ascii="Calibri" w:eastAsiaTheme="minorEastAsia" w:hAnsi="Calibri" w:cs="Calibri"/>
                <w:color w:val="000000"/>
                <w:sz w:val="19"/>
                <w:lang w:eastAsia="en-AU"/>
              </w:rPr>
              <w:t>receivables/payables</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r>
      <w:tr w:rsidR="002C39A3" w:rsidRPr="005353A5" w:rsidTr="00361FA9">
        <w:tc>
          <w:tcPr>
            <w:tcW w:w="4365"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Total other economic flows included in net result</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(1)</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(1)</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(1)</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(7)</w:t>
            </w:r>
          </w:p>
        </w:tc>
      </w:tr>
      <w:tr w:rsidR="002C39A3" w:rsidRPr="005353A5" w:rsidTr="00361FA9">
        <w:tc>
          <w:tcPr>
            <w:tcW w:w="4365"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Net result</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13</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(1)</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17</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4</w:t>
            </w:r>
          </w:p>
        </w:tc>
      </w:tr>
      <w:tr w:rsidR="00167FAD" w:rsidRPr="005353A5" w:rsidTr="00167FAD">
        <w:tc>
          <w:tcPr>
            <w:tcW w:w="7765" w:type="dxa"/>
            <w:gridSpan w:val="5"/>
            <w:tcBorders>
              <w:top w:val="single" w:sz="6" w:space="0" w:color="auto"/>
              <w:left w:val="nil"/>
              <w:right w:val="nil"/>
            </w:tcBorders>
            <w:shd w:val="clear" w:color="auto" w:fill="FFFFFF"/>
          </w:tcPr>
          <w:p w:rsidR="00167FAD" w:rsidRPr="005353A5" w:rsidRDefault="00167FAD" w:rsidP="00167FAD">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Other economic flows – other comprehensive income</w:t>
            </w:r>
          </w:p>
        </w:tc>
      </w:tr>
      <w:tr w:rsidR="002C39A3" w:rsidRPr="005353A5" w:rsidTr="00361FA9">
        <w:tc>
          <w:tcPr>
            <w:tcW w:w="4365"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Changes in non-financial assets revaluation surplus</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30</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30</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30</w:t>
            </w:r>
          </w:p>
        </w:tc>
      </w:tr>
      <w:tr w:rsidR="002C39A3" w:rsidRPr="005353A5" w:rsidTr="00361FA9">
        <w:tc>
          <w:tcPr>
            <w:tcW w:w="4365"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 xml:space="preserve">Total other economic flows – </w:t>
            </w:r>
            <w:r w:rsidR="005B5183">
              <w:rPr>
                <w:rFonts w:ascii="Calibri" w:eastAsiaTheme="minorEastAsia" w:hAnsi="Calibri" w:cs="Calibri"/>
                <w:b/>
                <w:bCs/>
                <w:color w:val="000000"/>
                <w:sz w:val="19"/>
                <w:lang w:eastAsia="en-AU"/>
              </w:rPr>
              <w:br/>
            </w:r>
            <w:r w:rsidRPr="005353A5">
              <w:rPr>
                <w:rFonts w:ascii="Calibri" w:eastAsiaTheme="minorEastAsia" w:hAnsi="Calibri" w:cs="Calibri"/>
                <w:b/>
                <w:bCs/>
                <w:color w:val="000000"/>
                <w:sz w:val="19"/>
                <w:lang w:eastAsia="en-AU"/>
              </w:rPr>
              <w:t>other comprehensive income</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30</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30</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30</w:t>
            </w:r>
          </w:p>
        </w:tc>
      </w:tr>
      <w:tr w:rsidR="002C39A3" w:rsidRPr="005353A5" w:rsidTr="00361FA9">
        <w:tc>
          <w:tcPr>
            <w:tcW w:w="4365"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Comprehensive result</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13</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29</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47</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34</w:t>
            </w:r>
          </w:p>
        </w:tc>
      </w:tr>
    </w:tbl>
    <w:p w:rsidR="002C39A3" w:rsidRDefault="002C39A3" w:rsidP="00361FA9">
      <w:pPr>
        <w:pStyle w:val="Source"/>
        <w:rPr>
          <w:rFonts w:eastAsiaTheme="minorHAnsi"/>
        </w:rPr>
      </w:pPr>
      <w:r w:rsidRPr="006D5F95">
        <w:rPr>
          <w:rFonts w:eastAsiaTheme="minorHAnsi"/>
        </w:rPr>
        <w:t>Source: Department of Treasury and Finance</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3.7.2:</w:t>
      </w:r>
      <w:r>
        <w:rPr>
          <w:rFonts w:eastAsiaTheme="minorHAnsi"/>
        </w:rPr>
        <w:tab/>
        <w:t>Balance sheet</w:t>
      </w:r>
    </w:p>
    <w:p w:rsidR="002C39A3" w:rsidRPr="005353A5" w:rsidRDefault="002C39A3" w:rsidP="00361FA9">
      <w:pPr>
        <w:pStyle w:val="million"/>
        <w:rPr>
          <w:rFonts w:eastAsiaTheme="minorHAnsi"/>
          <w:b/>
          <w:bCs/>
          <w:sz w:val="15"/>
          <w:lang w:val="en-US"/>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1"/>
      </w:tblGrid>
      <w:tr w:rsidR="005B5183" w:rsidRPr="005353A5" w:rsidTr="00C558E9">
        <w:trPr>
          <w:tblHeader/>
        </w:trPr>
        <w:tc>
          <w:tcPr>
            <w:tcW w:w="4365" w:type="dxa"/>
            <w:tcBorders>
              <w:bottom w:val="nil"/>
              <w:right w:val="nil"/>
            </w:tcBorders>
            <w:shd w:val="solid" w:color="000000" w:fill="auto"/>
            <w:vAlign w:val="bottom"/>
          </w:tcPr>
          <w:p w:rsidR="005B5183" w:rsidRPr="005353A5" w:rsidRDefault="005B5183" w:rsidP="00361FA9">
            <w:pPr>
              <w:pStyle w:val="Source"/>
              <w:spacing w:after="0"/>
              <w:rPr>
                <w:rFonts w:eastAsiaTheme="minorEastAsia" w:cs="Calibri"/>
                <w:iCs/>
                <w:color w:val="FFFFFF"/>
                <w:sz w:val="19"/>
                <w:lang w:eastAsia="en-AU"/>
              </w:rPr>
            </w:pPr>
          </w:p>
        </w:tc>
        <w:tc>
          <w:tcPr>
            <w:tcW w:w="850" w:type="dxa"/>
            <w:tcBorders>
              <w:left w:val="nil"/>
              <w:bottom w:val="nil"/>
              <w:right w:val="nil"/>
            </w:tcBorders>
            <w:shd w:val="solid" w:color="000000" w:fill="auto"/>
            <w:vAlign w:val="bottom"/>
          </w:tcPr>
          <w:p w:rsidR="005B5183" w:rsidRPr="005353A5" w:rsidRDefault="005B5183" w:rsidP="00361FA9">
            <w:pPr>
              <w:autoSpaceDE w:val="0"/>
              <w:autoSpaceDN w:val="0"/>
              <w:adjustRightInd w:val="0"/>
              <w:spacing w:after="0"/>
              <w:jc w:val="right"/>
              <w:rPr>
                <w:rFonts w:ascii="Calibri" w:eastAsiaTheme="minorEastAsia" w:hAnsi="Calibri" w:cs="Calibri"/>
                <w:color w:val="FFFFFF"/>
                <w:sz w:val="19"/>
                <w:lang w:eastAsia="en-AU"/>
              </w:rPr>
            </w:pPr>
            <w:r w:rsidRPr="005353A5">
              <w:rPr>
                <w:rFonts w:ascii="Calibri" w:eastAsiaTheme="minorEastAsia" w:hAnsi="Calibri" w:cs="Calibri"/>
                <w:color w:val="FFFFFF"/>
                <w:sz w:val="19"/>
                <w:lang w:eastAsia="en-AU"/>
              </w:rPr>
              <w:t xml:space="preserve">  </w:t>
            </w:r>
          </w:p>
        </w:tc>
        <w:tc>
          <w:tcPr>
            <w:tcW w:w="2551" w:type="dxa"/>
            <w:gridSpan w:val="3"/>
            <w:tcBorders>
              <w:left w:val="nil"/>
              <w:bottom w:val="nil"/>
            </w:tcBorders>
            <w:shd w:val="solid" w:color="000000" w:fill="auto"/>
            <w:vAlign w:val="bottom"/>
          </w:tcPr>
          <w:p w:rsidR="005B5183" w:rsidRPr="005353A5" w:rsidRDefault="005B5183" w:rsidP="005B5183">
            <w:pPr>
              <w:autoSpaceDE w:val="0"/>
              <w:autoSpaceDN w:val="0"/>
              <w:adjustRightInd w:val="0"/>
              <w:spacing w:after="0"/>
              <w:jc w:val="center"/>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Estimated as at 30 June</w:t>
            </w:r>
          </w:p>
        </w:tc>
      </w:tr>
      <w:tr w:rsidR="005B5183" w:rsidRPr="005353A5" w:rsidTr="00C558E9">
        <w:trPr>
          <w:trHeight w:val="464"/>
          <w:tblHeader/>
        </w:trPr>
        <w:tc>
          <w:tcPr>
            <w:tcW w:w="4365" w:type="dxa"/>
            <w:tcBorders>
              <w:top w:val="nil"/>
              <w:right w:val="nil"/>
            </w:tcBorders>
            <w:shd w:val="solid" w:color="000000" w:fill="auto"/>
            <w:vAlign w:val="bottom"/>
          </w:tcPr>
          <w:p w:rsidR="005B5183" w:rsidRPr="005353A5" w:rsidRDefault="005B5183" w:rsidP="00361FA9">
            <w:pPr>
              <w:autoSpaceDE w:val="0"/>
              <w:autoSpaceDN w:val="0"/>
              <w:adjustRightInd w:val="0"/>
              <w:spacing w:after="0"/>
              <w:rPr>
                <w:rFonts w:ascii="Calibri" w:eastAsiaTheme="minorEastAsia" w:hAnsi="Calibri" w:cs="Calibri"/>
                <w:color w:val="FFFFFF"/>
                <w:sz w:val="19"/>
                <w:lang w:eastAsia="en-AU"/>
              </w:rPr>
            </w:pPr>
          </w:p>
        </w:tc>
        <w:tc>
          <w:tcPr>
            <w:tcW w:w="850" w:type="dxa"/>
            <w:tcBorders>
              <w:top w:val="nil"/>
              <w:left w:val="nil"/>
              <w:right w:val="nil"/>
            </w:tcBorders>
            <w:shd w:val="solid" w:color="000000" w:fill="auto"/>
            <w:vAlign w:val="bottom"/>
          </w:tcPr>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2015</w:t>
            </w:r>
          </w:p>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actual</w:t>
            </w:r>
          </w:p>
        </w:tc>
        <w:tc>
          <w:tcPr>
            <w:tcW w:w="850" w:type="dxa"/>
            <w:tcBorders>
              <w:top w:val="nil"/>
              <w:left w:val="nil"/>
              <w:right w:val="nil"/>
            </w:tcBorders>
            <w:shd w:val="solid" w:color="000000" w:fill="auto"/>
            <w:vAlign w:val="bottom"/>
          </w:tcPr>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2016</w:t>
            </w:r>
          </w:p>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budget</w:t>
            </w:r>
          </w:p>
        </w:tc>
        <w:tc>
          <w:tcPr>
            <w:tcW w:w="850" w:type="dxa"/>
            <w:tcBorders>
              <w:top w:val="nil"/>
              <w:left w:val="nil"/>
              <w:right w:val="nil"/>
            </w:tcBorders>
            <w:shd w:val="solid" w:color="000000" w:fill="auto"/>
            <w:vAlign w:val="bottom"/>
          </w:tcPr>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2016</w:t>
            </w:r>
          </w:p>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revised</w:t>
            </w:r>
          </w:p>
        </w:tc>
        <w:tc>
          <w:tcPr>
            <w:tcW w:w="851" w:type="dxa"/>
            <w:tcBorders>
              <w:top w:val="nil"/>
              <w:left w:val="nil"/>
            </w:tcBorders>
            <w:shd w:val="solid" w:color="000000" w:fill="auto"/>
            <w:vAlign w:val="bottom"/>
          </w:tcPr>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2017</w:t>
            </w:r>
          </w:p>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budget</w:t>
            </w:r>
          </w:p>
        </w:tc>
      </w:tr>
      <w:tr w:rsidR="005B5183" w:rsidRPr="005353A5" w:rsidTr="00C558E9">
        <w:tc>
          <w:tcPr>
            <w:tcW w:w="7766" w:type="dxa"/>
            <w:gridSpan w:val="5"/>
            <w:tcBorders>
              <w:top w:val="single" w:sz="6" w:space="0" w:color="auto"/>
              <w:left w:val="nil"/>
              <w:right w:val="nil"/>
            </w:tcBorders>
            <w:shd w:val="clear" w:color="auto" w:fill="FFFFFF"/>
          </w:tcPr>
          <w:p w:rsidR="005B5183" w:rsidRPr="005353A5" w:rsidRDefault="005B5183" w:rsidP="005B5183">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b/>
                <w:bCs/>
                <w:color w:val="000000"/>
                <w:sz w:val="19"/>
                <w:lang w:eastAsia="en-AU"/>
              </w:rPr>
              <w:t>Assets</w:t>
            </w:r>
          </w:p>
        </w:tc>
      </w:tr>
      <w:tr w:rsidR="005B5183" w:rsidRPr="005353A5" w:rsidTr="00C558E9">
        <w:tc>
          <w:tcPr>
            <w:tcW w:w="7766" w:type="dxa"/>
            <w:gridSpan w:val="5"/>
            <w:tcBorders>
              <w:top w:val="nil"/>
              <w:left w:val="nil"/>
              <w:right w:val="nil"/>
            </w:tcBorders>
            <w:shd w:val="clear" w:color="auto" w:fill="FFFFFF"/>
          </w:tcPr>
          <w:p w:rsidR="005B5183" w:rsidRPr="005353A5" w:rsidRDefault="005B5183" w:rsidP="005B5183">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b/>
                <w:bCs/>
                <w:color w:val="000000"/>
                <w:sz w:val="19"/>
                <w:lang w:eastAsia="en-AU"/>
              </w:rPr>
              <w:t>Financial assets</w:t>
            </w:r>
          </w:p>
        </w:tc>
      </w:tr>
      <w:tr w:rsidR="002C39A3" w:rsidRPr="005353A5" w:rsidTr="005B5183">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Cash and deposits</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104</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105</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102</w:t>
            </w:r>
          </w:p>
        </w:tc>
        <w:tc>
          <w:tcPr>
            <w:tcW w:w="851"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99</w:t>
            </w:r>
          </w:p>
        </w:tc>
      </w:tr>
      <w:tr w:rsidR="002C39A3" w:rsidRPr="005353A5" w:rsidTr="005B5183">
        <w:tc>
          <w:tcPr>
            <w:tcW w:w="4365"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Receivables</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187</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223</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223</w:t>
            </w:r>
          </w:p>
        </w:tc>
        <w:tc>
          <w:tcPr>
            <w:tcW w:w="851"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224</w:t>
            </w:r>
          </w:p>
        </w:tc>
      </w:tr>
      <w:tr w:rsidR="002C39A3" w:rsidRPr="005353A5" w:rsidTr="005B5183">
        <w:tc>
          <w:tcPr>
            <w:tcW w:w="4365"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Total financial assets</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291</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328</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326</w:t>
            </w:r>
          </w:p>
        </w:tc>
        <w:tc>
          <w:tcPr>
            <w:tcW w:w="851"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323</w:t>
            </w:r>
          </w:p>
        </w:tc>
      </w:tr>
      <w:tr w:rsidR="005B5183" w:rsidRPr="005353A5" w:rsidTr="00C558E9">
        <w:tc>
          <w:tcPr>
            <w:tcW w:w="7766" w:type="dxa"/>
            <w:gridSpan w:val="5"/>
            <w:tcBorders>
              <w:top w:val="single" w:sz="6" w:space="0" w:color="auto"/>
              <w:left w:val="nil"/>
              <w:right w:val="nil"/>
            </w:tcBorders>
            <w:shd w:val="clear" w:color="auto" w:fill="FFFFFF"/>
          </w:tcPr>
          <w:p w:rsidR="005B5183" w:rsidRPr="005353A5" w:rsidRDefault="005B5183" w:rsidP="005B5183">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b/>
                <w:bCs/>
                <w:color w:val="000000"/>
                <w:sz w:val="19"/>
                <w:lang w:eastAsia="en-AU"/>
              </w:rPr>
              <w:t>Non-financial assets</w:t>
            </w:r>
          </w:p>
        </w:tc>
      </w:tr>
      <w:tr w:rsidR="002C39A3" w:rsidRPr="005353A5" w:rsidTr="005B5183">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Property, plant and equipment</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524</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541</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553</w:t>
            </w:r>
          </w:p>
        </w:tc>
        <w:tc>
          <w:tcPr>
            <w:tcW w:w="851"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575</w:t>
            </w:r>
          </w:p>
        </w:tc>
      </w:tr>
      <w:tr w:rsidR="002C39A3" w:rsidRPr="005353A5" w:rsidTr="005B5183">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Intangible assets</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54</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35</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34</w:t>
            </w:r>
          </w:p>
        </w:tc>
        <w:tc>
          <w:tcPr>
            <w:tcW w:w="851"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52</w:t>
            </w:r>
          </w:p>
        </w:tc>
      </w:tr>
      <w:tr w:rsidR="002C39A3" w:rsidRPr="005353A5" w:rsidTr="005B5183">
        <w:tc>
          <w:tcPr>
            <w:tcW w:w="4365"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Other</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17</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17</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18</w:t>
            </w:r>
          </w:p>
        </w:tc>
        <w:tc>
          <w:tcPr>
            <w:tcW w:w="851"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18</w:t>
            </w:r>
          </w:p>
        </w:tc>
      </w:tr>
      <w:tr w:rsidR="002C39A3" w:rsidRPr="005353A5" w:rsidTr="005B5183">
        <w:tc>
          <w:tcPr>
            <w:tcW w:w="4365"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Total non-financial assets</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595</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593</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605</w:t>
            </w:r>
          </w:p>
        </w:tc>
        <w:tc>
          <w:tcPr>
            <w:tcW w:w="851"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646</w:t>
            </w:r>
          </w:p>
        </w:tc>
      </w:tr>
      <w:tr w:rsidR="002C39A3" w:rsidRPr="005353A5" w:rsidTr="005B5183">
        <w:tc>
          <w:tcPr>
            <w:tcW w:w="4365"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Total assets</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886</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920</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931</w:t>
            </w:r>
          </w:p>
        </w:tc>
        <w:tc>
          <w:tcPr>
            <w:tcW w:w="851"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968</w:t>
            </w:r>
          </w:p>
        </w:tc>
      </w:tr>
      <w:tr w:rsidR="005B5183" w:rsidRPr="005353A5" w:rsidTr="00C558E9">
        <w:tc>
          <w:tcPr>
            <w:tcW w:w="7766" w:type="dxa"/>
            <w:gridSpan w:val="5"/>
            <w:tcBorders>
              <w:top w:val="single" w:sz="6" w:space="0" w:color="auto"/>
              <w:left w:val="nil"/>
              <w:right w:val="nil"/>
            </w:tcBorders>
            <w:shd w:val="clear" w:color="auto" w:fill="FFFFFF"/>
          </w:tcPr>
          <w:p w:rsidR="005B5183" w:rsidRPr="005353A5" w:rsidRDefault="005B5183" w:rsidP="005B5183">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b/>
                <w:bCs/>
                <w:color w:val="000000"/>
                <w:sz w:val="19"/>
                <w:lang w:eastAsia="en-AU"/>
              </w:rPr>
              <w:t>Liabilities</w:t>
            </w:r>
          </w:p>
        </w:tc>
      </w:tr>
      <w:tr w:rsidR="002C39A3" w:rsidRPr="005353A5" w:rsidTr="005B5183">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Payables</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100</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100</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83</w:t>
            </w:r>
          </w:p>
        </w:tc>
        <w:tc>
          <w:tcPr>
            <w:tcW w:w="851"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81</w:t>
            </w:r>
          </w:p>
        </w:tc>
      </w:tr>
      <w:tr w:rsidR="002C39A3" w:rsidRPr="005353A5" w:rsidTr="005B5183">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Borrowings</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4</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4</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4</w:t>
            </w:r>
          </w:p>
        </w:tc>
        <w:tc>
          <w:tcPr>
            <w:tcW w:w="851"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4</w:t>
            </w:r>
          </w:p>
        </w:tc>
      </w:tr>
      <w:tr w:rsidR="002C39A3" w:rsidRPr="005353A5" w:rsidTr="005B5183">
        <w:tc>
          <w:tcPr>
            <w:tcW w:w="4365"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Provisions</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48</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53</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54</w:t>
            </w:r>
          </w:p>
        </w:tc>
        <w:tc>
          <w:tcPr>
            <w:tcW w:w="851"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60</w:t>
            </w:r>
          </w:p>
        </w:tc>
      </w:tr>
      <w:tr w:rsidR="002C39A3" w:rsidRPr="005353A5" w:rsidTr="005B5183">
        <w:tc>
          <w:tcPr>
            <w:tcW w:w="4365"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Total liabilities</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153</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157</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142</w:t>
            </w:r>
          </w:p>
        </w:tc>
        <w:tc>
          <w:tcPr>
            <w:tcW w:w="851"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145</w:t>
            </w:r>
          </w:p>
        </w:tc>
      </w:tr>
      <w:tr w:rsidR="002C39A3" w:rsidRPr="005353A5" w:rsidTr="005B5183">
        <w:tc>
          <w:tcPr>
            <w:tcW w:w="4365"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Net assets</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733</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764</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789</w:t>
            </w:r>
          </w:p>
        </w:tc>
        <w:tc>
          <w:tcPr>
            <w:tcW w:w="851"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823</w:t>
            </w:r>
          </w:p>
        </w:tc>
      </w:tr>
      <w:tr w:rsidR="005B5183" w:rsidRPr="005353A5" w:rsidTr="00C558E9">
        <w:tc>
          <w:tcPr>
            <w:tcW w:w="7766" w:type="dxa"/>
            <w:gridSpan w:val="5"/>
            <w:tcBorders>
              <w:top w:val="single" w:sz="12" w:space="0" w:color="auto"/>
              <w:left w:val="nil"/>
              <w:right w:val="nil"/>
            </w:tcBorders>
            <w:shd w:val="clear" w:color="auto" w:fill="FFFFFF"/>
          </w:tcPr>
          <w:p w:rsidR="005B5183" w:rsidRPr="005353A5" w:rsidRDefault="005B5183" w:rsidP="005B5183">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b/>
                <w:bCs/>
                <w:color w:val="000000"/>
                <w:sz w:val="19"/>
                <w:lang w:eastAsia="en-AU"/>
              </w:rPr>
              <w:t>Equity</w:t>
            </w:r>
          </w:p>
        </w:tc>
      </w:tr>
      <w:tr w:rsidR="002C39A3" w:rsidRPr="005353A5" w:rsidTr="005B5183">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Accumulated surplus/(deficit)</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128</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127</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146</w:t>
            </w:r>
          </w:p>
        </w:tc>
        <w:tc>
          <w:tcPr>
            <w:tcW w:w="851"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150</w:t>
            </w:r>
          </w:p>
        </w:tc>
      </w:tr>
      <w:tr w:rsidR="002C39A3" w:rsidRPr="005353A5" w:rsidTr="005B5183">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Reserves</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237</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267</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267</w:t>
            </w:r>
          </w:p>
        </w:tc>
        <w:tc>
          <w:tcPr>
            <w:tcW w:w="851"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297</w:t>
            </w:r>
          </w:p>
        </w:tc>
      </w:tr>
      <w:tr w:rsidR="002C39A3" w:rsidRPr="005353A5" w:rsidTr="005B5183">
        <w:tc>
          <w:tcPr>
            <w:tcW w:w="4365"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Contributed capital</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368</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370</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376</w:t>
            </w:r>
          </w:p>
        </w:tc>
        <w:tc>
          <w:tcPr>
            <w:tcW w:w="851"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377</w:t>
            </w:r>
          </w:p>
        </w:tc>
      </w:tr>
      <w:tr w:rsidR="002C39A3" w:rsidRPr="005353A5" w:rsidTr="005B5183">
        <w:tc>
          <w:tcPr>
            <w:tcW w:w="4365"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Total equity</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733</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764</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789</w:t>
            </w:r>
          </w:p>
        </w:tc>
        <w:tc>
          <w:tcPr>
            <w:tcW w:w="851"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823</w:t>
            </w:r>
          </w:p>
        </w:tc>
      </w:tr>
    </w:tbl>
    <w:p w:rsidR="002C39A3" w:rsidRDefault="002C39A3" w:rsidP="00361FA9">
      <w:pPr>
        <w:pStyle w:val="Source"/>
        <w:rPr>
          <w:rFonts w:eastAsiaTheme="minorHAnsi"/>
        </w:rPr>
      </w:pPr>
      <w:r>
        <w:rPr>
          <w:rFonts w:eastAsiaTheme="minorHAnsi"/>
        </w:rPr>
        <w:t>S</w:t>
      </w:r>
      <w:r w:rsidRPr="006D5F95">
        <w:rPr>
          <w:rFonts w:eastAsiaTheme="minorHAnsi"/>
        </w:rPr>
        <w:t>ourc</w:t>
      </w:r>
      <w:r>
        <w:rPr>
          <w:rFonts w:eastAsiaTheme="minorHAnsi"/>
        </w:rPr>
        <w:t>e</w:t>
      </w:r>
      <w:r w:rsidRPr="006D5F95">
        <w:rPr>
          <w:rFonts w:eastAsiaTheme="minorHAnsi"/>
        </w:rPr>
        <w:t>: Department of Treasury and Finance</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3.7.3:</w:t>
      </w:r>
      <w:r>
        <w:rPr>
          <w:rFonts w:eastAsiaTheme="minorHAnsi"/>
        </w:rPr>
        <w:tab/>
        <w:t>Statement of cash flows</w:t>
      </w:r>
    </w:p>
    <w:p w:rsidR="002C39A3" w:rsidRPr="005353A5" w:rsidRDefault="002C39A3" w:rsidP="00361FA9">
      <w:pPr>
        <w:pStyle w:val="million"/>
        <w:rPr>
          <w:rFonts w:eastAsiaTheme="minorHAnsi"/>
          <w:b/>
          <w:bCs/>
          <w:sz w:val="15"/>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313"/>
        <w:gridCol w:w="537"/>
        <w:gridCol w:w="850"/>
        <w:gridCol w:w="850"/>
        <w:gridCol w:w="850"/>
      </w:tblGrid>
      <w:tr w:rsidR="005B5183" w:rsidRPr="005353A5" w:rsidTr="00C558E9">
        <w:trPr>
          <w:trHeight w:val="464"/>
          <w:tblHeader/>
        </w:trPr>
        <w:tc>
          <w:tcPr>
            <w:tcW w:w="4365" w:type="dxa"/>
            <w:tcBorders>
              <w:left w:val="nil"/>
              <w:right w:val="nil"/>
            </w:tcBorders>
            <w:shd w:val="solid" w:color="000000" w:fill="auto"/>
            <w:vAlign w:val="bottom"/>
          </w:tcPr>
          <w:p w:rsidR="005B5183" w:rsidRPr="005353A5" w:rsidRDefault="005B5183" w:rsidP="00361FA9">
            <w:pPr>
              <w:autoSpaceDE w:val="0"/>
              <w:autoSpaceDN w:val="0"/>
              <w:adjustRightInd w:val="0"/>
              <w:spacing w:after="0"/>
              <w:rPr>
                <w:rFonts w:eastAsiaTheme="minorEastAsia" w:cs="Calibri"/>
                <w:color w:val="FFFFFF"/>
                <w:sz w:val="19"/>
                <w:lang w:eastAsia="en-AU"/>
              </w:rPr>
            </w:pPr>
          </w:p>
        </w:tc>
        <w:tc>
          <w:tcPr>
            <w:tcW w:w="850" w:type="dxa"/>
            <w:gridSpan w:val="2"/>
            <w:tcBorders>
              <w:left w:val="nil"/>
              <w:right w:val="nil"/>
            </w:tcBorders>
            <w:shd w:val="solid" w:color="000000" w:fill="auto"/>
            <w:vAlign w:val="bottom"/>
          </w:tcPr>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2014-15</w:t>
            </w:r>
          </w:p>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actual</w:t>
            </w:r>
          </w:p>
        </w:tc>
        <w:tc>
          <w:tcPr>
            <w:tcW w:w="850" w:type="dxa"/>
            <w:tcBorders>
              <w:left w:val="nil"/>
              <w:right w:val="nil"/>
            </w:tcBorders>
            <w:shd w:val="solid" w:color="000000" w:fill="auto"/>
            <w:vAlign w:val="bottom"/>
          </w:tcPr>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2015-16</w:t>
            </w:r>
          </w:p>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2015-16</w:t>
            </w:r>
          </w:p>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2016-17</w:t>
            </w:r>
          </w:p>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budget</w:t>
            </w:r>
          </w:p>
        </w:tc>
      </w:tr>
      <w:tr w:rsidR="005B5183" w:rsidRPr="005353A5" w:rsidTr="00C558E9">
        <w:tc>
          <w:tcPr>
            <w:tcW w:w="7765" w:type="dxa"/>
            <w:gridSpan w:val="6"/>
            <w:tcBorders>
              <w:top w:val="single" w:sz="6" w:space="0" w:color="auto"/>
              <w:left w:val="nil"/>
              <w:right w:val="nil"/>
            </w:tcBorders>
            <w:shd w:val="clear" w:color="auto" w:fill="FFFFFF"/>
          </w:tcPr>
          <w:p w:rsidR="005B5183" w:rsidRPr="005353A5" w:rsidRDefault="005B5183" w:rsidP="005B5183">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b/>
                <w:bCs/>
                <w:color w:val="000000"/>
                <w:sz w:val="19"/>
                <w:lang w:eastAsia="en-AU"/>
              </w:rPr>
              <w:t>Cash flows from operating activities</w:t>
            </w:r>
          </w:p>
        </w:tc>
      </w:tr>
      <w:tr w:rsidR="005B5183" w:rsidRPr="005353A5" w:rsidTr="00C558E9">
        <w:tc>
          <w:tcPr>
            <w:tcW w:w="7765" w:type="dxa"/>
            <w:gridSpan w:val="6"/>
            <w:tcBorders>
              <w:top w:val="nil"/>
              <w:left w:val="nil"/>
              <w:right w:val="nil"/>
            </w:tcBorders>
            <w:shd w:val="clear" w:color="auto" w:fill="FFFFFF"/>
          </w:tcPr>
          <w:p w:rsidR="005B5183" w:rsidRPr="005353A5" w:rsidRDefault="005B5183" w:rsidP="005B5183">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b/>
                <w:bCs/>
                <w:color w:val="000000"/>
                <w:sz w:val="19"/>
                <w:lang w:eastAsia="en-AU"/>
              </w:rPr>
              <w:t>Receipts</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Receipts from Government</w:t>
            </w:r>
          </w:p>
        </w:tc>
        <w:tc>
          <w:tcPr>
            <w:tcW w:w="850"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232</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207</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224</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257</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Interest received</w:t>
            </w:r>
          </w:p>
        </w:tc>
        <w:tc>
          <w:tcPr>
            <w:tcW w:w="850"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w:t>
            </w:r>
          </w:p>
        </w:tc>
      </w:tr>
      <w:tr w:rsidR="002C39A3" w:rsidRPr="005353A5" w:rsidTr="00361FA9">
        <w:tc>
          <w:tcPr>
            <w:tcW w:w="4365" w:type="dxa"/>
            <w:tcBorders>
              <w:top w:val="nil"/>
              <w:left w:val="nil"/>
              <w:bottom w:val="single" w:sz="6" w:space="0" w:color="auto"/>
              <w:right w:val="nil"/>
            </w:tcBorders>
            <w:shd w:val="clear" w:color="000000"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Other receipts</w:t>
            </w:r>
          </w:p>
        </w:tc>
        <w:tc>
          <w:tcPr>
            <w:tcW w:w="850" w:type="dxa"/>
            <w:gridSpan w:val="2"/>
            <w:tcBorders>
              <w:top w:val="nil"/>
              <w:left w:val="nil"/>
              <w:bottom w:val="single" w:sz="6" w:space="0" w:color="auto"/>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108</w:t>
            </w:r>
          </w:p>
        </w:tc>
        <w:tc>
          <w:tcPr>
            <w:tcW w:w="850" w:type="dxa"/>
            <w:tcBorders>
              <w:top w:val="nil"/>
              <w:left w:val="nil"/>
              <w:bottom w:val="single" w:sz="6" w:space="0" w:color="auto"/>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193</w:t>
            </w:r>
          </w:p>
        </w:tc>
        <w:tc>
          <w:tcPr>
            <w:tcW w:w="850" w:type="dxa"/>
            <w:tcBorders>
              <w:top w:val="nil"/>
              <w:left w:val="nil"/>
              <w:bottom w:val="single" w:sz="6" w:space="0" w:color="auto"/>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210</w:t>
            </w:r>
          </w:p>
        </w:tc>
        <w:tc>
          <w:tcPr>
            <w:tcW w:w="850" w:type="dxa"/>
            <w:tcBorders>
              <w:top w:val="nil"/>
              <w:left w:val="nil"/>
              <w:bottom w:val="single" w:sz="6" w:space="0" w:color="auto"/>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205</w:t>
            </w:r>
          </w:p>
        </w:tc>
      </w:tr>
      <w:tr w:rsidR="002C39A3" w:rsidRPr="005353A5" w:rsidTr="00361FA9">
        <w:tc>
          <w:tcPr>
            <w:tcW w:w="4365"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Total receipts</w:t>
            </w:r>
          </w:p>
        </w:tc>
        <w:tc>
          <w:tcPr>
            <w:tcW w:w="850" w:type="dxa"/>
            <w:gridSpan w:val="2"/>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341</w:t>
            </w:r>
          </w:p>
        </w:tc>
        <w:tc>
          <w:tcPr>
            <w:tcW w:w="850"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400</w:t>
            </w:r>
          </w:p>
        </w:tc>
        <w:tc>
          <w:tcPr>
            <w:tcW w:w="850"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436</w:t>
            </w:r>
          </w:p>
        </w:tc>
        <w:tc>
          <w:tcPr>
            <w:tcW w:w="850"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464</w:t>
            </w:r>
          </w:p>
        </w:tc>
      </w:tr>
      <w:tr w:rsidR="005B5183" w:rsidRPr="005353A5" w:rsidTr="00C558E9">
        <w:tc>
          <w:tcPr>
            <w:tcW w:w="7765" w:type="dxa"/>
            <w:gridSpan w:val="6"/>
            <w:tcBorders>
              <w:top w:val="nil"/>
              <w:left w:val="nil"/>
              <w:right w:val="nil"/>
            </w:tcBorders>
            <w:shd w:val="clear" w:color="auto" w:fill="FFFFFF"/>
          </w:tcPr>
          <w:p w:rsidR="005B5183" w:rsidRPr="005353A5" w:rsidRDefault="005B5183" w:rsidP="005B5183">
            <w:pPr>
              <w:autoSpaceDE w:val="0"/>
              <w:autoSpaceDN w:val="0"/>
              <w:adjustRightInd w:val="0"/>
              <w:spacing w:after="0"/>
              <w:ind w:left="227" w:hanging="227"/>
              <w:rPr>
                <w:rFonts w:ascii="Calibri" w:eastAsiaTheme="minorEastAsia" w:hAnsi="Calibri" w:cs="Calibri"/>
                <w:color w:val="000000"/>
                <w:sz w:val="19"/>
                <w:lang w:eastAsia="en-AU"/>
              </w:rPr>
            </w:pPr>
            <w:r>
              <w:rPr>
                <w:rFonts w:ascii="Calibri" w:eastAsiaTheme="minorEastAsia" w:hAnsi="Calibri" w:cs="Calibri"/>
                <w:b/>
                <w:bCs/>
                <w:color w:val="000000"/>
                <w:sz w:val="19"/>
                <w:lang w:eastAsia="en-AU"/>
              </w:rPr>
              <w:t>Payments</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Payments of grants and other transfers</w:t>
            </w:r>
          </w:p>
        </w:tc>
        <w:tc>
          <w:tcPr>
            <w:tcW w:w="850"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(18)</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(15)</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(13)</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(16)</w:t>
            </w:r>
          </w:p>
        </w:tc>
      </w:tr>
      <w:tr w:rsidR="002C39A3" w:rsidRPr="005353A5" w:rsidTr="00361FA9">
        <w:tc>
          <w:tcPr>
            <w:tcW w:w="4365" w:type="dxa"/>
            <w:tcBorders>
              <w:top w:val="nil"/>
              <w:left w:val="nil"/>
              <w:right w:val="nil"/>
            </w:tcBorders>
            <w:shd w:val="clear" w:color="000000"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Payments to suppliers and employees</w:t>
            </w:r>
          </w:p>
        </w:tc>
        <w:tc>
          <w:tcPr>
            <w:tcW w:w="850" w:type="dxa"/>
            <w:gridSpan w:val="2"/>
            <w:tcBorders>
              <w:top w:val="nil"/>
              <w:left w:val="nil"/>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(278)</w:t>
            </w:r>
          </w:p>
        </w:tc>
        <w:tc>
          <w:tcPr>
            <w:tcW w:w="850" w:type="dxa"/>
            <w:tcBorders>
              <w:top w:val="nil"/>
              <w:left w:val="nil"/>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(329)</w:t>
            </w:r>
          </w:p>
        </w:tc>
        <w:tc>
          <w:tcPr>
            <w:tcW w:w="850" w:type="dxa"/>
            <w:tcBorders>
              <w:top w:val="nil"/>
              <w:left w:val="nil"/>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(359)</w:t>
            </w:r>
          </w:p>
        </w:tc>
        <w:tc>
          <w:tcPr>
            <w:tcW w:w="850" w:type="dxa"/>
            <w:tcBorders>
              <w:top w:val="nil"/>
              <w:left w:val="nil"/>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(369)</w:t>
            </w:r>
          </w:p>
        </w:tc>
      </w:tr>
      <w:tr w:rsidR="002C39A3" w:rsidRPr="005353A5" w:rsidTr="00361FA9">
        <w:tc>
          <w:tcPr>
            <w:tcW w:w="4365"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Capital asset charge</w:t>
            </w:r>
          </w:p>
        </w:tc>
        <w:tc>
          <w:tcPr>
            <w:tcW w:w="850" w:type="dxa"/>
            <w:gridSpan w:val="2"/>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(21)</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(21)</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(21)</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(22)</w:t>
            </w:r>
          </w:p>
        </w:tc>
      </w:tr>
      <w:tr w:rsidR="002C39A3" w:rsidRPr="005353A5" w:rsidTr="00361FA9">
        <w:tc>
          <w:tcPr>
            <w:tcW w:w="4365"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Total payments</w:t>
            </w:r>
          </w:p>
        </w:tc>
        <w:tc>
          <w:tcPr>
            <w:tcW w:w="850" w:type="dxa"/>
            <w:gridSpan w:val="2"/>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(317)</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(365)</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(394)</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(407)</w:t>
            </w:r>
          </w:p>
        </w:tc>
      </w:tr>
      <w:tr w:rsidR="002C39A3" w:rsidRPr="005353A5" w:rsidTr="00361FA9">
        <w:tc>
          <w:tcPr>
            <w:tcW w:w="4365"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Net cash flows from/(used in) operating activities</w:t>
            </w:r>
          </w:p>
        </w:tc>
        <w:tc>
          <w:tcPr>
            <w:tcW w:w="850" w:type="dxa"/>
            <w:gridSpan w:val="2"/>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23</w:t>
            </w:r>
          </w:p>
        </w:tc>
        <w:tc>
          <w:tcPr>
            <w:tcW w:w="850"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35</w:t>
            </w:r>
          </w:p>
        </w:tc>
        <w:tc>
          <w:tcPr>
            <w:tcW w:w="850"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42</w:t>
            </w:r>
          </w:p>
        </w:tc>
        <w:tc>
          <w:tcPr>
            <w:tcW w:w="850"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57</w:t>
            </w:r>
          </w:p>
        </w:tc>
      </w:tr>
      <w:tr w:rsidR="005B5183" w:rsidRPr="005353A5" w:rsidTr="00C558E9">
        <w:tc>
          <w:tcPr>
            <w:tcW w:w="7765" w:type="dxa"/>
            <w:gridSpan w:val="6"/>
            <w:tcBorders>
              <w:top w:val="nil"/>
              <w:left w:val="nil"/>
              <w:right w:val="nil"/>
            </w:tcBorders>
            <w:shd w:val="clear" w:color="auto" w:fill="FFFFFF"/>
          </w:tcPr>
          <w:p w:rsidR="005B5183" w:rsidRPr="005353A5" w:rsidRDefault="005B5183" w:rsidP="005B5183">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b/>
                <w:bCs/>
                <w:color w:val="000000"/>
                <w:sz w:val="19"/>
                <w:lang w:eastAsia="en-AU"/>
              </w:rPr>
              <w:t>Cash flows from investing activities</w:t>
            </w:r>
          </w:p>
        </w:tc>
      </w:tr>
      <w:tr w:rsidR="002C39A3" w:rsidRPr="005353A5" w:rsidTr="00361FA9">
        <w:tc>
          <w:tcPr>
            <w:tcW w:w="4365"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Payments for non-financial assets</w:t>
            </w:r>
          </w:p>
        </w:tc>
        <w:tc>
          <w:tcPr>
            <w:tcW w:w="850" w:type="dxa"/>
            <w:gridSpan w:val="2"/>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(31)</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(38)</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(38)</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(63)</w:t>
            </w:r>
          </w:p>
        </w:tc>
      </w:tr>
      <w:tr w:rsidR="002C39A3" w:rsidRPr="005353A5" w:rsidTr="00361FA9">
        <w:tc>
          <w:tcPr>
            <w:tcW w:w="4365"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Net cash flow from/(used in) investing activities</w:t>
            </w:r>
          </w:p>
        </w:tc>
        <w:tc>
          <w:tcPr>
            <w:tcW w:w="850" w:type="dxa"/>
            <w:gridSpan w:val="2"/>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(30)</w:t>
            </w:r>
          </w:p>
        </w:tc>
        <w:tc>
          <w:tcPr>
            <w:tcW w:w="850"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(38)</w:t>
            </w:r>
          </w:p>
        </w:tc>
        <w:tc>
          <w:tcPr>
            <w:tcW w:w="850"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(38)</w:t>
            </w:r>
          </w:p>
        </w:tc>
        <w:tc>
          <w:tcPr>
            <w:tcW w:w="850"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(63)</w:t>
            </w:r>
          </w:p>
        </w:tc>
      </w:tr>
      <w:tr w:rsidR="005B5183" w:rsidRPr="005353A5" w:rsidTr="00C558E9">
        <w:tc>
          <w:tcPr>
            <w:tcW w:w="7765" w:type="dxa"/>
            <w:gridSpan w:val="6"/>
            <w:tcBorders>
              <w:top w:val="nil"/>
              <w:left w:val="nil"/>
              <w:right w:val="nil"/>
            </w:tcBorders>
            <w:shd w:val="clear" w:color="auto" w:fill="FFFFFF"/>
          </w:tcPr>
          <w:p w:rsidR="005B5183" w:rsidRPr="005353A5" w:rsidRDefault="005B5183" w:rsidP="005B5183">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b/>
                <w:bCs/>
                <w:color w:val="000000"/>
                <w:sz w:val="19"/>
                <w:lang w:eastAsia="en-AU"/>
              </w:rPr>
              <w:t>Cash flows from financing activities</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Owner contributions by State Government</w:t>
            </w:r>
          </w:p>
        </w:tc>
        <w:tc>
          <w:tcPr>
            <w:tcW w:w="850"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54</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4</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11</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3</w:t>
            </w:r>
          </w:p>
        </w:tc>
      </w:tr>
      <w:tr w:rsidR="002C39A3" w:rsidRPr="005353A5" w:rsidTr="00361FA9">
        <w:tc>
          <w:tcPr>
            <w:tcW w:w="4365"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Net borrowings</w:t>
            </w:r>
          </w:p>
        </w:tc>
        <w:tc>
          <w:tcPr>
            <w:tcW w:w="850" w:type="dxa"/>
            <w:gridSpan w:val="2"/>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(4)</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(17)</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w:t>
            </w:r>
          </w:p>
        </w:tc>
      </w:tr>
      <w:tr w:rsidR="002C39A3" w:rsidRPr="005353A5" w:rsidTr="00361FA9">
        <w:tc>
          <w:tcPr>
            <w:tcW w:w="4365"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Net cash flows from/(used in) financing activities</w:t>
            </w:r>
          </w:p>
        </w:tc>
        <w:tc>
          <w:tcPr>
            <w:tcW w:w="850" w:type="dxa"/>
            <w:gridSpan w:val="2"/>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50</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3</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(6)</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2</w:t>
            </w:r>
          </w:p>
        </w:tc>
      </w:tr>
      <w:tr w:rsidR="002C39A3" w:rsidRPr="005353A5" w:rsidTr="00361FA9">
        <w:tc>
          <w:tcPr>
            <w:tcW w:w="4365" w:type="dxa"/>
            <w:tcBorders>
              <w:top w:val="single" w:sz="12" w:space="0" w:color="auto"/>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Net increase/(decrease) in cash and cash equivalents</w:t>
            </w:r>
          </w:p>
        </w:tc>
        <w:tc>
          <w:tcPr>
            <w:tcW w:w="850" w:type="dxa"/>
            <w:gridSpan w:val="2"/>
            <w:tcBorders>
              <w:top w:val="single" w:sz="12"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43</w:t>
            </w:r>
          </w:p>
        </w:tc>
        <w:tc>
          <w:tcPr>
            <w:tcW w:w="850" w:type="dxa"/>
            <w:tcBorders>
              <w:top w:val="single" w:sz="12"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1</w:t>
            </w:r>
          </w:p>
        </w:tc>
        <w:tc>
          <w:tcPr>
            <w:tcW w:w="850" w:type="dxa"/>
            <w:tcBorders>
              <w:top w:val="single" w:sz="12"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(2)</w:t>
            </w:r>
          </w:p>
        </w:tc>
        <w:tc>
          <w:tcPr>
            <w:tcW w:w="850" w:type="dxa"/>
            <w:tcBorders>
              <w:top w:val="single" w:sz="12"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(4)</w:t>
            </w:r>
          </w:p>
        </w:tc>
      </w:tr>
      <w:tr w:rsidR="002C39A3" w:rsidRPr="005353A5" w:rsidTr="00361FA9">
        <w:tc>
          <w:tcPr>
            <w:tcW w:w="4365" w:type="dxa"/>
            <w:tcBorders>
              <w:top w:val="nil"/>
              <w:left w:val="nil"/>
              <w:bottom w:val="single" w:sz="6" w:space="0" w:color="auto"/>
              <w:right w:val="nil"/>
            </w:tcBorders>
            <w:shd w:val="solid" w:color="FFFFFF"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Cash and cash equivalents at the beginning of the financial year</w:t>
            </w:r>
          </w:p>
        </w:tc>
        <w:tc>
          <w:tcPr>
            <w:tcW w:w="850" w:type="dxa"/>
            <w:gridSpan w:val="2"/>
            <w:tcBorders>
              <w:top w:val="nil"/>
              <w:left w:val="nil"/>
              <w:bottom w:val="single" w:sz="6" w:space="0" w:color="auto"/>
              <w:right w:val="nil"/>
            </w:tcBorders>
            <w:shd w:val="solid" w:color="FFFFFF"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61</w:t>
            </w:r>
          </w:p>
        </w:tc>
        <w:tc>
          <w:tcPr>
            <w:tcW w:w="850" w:type="dxa"/>
            <w:tcBorders>
              <w:top w:val="nil"/>
              <w:left w:val="nil"/>
              <w:bottom w:val="single" w:sz="6" w:space="0" w:color="auto"/>
              <w:right w:val="nil"/>
            </w:tcBorders>
            <w:shd w:val="solid" w:color="FFFFFF"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104</w:t>
            </w:r>
          </w:p>
        </w:tc>
        <w:tc>
          <w:tcPr>
            <w:tcW w:w="850" w:type="dxa"/>
            <w:tcBorders>
              <w:top w:val="nil"/>
              <w:left w:val="nil"/>
              <w:bottom w:val="single" w:sz="6" w:space="0" w:color="auto"/>
              <w:right w:val="nil"/>
            </w:tcBorders>
            <w:shd w:val="solid" w:color="FFFFFF"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104</w:t>
            </w:r>
          </w:p>
        </w:tc>
        <w:tc>
          <w:tcPr>
            <w:tcW w:w="850" w:type="dxa"/>
            <w:tcBorders>
              <w:top w:val="nil"/>
              <w:left w:val="nil"/>
              <w:bottom w:val="single" w:sz="6" w:space="0" w:color="auto"/>
              <w:right w:val="nil"/>
            </w:tcBorders>
            <w:shd w:val="solid" w:color="FFFFFF"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102</w:t>
            </w:r>
          </w:p>
        </w:tc>
      </w:tr>
      <w:tr w:rsidR="002C39A3" w:rsidRPr="005353A5" w:rsidTr="00361FA9">
        <w:tc>
          <w:tcPr>
            <w:tcW w:w="4678" w:type="dxa"/>
            <w:gridSpan w:val="2"/>
            <w:tcBorders>
              <w:top w:val="single" w:sz="6" w:space="0" w:color="auto"/>
              <w:left w:val="nil"/>
              <w:bottom w:val="single" w:sz="12" w:space="0" w:color="auto"/>
              <w:right w:val="nil"/>
            </w:tcBorders>
            <w:shd w:val="solid" w:color="FFFFFF"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Cash and cash equivalents at the end of the financial year</w:t>
            </w:r>
          </w:p>
        </w:tc>
        <w:tc>
          <w:tcPr>
            <w:tcW w:w="537" w:type="dxa"/>
            <w:tcBorders>
              <w:top w:val="single" w:sz="6" w:space="0" w:color="auto"/>
              <w:left w:val="nil"/>
              <w:bottom w:val="single" w:sz="12" w:space="0" w:color="auto"/>
              <w:right w:val="nil"/>
            </w:tcBorders>
            <w:shd w:val="solid" w:color="FFFFFF"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104</w:t>
            </w:r>
          </w:p>
        </w:tc>
        <w:tc>
          <w:tcPr>
            <w:tcW w:w="850" w:type="dxa"/>
            <w:tcBorders>
              <w:top w:val="single" w:sz="6" w:space="0" w:color="auto"/>
              <w:left w:val="nil"/>
              <w:bottom w:val="single" w:sz="12" w:space="0" w:color="auto"/>
              <w:right w:val="nil"/>
            </w:tcBorders>
            <w:shd w:val="solid" w:color="FFFFFF"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105</w:t>
            </w:r>
          </w:p>
        </w:tc>
        <w:tc>
          <w:tcPr>
            <w:tcW w:w="850" w:type="dxa"/>
            <w:tcBorders>
              <w:top w:val="single" w:sz="6" w:space="0" w:color="auto"/>
              <w:left w:val="nil"/>
              <w:bottom w:val="single" w:sz="12" w:space="0" w:color="auto"/>
              <w:right w:val="nil"/>
            </w:tcBorders>
            <w:shd w:val="solid" w:color="FFFFFF"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102</w:t>
            </w:r>
          </w:p>
        </w:tc>
        <w:tc>
          <w:tcPr>
            <w:tcW w:w="850" w:type="dxa"/>
            <w:tcBorders>
              <w:top w:val="single" w:sz="6" w:space="0" w:color="auto"/>
              <w:left w:val="nil"/>
              <w:bottom w:val="single" w:sz="12" w:space="0" w:color="auto"/>
              <w:right w:val="nil"/>
            </w:tcBorders>
            <w:shd w:val="solid" w:color="FFFFFF"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99</w:t>
            </w:r>
          </w:p>
        </w:tc>
      </w:tr>
    </w:tbl>
    <w:p w:rsidR="002C39A3" w:rsidRDefault="002C39A3" w:rsidP="00361FA9">
      <w:pPr>
        <w:pStyle w:val="Source"/>
        <w:rPr>
          <w:rFonts w:eastAsiaTheme="minorHAnsi"/>
        </w:rPr>
      </w:pPr>
      <w:r w:rsidRPr="006D5F95">
        <w:rPr>
          <w:rFonts w:eastAsiaTheme="minorHAnsi"/>
        </w:rPr>
        <w:t>Source: Department of Treasury and Finance</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3.7.4:</w:t>
      </w:r>
      <w:r>
        <w:rPr>
          <w:rFonts w:eastAsiaTheme="minorHAnsi"/>
        </w:rPr>
        <w:tab/>
        <w:t>Statement of changes in equity</w:t>
      </w:r>
    </w:p>
    <w:p w:rsidR="002C39A3" w:rsidRPr="005353A5" w:rsidRDefault="002C39A3" w:rsidP="00361FA9">
      <w:pPr>
        <w:pStyle w:val="million"/>
        <w:rPr>
          <w:rFonts w:eastAsiaTheme="minorHAnsi"/>
          <w:b/>
          <w:bCs/>
          <w:lang w:val="en-US"/>
        </w:rPr>
      </w:pPr>
      <w:r>
        <w:rPr>
          <w:rFonts w:eastAsiaTheme="minorHAnsi"/>
        </w:rPr>
        <w:t>($ million)</w:t>
      </w:r>
    </w:p>
    <w:tbl>
      <w:tblPr>
        <w:tblW w:w="7760" w:type="dxa"/>
        <w:tblInd w:w="45" w:type="dxa"/>
        <w:tblLayout w:type="fixed"/>
        <w:tblCellMar>
          <w:left w:w="45" w:type="dxa"/>
          <w:right w:w="45" w:type="dxa"/>
        </w:tblCellMar>
        <w:tblLook w:val="0000" w:firstRow="0" w:lastRow="0" w:firstColumn="0" w:lastColumn="0" w:noHBand="0" w:noVBand="0"/>
      </w:tblPr>
      <w:tblGrid>
        <w:gridCol w:w="2551"/>
        <w:gridCol w:w="567"/>
        <w:gridCol w:w="850"/>
        <w:gridCol w:w="1134"/>
        <w:gridCol w:w="1071"/>
        <w:gridCol w:w="771"/>
        <w:gridCol w:w="816"/>
      </w:tblGrid>
      <w:tr w:rsidR="002C39A3" w:rsidRPr="005353A5" w:rsidTr="00361FA9">
        <w:trPr>
          <w:tblHeader/>
        </w:trPr>
        <w:tc>
          <w:tcPr>
            <w:tcW w:w="2551" w:type="dxa"/>
            <w:tcBorders>
              <w:left w:val="nil"/>
              <w:bottom w:val="single" w:sz="6" w:space="0" w:color="auto"/>
              <w:right w:val="nil"/>
            </w:tcBorders>
            <w:shd w:val="solid" w:color="000000" w:fill="auto"/>
            <w:vAlign w:val="bottom"/>
          </w:tcPr>
          <w:p w:rsidR="002C39A3" w:rsidRPr="005353A5" w:rsidRDefault="002C39A3" w:rsidP="00361FA9">
            <w:pPr>
              <w:pStyle w:val="million"/>
              <w:jc w:val="left"/>
              <w:rPr>
                <w:rFonts w:eastAsiaTheme="minorEastAsia" w:cs="Calibri"/>
                <w:color w:val="FFFFFF"/>
                <w:sz w:val="19"/>
                <w:lang w:eastAsia="en-AU"/>
              </w:rPr>
            </w:pPr>
            <w:r w:rsidRPr="005353A5">
              <w:rPr>
                <w:rFonts w:eastAsiaTheme="minorEastAsia" w:cs="Calibri"/>
                <w:color w:val="FFFFFF"/>
                <w:sz w:val="19"/>
                <w:lang w:eastAsia="en-AU"/>
              </w:rPr>
              <w:t xml:space="preserve"> </w:t>
            </w:r>
          </w:p>
        </w:tc>
        <w:tc>
          <w:tcPr>
            <w:tcW w:w="1417" w:type="dxa"/>
            <w:gridSpan w:val="2"/>
            <w:tcBorders>
              <w:left w:val="nil"/>
              <w:bottom w:val="single" w:sz="6" w:space="0" w:color="auto"/>
              <w:right w:val="nil"/>
            </w:tcBorders>
            <w:shd w:val="solid" w:color="000000" w:fill="auto"/>
            <w:vAlign w:val="bottom"/>
          </w:tcPr>
          <w:p w:rsidR="002C39A3" w:rsidRPr="005353A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Accumulated surplus/(deficit)</w:t>
            </w:r>
          </w:p>
        </w:tc>
        <w:tc>
          <w:tcPr>
            <w:tcW w:w="1134" w:type="dxa"/>
            <w:tcBorders>
              <w:left w:val="nil"/>
              <w:bottom w:val="single" w:sz="6" w:space="0" w:color="auto"/>
              <w:right w:val="nil"/>
            </w:tcBorders>
            <w:shd w:val="solid" w:color="000000" w:fill="auto"/>
            <w:vAlign w:val="bottom"/>
          </w:tcPr>
          <w:p w:rsidR="002C39A3" w:rsidRPr="005353A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Contributions by owner</w:t>
            </w:r>
          </w:p>
        </w:tc>
        <w:tc>
          <w:tcPr>
            <w:tcW w:w="1071" w:type="dxa"/>
            <w:tcBorders>
              <w:left w:val="nil"/>
              <w:bottom w:val="single" w:sz="6" w:space="0" w:color="auto"/>
              <w:right w:val="nil"/>
            </w:tcBorders>
            <w:shd w:val="solid" w:color="000000" w:fill="auto"/>
            <w:vAlign w:val="bottom"/>
          </w:tcPr>
          <w:p w:rsidR="002C39A3" w:rsidRPr="005353A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Revaluation surplus</w:t>
            </w:r>
          </w:p>
        </w:tc>
        <w:tc>
          <w:tcPr>
            <w:tcW w:w="771" w:type="dxa"/>
            <w:tcBorders>
              <w:left w:val="nil"/>
              <w:bottom w:val="single" w:sz="6" w:space="0" w:color="auto"/>
              <w:right w:val="nil"/>
            </w:tcBorders>
            <w:shd w:val="solid" w:color="000000" w:fill="auto"/>
            <w:vAlign w:val="bottom"/>
          </w:tcPr>
          <w:p w:rsidR="002C39A3" w:rsidRPr="005353A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Other reserves</w:t>
            </w:r>
          </w:p>
        </w:tc>
        <w:tc>
          <w:tcPr>
            <w:tcW w:w="816" w:type="dxa"/>
            <w:tcBorders>
              <w:left w:val="nil"/>
              <w:bottom w:val="single" w:sz="6" w:space="0" w:color="auto"/>
              <w:right w:val="nil"/>
            </w:tcBorders>
            <w:shd w:val="solid" w:color="000000" w:fill="auto"/>
            <w:vAlign w:val="bottom"/>
          </w:tcPr>
          <w:p w:rsidR="002C39A3" w:rsidRPr="005353A5"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 xml:space="preserve">Total equity </w:t>
            </w:r>
          </w:p>
        </w:tc>
      </w:tr>
      <w:tr w:rsidR="002C39A3" w:rsidRPr="005353A5" w:rsidTr="00361FA9">
        <w:tc>
          <w:tcPr>
            <w:tcW w:w="3118" w:type="dxa"/>
            <w:gridSpan w:val="2"/>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Opening balance 1 July 2014</w:t>
            </w:r>
          </w:p>
        </w:tc>
        <w:tc>
          <w:tcPr>
            <w:tcW w:w="850"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179</w:t>
            </w:r>
          </w:p>
        </w:tc>
        <w:tc>
          <w:tcPr>
            <w:tcW w:w="1134"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246</w:t>
            </w:r>
          </w:p>
        </w:tc>
        <w:tc>
          <w:tcPr>
            <w:tcW w:w="1071"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237</w:t>
            </w:r>
          </w:p>
        </w:tc>
        <w:tc>
          <w:tcPr>
            <w:tcW w:w="771"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w:t>
            </w:r>
          </w:p>
        </w:tc>
        <w:tc>
          <w:tcPr>
            <w:tcW w:w="816"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662</w:t>
            </w:r>
          </w:p>
        </w:tc>
      </w:tr>
      <w:tr w:rsidR="002C39A3" w:rsidRPr="005353A5" w:rsidTr="00361FA9">
        <w:tc>
          <w:tcPr>
            <w:tcW w:w="3118"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13</w:t>
            </w:r>
          </w:p>
        </w:tc>
        <w:tc>
          <w:tcPr>
            <w:tcW w:w="1134"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771"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b/>
                <w:bCs/>
                <w:color w:val="000000"/>
                <w:sz w:val="19"/>
                <w:lang w:eastAsia="en-AU"/>
              </w:rPr>
              <w:t>13</w:t>
            </w:r>
          </w:p>
        </w:tc>
      </w:tr>
      <w:tr w:rsidR="002C39A3" w:rsidRPr="005353A5" w:rsidTr="00361FA9">
        <w:tc>
          <w:tcPr>
            <w:tcW w:w="3118" w:type="dxa"/>
            <w:gridSpan w:val="2"/>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(64)</w:t>
            </w:r>
          </w:p>
        </w:tc>
        <w:tc>
          <w:tcPr>
            <w:tcW w:w="1134"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122</w:t>
            </w:r>
          </w:p>
        </w:tc>
        <w:tc>
          <w:tcPr>
            <w:tcW w:w="1071"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b/>
                <w:bCs/>
                <w:color w:val="000000"/>
                <w:sz w:val="19"/>
                <w:lang w:eastAsia="en-AU"/>
              </w:rPr>
              <w:t>58</w:t>
            </w:r>
          </w:p>
        </w:tc>
      </w:tr>
      <w:tr w:rsidR="002C39A3" w:rsidRPr="005353A5" w:rsidTr="00361FA9">
        <w:tc>
          <w:tcPr>
            <w:tcW w:w="3118" w:type="dxa"/>
            <w:gridSpan w:val="2"/>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Closing balance 30 June 2015 (actual)</w:t>
            </w:r>
          </w:p>
        </w:tc>
        <w:tc>
          <w:tcPr>
            <w:tcW w:w="850"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128</w:t>
            </w:r>
          </w:p>
        </w:tc>
        <w:tc>
          <w:tcPr>
            <w:tcW w:w="1134"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368</w:t>
            </w:r>
          </w:p>
        </w:tc>
        <w:tc>
          <w:tcPr>
            <w:tcW w:w="1071"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237</w:t>
            </w:r>
          </w:p>
        </w:tc>
        <w:tc>
          <w:tcPr>
            <w:tcW w:w="771"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w:t>
            </w:r>
          </w:p>
        </w:tc>
        <w:tc>
          <w:tcPr>
            <w:tcW w:w="816"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733</w:t>
            </w:r>
          </w:p>
        </w:tc>
      </w:tr>
      <w:tr w:rsidR="002C39A3" w:rsidRPr="005353A5" w:rsidTr="00361FA9">
        <w:tc>
          <w:tcPr>
            <w:tcW w:w="3118"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w:t>
            </w:r>
          </w:p>
        </w:tc>
        <w:tc>
          <w:tcPr>
            <w:tcW w:w="1134"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30</w:t>
            </w:r>
          </w:p>
        </w:tc>
        <w:tc>
          <w:tcPr>
            <w:tcW w:w="771"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b/>
                <w:bCs/>
                <w:color w:val="000000"/>
                <w:sz w:val="19"/>
                <w:lang w:eastAsia="en-AU"/>
              </w:rPr>
              <w:t>29</w:t>
            </w:r>
          </w:p>
        </w:tc>
      </w:tr>
      <w:tr w:rsidR="002C39A3" w:rsidRPr="005353A5" w:rsidTr="00361FA9">
        <w:tc>
          <w:tcPr>
            <w:tcW w:w="3118" w:type="dxa"/>
            <w:gridSpan w:val="2"/>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1134"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w:t>
            </w:r>
          </w:p>
        </w:tc>
        <w:tc>
          <w:tcPr>
            <w:tcW w:w="1071"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b/>
                <w:bCs/>
                <w:color w:val="000000"/>
                <w:sz w:val="19"/>
                <w:lang w:eastAsia="en-AU"/>
              </w:rPr>
              <w:t>2</w:t>
            </w:r>
          </w:p>
        </w:tc>
      </w:tr>
      <w:tr w:rsidR="002C39A3" w:rsidRPr="005353A5" w:rsidTr="00361FA9">
        <w:tc>
          <w:tcPr>
            <w:tcW w:w="3118" w:type="dxa"/>
            <w:gridSpan w:val="2"/>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Closing balance 30 June 2016 (budget)</w:t>
            </w:r>
          </w:p>
        </w:tc>
        <w:tc>
          <w:tcPr>
            <w:tcW w:w="850"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127</w:t>
            </w:r>
          </w:p>
        </w:tc>
        <w:tc>
          <w:tcPr>
            <w:tcW w:w="1134"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370</w:t>
            </w:r>
          </w:p>
        </w:tc>
        <w:tc>
          <w:tcPr>
            <w:tcW w:w="1071"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267</w:t>
            </w:r>
          </w:p>
        </w:tc>
        <w:tc>
          <w:tcPr>
            <w:tcW w:w="771"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w:t>
            </w:r>
          </w:p>
        </w:tc>
        <w:tc>
          <w:tcPr>
            <w:tcW w:w="816"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764</w:t>
            </w:r>
          </w:p>
        </w:tc>
      </w:tr>
      <w:tr w:rsidR="002C39A3" w:rsidRPr="005353A5" w:rsidTr="00361FA9">
        <w:tc>
          <w:tcPr>
            <w:tcW w:w="3118"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17</w:t>
            </w:r>
          </w:p>
        </w:tc>
        <w:tc>
          <w:tcPr>
            <w:tcW w:w="1134"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30</w:t>
            </w:r>
          </w:p>
        </w:tc>
        <w:tc>
          <w:tcPr>
            <w:tcW w:w="771"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b/>
                <w:bCs/>
                <w:color w:val="000000"/>
                <w:sz w:val="19"/>
                <w:lang w:eastAsia="en-AU"/>
              </w:rPr>
              <w:t>47</w:t>
            </w:r>
          </w:p>
        </w:tc>
      </w:tr>
      <w:tr w:rsidR="002C39A3" w:rsidRPr="005353A5" w:rsidTr="00361FA9">
        <w:tc>
          <w:tcPr>
            <w:tcW w:w="3118" w:type="dxa"/>
            <w:gridSpan w:val="2"/>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1134"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8</w:t>
            </w:r>
          </w:p>
        </w:tc>
        <w:tc>
          <w:tcPr>
            <w:tcW w:w="1071"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b/>
                <w:bCs/>
                <w:color w:val="000000"/>
                <w:sz w:val="19"/>
                <w:lang w:eastAsia="en-AU"/>
              </w:rPr>
              <w:t>8</w:t>
            </w:r>
          </w:p>
        </w:tc>
      </w:tr>
      <w:tr w:rsidR="002C39A3" w:rsidRPr="005353A5" w:rsidTr="00361FA9">
        <w:tc>
          <w:tcPr>
            <w:tcW w:w="3118" w:type="dxa"/>
            <w:gridSpan w:val="2"/>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Closing balance 30 June 2016 (revised)</w:t>
            </w:r>
          </w:p>
        </w:tc>
        <w:tc>
          <w:tcPr>
            <w:tcW w:w="850"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146</w:t>
            </w:r>
          </w:p>
        </w:tc>
        <w:tc>
          <w:tcPr>
            <w:tcW w:w="1134"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376</w:t>
            </w:r>
          </w:p>
        </w:tc>
        <w:tc>
          <w:tcPr>
            <w:tcW w:w="1071"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267</w:t>
            </w:r>
          </w:p>
        </w:tc>
        <w:tc>
          <w:tcPr>
            <w:tcW w:w="771"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w:t>
            </w:r>
          </w:p>
        </w:tc>
        <w:tc>
          <w:tcPr>
            <w:tcW w:w="816" w:type="dxa"/>
            <w:tcBorders>
              <w:top w:val="single" w:sz="6" w:space="0" w:color="auto"/>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789</w:t>
            </w:r>
          </w:p>
        </w:tc>
      </w:tr>
      <w:tr w:rsidR="002C39A3" w:rsidRPr="005353A5" w:rsidTr="00361FA9">
        <w:tc>
          <w:tcPr>
            <w:tcW w:w="3118"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4</w:t>
            </w:r>
          </w:p>
        </w:tc>
        <w:tc>
          <w:tcPr>
            <w:tcW w:w="1134"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30</w:t>
            </w:r>
          </w:p>
        </w:tc>
        <w:tc>
          <w:tcPr>
            <w:tcW w:w="771"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b/>
                <w:bCs/>
                <w:color w:val="000000"/>
                <w:sz w:val="19"/>
                <w:lang w:eastAsia="en-AU"/>
              </w:rPr>
              <w:t>34</w:t>
            </w:r>
          </w:p>
        </w:tc>
      </w:tr>
      <w:tr w:rsidR="002C39A3" w:rsidRPr="005353A5" w:rsidTr="00361FA9">
        <w:tc>
          <w:tcPr>
            <w:tcW w:w="3118" w:type="dxa"/>
            <w:gridSpan w:val="2"/>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1134"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1071"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b/>
                <w:bCs/>
                <w:color w:val="000000"/>
                <w:sz w:val="19"/>
                <w:lang w:eastAsia="en-AU"/>
              </w:rPr>
              <w:t>..</w:t>
            </w:r>
          </w:p>
        </w:tc>
      </w:tr>
      <w:tr w:rsidR="002C39A3" w:rsidRPr="005353A5" w:rsidTr="00361FA9">
        <w:tc>
          <w:tcPr>
            <w:tcW w:w="3118" w:type="dxa"/>
            <w:gridSpan w:val="2"/>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Closing balance 30 June 2017 (budget)</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150</w:t>
            </w:r>
          </w:p>
        </w:tc>
        <w:tc>
          <w:tcPr>
            <w:tcW w:w="1134"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377</w:t>
            </w:r>
          </w:p>
        </w:tc>
        <w:tc>
          <w:tcPr>
            <w:tcW w:w="1071"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297</w:t>
            </w:r>
          </w:p>
        </w:tc>
        <w:tc>
          <w:tcPr>
            <w:tcW w:w="771"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w:t>
            </w:r>
          </w:p>
        </w:tc>
        <w:tc>
          <w:tcPr>
            <w:tcW w:w="816"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823</w:t>
            </w:r>
          </w:p>
        </w:tc>
      </w:tr>
    </w:tbl>
    <w:p w:rsidR="002C39A3" w:rsidRDefault="002C39A3" w:rsidP="00361FA9">
      <w:pPr>
        <w:pStyle w:val="Source"/>
        <w:rPr>
          <w:rFonts w:eastAsiaTheme="minorHAnsi"/>
        </w:rPr>
      </w:pPr>
      <w:r w:rsidRPr="006D5F95">
        <w:rPr>
          <w:rFonts w:eastAsiaTheme="minorHAnsi"/>
        </w:rPr>
        <w:t>Source: Department of Treasury and Finance</w:t>
      </w:r>
    </w:p>
    <w:p w:rsidR="002C39A3" w:rsidRDefault="002C39A3" w:rsidP="00361FA9">
      <w:pPr>
        <w:pStyle w:val="million"/>
        <w:rPr>
          <w:rFonts w:eastAsiaTheme="minorHAnsi"/>
        </w:rPr>
      </w:pP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3.7.5:</w:t>
      </w:r>
      <w:r>
        <w:rPr>
          <w:rFonts w:eastAsiaTheme="minorHAnsi"/>
        </w:rPr>
        <w:tab/>
        <w:t>Administered items statement</w:t>
      </w:r>
    </w:p>
    <w:p w:rsidR="002C39A3" w:rsidRPr="005353A5" w:rsidRDefault="002C39A3" w:rsidP="00361FA9">
      <w:pPr>
        <w:pStyle w:val="million"/>
        <w:rPr>
          <w:rFonts w:eastAsiaTheme="minorHAnsi"/>
          <w:b/>
          <w:bCs/>
          <w:sz w:val="15"/>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185"/>
        <w:gridCol w:w="665"/>
        <w:gridCol w:w="850"/>
        <w:gridCol w:w="850"/>
        <w:gridCol w:w="850"/>
      </w:tblGrid>
      <w:tr w:rsidR="005B5183" w:rsidRPr="005353A5" w:rsidTr="00C558E9">
        <w:trPr>
          <w:trHeight w:val="439"/>
          <w:tblHeader/>
        </w:trPr>
        <w:tc>
          <w:tcPr>
            <w:tcW w:w="4365" w:type="dxa"/>
            <w:tcBorders>
              <w:left w:val="nil"/>
              <w:right w:val="nil"/>
            </w:tcBorders>
            <w:shd w:val="solid" w:color="000000" w:fill="auto"/>
            <w:vAlign w:val="bottom"/>
          </w:tcPr>
          <w:p w:rsidR="005B5183" w:rsidRPr="005353A5" w:rsidRDefault="005B5183" w:rsidP="005B5183">
            <w:pPr>
              <w:pStyle w:val="Source"/>
              <w:spacing w:after="0"/>
              <w:rPr>
                <w:rFonts w:eastAsiaTheme="minorEastAsia" w:cs="Calibri"/>
                <w:color w:val="FFFFFF"/>
                <w:sz w:val="18"/>
                <w:lang w:eastAsia="en-AU"/>
              </w:rPr>
            </w:pPr>
          </w:p>
        </w:tc>
        <w:tc>
          <w:tcPr>
            <w:tcW w:w="850" w:type="dxa"/>
            <w:gridSpan w:val="2"/>
            <w:tcBorders>
              <w:left w:val="nil"/>
              <w:right w:val="nil"/>
            </w:tcBorders>
            <w:shd w:val="solid" w:color="000000" w:fill="auto"/>
            <w:vAlign w:val="bottom"/>
          </w:tcPr>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8"/>
                <w:lang w:eastAsia="en-AU"/>
              </w:rPr>
            </w:pPr>
            <w:r w:rsidRPr="005353A5">
              <w:rPr>
                <w:rFonts w:ascii="Calibri" w:eastAsiaTheme="minorEastAsia" w:hAnsi="Calibri" w:cs="Calibri"/>
                <w:i/>
                <w:iCs/>
                <w:color w:val="FFFFFF"/>
                <w:sz w:val="18"/>
                <w:lang w:eastAsia="en-AU"/>
              </w:rPr>
              <w:t>2014-15</w:t>
            </w:r>
          </w:p>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8"/>
                <w:lang w:eastAsia="en-AU"/>
              </w:rPr>
            </w:pPr>
            <w:r w:rsidRPr="005353A5">
              <w:rPr>
                <w:rFonts w:ascii="Calibri" w:eastAsiaTheme="minorEastAsia" w:hAnsi="Calibri" w:cs="Calibri"/>
                <w:i/>
                <w:iCs/>
                <w:color w:val="FFFFFF"/>
                <w:sz w:val="18"/>
                <w:lang w:eastAsia="en-AU"/>
              </w:rPr>
              <w:t>actual</w:t>
            </w:r>
          </w:p>
        </w:tc>
        <w:tc>
          <w:tcPr>
            <w:tcW w:w="850" w:type="dxa"/>
            <w:tcBorders>
              <w:left w:val="nil"/>
              <w:right w:val="nil"/>
            </w:tcBorders>
            <w:shd w:val="solid" w:color="000000" w:fill="auto"/>
            <w:vAlign w:val="bottom"/>
          </w:tcPr>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8"/>
                <w:lang w:eastAsia="en-AU"/>
              </w:rPr>
            </w:pPr>
            <w:r w:rsidRPr="005353A5">
              <w:rPr>
                <w:rFonts w:ascii="Calibri" w:eastAsiaTheme="minorEastAsia" w:hAnsi="Calibri" w:cs="Calibri"/>
                <w:i/>
                <w:iCs/>
                <w:color w:val="FFFFFF"/>
                <w:sz w:val="18"/>
                <w:lang w:eastAsia="en-AU"/>
              </w:rPr>
              <w:t>2015-16</w:t>
            </w:r>
          </w:p>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8"/>
                <w:lang w:eastAsia="en-AU"/>
              </w:rPr>
            </w:pPr>
            <w:r w:rsidRPr="005353A5">
              <w:rPr>
                <w:rFonts w:ascii="Calibri" w:eastAsiaTheme="minorEastAsia" w:hAnsi="Calibri" w:cs="Calibri"/>
                <w:i/>
                <w:iCs/>
                <w:color w:val="FFFFFF"/>
                <w:sz w:val="18"/>
                <w:lang w:eastAsia="en-AU"/>
              </w:rPr>
              <w:t>budget</w:t>
            </w:r>
          </w:p>
        </w:tc>
        <w:tc>
          <w:tcPr>
            <w:tcW w:w="850" w:type="dxa"/>
            <w:tcBorders>
              <w:left w:val="nil"/>
              <w:right w:val="nil"/>
            </w:tcBorders>
            <w:shd w:val="solid" w:color="000000" w:fill="auto"/>
            <w:vAlign w:val="bottom"/>
          </w:tcPr>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8"/>
                <w:lang w:eastAsia="en-AU"/>
              </w:rPr>
            </w:pPr>
            <w:r w:rsidRPr="005353A5">
              <w:rPr>
                <w:rFonts w:ascii="Calibri" w:eastAsiaTheme="minorEastAsia" w:hAnsi="Calibri" w:cs="Calibri"/>
                <w:i/>
                <w:iCs/>
                <w:color w:val="FFFFFF"/>
                <w:sz w:val="18"/>
                <w:lang w:eastAsia="en-AU"/>
              </w:rPr>
              <w:t>2015-16</w:t>
            </w:r>
          </w:p>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8"/>
                <w:lang w:eastAsia="en-AU"/>
              </w:rPr>
            </w:pPr>
            <w:r w:rsidRPr="005353A5">
              <w:rPr>
                <w:rFonts w:ascii="Calibri" w:eastAsiaTheme="minorEastAsia" w:hAnsi="Calibri" w:cs="Calibri"/>
                <w:i/>
                <w:iCs/>
                <w:color w:val="FFFFFF"/>
                <w:sz w:val="18"/>
                <w:lang w:eastAsia="en-AU"/>
              </w:rPr>
              <w:t>revised</w:t>
            </w:r>
          </w:p>
        </w:tc>
        <w:tc>
          <w:tcPr>
            <w:tcW w:w="850" w:type="dxa"/>
            <w:tcBorders>
              <w:left w:val="nil"/>
              <w:right w:val="nil"/>
            </w:tcBorders>
            <w:shd w:val="solid" w:color="000000" w:fill="auto"/>
            <w:vAlign w:val="bottom"/>
          </w:tcPr>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8"/>
                <w:lang w:eastAsia="en-AU"/>
              </w:rPr>
            </w:pPr>
            <w:r w:rsidRPr="005353A5">
              <w:rPr>
                <w:rFonts w:ascii="Calibri" w:eastAsiaTheme="minorEastAsia" w:hAnsi="Calibri" w:cs="Calibri"/>
                <w:i/>
                <w:iCs/>
                <w:color w:val="FFFFFF"/>
                <w:sz w:val="18"/>
                <w:lang w:eastAsia="en-AU"/>
              </w:rPr>
              <w:t>2016-17</w:t>
            </w:r>
          </w:p>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8"/>
                <w:lang w:eastAsia="en-AU"/>
              </w:rPr>
            </w:pPr>
            <w:r w:rsidRPr="005353A5">
              <w:rPr>
                <w:rFonts w:ascii="Calibri" w:eastAsiaTheme="minorEastAsia" w:hAnsi="Calibri" w:cs="Calibri"/>
                <w:i/>
                <w:iCs/>
                <w:color w:val="FFFFFF"/>
                <w:sz w:val="18"/>
                <w:lang w:eastAsia="en-AU"/>
              </w:rPr>
              <w:t>budget</w:t>
            </w:r>
          </w:p>
        </w:tc>
      </w:tr>
      <w:tr w:rsidR="005B5183" w:rsidRPr="005353A5" w:rsidTr="00C558E9">
        <w:tc>
          <w:tcPr>
            <w:tcW w:w="7765" w:type="dxa"/>
            <w:gridSpan w:val="6"/>
            <w:tcBorders>
              <w:top w:val="single" w:sz="6" w:space="0" w:color="auto"/>
              <w:left w:val="nil"/>
              <w:right w:val="nil"/>
            </w:tcBorders>
            <w:shd w:val="clear" w:color="auto" w:fill="FFFFFF"/>
          </w:tcPr>
          <w:p w:rsidR="005B5183" w:rsidRPr="005353A5" w:rsidRDefault="005B5183" w:rsidP="005B5183">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b/>
                <w:bCs/>
                <w:color w:val="000000"/>
                <w:sz w:val="18"/>
                <w:lang w:eastAsia="en-AU"/>
              </w:rPr>
              <w:t>Administered income</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Appropriations – payments made on behalf of the State</w:t>
            </w:r>
          </w:p>
        </w:tc>
        <w:tc>
          <w:tcPr>
            <w:tcW w:w="850"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1 747</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2 773</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2 156</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6 813</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Special appropriations</w:t>
            </w:r>
          </w:p>
        </w:tc>
        <w:tc>
          <w:tcPr>
            <w:tcW w:w="850"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1 282</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2 415</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2 243</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9 147</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Sale of goods and services</w:t>
            </w:r>
          </w:p>
        </w:tc>
        <w:tc>
          <w:tcPr>
            <w:tcW w:w="850"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18</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39</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39</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41</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Grants</w:t>
            </w:r>
          </w:p>
        </w:tc>
        <w:tc>
          <w:tcPr>
            <w:tcW w:w="850"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18 688</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20 122</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19 887</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21 365</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Interest</w:t>
            </w:r>
          </w:p>
        </w:tc>
        <w:tc>
          <w:tcPr>
            <w:tcW w:w="850"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48</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68</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49</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49</w:t>
            </w:r>
          </w:p>
        </w:tc>
      </w:tr>
      <w:tr w:rsidR="002C39A3" w:rsidRPr="005353A5" w:rsidTr="00361FA9">
        <w:tc>
          <w:tcPr>
            <w:tcW w:w="4365"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Other income</w:t>
            </w:r>
          </w:p>
        </w:tc>
        <w:tc>
          <w:tcPr>
            <w:tcW w:w="850" w:type="dxa"/>
            <w:gridSpan w:val="2"/>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20 059</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20 911</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21 585</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22 784</w:t>
            </w:r>
          </w:p>
        </w:tc>
      </w:tr>
      <w:tr w:rsidR="002C39A3" w:rsidRPr="005353A5" w:rsidTr="00361FA9">
        <w:tc>
          <w:tcPr>
            <w:tcW w:w="4365"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Total administered income</w:t>
            </w:r>
          </w:p>
        </w:tc>
        <w:tc>
          <w:tcPr>
            <w:tcW w:w="850" w:type="dxa"/>
            <w:gridSpan w:val="2"/>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41 842</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46 329</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45 959</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60 199</w:t>
            </w:r>
          </w:p>
        </w:tc>
      </w:tr>
      <w:tr w:rsidR="005B5183" w:rsidRPr="005353A5" w:rsidTr="00C558E9">
        <w:trPr>
          <w:trHeight w:hRule="exact" w:val="120"/>
        </w:trPr>
        <w:tc>
          <w:tcPr>
            <w:tcW w:w="7765" w:type="dxa"/>
            <w:gridSpan w:val="6"/>
            <w:tcBorders>
              <w:top w:val="single" w:sz="6" w:space="0" w:color="auto"/>
              <w:left w:val="nil"/>
              <w:right w:val="nil"/>
            </w:tcBorders>
            <w:shd w:val="clear" w:color="auto" w:fill="FFFFFF"/>
          </w:tcPr>
          <w:p w:rsidR="005B5183" w:rsidRPr="005353A5" w:rsidRDefault="005B5183" w:rsidP="00361FA9">
            <w:pPr>
              <w:autoSpaceDE w:val="0"/>
              <w:autoSpaceDN w:val="0"/>
              <w:adjustRightInd w:val="0"/>
              <w:spacing w:after="0"/>
              <w:jc w:val="right"/>
              <w:rPr>
                <w:rFonts w:ascii="Calibri" w:eastAsiaTheme="minorEastAsia" w:hAnsi="Calibri" w:cs="Calibri"/>
                <w:color w:val="000000"/>
                <w:sz w:val="18"/>
                <w:lang w:eastAsia="en-AU"/>
              </w:rPr>
            </w:pPr>
          </w:p>
        </w:tc>
      </w:tr>
      <w:tr w:rsidR="005B5183" w:rsidRPr="005353A5" w:rsidTr="00C558E9">
        <w:tc>
          <w:tcPr>
            <w:tcW w:w="7765" w:type="dxa"/>
            <w:gridSpan w:val="6"/>
            <w:tcBorders>
              <w:top w:val="nil"/>
              <w:left w:val="nil"/>
              <w:right w:val="nil"/>
            </w:tcBorders>
            <w:shd w:val="clear" w:color="auto" w:fill="FFFFFF"/>
          </w:tcPr>
          <w:p w:rsidR="005B5183" w:rsidRPr="005353A5" w:rsidRDefault="005B5183" w:rsidP="005B5183">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b/>
                <w:bCs/>
                <w:color w:val="000000"/>
                <w:sz w:val="18"/>
                <w:lang w:eastAsia="en-AU"/>
              </w:rPr>
              <w:t>Administered expenses</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Expenses on behalf of the State</w:t>
            </w:r>
          </w:p>
        </w:tc>
        <w:tc>
          <w:tcPr>
            <w:tcW w:w="850"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855</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298</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511</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386</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Employee benefits</w:t>
            </w:r>
          </w:p>
        </w:tc>
        <w:tc>
          <w:tcPr>
            <w:tcW w:w="850"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1 319</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1 610</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1 443</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1 635</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Grants and other transfers</w:t>
            </w:r>
          </w:p>
        </w:tc>
        <w:tc>
          <w:tcPr>
            <w:tcW w:w="850"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3 236</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3 551</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3 238</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3 944</w:t>
            </w:r>
          </w:p>
        </w:tc>
      </w:tr>
      <w:tr w:rsidR="002C39A3" w:rsidRPr="005353A5" w:rsidTr="00361FA9">
        <w:tc>
          <w:tcPr>
            <w:tcW w:w="4365" w:type="dxa"/>
            <w:tcBorders>
              <w:top w:val="nil"/>
              <w:left w:val="nil"/>
              <w:right w:val="nil"/>
            </w:tcBorders>
            <w:shd w:val="clear" w:color="000000"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Payments into the Consolidated Fund</w:t>
            </w:r>
          </w:p>
        </w:tc>
        <w:tc>
          <w:tcPr>
            <w:tcW w:w="850" w:type="dxa"/>
            <w:gridSpan w:val="2"/>
            <w:tcBorders>
              <w:top w:val="nil"/>
              <w:left w:val="nil"/>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36 615</w:t>
            </w:r>
          </w:p>
        </w:tc>
        <w:tc>
          <w:tcPr>
            <w:tcW w:w="850" w:type="dxa"/>
            <w:tcBorders>
              <w:top w:val="nil"/>
              <w:left w:val="nil"/>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39 159</w:t>
            </w:r>
          </w:p>
        </w:tc>
        <w:tc>
          <w:tcPr>
            <w:tcW w:w="850" w:type="dxa"/>
            <w:tcBorders>
              <w:top w:val="nil"/>
              <w:left w:val="nil"/>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39 420</w:t>
            </w:r>
          </w:p>
        </w:tc>
        <w:tc>
          <w:tcPr>
            <w:tcW w:w="850" w:type="dxa"/>
            <w:tcBorders>
              <w:top w:val="nil"/>
              <w:left w:val="nil"/>
              <w:right w:val="nil"/>
            </w:tcBorders>
            <w:shd w:val="clear" w:color="000000"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50 313</w:t>
            </w:r>
          </w:p>
        </w:tc>
      </w:tr>
      <w:tr w:rsidR="002C39A3" w:rsidRPr="005353A5" w:rsidTr="00361FA9">
        <w:tc>
          <w:tcPr>
            <w:tcW w:w="4365"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Interest expense</w:t>
            </w:r>
          </w:p>
        </w:tc>
        <w:tc>
          <w:tcPr>
            <w:tcW w:w="850" w:type="dxa"/>
            <w:gridSpan w:val="2"/>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1 275</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1 275</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1 304</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1 536</w:t>
            </w:r>
          </w:p>
        </w:tc>
      </w:tr>
      <w:tr w:rsidR="002C39A3" w:rsidRPr="005353A5" w:rsidTr="00361FA9">
        <w:tc>
          <w:tcPr>
            <w:tcW w:w="4365"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Total administered expenses</w:t>
            </w:r>
          </w:p>
        </w:tc>
        <w:tc>
          <w:tcPr>
            <w:tcW w:w="850" w:type="dxa"/>
            <w:gridSpan w:val="2"/>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43 301</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45 893</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45 916</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57 814</w:t>
            </w:r>
          </w:p>
        </w:tc>
      </w:tr>
      <w:tr w:rsidR="002C39A3" w:rsidRPr="005353A5" w:rsidTr="00361FA9">
        <w:tc>
          <w:tcPr>
            <w:tcW w:w="4365"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Income less expenses</w:t>
            </w:r>
          </w:p>
        </w:tc>
        <w:tc>
          <w:tcPr>
            <w:tcW w:w="850" w:type="dxa"/>
            <w:gridSpan w:val="2"/>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(1 459)</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436</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44</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2 385</w:t>
            </w:r>
          </w:p>
        </w:tc>
      </w:tr>
      <w:tr w:rsidR="005B5183" w:rsidRPr="005353A5" w:rsidTr="00C558E9">
        <w:tc>
          <w:tcPr>
            <w:tcW w:w="7765" w:type="dxa"/>
            <w:gridSpan w:val="6"/>
            <w:tcBorders>
              <w:top w:val="single" w:sz="6" w:space="0" w:color="auto"/>
              <w:left w:val="nil"/>
              <w:right w:val="nil"/>
            </w:tcBorders>
            <w:shd w:val="clear" w:color="auto" w:fill="FFFFFF"/>
          </w:tcPr>
          <w:p w:rsidR="005B5183" w:rsidRPr="005353A5" w:rsidRDefault="005B5183" w:rsidP="005B5183">
            <w:pPr>
              <w:autoSpaceDE w:val="0"/>
              <w:autoSpaceDN w:val="0"/>
              <w:adjustRightInd w:val="0"/>
              <w:spacing w:after="0"/>
              <w:ind w:left="227" w:hanging="227"/>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Other economic flows included in net result</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Net gain/(loss) on non-financial assets</w:t>
            </w:r>
          </w:p>
        </w:tc>
        <w:tc>
          <w:tcPr>
            <w:tcW w:w="850"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23</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Other gains/(losses) from other economic flows</w:t>
            </w:r>
          </w:p>
        </w:tc>
        <w:tc>
          <w:tcPr>
            <w:tcW w:w="850"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(26)</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(13)</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w:t>
            </w:r>
          </w:p>
        </w:tc>
      </w:tr>
      <w:tr w:rsidR="002C39A3" w:rsidRPr="005353A5" w:rsidTr="00361FA9">
        <w:tc>
          <w:tcPr>
            <w:tcW w:w="4365"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Net gain/(loss) on financial instruments and statutory receivables/payables</w:t>
            </w:r>
          </w:p>
        </w:tc>
        <w:tc>
          <w:tcPr>
            <w:tcW w:w="850" w:type="dxa"/>
            <w:gridSpan w:val="2"/>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387</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17</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17</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w:t>
            </w:r>
          </w:p>
        </w:tc>
      </w:tr>
      <w:tr w:rsidR="002C39A3" w:rsidRPr="005353A5" w:rsidTr="00361FA9">
        <w:tc>
          <w:tcPr>
            <w:tcW w:w="4365"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Total other economic flows included in net result</w:t>
            </w:r>
          </w:p>
        </w:tc>
        <w:tc>
          <w:tcPr>
            <w:tcW w:w="850" w:type="dxa"/>
            <w:gridSpan w:val="2"/>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362</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17</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4</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23</w:t>
            </w:r>
          </w:p>
        </w:tc>
      </w:tr>
      <w:tr w:rsidR="002C39A3" w:rsidRPr="005353A5" w:rsidTr="00361FA9">
        <w:tc>
          <w:tcPr>
            <w:tcW w:w="4365"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Net result</w:t>
            </w:r>
          </w:p>
        </w:tc>
        <w:tc>
          <w:tcPr>
            <w:tcW w:w="850" w:type="dxa"/>
            <w:gridSpan w:val="2"/>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(1 097)</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453</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48</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2 408</w:t>
            </w:r>
          </w:p>
        </w:tc>
      </w:tr>
      <w:tr w:rsidR="005B5183" w:rsidRPr="005353A5" w:rsidTr="00C558E9">
        <w:trPr>
          <w:trHeight w:hRule="exact" w:val="120"/>
        </w:trPr>
        <w:tc>
          <w:tcPr>
            <w:tcW w:w="7765" w:type="dxa"/>
            <w:gridSpan w:val="6"/>
            <w:tcBorders>
              <w:top w:val="single" w:sz="12" w:space="0" w:color="auto"/>
              <w:left w:val="nil"/>
              <w:right w:val="nil"/>
            </w:tcBorders>
            <w:shd w:val="clear" w:color="auto" w:fill="FFFFFF"/>
          </w:tcPr>
          <w:p w:rsidR="005B5183" w:rsidRPr="005353A5" w:rsidRDefault="005B5183" w:rsidP="00361FA9">
            <w:pPr>
              <w:autoSpaceDE w:val="0"/>
              <w:autoSpaceDN w:val="0"/>
              <w:adjustRightInd w:val="0"/>
              <w:spacing w:after="0"/>
              <w:jc w:val="right"/>
              <w:rPr>
                <w:rFonts w:ascii="Calibri" w:eastAsiaTheme="minorEastAsia" w:hAnsi="Calibri" w:cs="Calibri"/>
                <w:b/>
                <w:bCs/>
                <w:color w:val="000000"/>
                <w:sz w:val="18"/>
                <w:lang w:eastAsia="en-AU"/>
              </w:rPr>
            </w:pPr>
          </w:p>
        </w:tc>
      </w:tr>
      <w:tr w:rsidR="005B5183" w:rsidRPr="005353A5" w:rsidTr="00C558E9">
        <w:tc>
          <w:tcPr>
            <w:tcW w:w="7765" w:type="dxa"/>
            <w:gridSpan w:val="6"/>
            <w:tcBorders>
              <w:top w:val="nil"/>
              <w:left w:val="nil"/>
              <w:right w:val="nil"/>
            </w:tcBorders>
            <w:shd w:val="clear" w:color="auto" w:fill="FFFFFF"/>
          </w:tcPr>
          <w:p w:rsidR="005B5183" w:rsidRPr="005353A5" w:rsidRDefault="005B5183" w:rsidP="005B5183">
            <w:pPr>
              <w:autoSpaceDE w:val="0"/>
              <w:autoSpaceDN w:val="0"/>
              <w:adjustRightInd w:val="0"/>
              <w:spacing w:after="0"/>
              <w:ind w:left="227" w:hanging="227"/>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Other economic flows – other comprehensive income</w:t>
            </w:r>
          </w:p>
        </w:tc>
      </w:tr>
      <w:tr w:rsidR="002C39A3" w:rsidRPr="005353A5" w:rsidTr="00361FA9">
        <w:tc>
          <w:tcPr>
            <w:tcW w:w="4365"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Remeasurement of superannuation defined benefit plans</w:t>
            </w:r>
          </w:p>
        </w:tc>
        <w:tc>
          <w:tcPr>
            <w:tcW w:w="850" w:type="dxa"/>
            <w:gridSpan w:val="2"/>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551</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962</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(1 791)</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877</w:t>
            </w:r>
          </w:p>
        </w:tc>
      </w:tr>
      <w:tr w:rsidR="002C39A3" w:rsidRPr="005353A5" w:rsidTr="00361FA9">
        <w:tc>
          <w:tcPr>
            <w:tcW w:w="4550" w:type="dxa"/>
            <w:gridSpan w:val="2"/>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Total other economic flows – other comprehensive income</w:t>
            </w:r>
          </w:p>
        </w:tc>
        <w:tc>
          <w:tcPr>
            <w:tcW w:w="665"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551</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962</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(1 791)</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877</w:t>
            </w:r>
          </w:p>
        </w:tc>
      </w:tr>
      <w:tr w:rsidR="002C39A3" w:rsidRPr="005353A5" w:rsidTr="00361FA9">
        <w:tc>
          <w:tcPr>
            <w:tcW w:w="4365"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Comprehensive result</w:t>
            </w:r>
          </w:p>
        </w:tc>
        <w:tc>
          <w:tcPr>
            <w:tcW w:w="850" w:type="dxa"/>
            <w:gridSpan w:val="2"/>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(546)</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1 416</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(1 743)</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3 285</w:t>
            </w:r>
          </w:p>
        </w:tc>
      </w:tr>
      <w:tr w:rsidR="005B5183" w:rsidRPr="005353A5" w:rsidTr="00C558E9">
        <w:trPr>
          <w:trHeight w:hRule="exact" w:val="120"/>
        </w:trPr>
        <w:tc>
          <w:tcPr>
            <w:tcW w:w="7765" w:type="dxa"/>
            <w:gridSpan w:val="6"/>
            <w:tcBorders>
              <w:top w:val="single" w:sz="12" w:space="0" w:color="auto"/>
              <w:left w:val="nil"/>
              <w:right w:val="nil"/>
            </w:tcBorders>
            <w:shd w:val="clear" w:color="auto" w:fill="FFFFFF"/>
          </w:tcPr>
          <w:p w:rsidR="005B5183" w:rsidRPr="005353A5" w:rsidRDefault="005B5183" w:rsidP="00361FA9">
            <w:pPr>
              <w:autoSpaceDE w:val="0"/>
              <w:autoSpaceDN w:val="0"/>
              <w:adjustRightInd w:val="0"/>
              <w:spacing w:after="0"/>
              <w:jc w:val="right"/>
              <w:rPr>
                <w:rFonts w:ascii="Calibri" w:eastAsiaTheme="minorEastAsia" w:hAnsi="Calibri" w:cs="Calibri"/>
                <w:b/>
                <w:bCs/>
                <w:color w:val="000000"/>
                <w:sz w:val="18"/>
                <w:lang w:eastAsia="en-AU"/>
              </w:rPr>
            </w:pPr>
          </w:p>
        </w:tc>
      </w:tr>
      <w:tr w:rsidR="005B5183" w:rsidRPr="005353A5" w:rsidTr="00C558E9">
        <w:tc>
          <w:tcPr>
            <w:tcW w:w="7765" w:type="dxa"/>
            <w:gridSpan w:val="6"/>
            <w:tcBorders>
              <w:top w:val="nil"/>
              <w:left w:val="nil"/>
              <w:right w:val="nil"/>
            </w:tcBorders>
            <w:shd w:val="clear" w:color="auto" w:fill="FFFFFF"/>
          </w:tcPr>
          <w:p w:rsidR="005B5183" w:rsidRPr="005353A5" w:rsidRDefault="005B5183" w:rsidP="005B5183">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b/>
                <w:bCs/>
                <w:color w:val="000000"/>
                <w:sz w:val="18"/>
                <w:lang w:eastAsia="en-AU"/>
              </w:rPr>
              <w:t>Administered assets</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Cash and deposits</w:t>
            </w:r>
          </w:p>
        </w:tc>
        <w:tc>
          <w:tcPr>
            <w:tcW w:w="850"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1 717</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1 816</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1 979</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1 771</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Receivables</w:t>
            </w:r>
          </w:p>
        </w:tc>
        <w:tc>
          <w:tcPr>
            <w:tcW w:w="850"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1 782</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1 735</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1 268</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2 665</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Other financial assets</w:t>
            </w:r>
          </w:p>
        </w:tc>
        <w:tc>
          <w:tcPr>
            <w:tcW w:w="850"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876</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876</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876</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876</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Other</w:t>
            </w:r>
          </w:p>
        </w:tc>
        <w:tc>
          <w:tcPr>
            <w:tcW w:w="850"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1</w:t>
            </w:r>
          </w:p>
        </w:tc>
      </w:tr>
      <w:tr w:rsidR="002C39A3" w:rsidRPr="005353A5" w:rsidTr="00361FA9">
        <w:tc>
          <w:tcPr>
            <w:tcW w:w="4365"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Property, plant and equipment</w:t>
            </w:r>
          </w:p>
        </w:tc>
        <w:tc>
          <w:tcPr>
            <w:tcW w:w="850" w:type="dxa"/>
            <w:gridSpan w:val="2"/>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41</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22</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378</w:t>
            </w:r>
          </w:p>
        </w:tc>
      </w:tr>
      <w:tr w:rsidR="002C39A3" w:rsidRPr="005353A5" w:rsidTr="00361FA9">
        <w:tc>
          <w:tcPr>
            <w:tcW w:w="4365"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Total administered assets</w:t>
            </w:r>
          </w:p>
        </w:tc>
        <w:tc>
          <w:tcPr>
            <w:tcW w:w="850" w:type="dxa"/>
            <w:gridSpan w:val="2"/>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4 376</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4 469</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4 146</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5 691</w:t>
            </w:r>
          </w:p>
        </w:tc>
      </w:tr>
      <w:tr w:rsidR="005B5183" w:rsidRPr="005353A5" w:rsidTr="00C558E9">
        <w:trPr>
          <w:trHeight w:hRule="exact" w:val="120"/>
        </w:trPr>
        <w:tc>
          <w:tcPr>
            <w:tcW w:w="7765" w:type="dxa"/>
            <w:gridSpan w:val="6"/>
            <w:tcBorders>
              <w:top w:val="single" w:sz="6" w:space="0" w:color="auto"/>
              <w:left w:val="nil"/>
              <w:right w:val="nil"/>
            </w:tcBorders>
            <w:shd w:val="clear" w:color="auto" w:fill="FFFFFF"/>
          </w:tcPr>
          <w:p w:rsidR="005B5183" w:rsidRPr="005353A5" w:rsidRDefault="005B5183" w:rsidP="00361FA9">
            <w:pPr>
              <w:autoSpaceDE w:val="0"/>
              <w:autoSpaceDN w:val="0"/>
              <w:adjustRightInd w:val="0"/>
              <w:spacing w:after="0"/>
              <w:jc w:val="right"/>
              <w:rPr>
                <w:rFonts w:ascii="Calibri" w:eastAsiaTheme="minorEastAsia" w:hAnsi="Calibri" w:cs="Calibri"/>
                <w:color w:val="000000"/>
                <w:sz w:val="18"/>
                <w:lang w:eastAsia="en-AU"/>
              </w:rPr>
            </w:pPr>
          </w:p>
        </w:tc>
      </w:tr>
      <w:tr w:rsidR="005B5183" w:rsidRPr="005353A5" w:rsidTr="00C558E9">
        <w:tc>
          <w:tcPr>
            <w:tcW w:w="7765" w:type="dxa"/>
            <w:gridSpan w:val="6"/>
            <w:tcBorders>
              <w:top w:val="nil"/>
              <w:left w:val="nil"/>
              <w:right w:val="nil"/>
            </w:tcBorders>
            <w:shd w:val="clear" w:color="auto" w:fill="FFFFFF"/>
          </w:tcPr>
          <w:p w:rsidR="005B5183" w:rsidRPr="005353A5" w:rsidRDefault="005B5183" w:rsidP="005B5183">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b/>
                <w:bCs/>
                <w:color w:val="000000"/>
                <w:sz w:val="18"/>
                <w:lang w:eastAsia="en-AU"/>
              </w:rPr>
              <w:t>Administered liabilities</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Payables</w:t>
            </w:r>
          </w:p>
        </w:tc>
        <w:tc>
          <w:tcPr>
            <w:tcW w:w="850"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552</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461</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228</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5 749</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Borrowings</w:t>
            </w:r>
          </w:p>
        </w:tc>
        <w:tc>
          <w:tcPr>
            <w:tcW w:w="850"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27 675</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27 688</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27 688</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22 248</w:t>
            </w:r>
          </w:p>
        </w:tc>
      </w:tr>
      <w:tr w:rsidR="002C39A3" w:rsidRPr="005353A5" w:rsidTr="00361FA9">
        <w:tc>
          <w:tcPr>
            <w:tcW w:w="4365"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Provisions</w:t>
            </w:r>
          </w:p>
        </w:tc>
        <w:tc>
          <w:tcPr>
            <w:tcW w:w="850" w:type="dxa"/>
            <w:gridSpan w:val="2"/>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68</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68</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68</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68</w:t>
            </w:r>
          </w:p>
        </w:tc>
      </w:tr>
      <w:tr w:rsidR="002C39A3" w:rsidRPr="005353A5" w:rsidTr="00361FA9">
        <w:tc>
          <w:tcPr>
            <w:tcW w:w="4365"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Other</w:t>
            </w:r>
          </w:p>
        </w:tc>
        <w:tc>
          <w:tcPr>
            <w:tcW w:w="850" w:type="dxa"/>
            <w:gridSpan w:val="2"/>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25 947</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25 003</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27 887</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8"/>
                <w:lang w:eastAsia="en-AU"/>
              </w:rPr>
            </w:pPr>
            <w:r w:rsidRPr="005353A5">
              <w:rPr>
                <w:rFonts w:ascii="Calibri" w:eastAsiaTheme="minorEastAsia" w:hAnsi="Calibri" w:cs="Calibri"/>
                <w:color w:val="000000"/>
                <w:sz w:val="18"/>
                <w:lang w:eastAsia="en-AU"/>
              </w:rPr>
              <w:t>27 048</w:t>
            </w:r>
          </w:p>
        </w:tc>
      </w:tr>
      <w:tr w:rsidR="002C39A3" w:rsidRPr="005353A5" w:rsidTr="00361FA9">
        <w:tc>
          <w:tcPr>
            <w:tcW w:w="4365"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Total administered liabilities</w:t>
            </w:r>
          </w:p>
        </w:tc>
        <w:tc>
          <w:tcPr>
            <w:tcW w:w="850" w:type="dxa"/>
            <w:gridSpan w:val="2"/>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54 242</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53 220</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55 871</w:t>
            </w:r>
          </w:p>
        </w:tc>
        <w:tc>
          <w:tcPr>
            <w:tcW w:w="850" w:type="dxa"/>
            <w:tcBorders>
              <w:top w:val="single" w:sz="6" w:space="0" w:color="auto"/>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55 113</w:t>
            </w:r>
          </w:p>
        </w:tc>
      </w:tr>
      <w:tr w:rsidR="002C39A3" w:rsidRPr="005353A5" w:rsidTr="00361FA9">
        <w:tc>
          <w:tcPr>
            <w:tcW w:w="4365"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Net assets</w:t>
            </w:r>
          </w:p>
        </w:tc>
        <w:tc>
          <w:tcPr>
            <w:tcW w:w="850" w:type="dxa"/>
            <w:gridSpan w:val="2"/>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(49 866)</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(48 751)</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(51 725)</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8"/>
                <w:lang w:eastAsia="en-AU"/>
              </w:rPr>
            </w:pPr>
            <w:r w:rsidRPr="005353A5">
              <w:rPr>
                <w:rFonts w:ascii="Calibri" w:eastAsiaTheme="minorEastAsia" w:hAnsi="Calibri" w:cs="Calibri"/>
                <w:b/>
                <w:bCs/>
                <w:color w:val="000000"/>
                <w:sz w:val="18"/>
                <w:lang w:eastAsia="en-AU"/>
              </w:rPr>
              <w:t>(49 422)</w:t>
            </w:r>
          </w:p>
        </w:tc>
      </w:tr>
    </w:tbl>
    <w:p w:rsidR="002C39A3" w:rsidRDefault="002C39A3" w:rsidP="00361FA9">
      <w:pPr>
        <w:pStyle w:val="Source"/>
        <w:rPr>
          <w:rFonts w:eastAsiaTheme="minorHAnsi"/>
        </w:rPr>
      </w:pPr>
      <w:r w:rsidRPr="006D5F95">
        <w:rPr>
          <w:rFonts w:eastAsiaTheme="minorHAnsi"/>
        </w:rPr>
        <w:t>Source: Department of Treasury and Finance</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3.7.6:</w:t>
      </w:r>
      <w:r>
        <w:rPr>
          <w:rFonts w:eastAsiaTheme="minorHAnsi"/>
        </w:rPr>
        <w:tab/>
        <w:t>Payments made on behalf of the State</w:t>
      </w:r>
    </w:p>
    <w:p w:rsidR="002C39A3" w:rsidRPr="005353A5" w:rsidRDefault="002C39A3" w:rsidP="00361FA9">
      <w:pPr>
        <w:pStyle w:val="million"/>
        <w:rPr>
          <w:rFonts w:eastAsiaTheme="minorHAnsi"/>
          <w:b/>
          <w:bCs/>
          <w:lang w:val="en-US"/>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5216"/>
        <w:gridCol w:w="850"/>
        <w:gridCol w:w="850"/>
        <w:gridCol w:w="850"/>
      </w:tblGrid>
      <w:tr w:rsidR="005B5183" w:rsidRPr="005353A5" w:rsidTr="00C558E9">
        <w:trPr>
          <w:trHeight w:val="464"/>
          <w:tblHeader/>
        </w:trPr>
        <w:tc>
          <w:tcPr>
            <w:tcW w:w="5216" w:type="dxa"/>
            <w:tcBorders>
              <w:left w:val="nil"/>
              <w:right w:val="nil"/>
            </w:tcBorders>
            <w:shd w:val="solid" w:color="000000" w:fill="auto"/>
            <w:vAlign w:val="bottom"/>
          </w:tcPr>
          <w:p w:rsidR="005B5183" w:rsidRPr="005353A5" w:rsidRDefault="005B5183" w:rsidP="00361FA9">
            <w:pPr>
              <w:autoSpaceDE w:val="0"/>
              <w:autoSpaceDN w:val="0"/>
              <w:adjustRightInd w:val="0"/>
              <w:spacing w:after="0"/>
              <w:rPr>
                <w:rFonts w:eastAsiaTheme="minorEastAsia" w:cs="Calibri"/>
                <w:iCs/>
                <w:color w:val="FFFFFF"/>
                <w:sz w:val="19"/>
                <w:lang w:eastAsia="en-AU"/>
              </w:rPr>
            </w:pPr>
            <w:r w:rsidRPr="005353A5">
              <w:rPr>
                <w:rFonts w:ascii="Calibri" w:eastAsiaTheme="minorEastAsia" w:hAnsi="Calibri" w:cs="Calibri"/>
                <w:i/>
                <w:iCs/>
                <w:color w:val="FFFFFF"/>
                <w:sz w:val="19"/>
                <w:lang w:eastAsia="en-AU"/>
              </w:rPr>
              <w:t>Accounts</w:t>
            </w:r>
          </w:p>
        </w:tc>
        <w:tc>
          <w:tcPr>
            <w:tcW w:w="850" w:type="dxa"/>
            <w:tcBorders>
              <w:left w:val="nil"/>
              <w:right w:val="nil"/>
            </w:tcBorders>
            <w:shd w:val="solid" w:color="000000" w:fill="auto"/>
            <w:vAlign w:val="bottom"/>
          </w:tcPr>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2015-16</w:t>
            </w:r>
          </w:p>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2015-16</w:t>
            </w:r>
          </w:p>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2016-17</w:t>
            </w:r>
          </w:p>
          <w:p w:rsidR="005B5183" w:rsidRPr="005353A5"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353A5">
              <w:rPr>
                <w:rFonts w:ascii="Calibri" w:eastAsiaTheme="minorEastAsia" w:hAnsi="Calibri" w:cs="Calibri"/>
                <w:i/>
                <w:iCs/>
                <w:color w:val="FFFFFF"/>
                <w:sz w:val="19"/>
                <w:lang w:eastAsia="en-AU"/>
              </w:rPr>
              <w:t>budget</w:t>
            </w:r>
          </w:p>
        </w:tc>
      </w:tr>
      <w:tr w:rsidR="002C39A3" w:rsidRPr="005353A5" w:rsidTr="00361FA9">
        <w:tc>
          <w:tcPr>
            <w:tcW w:w="5216"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Superannuation and pension payments</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16</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16</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16</w:t>
            </w:r>
          </w:p>
        </w:tc>
      </w:tr>
      <w:tr w:rsidR="002C39A3" w:rsidRPr="005353A5" w:rsidTr="00361FA9">
        <w:tc>
          <w:tcPr>
            <w:tcW w:w="5216"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Interest</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1 258</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1 288</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1 519</w:t>
            </w:r>
          </w:p>
        </w:tc>
      </w:tr>
      <w:tr w:rsidR="002C39A3" w:rsidRPr="005353A5" w:rsidTr="00361FA9">
        <w:tc>
          <w:tcPr>
            <w:tcW w:w="5216"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Current and capital grants</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374</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276</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409</w:t>
            </w:r>
          </w:p>
        </w:tc>
      </w:tr>
      <w:tr w:rsidR="002C39A3" w:rsidRPr="005353A5" w:rsidTr="00361FA9">
        <w:tc>
          <w:tcPr>
            <w:tcW w:w="5216" w:type="dxa"/>
            <w:tcBorders>
              <w:top w:val="nil"/>
              <w:left w:val="nil"/>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 xml:space="preserve">Operating supplies and consumables </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260</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154</w:t>
            </w:r>
          </w:p>
        </w:tc>
        <w:tc>
          <w:tcPr>
            <w:tcW w:w="850" w:type="dxa"/>
            <w:tcBorders>
              <w:top w:val="nil"/>
              <w:left w:val="nil"/>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358</w:t>
            </w:r>
          </w:p>
        </w:tc>
      </w:tr>
      <w:tr w:rsidR="002C39A3" w:rsidRPr="005353A5" w:rsidTr="00361FA9">
        <w:tc>
          <w:tcPr>
            <w:tcW w:w="5216"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Other</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862</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419</w:t>
            </w:r>
          </w:p>
        </w:tc>
        <w:tc>
          <w:tcPr>
            <w:tcW w:w="850" w:type="dxa"/>
            <w:tcBorders>
              <w:top w:val="nil"/>
              <w:left w:val="nil"/>
              <w:bottom w:val="single" w:sz="6"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5353A5">
              <w:rPr>
                <w:rFonts w:ascii="Calibri" w:eastAsiaTheme="minorEastAsia" w:hAnsi="Calibri" w:cs="Calibri"/>
                <w:color w:val="000000"/>
                <w:sz w:val="19"/>
                <w:lang w:eastAsia="en-AU"/>
              </w:rPr>
              <w:t>4 511</w:t>
            </w:r>
          </w:p>
        </w:tc>
      </w:tr>
      <w:tr w:rsidR="002C39A3" w:rsidRPr="005353A5" w:rsidTr="00361FA9">
        <w:tc>
          <w:tcPr>
            <w:tcW w:w="5216"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Total</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2 770</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2 153</w:t>
            </w:r>
          </w:p>
        </w:tc>
        <w:tc>
          <w:tcPr>
            <w:tcW w:w="850" w:type="dxa"/>
            <w:tcBorders>
              <w:top w:val="single" w:sz="6" w:space="0" w:color="auto"/>
              <w:left w:val="nil"/>
              <w:bottom w:val="single" w:sz="12" w:space="0" w:color="auto"/>
              <w:right w:val="nil"/>
            </w:tcBorders>
            <w:shd w:val="clear" w:color="auto" w:fill="FFFFFF"/>
          </w:tcPr>
          <w:p w:rsidR="002C39A3" w:rsidRPr="005353A5"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5353A5">
              <w:rPr>
                <w:rFonts w:ascii="Calibri" w:eastAsiaTheme="minorEastAsia" w:hAnsi="Calibri" w:cs="Calibri"/>
                <w:b/>
                <w:bCs/>
                <w:color w:val="000000"/>
                <w:sz w:val="19"/>
                <w:lang w:eastAsia="en-AU"/>
              </w:rPr>
              <w:t>6 812</w:t>
            </w:r>
          </w:p>
        </w:tc>
      </w:tr>
    </w:tbl>
    <w:p w:rsidR="002C39A3" w:rsidRDefault="002C39A3" w:rsidP="00361FA9">
      <w:pPr>
        <w:pStyle w:val="Source"/>
        <w:rPr>
          <w:rFonts w:eastAsiaTheme="minorHAnsi"/>
        </w:rPr>
      </w:pPr>
      <w:r w:rsidRPr="006D5F95">
        <w:rPr>
          <w:rFonts w:eastAsiaTheme="minorHAnsi"/>
        </w:rPr>
        <w:t>Source: Department of Treasury and Finance</w:t>
      </w:r>
    </w:p>
    <w:p w:rsidR="002C39A3" w:rsidRDefault="002C39A3" w:rsidP="00361FA9">
      <w:pPr>
        <w:rPr>
          <w:rFonts w:eastAsiaTheme="minorHAnsi"/>
        </w:rPr>
      </w:pPr>
    </w:p>
    <w:p w:rsidR="002C39A3" w:rsidRDefault="002C39A3" w:rsidP="00361FA9">
      <w:pPr>
        <w:rPr>
          <w:rFonts w:eastAsiaTheme="minorHAnsi"/>
        </w:rPr>
        <w:sectPr w:rsidR="002C39A3" w:rsidSect="00361FA9">
          <w:footerReference w:type="even" r:id="rId48"/>
          <w:footerReference w:type="default" r:id="rId49"/>
          <w:pgSz w:w="9979" w:h="14181" w:code="138"/>
          <w:pgMar w:top="1140" w:right="1140" w:bottom="1140" w:left="1140" w:header="720" w:footer="431" w:gutter="0"/>
          <w:cols w:space="708"/>
          <w:docGrid w:linePitch="360"/>
        </w:sectPr>
      </w:pPr>
    </w:p>
    <w:p w:rsidR="002C39A3" w:rsidRDefault="002C39A3" w:rsidP="00D72FB7">
      <w:pPr>
        <w:pStyle w:val="Heading1"/>
        <w:rPr>
          <w:rFonts w:eastAsiaTheme="minorHAnsi"/>
        </w:rPr>
      </w:pPr>
      <w:bookmarkStart w:id="45" w:name="_Toc449116203"/>
      <w:r>
        <w:rPr>
          <w:rFonts w:eastAsiaTheme="minorHAnsi"/>
        </w:rPr>
        <w:t>Parliament (including Victorian Auditor</w:t>
      </w:r>
      <w:r>
        <w:rPr>
          <w:rFonts w:eastAsiaTheme="minorHAnsi"/>
        </w:rPr>
        <w:noBreakHyphen/>
        <w:t>General</w:t>
      </w:r>
      <w:r w:rsidR="0097550F">
        <w:rPr>
          <w:rFonts w:eastAsiaTheme="minorHAnsi"/>
        </w:rPr>
        <w:t>’</w:t>
      </w:r>
      <w:r>
        <w:rPr>
          <w:rFonts w:eastAsiaTheme="minorHAnsi"/>
        </w:rPr>
        <w:t xml:space="preserve">s </w:t>
      </w:r>
      <w:r w:rsidR="00D72FB7" w:rsidRPr="00D72FB7">
        <w:rPr>
          <w:rFonts w:eastAsiaTheme="minorHAnsi"/>
        </w:rPr>
        <w:t>Office</w:t>
      </w:r>
      <w:r>
        <w:rPr>
          <w:rFonts w:eastAsiaTheme="minorHAnsi"/>
        </w:rPr>
        <w:t>)</w:t>
      </w:r>
      <w:bookmarkEnd w:id="45"/>
    </w:p>
    <w:p w:rsidR="002C39A3" w:rsidRDefault="002C39A3" w:rsidP="00361FA9">
      <w:pPr>
        <w:pStyle w:val="Heading2"/>
        <w:rPr>
          <w:rFonts w:eastAsiaTheme="minorHAnsi"/>
        </w:rPr>
      </w:pPr>
      <w:r>
        <w:rPr>
          <w:rFonts w:eastAsiaTheme="minorHAnsi"/>
        </w:rPr>
        <w:t>Operating performance</w:t>
      </w:r>
    </w:p>
    <w:p w:rsidR="002C39A3" w:rsidRDefault="002C39A3" w:rsidP="00361FA9">
      <w:r>
        <w:t>Parliament and the Victorian Auditor</w:t>
      </w:r>
      <w:r>
        <w:noBreakHyphen/>
        <w:t>General</w:t>
      </w:r>
      <w:r w:rsidR="0097550F">
        <w:t>’</w:t>
      </w:r>
      <w:r>
        <w:t>s Office combined are estimating to have a balanced net result from transactions in 2016</w:t>
      </w:r>
      <w:r>
        <w:noBreakHyphen/>
        <w:t>17.</w:t>
      </w:r>
    </w:p>
    <w:p w:rsidR="002C39A3" w:rsidRDefault="002C39A3" w:rsidP="00361FA9">
      <w:r>
        <w:t>The combined operating statement shows an increase in total income of $19 million (10 per cent) from the 2015</w:t>
      </w:r>
      <w:r>
        <w:noBreakHyphen/>
        <w:t>16 revised budget to the 2016</w:t>
      </w:r>
      <w:r>
        <w:noBreakHyphen/>
        <w:t>17 budget. The variation</w:t>
      </w:r>
      <w:r w:rsidRPr="001962C9">
        <w:t xml:space="preserve"> in annual appropriation revenue is </w:t>
      </w:r>
      <w:r>
        <w:t xml:space="preserve">primarily </w:t>
      </w:r>
      <w:r w:rsidRPr="001962C9">
        <w:t>due to</w:t>
      </w:r>
      <w:r>
        <w:t xml:space="preserve"> estimated carryover of Parliamentary Services Department appropriation funding from 2015</w:t>
      </w:r>
      <w:r>
        <w:noBreakHyphen/>
        <w:t>16 to 2016</w:t>
      </w:r>
      <w:r>
        <w:noBreakHyphen/>
        <w:t xml:space="preserve">17 and initiatives as part of the </w:t>
      </w:r>
      <w:r w:rsidRPr="00615AC3">
        <w:rPr>
          <w:i/>
        </w:rPr>
        <w:t>2016</w:t>
      </w:r>
      <w:r w:rsidRPr="00615AC3">
        <w:rPr>
          <w:i/>
        </w:rPr>
        <w:noBreakHyphen/>
        <w:t>17 Budget</w:t>
      </w:r>
      <w:r>
        <w:t xml:space="preserve"> including:</w:t>
      </w:r>
    </w:p>
    <w:p w:rsidR="002C39A3" w:rsidRPr="00D82678" w:rsidRDefault="002C39A3" w:rsidP="00361FA9">
      <w:pPr>
        <w:pStyle w:val="BulletText"/>
      </w:pPr>
      <w:r w:rsidRPr="00D82678">
        <w:t>Legislative Council Committees;</w:t>
      </w:r>
    </w:p>
    <w:p w:rsidR="002C39A3" w:rsidRPr="00D82678" w:rsidRDefault="002C39A3" w:rsidP="00361FA9">
      <w:pPr>
        <w:pStyle w:val="BulletText"/>
      </w:pPr>
      <w:r w:rsidRPr="00D82678">
        <w:t>Improve staff leave arrangements at Electorate Offices;</w:t>
      </w:r>
    </w:p>
    <w:p w:rsidR="002C39A3" w:rsidRPr="00D82678" w:rsidRDefault="002C39A3" w:rsidP="00361FA9">
      <w:pPr>
        <w:pStyle w:val="BulletText"/>
      </w:pPr>
      <w:r w:rsidRPr="00D82678">
        <w:t>Performance Audit of Victorian Auditor</w:t>
      </w:r>
      <w:r w:rsidRPr="00D82678">
        <w:noBreakHyphen/>
        <w:t>General</w:t>
      </w:r>
      <w:r w:rsidR="0097550F">
        <w:t>’</w:t>
      </w:r>
      <w:r w:rsidRPr="00D82678">
        <w:t>s Office;</w:t>
      </w:r>
    </w:p>
    <w:p w:rsidR="002C39A3" w:rsidRPr="00D82678" w:rsidRDefault="002C39A3" w:rsidP="00361FA9">
      <w:pPr>
        <w:pStyle w:val="BulletText"/>
      </w:pPr>
      <w:r w:rsidRPr="00D82678">
        <w:t>Increase in Members of Parliament Electorate Office and Communication budgets; and</w:t>
      </w:r>
    </w:p>
    <w:p w:rsidR="002C39A3" w:rsidRPr="00D82678" w:rsidRDefault="002C39A3" w:rsidP="00361FA9">
      <w:pPr>
        <w:pStyle w:val="BulletText"/>
      </w:pPr>
      <w:r w:rsidRPr="00D82678">
        <w:t>The Parliamentary Budget Office.</w:t>
      </w:r>
    </w:p>
    <w:p w:rsidR="002C39A3" w:rsidRDefault="002C39A3" w:rsidP="00361FA9">
      <w:pPr>
        <w:pStyle w:val="Heading2"/>
        <w:rPr>
          <w:rFonts w:eastAsiaTheme="minorHAnsi"/>
        </w:rPr>
      </w:pPr>
      <w:r>
        <w:rPr>
          <w:rFonts w:eastAsiaTheme="minorHAnsi"/>
        </w:rPr>
        <w:t>Balance sheet</w:t>
      </w:r>
    </w:p>
    <w:p w:rsidR="002C39A3" w:rsidRPr="00ED08A3" w:rsidRDefault="002C39A3" w:rsidP="00361FA9">
      <w:pPr>
        <w:rPr>
          <w:rFonts w:eastAsiaTheme="minorHAnsi"/>
        </w:rPr>
      </w:pPr>
      <w:r>
        <w:t xml:space="preserve">The value of </w:t>
      </w:r>
      <w:r w:rsidRPr="001F182B">
        <w:t>property</w:t>
      </w:r>
      <w:r>
        <w:t>,</w:t>
      </w:r>
      <w:r w:rsidRPr="001F182B">
        <w:t xml:space="preserve"> plant and equipment is expected to increase in</w:t>
      </w:r>
      <w:r>
        <w:t xml:space="preserve"> the 2016</w:t>
      </w:r>
      <w:r>
        <w:noBreakHyphen/>
      </w:r>
      <w:r w:rsidRPr="001F182B">
        <w:t>17</w:t>
      </w:r>
      <w:r>
        <w:t> budget</w:t>
      </w:r>
      <w:r w:rsidRPr="001F182B">
        <w:t xml:space="preserve"> compared to </w:t>
      </w:r>
      <w:r>
        <w:t xml:space="preserve">the </w:t>
      </w:r>
      <w:r w:rsidRPr="001F182B">
        <w:t>2015</w:t>
      </w:r>
      <w:r>
        <w:noBreakHyphen/>
      </w:r>
      <w:r w:rsidRPr="001F182B">
        <w:t xml:space="preserve">16 </w:t>
      </w:r>
      <w:r>
        <w:t xml:space="preserve">revised budget due to Remediation – Office Accommodation project at Parliamentary precinct approved in the </w:t>
      </w:r>
      <w:r w:rsidRPr="00615AC3">
        <w:rPr>
          <w:i/>
        </w:rPr>
        <w:t>2016</w:t>
      </w:r>
      <w:r w:rsidRPr="00615AC3">
        <w:rPr>
          <w:i/>
        </w:rPr>
        <w:noBreakHyphen/>
        <w:t>17 Budget</w:t>
      </w:r>
      <w:r>
        <w:t>.</w:t>
      </w:r>
    </w:p>
    <w:p w:rsidR="002C39A3" w:rsidRDefault="002C39A3" w:rsidP="00361FA9">
      <w:pPr>
        <w:pStyle w:val="Heading2"/>
        <w:rPr>
          <w:rFonts w:eastAsiaTheme="minorHAnsi"/>
        </w:rPr>
      </w:pPr>
      <w:r>
        <w:rPr>
          <w:rFonts w:eastAsiaTheme="minorHAnsi"/>
        </w:rPr>
        <w:t>Investing and financing</w:t>
      </w:r>
    </w:p>
    <w:p w:rsidR="002C39A3" w:rsidRDefault="002C39A3" w:rsidP="00361FA9">
      <w:r>
        <w:t>Cash flow from investing activities are consistent with the trends discussed in the Balance sheet above.</w:t>
      </w:r>
    </w:p>
    <w:p w:rsidR="002C39A3" w:rsidRDefault="002C39A3" w:rsidP="00361FA9">
      <w:pPr>
        <w:pStyle w:val="Heading2"/>
        <w:rPr>
          <w:rFonts w:eastAsiaTheme="minorHAnsi"/>
        </w:rPr>
      </w:pPr>
      <w:r w:rsidRPr="00BA24F5">
        <w:rPr>
          <w:rFonts w:eastAsiaTheme="minorHAnsi"/>
        </w:rPr>
        <w:t>Administered items statement</w:t>
      </w:r>
    </w:p>
    <w:p w:rsidR="002C39A3" w:rsidRDefault="002C39A3" w:rsidP="00361FA9">
      <w:r w:rsidRPr="00BA24F5">
        <w:t>No significant movements.</w:t>
      </w:r>
    </w:p>
    <w:p w:rsidR="002C39A3" w:rsidRPr="00BA24F5" w:rsidRDefault="002C39A3" w:rsidP="00361FA9">
      <w:pPr>
        <w:rPr>
          <w:rFonts w:ascii="Calibri" w:eastAsiaTheme="minorHAnsi" w:hAnsi="Calibri"/>
        </w:rPr>
      </w:pPr>
      <w:r w:rsidRPr="00BA24F5">
        <w:rPr>
          <w:rFonts w:eastAsiaTheme="minorHAnsi"/>
        </w:rPr>
        <w:br w:type="page"/>
      </w:r>
    </w:p>
    <w:p w:rsidR="002C39A3" w:rsidRDefault="002C39A3" w:rsidP="00361FA9">
      <w:pPr>
        <w:pStyle w:val="Tableheading"/>
        <w:rPr>
          <w:rFonts w:eastAsiaTheme="minorHAnsi"/>
        </w:rPr>
      </w:pPr>
      <w:r>
        <w:rPr>
          <w:rFonts w:eastAsiaTheme="minorHAnsi"/>
        </w:rPr>
        <w:t>Table 3.8.1:</w:t>
      </w:r>
      <w:r>
        <w:rPr>
          <w:rFonts w:eastAsiaTheme="minorHAnsi"/>
        </w:rPr>
        <w:tab/>
        <w:t>Comprehensive operating statement</w:t>
      </w:r>
    </w:p>
    <w:p w:rsidR="002C39A3" w:rsidRPr="00AC6103" w:rsidRDefault="002C39A3" w:rsidP="00361FA9">
      <w:pPr>
        <w:pStyle w:val="million"/>
        <w:rPr>
          <w:rFonts w:eastAsiaTheme="minorHAnsi"/>
          <w:b/>
          <w:bCs/>
          <w:sz w:val="15"/>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5B5183" w:rsidRPr="00AC6103" w:rsidTr="00C558E9">
        <w:trPr>
          <w:cantSplit/>
          <w:trHeight w:val="464"/>
          <w:tblHeader/>
        </w:trPr>
        <w:tc>
          <w:tcPr>
            <w:tcW w:w="4365" w:type="dxa"/>
            <w:tcBorders>
              <w:left w:val="nil"/>
              <w:right w:val="nil"/>
            </w:tcBorders>
            <w:shd w:val="solid" w:color="000000" w:fill="auto"/>
            <w:vAlign w:val="bottom"/>
          </w:tcPr>
          <w:p w:rsidR="005B5183" w:rsidRPr="00AC6103" w:rsidRDefault="005B5183" w:rsidP="005B5183">
            <w:pPr>
              <w:pStyle w:val="Source"/>
              <w:spacing w:after="0"/>
              <w:rPr>
                <w:rFonts w:eastAsiaTheme="minorEastAsia" w:cs="Calibri"/>
                <w:color w:val="FFFFFF"/>
                <w:sz w:val="19"/>
                <w:lang w:eastAsia="en-AU"/>
              </w:rPr>
            </w:pPr>
          </w:p>
        </w:tc>
        <w:tc>
          <w:tcPr>
            <w:tcW w:w="850" w:type="dxa"/>
            <w:tcBorders>
              <w:left w:val="nil"/>
              <w:right w:val="nil"/>
            </w:tcBorders>
            <w:shd w:val="solid" w:color="000000" w:fill="auto"/>
            <w:vAlign w:val="bottom"/>
          </w:tcPr>
          <w:p w:rsidR="005B5183" w:rsidRPr="00AC6103"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2014-15</w:t>
            </w:r>
          </w:p>
          <w:p w:rsidR="005B5183" w:rsidRPr="00AC6103"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actual</w:t>
            </w:r>
          </w:p>
        </w:tc>
        <w:tc>
          <w:tcPr>
            <w:tcW w:w="850" w:type="dxa"/>
            <w:tcBorders>
              <w:left w:val="nil"/>
              <w:right w:val="nil"/>
            </w:tcBorders>
            <w:shd w:val="solid" w:color="000000" w:fill="auto"/>
            <w:vAlign w:val="bottom"/>
          </w:tcPr>
          <w:p w:rsidR="005B5183" w:rsidRPr="00AC6103"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5B5183" w:rsidRPr="00AC6103"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5B5183" w:rsidRPr="00AC6103"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5B5183" w:rsidRPr="00AC6103"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5B5183" w:rsidRPr="00AC6103"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2016-17</w:t>
            </w:r>
          </w:p>
          <w:p w:rsidR="005B5183" w:rsidRPr="00AC6103"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r>
      <w:tr w:rsidR="005B5183" w:rsidRPr="00AC6103" w:rsidTr="00C558E9">
        <w:trPr>
          <w:cantSplit/>
        </w:trPr>
        <w:tc>
          <w:tcPr>
            <w:tcW w:w="7765" w:type="dxa"/>
            <w:gridSpan w:val="5"/>
            <w:tcBorders>
              <w:top w:val="single" w:sz="6" w:space="0" w:color="auto"/>
              <w:left w:val="nil"/>
              <w:right w:val="nil"/>
            </w:tcBorders>
            <w:shd w:val="clear" w:color="auto" w:fill="FFFFFF"/>
          </w:tcPr>
          <w:p w:rsidR="005B5183" w:rsidRPr="00AC6103" w:rsidRDefault="005B5183" w:rsidP="005B5183">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Net result from continuing operatio</w:t>
            </w:r>
            <w:r>
              <w:rPr>
                <w:rFonts w:ascii="Calibri" w:eastAsiaTheme="minorEastAsia" w:hAnsi="Calibri" w:cs="Calibri"/>
                <w:b/>
                <w:bCs/>
                <w:color w:val="000000"/>
                <w:sz w:val="19"/>
                <w:lang w:eastAsia="en-AU"/>
              </w:rPr>
              <w:t>ns</w:t>
            </w:r>
          </w:p>
        </w:tc>
      </w:tr>
      <w:tr w:rsidR="005B5183" w:rsidRPr="00AC6103" w:rsidTr="00C558E9">
        <w:trPr>
          <w:cantSplit/>
        </w:trPr>
        <w:tc>
          <w:tcPr>
            <w:tcW w:w="7765" w:type="dxa"/>
            <w:gridSpan w:val="5"/>
            <w:tcBorders>
              <w:top w:val="nil"/>
              <w:left w:val="nil"/>
              <w:right w:val="nil"/>
            </w:tcBorders>
            <w:shd w:val="clear" w:color="auto" w:fill="FFFFFF"/>
          </w:tcPr>
          <w:p w:rsidR="005B5183" w:rsidRPr="00AC6103" w:rsidRDefault="005B5183" w:rsidP="005B5183">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Income from transactions</w:t>
            </w:r>
          </w:p>
        </w:tc>
      </w:tr>
      <w:tr w:rsidR="002C39A3" w:rsidRPr="00AC6103" w:rsidTr="00361FA9">
        <w:trPr>
          <w:cantSplit/>
        </w:trPr>
        <w:tc>
          <w:tcPr>
            <w:tcW w:w="4365" w:type="dxa"/>
            <w:tcBorders>
              <w:top w:val="nil"/>
              <w:left w:val="nil"/>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Output appropriations</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140</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147</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142</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160</w:t>
            </w:r>
          </w:p>
        </w:tc>
      </w:tr>
      <w:tr w:rsidR="002C39A3" w:rsidRPr="00AC6103" w:rsidTr="00361FA9">
        <w:trPr>
          <w:cantSplit/>
        </w:trPr>
        <w:tc>
          <w:tcPr>
            <w:tcW w:w="4365" w:type="dxa"/>
            <w:tcBorders>
              <w:top w:val="nil"/>
              <w:left w:val="nil"/>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Special appropriations</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29</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39</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39</w:t>
            </w:r>
          </w:p>
        </w:tc>
        <w:tc>
          <w:tcPr>
            <w:tcW w:w="850" w:type="dxa"/>
            <w:tcBorders>
              <w:top w:val="nil"/>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40</w:t>
            </w:r>
          </w:p>
        </w:tc>
      </w:tr>
      <w:tr w:rsidR="002C39A3" w:rsidRPr="00AC6103" w:rsidTr="00361FA9">
        <w:trPr>
          <w:cantSplit/>
        </w:trPr>
        <w:tc>
          <w:tcPr>
            <w:tcW w:w="4365" w:type="dxa"/>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Sale of goods and services</w:t>
            </w:r>
          </w:p>
        </w:tc>
        <w:tc>
          <w:tcPr>
            <w:tcW w:w="850" w:type="dxa"/>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850" w:type="dxa"/>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rPr>
          <w:cantSplit/>
        </w:trPr>
        <w:tc>
          <w:tcPr>
            <w:tcW w:w="4365" w:type="dxa"/>
            <w:tcBorders>
              <w:top w:val="single" w:sz="6" w:space="0" w:color="auto"/>
              <w:left w:val="nil"/>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income from transactions</w:t>
            </w:r>
          </w:p>
        </w:tc>
        <w:tc>
          <w:tcPr>
            <w:tcW w:w="850" w:type="dxa"/>
            <w:tcBorders>
              <w:top w:val="single" w:sz="6" w:space="0" w:color="auto"/>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171</w:t>
            </w:r>
          </w:p>
        </w:tc>
        <w:tc>
          <w:tcPr>
            <w:tcW w:w="850" w:type="dxa"/>
            <w:tcBorders>
              <w:top w:val="single" w:sz="6" w:space="0" w:color="auto"/>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186</w:t>
            </w:r>
          </w:p>
        </w:tc>
        <w:tc>
          <w:tcPr>
            <w:tcW w:w="850" w:type="dxa"/>
            <w:tcBorders>
              <w:top w:val="single" w:sz="6" w:space="0" w:color="auto"/>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181</w:t>
            </w:r>
          </w:p>
        </w:tc>
        <w:tc>
          <w:tcPr>
            <w:tcW w:w="850" w:type="dxa"/>
            <w:tcBorders>
              <w:top w:val="single" w:sz="6" w:space="0" w:color="auto"/>
              <w:left w:val="nil"/>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200</w:t>
            </w:r>
          </w:p>
        </w:tc>
      </w:tr>
      <w:tr w:rsidR="005B5183" w:rsidRPr="00AC6103" w:rsidTr="00C558E9">
        <w:trPr>
          <w:cantSplit/>
        </w:trPr>
        <w:tc>
          <w:tcPr>
            <w:tcW w:w="7765" w:type="dxa"/>
            <w:gridSpan w:val="5"/>
            <w:tcBorders>
              <w:top w:val="nil"/>
              <w:left w:val="nil"/>
              <w:right w:val="nil"/>
            </w:tcBorders>
            <w:shd w:val="clear" w:color="auto" w:fill="FFFFFF"/>
          </w:tcPr>
          <w:p w:rsidR="005B5183" w:rsidRPr="00AC6103" w:rsidRDefault="005B5183" w:rsidP="005B5183">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Expenses from transactions</w:t>
            </w:r>
          </w:p>
        </w:tc>
      </w:tr>
      <w:tr w:rsidR="002C39A3" w:rsidRPr="00AC6103" w:rsidTr="00361FA9">
        <w:trPr>
          <w:cantSplit/>
        </w:trPr>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Employee benefits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97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116</w:t>
            </w:r>
          </w:p>
        </w:tc>
      </w:tr>
      <w:tr w:rsidR="002C39A3" w:rsidRPr="00AC6103" w:rsidTr="00361FA9">
        <w:trPr>
          <w:cantSplit/>
        </w:trPr>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 xml:space="preserve">Depreciation </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15</w:t>
            </w:r>
          </w:p>
        </w:tc>
      </w:tr>
      <w:tr w:rsidR="002C39A3" w:rsidRPr="00AC6103" w:rsidTr="00361FA9">
        <w:trPr>
          <w:cantSplit/>
        </w:trPr>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Interest expense</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w:t>
            </w:r>
          </w:p>
        </w:tc>
      </w:tr>
      <w:tr w:rsidR="002C39A3" w:rsidRPr="00AC6103" w:rsidTr="00361FA9">
        <w:trPr>
          <w:cantSplit/>
        </w:trPr>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Capital asset charge</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w:t>
            </w:r>
          </w:p>
        </w:tc>
      </w:tr>
      <w:tr w:rsidR="002C39A3" w:rsidRPr="00AC6103" w:rsidTr="00361FA9">
        <w:trPr>
          <w:cantSplit/>
        </w:trPr>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operating expenses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52</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59</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52</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66</w:t>
            </w:r>
          </w:p>
        </w:tc>
      </w:tr>
      <w:tr w:rsidR="002C39A3" w:rsidRPr="00AC6103" w:rsidTr="00361FA9">
        <w:trPr>
          <w:cantSplit/>
        </w:trPr>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expenses from transactions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166</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187</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182</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200</w:t>
            </w:r>
          </w:p>
        </w:tc>
      </w:tr>
      <w:tr w:rsidR="002C39A3" w:rsidRPr="00AC6103" w:rsidTr="00361FA9">
        <w:trPr>
          <w:cantSplit/>
        </w:trPr>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result from transactions (net operating balance)</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w:t>
            </w:r>
          </w:p>
        </w:tc>
      </w:tr>
      <w:tr w:rsidR="005B5183" w:rsidRPr="00AC6103" w:rsidTr="00C558E9">
        <w:trPr>
          <w:cantSplit/>
        </w:trPr>
        <w:tc>
          <w:tcPr>
            <w:tcW w:w="7765" w:type="dxa"/>
            <w:gridSpan w:val="5"/>
            <w:tcBorders>
              <w:top w:val="single" w:sz="12" w:space="0" w:color="auto"/>
              <w:left w:val="nil"/>
              <w:bottom w:val="single" w:sz="6" w:space="0" w:color="auto"/>
              <w:right w:val="nil"/>
            </w:tcBorders>
            <w:shd w:val="clear" w:color="auto" w:fill="FFFFFF"/>
          </w:tcPr>
          <w:p w:rsidR="005B5183" w:rsidRPr="00AC6103" w:rsidRDefault="005B5183" w:rsidP="005B5183">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 xml:space="preserve">Other economic flows included in net result </w:t>
            </w:r>
          </w:p>
        </w:tc>
      </w:tr>
      <w:tr w:rsidR="002C39A3" w:rsidRPr="00AC6103" w:rsidTr="00361FA9">
        <w:trPr>
          <w:cantSplit/>
        </w:trPr>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other economic flows included in net result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rPr>
          <w:cantSplit/>
        </w:trPr>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result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w:t>
            </w:r>
          </w:p>
        </w:tc>
      </w:tr>
      <w:tr w:rsidR="005B5183" w:rsidRPr="00AC6103" w:rsidTr="00C558E9">
        <w:trPr>
          <w:cantSplit/>
        </w:trPr>
        <w:tc>
          <w:tcPr>
            <w:tcW w:w="7765" w:type="dxa"/>
            <w:gridSpan w:val="5"/>
            <w:tcBorders>
              <w:top w:val="single" w:sz="6" w:space="0" w:color="auto"/>
              <w:left w:val="nil"/>
              <w:bottom w:val="single" w:sz="6" w:space="0" w:color="auto"/>
              <w:right w:val="nil"/>
            </w:tcBorders>
            <w:shd w:val="clear" w:color="auto" w:fill="FFFFFF"/>
          </w:tcPr>
          <w:p w:rsidR="005B5183" w:rsidRPr="00AC6103" w:rsidRDefault="005B5183" w:rsidP="005B5183">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Other economic flows – other comprehensive income</w:t>
            </w:r>
          </w:p>
        </w:tc>
      </w:tr>
      <w:tr w:rsidR="002C39A3" w:rsidRPr="00AC6103" w:rsidTr="00361FA9">
        <w:trPr>
          <w:cantSplit/>
        </w:trPr>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 xml:space="preserve">Total other economic flows – </w:t>
            </w:r>
            <w:r w:rsidR="005B5183">
              <w:rPr>
                <w:rFonts w:ascii="Calibri" w:eastAsiaTheme="minorEastAsia" w:hAnsi="Calibri" w:cs="Calibri"/>
                <w:b/>
                <w:bCs/>
                <w:color w:val="000000"/>
                <w:sz w:val="19"/>
                <w:lang w:eastAsia="en-AU"/>
              </w:rPr>
              <w:br/>
            </w:r>
            <w:r w:rsidRPr="00AC6103">
              <w:rPr>
                <w:rFonts w:ascii="Calibri" w:eastAsiaTheme="minorEastAsia" w:hAnsi="Calibri" w:cs="Calibri"/>
                <w:b/>
                <w:bCs/>
                <w:color w:val="000000"/>
                <w:sz w:val="19"/>
                <w:lang w:eastAsia="en-AU"/>
              </w:rPr>
              <w:t>other comprehensive income</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rPr>
          <w:cantSplit/>
        </w:trPr>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Comprehensive result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w:t>
            </w:r>
          </w:p>
        </w:tc>
      </w:tr>
    </w:tbl>
    <w:p w:rsidR="002C39A3" w:rsidRDefault="002C39A3" w:rsidP="00361FA9">
      <w:pPr>
        <w:pStyle w:val="Source"/>
        <w:rPr>
          <w:rFonts w:eastAsiaTheme="minorHAnsi"/>
        </w:rPr>
      </w:pPr>
      <w:r w:rsidRPr="00B82AEA">
        <w:rPr>
          <w:rFonts w:eastAsiaTheme="minorHAnsi"/>
        </w:rPr>
        <w:t>Sources: Parliament of Victoria, Victorian Auditor</w:t>
      </w:r>
      <w:r>
        <w:rPr>
          <w:rFonts w:eastAsiaTheme="minorHAnsi"/>
        </w:rPr>
        <w:noBreakHyphen/>
      </w:r>
      <w:r w:rsidRPr="00B82AEA">
        <w:rPr>
          <w:rFonts w:eastAsiaTheme="minorHAnsi"/>
        </w:rPr>
        <w:t>General</w:t>
      </w:r>
      <w:r w:rsidR="0097550F">
        <w:rPr>
          <w:rFonts w:eastAsiaTheme="minorHAnsi"/>
        </w:rPr>
        <w:t>’</w:t>
      </w:r>
      <w:r w:rsidRPr="00B82AEA">
        <w:rPr>
          <w:rFonts w:eastAsiaTheme="minorHAnsi"/>
        </w:rPr>
        <w:t>s Office, and Department of Treasury and Finance</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3.8.2:</w:t>
      </w:r>
      <w:r>
        <w:rPr>
          <w:rFonts w:eastAsiaTheme="minorHAnsi"/>
        </w:rPr>
        <w:tab/>
        <w:t>Balance sheet</w:t>
      </w:r>
    </w:p>
    <w:p w:rsidR="002C39A3" w:rsidRPr="00592D93" w:rsidRDefault="002C39A3" w:rsidP="00361FA9">
      <w:pPr>
        <w:pStyle w:val="million"/>
        <w:rPr>
          <w:rFonts w:eastAsiaTheme="minorEastAsia"/>
          <w:b/>
          <w:bCs/>
          <w:lang w:val="en-US" w:eastAsia="en-AU"/>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1"/>
      </w:tblGrid>
      <w:tr w:rsidR="005B5183" w:rsidRPr="00592D93" w:rsidTr="00C558E9">
        <w:tc>
          <w:tcPr>
            <w:tcW w:w="4365" w:type="dxa"/>
            <w:tcBorders>
              <w:bottom w:val="nil"/>
              <w:right w:val="nil"/>
            </w:tcBorders>
            <w:shd w:val="solid" w:color="000000" w:fill="auto"/>
          </w:tcPr>
          <w:p w:rsidR="005B5183" w:rsidRPr="00592D93" w:rsidRDefault="005B5183" w:rsidP="00361FA9">
            <w:pPr>
              <w:pStyle w:val="Source"/>
              <w:spacing w:after="0"/>
              <w:rPr>
                <w:rFonts w:eastAsiaTheme="minorEastAsia" w:cs="Calibri"/>
                <w:iCs/>
                <w:color w:val="FFFFFF"/>
                <w:sz w:val="19"/>
                <w:lang w:eastAsia="en-AU"/>
              </w:rPr>
            </w:pPr>
            <w:r w:rsidRPr="00592D93">
              <w:rPr>
                <w:rFonts w:eastAsiaTheme="minorEastAsia" w:cs="Calibri"/>
                <w:iCs/>
                <w:color w:val="FFFFFF"/>
                <w:sz w:val="19"/>
                <w:lang w:eastAsia="en-AU"/>
              </w:rPr>
              <w:t xml:space="preserve"> </w:t>
            </w:r>
          </w:p>
        </w:tc>
        <w:tc>
          <w:tcPr>
            <w:tcW w:w="850" w:type="dxa"/>
            <w:tcBorders>
              <w:left w:val="nil"/>
              <w:bottom w:val="nil"/>
              <w:right w:val="nil"/>
            </w:tcBorders>
            <w:shd w:val="solid" w:color="000000" w:fill="auto"/>
          </w:tcPr>
          <w:p w:rsidR="005B5183" w:rsidRPr="00592D93" w:rsidRDefault="005B5183" w:rsidP="00361FA9">
            <w:pPr>
              <w:autoSpaceDE w:val="0"/>
              <w:autoSpaceDN w:val="0"/>
              <w:adjustRightInd w:val="0"/>
              <w:spacing w:after="0"/>
              <w:jc w:val="right"/>
              <w:rPr>
                <w:rFonts w:ascii="Calibri" w:eastAsiaTheme="minorEastAsia" w:hAnsi="Calibri" w:cs="Calibri"/>
                <w:color w:val="FFFFFF"/>
                <w:sz w:val="19"/>
                <w:lang w:eastAsia="en-AU"/>
              </w:rPr>
            </w:pPr>
            <w:r w:rsidRPr="00592D93">
              <w:rPr>
                <w:rFonts w:ascii="Calibri" w:eastAsiaTheme="minorEastAsia" w:hAnsi="Calibri" w:cs="Calibri"/>
                <w:color w:val="FFFFFF"/>
                <w:sz w:val="19"/>
                <w:lang w:eastAsia="en-AU"/>
              </w:rPr>
              <w:t xml:space="preserve"> </w:t>
            </w:r>
          </w:p>
        </w:tc>
        <w:tc>
          <w:tcPr>
            <w:tcW w:w="2551" w:type="dxa"/>
            <w:gridSpan w:val="3"/>
            <w:tcBorders>
              <w:left w:val="nil"/>
              <w:bottom w:val="nil"/>
            </w:tcBorders>
            <w:shd w:val="solid" w:color="000000" w:fill="auto"/>
          </w:tcPr>
          <w:p w:rsidR="005B5183" w:rsidRPr="00592D93" w:rsidRDefault="005B5183" w:rsidP="005B5183">
            <w:pPr>
              <w:autoSpaceDE w:val="0"/>
              <w:autoSpaceDN w:val="0"/>
              <w:adjustRightInd w:val="0"/>
              <w:spacing w:after="0"/>
              <w:jc w:val="center"/>
              <w:rPr>
                <w:rFonts w:ascii="Calibri" w:eastAsiaTheme="minorEastAsia" w:hAnsi="Calibri" w:cs="Calibri"/>
                <w:i/>
                <w:iCs/>
                <w:color w:val="FFFFFF"/>
                <w:sz w:val="19"/>
                <w:lang w:eastAsia="en-AU"/>
              </w:rPr>
            </w:pPr>
            <w:r w:rsidRPr="00592D93">
              <w:rPr>
                <w:rFonts w:ascii="Calibri" w:eastAsiaTheme="minorEastAsia" w:hAnsi="Calibri" w:cs="Calibri"/>
                <w:i/>
                <w:iCs/>
                <w:color w:val="FFFFFF"/>
                <w:sz w:val="19"/>
                <w:lang w:eastAsia="en-AU"/>
              </w:rPr>
              <w:t>Estimated as at 30 June</w:t>
            </w:r>
          </w:p>
        </w:tc>
      </w:tr>
      <w:tr w:rsidR="005B5183" w:rsidRPr="00592D93" w:rsidTr="00C558E9">
        <w:trPr>
          <w:trHeight w:val="464"/>
        </w:trPr>
        <w:tc>
          <w:tcPr>
            <w:tcW w:w="4365" w:type="dxa"/>
            <w:tcBorders>
              <w:top w:val="nil"/>
              <w:right w:val="nil"/>
            </w:tcBorders>
            <w:shd w:val="solid" w:color="000000" w:fill="auto"/>
          </w:tcPr>
          <w:p w:rsidR="005B5183" w:rsidRPr="00592D93" w:rsidRDefault="005B5183" w:rsidP="00361FA9">
            <w:pPr>
              <w:autoSpaceDE w:val="0"/>
              <w:autoSpaceDN w:val="0"/>
              <w:adjustRightInd w:val="0"/>
              <w:spacing w:after="0"/>
              <w:rPr>
                <w:rFonts w:ascii="Calibri" w:eastAsiaTheme="minorEastAsia" w:hAnsi="Calibri" w:cs="Calibri"/>
                <w:color w:val="FFFFFF"/>
                <w:sz w:val="19"/>
                <w:lang w:eastAsia="en-AU"/>
              </w:rPr>
            </w:pPr>
          </w:p>
        </w:tc>
        <w:tc>
          <w:tcPr>
            <w:tcW w:w="850" w:type="dxa"/>
            <w:tcBorders>
              <w:top w:val="nil"/>
              <w:left w:val="nil"/>
              <w:right w:val="nil"/>
            </w:tcBorders>
            <w:shd w:val="solid" w:color="000000" w:fill="auto"/>
          </w:tcPr>
          <w:p w:rsidR="005B5183" w:rsidRPr="00592D93"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92D93">
              <w:rPr>
                <w:rFonts w:ascii="Calibri" w:eastAsiaTheme="minorEastAsia" w:hAnsi="Calibri" w:cs="Calibri"/>
                <w:i/>
                <w:iCs/>
                <w:color w:val="FFFFFF"/>
                <w:sz w:val="19"/>
                <w:lang w:eastAsia="en-AU"/>
              </w:rPr>
              <w:t>2015</w:t>
            </w:r>
          </w:p>
          <w:p w:rsidR="005B5183" w:rsidRPr="00592D93"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92D93">
              <w:rPr>
                <w:rFonts w:ascii="Calibri" w:eastAsiaTheme="minorEastAsia" w:hAnsi="Calibri" w:cs="Calibri"/>
                <w:i/>
                <w:iCs/>
                <w:color w:val="FFFFFF"/>
                <w:sz w:val="19"/>
                <w:lang w:eastAsia="en-AU"/>
              </w:rPr>
              <w:t>actual</w:t>
            </w:r>
          </w:p>
        </w:tc>
        <w:tc>
          <w:tcPr>
            <w:tcW w:w="850" w:type="dxa"/>
            <w:tcBorders>
              <w:top w:val="nil"/>
              <w:left w:val="nil"/>
              <w:right w:val="nil"/>
            </w:tcBorders>
            <w:shd w:val="solid" w:color="000000" w:fill="auto"/>
          </w:tcPr>
          <w:p w:rsidR="005B5183" w:rsidRPr="00592D93"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92D93">
              <w:rPr>
                <w:rFonts w:ascii="Calibri" w:eastAsiaTheme="minorEastAsia" w:hAnsi="Calibri" w:cs="Calibri"/>
                <w:i/>
                <w:iCs/>
                <w:color w:val="FFFFFF"/>
                <w:sz w:val="19"/>
                <w:lang w:eastAsia="en-AU"/>
              </w:rPr>
              <w:t>2016</w:t>
            </w:r>
          </w:p>
          <w:p w:rsidR="005B5183" w:rsidRPr="00592D93"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92D93">
              <w:rPr>
                <w:rFonts w:ascii="Calibri" w:eastAsiaTheme="minorEastAsia" w:hAnsi="Calibri" w:cs="Calibri"/>
                <w:i/>
                <w:iCs/>
                <w:color w:val="FFFFFF"/>
                <w:sz w:val="19"/>
                <w:lang w:eastAsia="en-AU"/>
              </w:rPr>
              <w:t>budget</w:t>
            </w:r>
          </w:p>
        </w:tc>
        <w:tc>
          <w:tcPr>
            <w:tcW w:w="850" w:type="dxa"/>
            <w:tcBorders>
              <w:top w:val="nil"/>
              <w:left w:val="nil"/>
              <w:right w:val="nil"/>
            </w:tcBorders>
            <w:shd w:val="solid" w:color="000000" w:fill="auto"/>
          </w:tcPr>
          <w:p w:rsidR="005B5183" w:rsidRPr="00592D93"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92D93">
              <w:rPr>
                <w:rFonts w:ascii="Calibri" w:eastAsiaTheme="minorEastAsia" w:hAnsi="Calibri" w:cs="Calibri"/>
                <w:i/>
                <w:iCs/>
                <w:color w:val="FFFFFF"/>
                <w:sz w:val="19"/>
                <w:lang w:eastAsia="en-AU"/>
              </w:rPr>
              <w:t>2016</w:t>
            </w:r>
          </w:p>
          <w:p w:rsidR="005B5183" w:rsidRPr="00592D93"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92D93">
              <w:rPr>
                <w:rFonts w:ascii="Calibri" w:eastAsiaTheme="minorEastAsia" w:hAnsi="Calibri" w:cs="Calibri"/>
                <w:i/>
                <w:iCs/>
                <w:color w:val="FFFFFF"/>
                <w:sz w:val="19"/>
                <w:lang w:eastAsia="en-AU"/>
              </w:rPr>
              <w:t>revised</w:t>
            </w:r>
          </w:p>
        </w:tc>
        <w:tc>
          <w:tcPr>
            <w:tcW w:w="851" w:type="dxa"/>
            <w:tcBorders>
              <w:top w:val="nil"/>
              <w:left w:val="nil"/>
            </w:tcBorders>
            <w:shd w:val="solid" w:color="000000" w:fill="auto"/>
          </w:tcPr>
          <w:p w:rsidR="005B5183" w:rsidRPr="00592D93"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92D93">
              <w:rPr>
                <w:rFonts w:ascii="Calibri" w:eastAsiaTheme="minorEastAsia" w:hAnsi="Calibri" w:cs="Calibri"/>
                <w:i/>
                <w:iCs/>
                <w:color w:val="FFFFFF"/>
                <w:sz w:val="19"/>
                <w:lang w:eastAsia="en-AU"/>
              </w:rPr>
              <w:t>2017</w:t>
            </w:r>
          </w:p>
          <w:p w:rsidR="005B5183" w:rsidRPr="00592D93" w:rsidRDefault="005B5183" w:rsidP="00361FA9">
            <w:pPr>
              <w:autoSpaceDE w:val="0"/>
              <w:autoSpaceDN w:val="0"/>
              <w:adjustRightInd w:val="0"/>
              <w:spacing w:after="0"/>
              <w:jc w:val="right"/>
              <w:rPr>
                <w:rFonts w:ascii="Calibri" w:eastAsiaTheme="minorEastAsia" w:hAnsi="Calibri" w:cs="Calibri"/>
                <w:i/>
                <w:iCs/>
                <w:color w:val="FFFFFF"/>
                <w:sz w:val="19"/>
                <w:lang w:eastAsia="en-AU"/>
              </w:rPr>
            </w:pPr>
            <w:r w:rsidRPr="00592D93">
              <w:rPr>
                <w:rFonts w:ascii="Calibri" w:eastAsiaTheme="minorEastAsia" w:hAnsi="Calibri" w:cs="Calibri"/>
                <w:i/>
                <w:iCs/>
                <w:color w:val="FFFFFF"/>
                <w:sz w:val="19"/>
                <w:lang w:eastAsia="en-AU"/>
              </w:rPr>
              <w:t>budget</w:t>
            </w:r>
          </w:p>
        </w:tc>
      </w:tr>
      <w:tr w:rsidR="005B5183" w:rsidRPr="00592D93" w:rsidTr="00C558E9">
        <w:tc>
          <w:tcPr>
            <w:tcW w:w="7766" w:type="dxa"/>
            <w:gridSpan w:val="5"/>
            <w:tcBorders>
              <w:top w:val="single" w:sz="6" w:space="0" w:color="auto"/>
              <w:left w:val="nil"/>
              <w:right w:val="nil"/>
            </w:tcBorders>
            <w:shd w:val="clear" w:color="auto" w:fill="FFFFFF"/>
          </w:tcPr>
          <w:p w:rsidR="005B5183" w:rsidRPr="00592D93" w:rsidRDefault="005B5183" w:rsidP="005B5183">
            <w:pPr>
              <w:autoSpaceDE w:val="0"/>
              <w:autoSpaceDN w:val="0"/>
              <w:adjustRightInd w:val="0"/>
              <w:spacing w:after="0"/>
              <w:ind w:left="227" w:hanging="227"/>
              <w:rPr>
                <w:rFonts w:ascii="Calibri" w:eastAsiaTheme="minorEastAsia" w:hAnsi="Calibri" w:cs="Calibri"/>
                <w:color w:val="000000"/>
                <w:sz w:val="19"/>
                <w:lang w:eastAsia="en-AU"/>
              </w:rPr>
            </w:pPr>
            <w:r w:rsidRPr="00592D93">
              <w:rPr>
                <w:rFonts w:ascii="Calibri" w:eastAsiaTheme="minorEastAsia" w:hAnsi="Calibri" w:cs="Calibri"/>
                <w:b/>
                <w:bCs/>
                <w:color w:val="000000"/>
                <w:sz w:val="19"/>
                <w:lang w:eastAsia="en-AU"/>
              </w:rPr>
              <w:t>Assets</w:t>
            </w:r>
          </w:p>
        </w:tc>
      </w:tr>
      <w:tr w:rsidR="005B5183" w:rsidRPr="00592D93" w:rsidTr="00C558E9">
        <w:tc>
          <w:tcPr>
            <w:tcW w:w="7766" w:type="dxa"/>
            <w:gridSpan w:val="5"/>
            <w:tcBorders>
              <w:top w:val="nil"/>
              <w:left w:val="nil"/>
              <w:right w:val="nil"/>
            </w:tcBorders>
            <w:shd w:val="clear" w:color="auto" w:fill="FFFFFF"/>
          </w:tcPr>
          <w:p w:rsidR="005B5183" w:rsidRPr="00592D93" w:rsidRDefault="005B5183" w:rsidP="005B5183">
            <w:pPr>
              <w:autoSpaceDE w:val="0"/>
              <w:autoSpaceDN w:val="0"/>
              <w:adjustRightInd w:val="0"/>
              <w:spacing w:after="0"/>
              <w:ind w:left="227" w:hanging="227"/>
              <w:rPr>
                <w:rFonts w:ascii="Calibri" w:eastAsiaTheme="minorEastAsia" w:hAnsi="Calibri" w:cs="Calibri"/>
                <w:color w:val="000000"/>
                <w:sz w:val="19"/>
                <w:lang w:eastAsia="en-AU"/>
              </w:rPr>
            </w:pPr>
            <w:r w:rsidRPr="00592D93">
              <w:rPr>
                <w:rFonts w:ascii="Calibri" w:eastAsiaTheme="minorEastAsia" w:hAnsi="Calibri" w:cs="Calibri"/>
                <w:b/>
                <w:bCs/>
                <w:color w:val="000000"/>
                <w:sz w:val="19"/>
                <w:lang w:eastAsia="en-AU"/>
              </w:rPr>
              <w:t>Financial assets</w:t>
            </w:r>
          </w:p>
        </w:tc>
      </w:tr>
      <w:tr w:rsidR="002C39A3" w:rsidRPr="00592D93" w:rsidTr="005B5183">
        <w:tc>
          <w:tcPr>
            <w:tcW w:w="4365" w:type="dxa"/>
            <w:tcBorders>
              <w:top w:val="nil"/>
              <w:left w:val="nil"/>
              <w:bottom w:val="single" w:sz="6" w:space="0" w:color="auto"/>
              <w:right w:val="nil"/>
            </w:tcBorders>
            <w:shd w:val="clear" w:color="auto" w:fill="FFFFFF"/>
          </w:tcPr>
          <w:p w:rsidR="002C39A3" w:rsidRPr="00592D9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92D93">
              <w:rPr>
                <w:rFonts w:ascii="Calibri" w:eastAsiaTheme="minorEastAsia" w:hAnsi="Calibri" w:cs="Calibri"/>
                <w:color w:val="000000"/>
                <w:sz w:val="19"/>
                <w:lang w:eastAsia="en-AU"/>
              </w:rPr>
              <w:t>Receivables</w:t>
            </w:r>
          </w:p>
        </w:tc>
        <w:tc>
          <w:tcPr>
            <w:tcW w:w="850" w:type="dxa"/>
            <w:tcBorders>
              <w:top w:val="nil"/>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68</w:t>
            </w:r>
          </w:p>
        </w:tc>
        <w:tc>
          <w:tcPr>
            <w:tcW w:w="850" w:type="dxa"/>
            <w:tcBorders>
              <w:top w:val="nil"/>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80</w:t>
            </w:r>
          </w:p>
        </w:tc>
        <w:tc>
          <w:tcPr>
            <w:tcW w:w="850" w:type="dxa"/>
            <w:tcBorders>
              <w:top w:val="nil"/>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79</w:t>
            </w:r>
          </w:p>
        </w:tc>
        <w:tc>
          <w:tcPr>
            <w:tcW w:w="851" w:type="dxa"/>
            <w:tcBorders>
              <w:top w:val="nil"/>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64</w:t>
            </w:r>
          </w:p>
        </w:tc>
      </w:tr>
      <w:tr w:rsidR="002C39A3" w:rsidRPr="00592D93" w:rsidTr="005B5183">
        <w:tc>
          <w:tcPr>
            <w:tcW w:w="4365" w:type="dxa"/>
            <w:tcBorders>
              <w:top w:val="single" w:sz="6" w:space="0" w:color="auto"/>
              <w:left w:val="nil"/>
              <w:bottom w:val="single" w:sz="6" w:space="0" w:color="auto"/>
              <w:right w:val="nil"/>
            </w:tcBorders>
            <w:shd w:val="clear" w:color="auto" w:fill="FFFFFF"/>
          </w:tcPr>
          <w:p w:rsidR="002C39A3" w:rsidRPr="00592D9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92D93">
              <w:rPr>
                <w:rFonts w:ascii="Calibri" w:eastAsiaTheme="minorEastAsia" w:hAnsi="Calibri" w:cs="Calibri"/>
                <w:b/>
                <w:bCs/>
                <w:color w:val="000000"/>
                <w:sz w:val="19"/>
                <w:lang w:eastAsia="en-AU"/>
              </w:rPr>
              <w:t>Total financial assets</w:t>
            </w:r>
          </w:p>
        </w:tc>
        <w:tc>
          <w:tcPr>
            <w:tcW w:w="850" w:type="dxa"/>
            <w:tcBorders>
              <w:top w:val="single" w:sz="6" w:space="0" w:color="auto"/>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19"/>
                <w:lang w:eastAsia="en-AU"/>
              </w:rPr>
              <w:t>68</w:t>
            </w:r>
          </w:p>
        </w:tc>
        <w:tc>
          <w:tcPr>
            <w:tcW w:w="850" w:type="dxa"/>
            <w:tcBorders>
              <w:top w:val="single" w:sz="6" w:space="0" w:color="auto"/>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19"/>
                <w:lang w:eastAsia="en-AU"/>
              </w:rPr>
              <w:t>80</w:t>
            </w:r>
          </w:p>
        </w:tc>
        <w:tc>
          <w:tcPr>
            <w:tcW w:w="850" w:type="dxa"/>
            <w:tcBorders>
              <w:top w:val="single" w:sz="6" w:space="0" w:color="auto"/>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19"/>
                <w:lang w:eastAsia="en-AU"/>
              </w:rPr>
              <w:t>79</w:t>
            </w:r>
          </w:p>
        </w:tc>
        <w:tc>
          <w:tcPr>
            <w:tcW w:w="851" w:type="dxa"/>
            <w:tcBorders>
              <w:top w:val="single" w:sz="6" w:space="0" w:color="auto"/>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19"/>
                <w:lang w:eastAsia="en-AU"/>
              </w:rPr>
              <w:t>64</w:t>
            </w:r>
          </w:p>
        </w:tc>
      </w:tr>
      <w:tr w:rsidR="005B5183" w:rsidRPr="00592D93" w:rsidTr="00C558E9">
        <w:tc>
          <w:tcPr>
            <w:tcW w:w="7766" w:type="dxa"/>
            <w:gridSpan w:val="5"/>
            <w:tcBorders>
              <w:top w:val="single" w:sz="6" w:space="0" w:color="auto"/>
              <w:left w:val="nil"/>
              <w:right w:val="nil"/>
            </w:tcBorders>
            <w:shd w:val="clear" w:color="auto" w:fill="FFFFFF"/>
          </w:tcPr>
          <w:p w:rsidR="005B5183" w:rsidRPr="00592D93" w:rsidRDefault="005B5183" w:rsidP="005B5183">
            <w:pPr>
              <w:autoSpaceDE w:val="0"/>
              <w:autoSpaceDN w:val="0"/>
              <w:adjustRightInd w:val="0"/>
              <w:spacing w:after="0"/>
              <w:ind w:left="227" w:hanging="227"/>
              <w:rPr>
                <w:rFonts w:ascii="Calibri" w:eastAsiaTheme="minorEastAsia" w:hAnsi="Calibri" w:cs="Calibri"/>
                <w:color w:val="000000"/>
                <w:sz w:val="19"/>
                <w:lang w:eastAsia="en-AU"/>
              </w:rPr>
            </w:pPr>
            <w:r w:rsidRPr="00592D93">
              <w:rPr>
                <w:rFonts w:ascii="Calibri" w:eastAsiaTheme="minorEastAsia" w:hAnsi="Calibri" w:cs="Calibri"/>
                <w:b/>
                <w:bCs/>
                <w:color w:val="000000"/>
                <w:sz w:val="19"/>
                <w:lang w:eastAsia="en-AU"/>
              </w:rPr>
              <w:t>Non-financial assets</w:t>
            </w:r>
          </w:p>
        </w:tc>
      </w:tr>
      <w:tr w:rsidR="002C39A3" w:rsidRPr="00592D93" w:rsidTr="005B5183">
        <w:tc>
          <w:tcPr>
            <w:tcW w:w="4365" w:type="dxa"/>
            <w:tcBorders>
              <w:top w:val="nil"/>
              <w:left w:val="nil"/>
              <w:right w:val="nil"/>
            </w:tcBorders>
            <w:shd w:val="clear" w:color="auto" w:fill="FFFFFF"/>
          </w:tcPr>
          <w:p w:rsidR="002C39A3" w:rsidRPr="00592D9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92D93">
              <w:rPr>
                <w:rFonts w:ascii="Calibri" w:eastAsiaTheme="minorEastAsia" w:hAnsi="Calibri" w:cs="Calibri"/>
                <w:color w:val="000000"/>
                <w:sz w:val="19"/>
                <w:lang w:eastAsia="en-AU"/>
              </w:rPr>
              <w:t>Property, plant and equipment</w:t>
            </w:r>
          </w:p>
        </w:tc>
        <w:tc>
          <w:tcPr>
            <w:tcW w:w="850" w:type="dxa"/>
            <w:tcBorders>
              <w:top w:val="nil"/>
              <w:left w:val="nil"/>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454</w:t>
            </w:r>
          </w:p>
        </w:tc>
        <w:tc>
          <w:tcPr>
            <w:tcW w:w="850" w:type="dxa"/>
            <w:tcBorders>
              <w:top w:val="nil"/>
              <w:left w:val="nil"/>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444</w:t>
            </w:r>
          </w:p>
        </w:tc>
        <w:tc>
          <w:tcPr>
            <w:tcW w:w="850" w:type="dxa"/>
            <w:tcBorders>
              <w:top w:val="nil"/>
              <w:left w:val="nil"/>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442</w:t>
            </w:r>
          </w:p>
        </w:tc>
        <w:tc>
          <w:tcPr>
            <w:tcW w:w="851" w:type="dxa"/>
            <w:tcBorders>
              <w:top w:val="nil"/>
              <w:left w:val="nil"/>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457</w:t>
            </w:r>
          </w:p>
        </w:tc>
      </w:tr>
      <w:tr w:rsidR="002C39A3" w:rsidRPr="00592D93" w:rsidTr="005B5183">
        <w:tc>
          <w:tcPr>
            <w:tcW w:w="4365" w:type="dxa"/>
            <w:tcBorders>
              <w:top w:val="nil"/>
              <w:left w:val="nil"/>
              <w:bottom w:val="single" w:sz="6" w:space="0" w:color="auto"/>
              <w:right w:val="nil"/>
            </w:tcBorders>
            <w:shd w:val="clear" w:color="auto" w:fill="FFFFFF"/>
          </w:tcPr>
          <w:p w:rsidR="002C39A3" w:rsidRPr="00592D9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92D93">
              <w:rPr>
                <w:rFonts w:ascii="Calibri" w:eastAsiaTheme="minorEastAsia" w:hAnsi="Calibri" w:cs="Calibri"/>
                <w:color w:val="000000"/>
                <w:sz w:val="19"/>
                <w:lang w:eastAsia="en-AU"/>
              </w:rPr>
              <w:t>Other</w:t>
            </w:r>
          </w:p>
        </w:tc>
        <w:tc>
          <w:tcPr>
            <w:tcW w:w="850" w:type="dxa"/>
            <w:tcBorders>
              <w:top w:val="nil"/>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3</w:t>
            </w:r>
          </w:p>
        </w:tc>
        <w:tc>
          <w:tcPr>
            <w:tcW w:w="850" w:type="dxa"/>
            <w:tcBorders>
              <w:top w:val="nil"/>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3</w:t>
            </w:r>
          </w:p>
        </w:tc>
        <w:tc>
          <w:tcPr>
            <w:tcW w:w="850" w:type="dxa"/>
            <w:tcBorders>
              <w:top w:val="nil"/>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3</w:t>
            </w:r>
          </w:p>
        </w:tc>
        <w:tc>
          <w:tcPr>
            <w:tcW w:w="851" w:type="dxa"/>
            <w:tcBorders>
              <w:top w:val="nil"/>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3</w:t>
            </w:r>
          </w:p>
        </w:tc>
      </w:tr>
      <w:tr w:rsidR="002C39A3" w:rsidRPr="00592D93" w:rsidTr="005B5183">
        <w:tc>
          <w:tcPr>
            <w:tcW w:w="4365" w:type="dxa"/>
            <w:tcBorders>
              <w:top w:val="single" w:sz="6" w:space="0" w:color="auto"/>
              <w:left w:val="nil"/>
              <w:bottom w:val="single" w:sz="6" w:space="0" w:color="auto"/>
              <w:right w:val="nil"/>
            </w:tcBorders>
            <w:shd w:val="clear" w:color="auto" w:fill="FFFFFF"/>
          </w:tcPr>
          <w:p w:rsidR="002C39A3" w:rsidRPr="00592D9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92D93">
              <w:rPr>
                <w:rFonts w:ascii="Calibri" w:eastAsiaTheme="minorEastAsia" w:hAnsi="Calibri" w:cs="Calibri"/>
                <w:b/>
                <w:bCs/>
                <w:color w:val="000000"/>
                <w:sz w:val="19"/>
                <w:lang w:eastAsia="en-AU"/>
              </w:rPr>
              <w:t>Total non-financial assets</w:t>
            </w:r>
          </w:p>
        </w:tc>
        <w:tc>
          <w:tcPr>
            <w:tcW w:w="850" w:type="dxa"/>
            <w:tcBorders>
              <w:top w:val="single" w:sz="6" w:space="0" w:color="auto"/>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19"/>
                <w:lang w:eastAsia="en-AU"/>
              </w:rPr>
              <w:t>457</w:t>
            </w:r>
          </w:p>
        </w:tc>
        <w:tc>
          <w:tcPr>
            <w:tcW w:w="850" w:type="dxa"/>
            <w:tcBorders>
              <w:top w:val="single" w:sz="6" w:space="0" w:color="auto"/>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19"/>
                <w:lang w:eastAsia="en-AU"/>
              </w:rPr>
              <w:t>448</w:t>
            </w:r>
          </w:p>
        </w:tc>
        <w:tc>
          <w:tcPr>
            <w:tcW w:w="850" w:type="dxa"/>
            <w:tcBorders>
              <w:top w:val="single" w:sz="6" w:space="0" w:color="auto"/>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19"/>
                <w:lang w:eastAsia="en-AU"/>
              </w:rPr>
              <w:t>446</w:t>
            </w:r>
          </w:p>
        </w:tc>
        <w:tc>
          <w:tcPr>
            <w:tcW w:w="851" w:type="dxa"/>
            <w:tcBorders>
              <w:top w:val="single" w:sz="6" w:space="0" w:color="auto"/>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19"/>
                <w:lang w:eastAsia="en-AU"/>
              </w:rPr>
              <w:t>460</w:t>
            </w:r>
          </w:p>
        </w:tc>
      </w:tr>
      <w:tr w:rsidR="002C39A3" w:rsidRPr="00592D93" w:rsidTr="005B5183">
        <w:tc>
          <w:tcPr>
            <w:tcW w:w="4365" w:type="dxa"/>
            <w:tcBorders>
              <w:top w:val="single" w:sz="6" w:space="0" w:color="auto"/>
              <w:left w:val="nil"/>
              <w:bottom w:val="single" w:sz="6" w:space="0" w:color="auto"/>
              <w:right w:val="nil"/>
            </w:tcBorders>
            <w:shd w:val="clear" w:color="auto" w:fill="FFFFFF"/>
          </w:tcPr>
          <w:p w:rsidR="002C39A3" w:rsidRPr="00592D9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92D93">
              <w:rPr>
                <w:rFonts w:ascii="Calibri" w:eastAsiaTheme="minorEastAsia" w:hAnsi="Calibri" w:cs="Calibri"/>
                <w:b/>
                <w:bCs/>
                <w:color w:val="000000"/>
                <w:sz w:val="19"/>
                <w:lang w:eastAsia="en-AU"/>
              </w:rPr>
              <w:t>Total assets</w:t>
            </w:r>
          </w:p>
        </w:tc>
        <w:tc>
          <w:tcPr>
            <w:tcW w:w="850" w:type="dxa"/>
            <w:tcBorders>
              <w:top w:val="single" w:sz="6" w:space="0" w:color="auto"/>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19"/>
                <w:lang w:eastAsia="en-AU"/>
              </w:rPr>
              <w:t>525</w:t>
            </w:r>
          </w:p>
        </w:tc>
        <w:tc>
          <w:tcPr>
            <w:tcW w:w="850" w:type="dxa"/>
            <w:tcBorders>
              <w:top w:val="single" w:sz="6" w:space="0" w:color="auto"/>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19"/>
                <w:lang w:eastAsia="en-AU"/>
              </w:rPr>
              <w:t>527</w:t>
            </w:r>
          </w:p>
        </w:tc>
        <w:tc>
          <w:tcPr>
            <w:tcW w:w="850" w:type="dxa"/>
            <w:tcBorders>
              <w:top w:val="single" w:sz="6" w:space="0" w:color="auto"/>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19"/>
                <w:lang w:eastAsia="en-AU"/>
              </w:rPr>
              <w:t>524</w:t>
            </w:r>
          </w:p>
        </w:tc>
        <w:tc>
          <w:tcPr>
            <w:tcW w:w="851" w:type="dxa"/>
            <w:tcBorders>
              <w:top w:val="single" w:sz="6" w:space="0" w:color="auto"/>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19"/>
                <w:lang w:eastAsia="en-AU"/>
              </w:rPr>
              <w:t>524</w:t>
            </w:r>
          </w:p>
        </w:tc>
      </w:tr>
      <w:tr w:rsidR="005B5183" w:rsidRPr="00592D93" w:rsidTr="00C558E9">
        <w:tc>
          <w:tcPr>
            <w:tcW w:w="7766" w:type="dxa"/>
            <w:gridSpan w:val="5"/>
            <w:tcBorders>
              <w:top w:val="single" w:sz="6" w:space="0" w:color="auto"/>
              <w:left w:val="nil"/>
              <w:right w:val="nil"/>
            </w:tcBorders>
            <w:shd w:val="clear" w:color="auto" w:fill="FFFFFF"/>
          </w:tcPr>
          <w:p w:rsidR="005B5183" w:rsidRPr="00592D93" w:rsidRDefault="005B5183" w:rsidP="005B5183">
            <w:pPr>
              <w:autoSpaceDE w:val="0"/>
              <w:autoSpaceDN w:val="0"/>
              <w:adjustRightInd w:val="0"/>
              <w:spacing w:after="0"/>
              <w:ind w:left="227" w:hanging="227"/>
              <w:rPr>
                <w:rFonts w:ascii="Calibri" w:eastAsiaTheme="minorEastAsia" w:hAnsi="Calibri" w:cs="Calibri"/>
                <w:color w:val="000000"/>
                <w:sz w:val="19"/>
                <w:lang w:eastAsia="en-AU"/>
              </w:rPr>
            </w:pPr>
            <w:r w:rsidRPr="00592D93">
              <w:rPr>
                <w:rFonts w:ascii="Calibri" w:eastAsiaTheme="minorEastAsia" w:hAnsi="Calibri" w:cs="Calibri"/>
                <w:b/>
                <w:bCs/>
                <w:color w:val="000000"/>
                <w:sz w:val="19"/>
                <w:lang w:eastAsia="en-AU"/>
              </w:rPr>
              <w:t>Liabilities</w:t>
            </w:r>
          </w:p>
        </w:tc>
      </w:tr>
      <w:tr w:rsidR="002C39A3" w:rsidRPr="00592D93" w:rsidTr="005B5183">
        <w:tc>
          <w:tcPr>
            <w:tcW w:w="4365" w:type="dxa"/>
            <w:tcBorders>
              <w:top w:val="nil"/>
              <w:left w:val="nil"/>
              <w:right w:val="nil"/>
            </w:tcBorders>
            <w:shd w:val="clear" w:color="auto" w:fill="FFFFFF"/>
          </w:tcPr>
          <w:p w:rsidR="002C39A3" w:rsidRPr="00592D9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92D93">
              <w:rPr>
                <w:rFonts w:ascii="Calibri" w:eastAsiaTheme="minorEastAsia" w:hAnsi="Calibri" w:cs="Calibri"/>
                <w:color w:val="000000"/>
                <w:sz w:val="19"/>
                <w:lang w:eastAsia="en-AU"/>
              </w:rPr>
              <w:t>Payables</w:t>
            </w:r>
          </w:p>
        </w:tc>
        <w:tc>
          <w:tcPr>
            <w:tcW w:w="850" w:type="dxa"/>
            <w:tcBorders>
              <w:top w:val="nil"/>
              <w:left w:val="nil"/>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5</w:t>
            </w:r>
          </w:p>
        </w:tc>
        <w:tc>
          <w:tcPr>
            <w:tcW w:w="850" w:type="dxa"/>
            <w:tcBorders>
              <w:top w:val="nil"/>
              <w:left w:val="nil"/>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6</w:t>
            </w:r>
          </w:p>
        </w:tc>
        <w:tc>
          <w:tcPr>
            <w:tcW w:w="850" w:type="dxa"/>
            <w:tcBorders>
              <w:top w:val="nil"/>
              <w:left w:val="nil"/>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5</w:t>
            </w:r>
          </w:p>
        </w:tc>
        <w:tc>
          <w:tcPr>
            <w:tcW w:w="851" w:type="dxa"/>
            <w:tcBorders>
              <w:top w:val="nil"/>
              <w:left w:val="nil"/>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5</w:t>
            </w:r>
          </w:p>
        </w:tc>
      </w:tr>
      <w:tr w:rsidR="002C39A3" w:rsidRPr="00592D93" w:rsidTr="005B5183">
        <w:tc>
          <w:tcPr>
            <w:tcW w:w="4365" w:type="dxa"/>
            <w:tcBorders>
              <w:top w:val="nil"/>
              <w:left w:val="nil"/>
              <w:right w:val="nil"/>
            </w:tcBorders>
            <w:shd w:val="clear" w:color="auto" w:fill="FFFFFF"/>
          </w:tcPr>
          <w:p w:rsidR="002C39A3" w:rsidRPr="00592D9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92D93">
              <w:rPr>
                <w:rFonts w:ascii="Calibri" w:eastAsiaTheme="minorEastAsia" w:hAnsi="Calibri" w:cs="Calibri"/>
                <w:color w:val="000000"/>
                <w:sz w:val="19"/>
                <w:lang w:eastAsia="en-AU"/>
              </w:rPr>
              <w:t>Borrowings</w:t>
            </w:r>
          </w:p>
        </w:tc>
        <w:tc>
          <w:tcPr>
            <w:tcW w:w="850" w:type="dxa"/>
            <w:tcBorders>
              <w:top w:val="nil"/>
              <w:left w:val="nil"/>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3</w:t>
            </w:r>
          </w:p>
        </w:tc>
        <w:tc>
          <w:tcPr>
            <w:tcW w:w="850" w:type="dxa"/>
            <w:tcBorders>
              <w:top w:val="nil"/>
              <w:left w:val="nil"/>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3</w:t>
            </w:r>
          </w:p>
        </w:tc>
        <w:tc>
          <w:tcPr>
            <w:tcW w:w="850" w:type="dxa"/>
            <w:tcBorders>
              <w:top w:val="nil"/>
              <w:left w:val="nil"/>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3</w:t>
            </w:r>
          </w:p>
        </w:tc>
        <w:tc>
          <w:tcPr>
            <w:tcW w:w="851" w:type="dxa"/>
            <w:tcBorders>
              <w:top w:val="nil"/>
              <w:left w:val="nil"/>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3</w:t>
            </w:r>
          </w:p>
        </w:tc>
      </w:tr>
      <w:tr w:rsidR="002C39A3" w:rsidRPr="00592D93" w:rsidTr="005B5183">
        <w:tc>
          <w:tcPr>
            <w:tcW w:w="4365" w:type="dxa"/>
            <w:tcBorders>
              <w:top w:val="nil"/>
              <w:left w:val="nil"/>
              <w:bottom w:val="single" w:sz="6" w:space="0" w:color="auto"/>
              <w:right w:val="nil"/>
            </w:tcBorders>
            <w:shd w:val="clear" w:color="auto" w:fill="FFFFFF"/>
          </w:tcPr>
          <w:p w:rsidR="002C39A3" w:rsidRPr="00592D9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92D93">
              <w:rPr>
                <w:rFonts w:ascii="Calibri" w:eastAsiaTheme="minorEastAsia" w:hAnsi="Calibri" w:cs="Calibri"/>
                <w:color w:val="000000"/>
                <w:sz w:val="19"/>
                <w:lang w:eastAsia="en-AU"/>
              </w:rPr>
              <w:t>Provisions</w:t>
            </w:r>
          </w:p>
        </w:tc>
        <w:tc>
          <w:tcPr>
            <w:tcW w:w="850" w:type="dxa"/>
            <w:tcBorders>
              <w:top w:val="nil"/>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17</w:t>
            </w:r>
          </w:p>
        </w:tc>
        <w:tc>
          <w:tcPr>
            <w:tcW w:w="850" w:type="dxa"/>
            <w:tcBorders>
              <w:top w:val="nil"/>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19</w:t>
            </w:r>
          </w:p>
        </w:tc>
        <w:tc>
          <w:tcPr>
            <w:tcW w:w="850" w:type="dxa"/>
            <w:tcBorders>
              <w:top w:val="nil"/>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17</w:t>
            </w:r>
          </w:p>
        </w:tc>
        <w:tc>
          <w:tcPr>
            <w:tcW w:w="851" w:type="dxa"/>
            <w:tcBorders>
              <w:top w:val="nil"/>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17</w:t>
            </w:r>
          </w:p>
        </w:tc>
      </w:tr>
      <w:tr w:rsidR="002C39A3" w:rsidRPr="00592D93" w:rsidTr="005B5183">
        <w:tc>
          <w:tcPr>
            <w:tcW w:w="4365" w:type="dxa"/>
            <w:tcBorders>
              <w:top w:val="single" w:sz="6" w:space="0" w:color="auto"/>
              <w:left w:val="nil"/>
              <w:bottom w:val="single" w:sz="6" w:space="0" w:color="auto"/>
              <w:right w:val="nil"/>
            </w:tcBorders>
            <w:shd w:val="clear" w:color="auto" w:fill="FFFFFF"/>
          </w:tcPr>
          <w:p w:rsidR="002C39A3" w:rsidRPr="00592D9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92D93">
              <w:rPr>
                <w:rFonts w:ascii="Calibri" w:eastAsiaTheme="minorEastAsia" w:hAnsi="Calibri" w:cs="Calibri"/>
                <w:b/>
                <w:bCs/>
                <w:color w:val="000000"/>
                <w:sz w:val="19"/>
                <w:lang w:eastAsia="en-AU"/>
              </w:rPr>
              <w:t>Total liabilities</w:t>
            </w:r>
          </w:p>
        </w:tc>
        <w:tc>
          <w:tcPr>
            <w:tcW w:w="850" w:type="dxa"/>
            <w:tcBorders>
              <w:top w:val="single" w:sz="6" w:space="0" w:color="auto"/>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19"/>
                <w:lang w:eastAsia="en-AU"/>
              </w:rPr>
              <w:t>25</w:t>
            </w:r>
          </w:p>
        </w:tc>
        <w:tc>
          <w:tcPr>
            <w:tcW w:w="850" w:type="dxa"/>
            <w:tcBorders>
              <w:top w:val="single" w:sz="6" w:space="0" w:color="auto"/>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19"/>
                <w:lang w:eastAsia="en-AU"/>
              </w:rPr>
              <w:t>29</w:t>
            </w:r>
          </w:p>
        </w:tc>
        <w:tc>
          <w:tcPr>
            <w:tcW w:w="850" w:type="dxa"/>
            <w:tcBorders>
              <w:top w:val="single" w:sz="6" w:space="0" w:color="auto"/>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19"/>
                <w:lang w:eastAsia="en-AU"/>
              </w:rPr>
              <w:t>25</w:t>
            </w:r>
          </w:p>
        </w:tc>
        <w:tc>
          <w:tcPr>
            <w:tcW w:w="851" w:type="dxa"/>
            <w:tcBorders>
              <w:top w:val="single" w:sz="6" w:space="0" w:color="auto"/>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19"/>
                <w:lang w:eastAsia="en-AU"/>
              </w:rPr>
              <w:t>26</w:t>
            </w:r>
          </w:p>
        </w:tc>
      </w:tr>
      <w:tr w:rsidR="002C39A3" w:rsidRPr="00592D93" w:rsidTr="005B5183">
        <w:tc>
          <w:tcPr>
            <w:tcW w:w="4365" w:type="dxa"/>
            <w:tcBorders>
              <w:top w:val="single" w:sz="6" w:space="0" w:color="auto"/>
              <w:left w:val="nil"/>
              <w:bottom w:val="single" w:sz="12" w:space="0" w:color="auto"/>
              <w:right w:val="nil"/>
            </w:tcBorders>
            <w:shd w:val="clear" w:color="auto" w:fill="FFFFFF"/>
          </w:tcPr>
          <w:p w:rsidR="002C39A3" w:rsidRPr="00592D9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92D93">
              <w:rPr>
                <w:rFonts w:ascii="Calibri" w:eastAsiaTheme="minorEastAsia" w:hAnsi="Calibri" w:cs="Calibri"/>
                <w:b/>
                <w:bCs/>
                <w:color w:val="000000"/>
                <w:sz w:val="19"/>
                <w:lang w:eastAsia="en-AU"/>
              </w:rPr>
              <w:t>Net assets</w:t>
            </w:r>
          </w:p>
        </w:tc>
        <w:tc>
          <w:tcPr>
            <w:tcW w:w="850" w:type="dxa"/>
            <w:tcBorders>
              <w:top w:val="single" w:sz="6" w:space="0" w:color="auto"/>
              <w:left w:val="nil"/>
              <w:bottom w:val="single" w:sz="12"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19"/>
                <w:lang w:eastAsia="en-AU"/>
              </w:rPr>
              <w:t>499</w:t>
            </w:r>
          </w:p>
        </w:tc>
        <w:tc>
          <w:tcPr>
            <w:tcW w:w="850" w:type="dxa"/>
            <w:tcBorders>
              <w:top w:val="single" w:sz="6" w:space="0" w:color="auto"/>
              <w:left w:val="nil"/>
              <w:bottom w:val="single" w:sz="12"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19"/>
                <w:lang w:eastAsia="en-AU"/>
              </w:rPr>
              <w:t>499</w:t>
            </w:r>
          </w:p>
        </w:tc>
        <w:tc>
          <w:tcPr>
            <w:tcW w:w="850" w:type="dxa"/>
            <w:tcBorders>
              <w:top w:val="single" w:sz="6" w:space="0" w:color="auto"/>
              <w:left w:val="nil"/>
              <w:bottom w:val="single" w:sz="12"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19"/>
                <w:lang w:eastAsia="en-AU"/>
              </w:rPr>
              <w:t>499</w:t>
            </w:r>
          </w:p>
        </w:tc>
        <w:tc>
          <w:tcPr>
            <w:tcW w:w="851" w:type="dxa"/>
            <w:tcBorders>
              <w:top w:val="single" w:sz="6" w:space="0" w:color="auto"/>
              <w:left w:val="nil"/>
              <w:bottom w:val="single" w:sz="12"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19"/>
                <w:lang w:eastAsia="en-AU"/>
              </w:rPr>
              <w:t>498</w:t>
            </w:r>
          </w:p>
        </w:tc>
      </w:tr>
      <w:tr w:rsidR="005B5183" w:rsidRPr="00592D93" w:rsidTr="00C558E9">
        <w:tc>
          <w:tcPr>
            <w:tcW w:w="7766" w:type="dxa"/>
            <w:gridSpan w:val="5"/>
            <w:tcBorders>
              <w:top w:val="single" w:sz="12" w:space="0" w:color="auto"/>
              <w:left w:val="nil"/>
              <w:right w:val="nil"/>
            </w:tcBorders>
            <w:shd w:val="clear" w:color="auto" w:fill="FFFFFF"/>
          </w:tcPr>
          <w:p w:rsidR="005B5183" w:rsidRPr="00592D93" w:rsidRDefault="005B5183" w:rsidP="005B5183">
            <w:pPr>
              <w:autoSpaceDE w:val="0"/>
              <w:autoSpaceDN w:val="0"/>
              <w:adjustRightInd w:val="0"/>
              <w:spacing w:after="0"/>
              <w:ind w:left="227" w:hanging="227"/>
              <w:rPr>
                <w:rFonts w:ascii="Calibri" w:eastAsiaTheme="minorEastAsia" w:hAnsi="Calibri" w:cs="Calibri"/>
                <w:color w:val="000000"/>
                <w:sz w:val="19"/>
                <w:lang w:eastAsia="en-AU"/>
              </w:rPr>
            </w:pPr>
            <w:r w:rsidRPr="00592D93">
              <w:rPr>
                <w:rFonts w:ascii="Calibri" w:eastAsiaTheme="minorEastAsia" w:hAnsi="Calibri" w:cs="Calibri"/>
                <w:b/>
                <w:bCs/>
                <w:color w:val="000000"/>
                <w:sz w:val="19"/>
                <w:lang w:eastAsia="en-AU"/>
              </w:rPr>
              <w:t>Equity</w:t>
            </w:r>
          </w:p>
        </w:tc>
      </w:tr>
      <w:tr w:rsidR="002C39A3" w:rsidRPr="00592D93" w:rsidTr="005B5183">
        <w:tc>
          <w:tcPr>
            <w:tcW w:w="4365" w:type="dxa"/>
            <w:tcBorders>
              <w:top w:val="nil"/>
              <w:left w:val="nil"/>
              <w:right w:val="nil"/>
            </w:tcBorders>
            <w:shd w:val="clear" w:color="auto" w:fill="FFFFFF"/>
          </w:tcPr>
          <w:p w:rsidR="002C39A3" w:rsidRPr="00592D9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92D93">
              <w:rPr>
                <w:rFonts w:ascii="Calibri" w:eastAsiaTheme="minorEastAsia" w:hAnsi="Calibri" w:cs="Calibri"/>
                <w:color w:val="000000"/>
                <w:sz w:val="19"/>
                <w:lang w:eastAsia="en-AU"/>
              </w:rPr>
              <w:t>Accumulated surplus/(deficit)</w:t>
            </w:r>
          </w:p>
        </w:tc>
        <w:tc>
          <w:tcPr>
            <w:tcW w:w="850" w:type="dxa"/>
            <w:tcBorders>
              <w:top w:val="nil"/>
              <w:left w:val="nil"/>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48</w:t>
            </w:r>
          </w:p>
        </w:tc>
        <w:tc>
          <w:tcPr>
            <w:tcW w:w="850" w:type="dxa"/>
            <w:tcBorders>
              <w:top w:val="nil"/>
              <w:left w:val="nil"/>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47</w:t>
            </w:r>
          </w:p>
        </w:tc>
        <w:tc>
          <w:tcPr>
            <w:tcW w:w="850" w:type="dxa"/>
            <w:tcBorders>
              <w:top w:val="nil"/>
              <w:left w:val="nil"/>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47</w:t>
            </w:r>
          </w:p>
        </w:tc>
        <w:tc>
          <w:tcPr>
            <w:tcW w:w="851" w:type="dxa"/>
            <w:tcBorders>
              <w:top w:val="nil"/>
              <w:left w:val="nil"/>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47</w:t>
            </w:r>
          </w:p>
        </w:tc>
      </w:tr>
      <w:tr w:rsidR="002C39A3" w:rsidRPr="00592D93" w:rsidTr="005B5183">
        <w:tc>
          <w:tcPr>
            <w:tcW w:w="4365" w:type="dxa"/>
            <w:tcBorders>
              <w:top w:val="nil"/>
              <w:left w:val="nil"/>
              <w:right w:val="nil"/>
            </w:tcBorders>
            <w:shd w:val="clear" w:color="auto" w:fill="FFFFFF"/>
          </w:tcPr>
          <w:p w:rsidR="002C39A3" w:rsidRPr="00592D9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92D93">
              <w:rPr>
                <w:rFonts w:ascii="Calibri" w:eastAsiaTheme="minorEastAsia" w:hAnsi="Calibri" w:cs="Calibri"/>
                <w:color w:val="000000"/>
                <w:sz w:val="19"/>
                <w:lang w:eastAsia="en-AU"/>
              </w:rPr>
              <w:t>Reserves</w:t>
            </w:r>
          </w:p>
        </w:tc>
        <w:tc>
          <w:tcPr>
            <w:tcW w:w="850" w:type="dxa"/>
            <w:tcBorders>
              <w:top w:val="nil"/>
              <w:left w:val="nil"/>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278</w:t>
            </w:r>
          </w:p>
        </w:tc>
        <w:tc>
          <w:tcPr>
            <w:tcW w:w="850" w:type="dxa"/>
            <w:tcBorders>
              <w:top w:val="nil"/>
              <w:left w:val="nil"/>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278</w:t>
            </w:r>
          </w:p>
        </w:tc>
        <w:tc>
          <w:tcPr>
            <w:tcW w:w="850" w:type="dxa"/>
            <w:tcBorders>
              <w:top w:val="nil"/>
              <w:left w:val="nil"/>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278</w:t>
            </w:r>
          </w:p>
        </w:tc>
        <w:tc>
          <w:tcPr>
            <w:tcW w:w="851" w:type="dxa"/>
            <w:tcBorders>
              <w:top w:val="nil"/>
              <w:left w:val="nil"/>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278</w:t>
            </w:r>
          </w:p>
        </w:tc>
      </w:tr>
      <w:tr w:rsidR="002C39A3" w:rsidRPr="00592D93" w:rsidTr="005B5183">
        <w:tc>
          <w:tcPr>
            <w:tcW w:w="4365" w:type="dxa"/>
            <w:tcBorders>
              <w:top w:val="nil"/>
              <w:left w:val="nil"/>
              <w:bottom w:val="single" w:sz="6" w:space="0" w:color="auto"/>
              <w:right w:val="nil"/>
            </w:tcBorders>
            <w:shd w:val="clear" w:color="auto" w:fill="FFFFFF"/>
          </w:tcPr>
          <w:p w:rsidR="002C39A3" w:rsidRPr="00592D9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592D93">
              <w:rPr>
                <w:rFonts w:ascii="Calibri" w:eastAsiaTheme="minorEastAsia" w:hAnsi="Calibri" w:cs="Calibri"/>
                <w:color w:val="000000"/>
                <w:sz w:val="19"/>
                <w:lang w:eastAsia="en-AU"/>
              </w:rPr>
              <w:t>Contributed capital</w:t>
            </w:r>
          </w:p>
        </w:tc>
        <w:tc>
          <w:tcPr>
            <w:tcW w:w="850" w:type="dxa"/>
            <w:tcBorders>
              <w:top w:val="nil"/>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173</w:t>
            </w:r>
          </w:p>
        </w:tc>
        <w:tc>
          <w:tcPr>
            <w:tcW w:w="850" w:type="dxa"/>
            <w:tcBorders>
              <w:top w:val="nil"/>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173</w:t>
            </w:r>
          </w:p>
        </w:tc>
        <w:tc>
          <w:tcPr>
            <w:tcW w:w="850" w:type="dxa"/>
            <w:tcBorders>
              <w:top w:val="nil"/>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173</w:t>
            </w:r>
          </w:p>
        </w:tc>
        <w:tc>
          <w:tcPr>
            <w:tcW w:w="851" w:type="dxa"/>
            <w:tcBorders>
              <w:top w:val="nil"/>
              <w:left w:val="nil"/>
              <w:bottom w:val="single" w:sz="6"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19"/>
                <w:lang w:eastAsia="en-AU"/>
              </w:rPr>
              <w:t>173</w:t>
            </w:r>
          </w:p>
        </w:tc>
      </w:tr>
      <w:tr w:rsidR="002C39A3" w:rsidRPr="00592D93" w:rsidTr="005B5183">
        <w:tc>
          <w:tcPr>
            <w:tcW w:w="4365" w:type="dxa"/>
            <w:tcBorders>
              <w:top w:val="single" w:sz="6" w:space="0" w:color="auto"/>
              <w:left w:val="nil"/>
              <w:bottom w:val="single" w:sz="12" w:space="0" w:color="auto"/>
              <w:right w:val="nil"/>
            </w:tcBorders>
            <w:shd w:val="clear" w:color="auto" w:fill="FFFFFF"/>
          </w:tcPr>
          <w:p w:rsidR="002C39A3" w:rsidRPr="00592D9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592D93">
              <w:rPr>
                <w:rFonts w:ascii="Calibri" w:eastAsiaTheme="minorEastAsia" w:hAnsi="Calibri" w:cs="Calibri"/>
                <w:b/>
                <w:bCs/>
                <w:color w:val="000000"/>
                <w:sz w:val="19"/>
                <w:lang w:eastAsia="en-AU"/>
              </w:rPr>
              <w:t>Total equity</w:t>
            </w:r>
          </w:p>
        </w:tc>
        <w:tc>
          <w:tcPr>
            <w:tcW w:w="850" w:type="dxa"/>
            <w:tcBorders>
              <w:top w:val="single" w:sz="6" w:space="0" w:color="auto"/>
              <w:left w:val="nil"/>
              <w:bottom w:val="single" w:sz="12"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19"/>
                <w:lang w:eastAsia="en-AU"/>
              </w:rPr>
              <w:t>499</w:t>
            </w:r>
          </w:p>
        </w:tc>
        <w:tc>
          <w:tcPr>
            <w:tcW w:w="850" w:type="dxa"/>
            <w:tcBorders>
              <w:top w:val="single" w:sz="6" w:space="0" w:color="auto"/>
              <w:left w:val="nil"/>
              <w:bottom w:val="single" w:sz="12"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19"/>
                <w:lang w:eastAsia="en-AU"/>
              </w:rPr>
              <w:t>499</w:t>
            </w:r>
          </w:p>
        </w:tc>
        <w:tc>
          <w:tcPr>
            <w:tcW w:w="850" w:type="dxa"/>
            <w:tcBorders>
              <w:top w:val="single" w:sz="6" w:space="0" w:color="auto"/>
              <w:left w:val="nil"/>
              <w:bottom w:val="single" w:sz="12"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19"/>
                <w:lang w:eastAsia="en-AU"/>
              </w:rPr>
              <w:t>499</w:t>
            </w:r>
          </w:p>
        </w:tc>
        <w:tc>
          <w:tcPr>
            <w:tcW w:w="851" w:type="dxa"/>
            <w:tcBorders>
              <w:top w:val="single" w:sz="6" w:space="0" w:color="auto"/>
              <w:left w:val="nil"/>
              <w:bottom w:val="single" w:sz="12" w:space="0" w:color="auto"/>
              <w:right w:val="nil"/>
            </w:tcBorders>
            <w:shd w:val="clear" w:color="auto" w:fill="FFFFFF"/>
          </w:tcPr>
          <w:p w:rsidR="002C39A3" w:rsidRPr="00592D93" w:rsidRDefault="00C558E9" w:rsidP="00361FA9">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19"/>
                <w:lang w:eastAsia="en-AU"/>
              </w:rPr>
              <w:t>498</w:t>
            </w:r>
          </w:p>
        </w:tc>
      </w:tr>
    </w:tbl>
    <w:p w:rsidR="002C39A3" w:rsidRDefault="002C39A3" w:rsidP="00361FA9">
      <w:pPr>
        <w:pStyle w:val="Source"/>
        <w:rPr>
          <w:rFonts w:eastAsiaTheme="minorHAnsi"/>
        </w:rPr>
      </w:pPr>
      <w:r w:rsidRPr="00B82AEA">
        <w:rPr>
          <w:rFonts w:eastAsiaTheme="minorHAnsi"/>
        </w:rPr>
        <w:t>Sources: Parliament of Victoria, Victorian Auditor</w:t>
      </w:r>
      <w:r>
        <w:rPr>
          <w:rFonts w:eastAsiaTheme="minorHAnsi"/>
        </w:rPr>
        <w:noBreakHyphen/>
      </w:r>
      <w:r w:rsidRPr="00B82AEA">
        <w:rPr>
          <w:rFonts w:eastAsiaTheme="minorHAnsi"/>
        </w:rPr>
        <w:t>General</w:t>
      </w:r>
      <w:r w:rsidR="0097550F">
        <w:rPr>
          <w:rFonts w:eastAsiaTheme="minorHAnsi"/>
        </w:rPr>
        <w:t>’</w:t>
      </w:r>
      <w:r w:rsidRPr="00B82AEA">
        <w:rPr>
          <w:rFonts w:eastAsiaTheme="minorHAnsi"/>
        </w:rPr>
        <w:t>s Office, and Department of Treasury and Finance</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3.8.3:</w:t>
      </w:r>
      <w:r>
        <w:rPr>
          <w:rFonts w:eastAsiaTheme="minorHAnsi"/>
        </w:rPr>
        <w:tab/>
        <w:t>Statement of cash flows</w:t>
      </w:r>
    </w:p>
    <w:p w:rsidR="002C39A3" w:rsidRPr="00AC6103" w:rsidRDefault="002C39A3" w:rsidP="00361FA9">
      <w:pPr>
        <w:pStyle w:val="million"/>
        <w:rPr>
          <w:rFonts w:eastAsiaTheme="minorEastAsia"/>
          <w:lang w:val="en-US" w:eastAsia="en-AU"/>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4394"/>
        <w:gridCol w:w="822"/>
        <w:gridCol w:w="850"/>
        <w:gridCol w:w="850"/>
        <w:gridCol w:w="850"/>
      </w:tblGrid>
      <w:tr w:rsidR="00C558E9" w:rsidRPr="00AC6103" w:rsidTr="00C558E9">
        <w:trPr>
          <w:trHeight w:val="464"/>
          <w:tblHeader/>
        </w:trPr>
        <w:tc>
          <w:tcPr>
            <w:tcW w:w="4394" w:type="dxa"/>
            <w:tcBorders>
              <w:left w:val="nil"/>
              <w:right w:val="nil"/>
            </w:tcBorders>
            <w:shd w:val="solid" w:color="000000" w:fill="auto"/>
            <w:vAlign w:val="bottom"/>
          </w:tcPr>
          <w:p w:rsidR="00C558E9" w:rsidRPr="00AC6103" w:rsidRDefault="00C558E9" w:rsidP="00C558E9">
            <w:pPr>
              <w:pStyle w:val="Source"/>
              <w:spacing w:after="0"/>
              <w:rPr>
                <w:rFonts w:eastAsiaTheme="minorEastAsia" w:cs="Calibri"/>
                <w:color w:val="FFFFFF"/>
                <w:sz w:val="19"/>
                <w:lang w:eastAsia="en-AU"/>
              </w:rPr>
            </w:pPr>
          </w:p>
        </w:tc>
        <w:tc>
          <w:tcPr>
            <w:tcW w:w="822" w:type="dxa"/>
            <w:tcBorders>
              <w:left w:val="nil"/>
              <w:right w:val="nil"/>
            </w:tcBorders>
            <w:shd w:val="solid" w:color="000000" w:fill="auto"/>
            <w:vAlign w:val="bottom"/>
          </w:tcPr>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2014-15</w:t>
            </w:r>
          </w:p>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actual</w:t>
            </w:r>
          </w:p>
        </w:tc>
        <w:tc>
          <w:tcPr>
            <w:tcW w:w="850" w:type="dxa"/>
            <w:tcBorders>
              <w:left w:val="nil"/>
              <w:right w:val="nil"/>
            </w:tcBorders>
            <w:shd w:val="solid" w:color="000000" w:fill="auto"/>
            <w:vAlign w:val="bottom"/>
          </w:tcPr>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2016-17</w:t>
            </w:r>
          </w:p>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r>
      <w:tr w:rsidR="00C558E9" w:rsidRPr="00AC6103" w:rsidTr="00C558E9">
        <w:tc>
          <w:tcPr>
            <w:tcW w:w="7766" w:type="dxa"/>
            <w:gridSpan w:val="5"/>
            <w:tcBorders>
              <w:top w:val="single" w:sz="6" w:space="0" w:color="auto"/>
              <w:left w:val="nil"/>
              <w:right w:val="nil"/>
            </w:tcBorders>
            <w:shd w:val="clear" w:color="auto" w:fill="FFFFFF"/>
          </w:tcPr>
          <w:p w:rsidR="00C558E9" w:rsidRPr="00AC6103" w:rsidRDefault="00C558E9" w:rsidP="00C558E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Cash flows from operating activities</w:t>
            </w:r>
          </w:p>
        </w:tc>
      </w:tr>
      <w:tr w:rsidR="00C558E9" w:rsidRPr="00AC6103" w:rsidTr="00C558E9">
        <w:tc>
          <w:tcPr>
            <w:tcW w:w="7766" w:type="dxa"/>
            <w:gridSpan w:val="5"/>
            <w:tcBorders>
              <w:top w:val="nil"/>
              <w:left w:val="nil"/>
              <w:right w:val="nil"/>
            </w:tcBorders>
            <w:shd w:val="clear" w:color="auto" w:fill="FFFFFF"/>
          </w:tcPr>
          <w:p w:rsidR="00C558E9" w:rsidRPr="00AC6103" w:rsidRDefault="00C558E9" w:rsidP="00C558E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Receipts</w:t>
            </w:r>
          </w:p>
        </w:tc>
      </w:tr>
      <w:tr w:rsidR="002C39A3" w:rsidRPr="00AC6103" w:rsidTr="00361FA9">
        <w:tc>
          <w:tcPr>
            <w:tcW w:w="4394"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Receipts from Government</w:t>
            </w:r>
          </w:p>
        </w:tc>
        <w:tc>
          <w:tcPr>
            <w:tcW w:w="822"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171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174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171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215</w:t>
            </w:r>
          </w:p>
        </w:tc>
      </w:tr>
      <w:tr w:rsidR="002C39A3" w:rsidRPr="00AC6103" w:rsidTr="00361FA9">
        <w:tc>
          <w:tcPr>
            <w:tcW w:w="4394"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Receipts from other entities</w:t>
            </w:r>
          </w:p>
        </w:tc>
        <w:tc>
          <w:tcPr>
            <w:tcW w:w="822"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94"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receipts</w:t>
            </w:r>
          </w:p>
        </w:tc>
        <w:tc>
          <w:tcPr>
            <w:tcW w:w="822"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172</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174</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171</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215</w:t>
            </w:r>
          </w:p>
        </w:tc>
      </w:tr>
      <w:tr w:rsidR="002C39A3" w:rsidRPr="00AC6103" w:rsidTr="00361FA9">
        <w:tc>
          <w:tcPr>
            <w:tcW w:w="4394"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 xml:space="preserve">Payments </w:t>
            </w:r>
          </w:p>
        </w:tc>
        <w:tc>
          <w:tcPr>
            <w:tcW w:w="822"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 xml:space="preserve"> </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 xml:space="preserve"> </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 xml:space="preserve"> </w:t>
            </w:r>
          </w:p>
        </w:tc>
      </w:tr>
      <w:tr w:rsidR="002C39A3" w:rsidRPr="00AC6103" w:rsidTr="00361FA9">
        <w:tc>
          <w:tcPr>
            <w:tcW w:w="4394"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Payments to suppliers and employees</w:t>
            </w:r>
          </w:p>
        </w:tc>
        <w:tc>
          <w:tcPr>
            <w:tcW w:w="822"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(151)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(166)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(164)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(182)</w:t>
            </w:r>
          </w:p>
        </w:tc>
      </w:tr>
      <w:tr w:rsidR="002C39A3" w:rsidRPr="00AC6103" w:rsidTr="00361FA9">
        <w:tc>
          <w:tcPr>
            <w:tcW w:w="4394"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Capital asset charge</w:t>
            </w:r>
          </w:p>
        </w:tc>
        <w:tc>
          <w:tcPr>
            <w:tcW w:w="822"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r>
      <w:tr w:rsidR="002C39A3" w:rsidRPr="00AC6103" w:rsidTr="00361FA9">
        <w:tc>
          <w:tcPr>
            <w:tcW w:w="4394"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payments</w:t>
            </w:r>
          </w:p>
        </w:tc>
        <w:tc>
          <w:tcPr>
            <w:tcW w:w="822"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(153)</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(169)</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(167)</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(185)</w:t>
            </w:r>
          </w:p>
        </w:tc>
      </w:tr>
      <w:tr w:rsidR="002C39A3" w:rsidRPr="00AC6103" w:rsidTr="00361FA9">
        <w:tc>
          <w:tcPr>
            <w:tcW w:w="4394"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cash flows from/(used in) operating activities</w:t>
            </w:r>
          </w:p>
        </w:tc>
        <w:tc>
          <w:tcPr>
            <w:tcW w:w="822"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19</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29</w:t>
            </w:r>
          </w:p>
        </w:tc>
      </w:tr>
      <w:tr w:rsidR="00C558E9" w:rsidRPr="00AC6103" w:rsidTr="00C558E9">
        <w:tc>
          <w:tcPr>
            <w:tcW w:w="7766" w:type="dxa"/>
            <w:gridSpan w:val="5"/>
            <w:tcBorders>
              <w:top w:val="nil"/>
              <w:left w:val="nil"/>
              <w:right w:val="nil"/>
            </w:tcBorders>
            <w:shd w:val="clear" w:color="auto" w:fill="FFFFFF"/>
          </w:tcPr>
          <w:p w:rsidR="00C558E9" w:rsidRPr="00AC6103" w:rsidRDefault="00C558E9" w:rsidP="00C558E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Cash flows from investing activities</w:t>
            </w:r>
          </w:p>
        </w:tc>
      </w:tr>
      <w:tr w:rsidR="002C39A3" w:rsidRPr="00AC6103" w:rsidTr="00361FA9">
        <w:tc>
          <w:tcPr>
            <w:tcW w:w="4394"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Payments for non-financial assets</w:t>
            </w:r>
          </w:p>
        </w:tc>
        <w:tc>
          <w:tcPr>
            <w:tcW w:w="822"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(29)</w:t>
            </w:r>
          </w:p>
        </w:tc>
      </w:tr>
      <w:tr w:rsidR="002C39A3" w:rsidRPr="00AC6103" w:rsidTr="00361FA9">
        <w:tc>
          <w:tcPr>
            <w:tcW w:w="4394"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Proceeds from sale of non-financial assets</w:t>
            </w:r>
          </w:p>
        </w:tc>
        <w:tc>
          <w:tcPr>
            <w:tcW w:w="822"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94"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cash flow from/(used in) investing activities</w:t>
            </w:r>
          </w:p>
        </w:tc>
        <w:tc>
          <w:tcPr>
            <w:tcW w:w="822"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(20)</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(29)</w:t>
            </w:r>
          </w:p>
        </w:tc>
      </w:tr>
      <w:tr w:rsidR="00C558E9" w:rsidRPr="00AC6103" w:rsidTr="00C558E9">
        <w:tc>
          <w:tcPr>
            <w:tcW w:w="7766" w:type="dxa"/>
            <w:gridSpan w:val="5"/>
            <w:tcBorders>
              <w:top w:val="nil"/>
              <w:left w:val="nil"/>
              <w:right w:val="nil"/>
            </w:tcBorders>
            <w:shd w:val="clear" w:color="auto" w:fill="FFFFFF"/>
          </w:tcPr>
          <w:p w:rsidR="00C558E9" w:rsidRPr="00AC6103" w:rsidRDefault="00C558E9" w:rsidP="00C558E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Cash flows from financing activities</w:t>
            </w:r>
          </w:p>
        </w:tc>
      </w:tr>
      <w:tr w:rsidR="002C39A3" w:rsidRPr="00AC6103" w:rsidTr="00361FA9">
        <w:tc>
          <w:tcPr>
            <w:tcW w:w="4394"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Owner contributions by State Government</w:t>
            </w:r>
          </w:p>
        </w:tc>
        <w:tc>
          <w:tcPr>
            <w:tcW w:w="822"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94"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cash flows from/(used in) financing activities</w:t>
            </w:r>
          </w:p>
        </w:tc>
        <w:tc>
          <w:tcPr>
            <w:tcW w:w="822"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c>
          <w:tcPr>
            <w:tcW w:w="4394" w:type="dxa"/>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increase/(decrease) in cash and cash equivalents</w:t>
            </w:r>
          </w:p>
        </w:tc>
        <w:tc>
          <w:tcPr>
            <w:tcW w:w="822" w:type="dxa"/>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single" w:sz="12"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361FA9">
        <w:tc>
          <w:tcPr>
            <w:tcW w:w="4394"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Cash and cash equivalents at the beginning of the financial year</w:t>
            </w:r>
          </w:p>
        </w:tc>
        <w:tc>
          <w:tcPr>
            <w:tcW w:w="822"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solid" w:color="FFFFFF"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r>
      <w:tr w:rsidR="002C39A3" w:rsidRPr="00AC6103" w:rsidTr="00C558E9">
        <w:tc>
          <w:tcPr>
            <w:tcW w:w="4395"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Cash and cash equivale</w:t>
            </w:r>
            <w:r w:rsidR="00C558E9">
              <w:rPr>
                <w:rFonts w:ascii="Calibri" w:eastAsiaTheme="minorEastAsia" w:hAnsi="Calibri" w:cs="Calibri"/>
                <w:b/>
                <w:bCs/>
                <w:color w:val="000000"/>
                <w:sz w:val="19"/>
                <w:lang w:eastAsia="en-AU"/>
              </w:rPr>
              <w:t>nts at the end of the financial </w:t>
            </w:r>
            <w:r w:rsidRPr="00AC6103">
              <w:rPr>
                <w:rFonts w:ascii="Calibri" w:eastAsiaTheme="minorEastAsia" w:hAnsi="Calibri" w:cs="Calibri"/>
                <w:b/>
                <w:bCs/>
                <w:color w:val="000000"/>
                <w:sz w:val="19"/>
                <w:lang w:eastAsia="en-AU"/>
              </w:rPr>
              <w:t>year</w:t>
            </w:r>
          </w:p>
        </w:tc>
        <w:tc>
          <w:tcPr>
            <w:tcW w:w="821"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000000"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bl>
    <w:p w:rsidR="002C39A3" w:rsidRDefault="002C39A3" w:rsidP="00361FA9">
      <w:pPr>
        <w:pStyle w:val="Source"/>
        <w:rPr>
          <w:rFonts w:eastAsiaTheme="minorHAnsi"/>
        </w:rPr>
      </w:pPr>
      <w:r w:rsidRPr="00B82AEA">
        <w:rPr>
          <w:rFonts w:eastAsiaTheme="minorHAnsi"/>
        </w:rPr>
        <w:t>Sources: Parliament of Victoria, Victorian Auditor</w:t>
      </w:r>
      <w:r>
        <w:rPr>
          <w:rFonts w:eastAsiaTheme="minorHAnsi"/>
        </w:rPr>
        <w:noBreakHyphen/>
      </w:r>
      <w:r w:rsidRPr="00B82AEA">
        <w:rPr>
          <w:rFonts w:eastAsiaTheme="minorHAnsi"/>
        </w:rPr>
        <w:t>General</w:t>
      </w:r>
      <w:r w:rsidR="0097550F">
        <w:rPr>
          <w:rFonts w:eastAsiaTheme="minorHAnsi"/>
        </w:rPr>
        <w:t>’</w:t>
      </w:r>
      <w:r w:rsidRPr="00B82AEA">
        <w:rPr>
          <w:rFonts w:eastAsiaTheme="minorHAnsi"/>
        </w:rPr>
        <w:t>s Office, and Department of Treasury and Finance</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3.8.4:</w:t>
      </w:r>
      <w:r>
        <w:rPr>
          <w:rFonts w:eastAsiaTheme="minorHAnsi"/>
        </w:rPr>
        <w:tab/>
        <w:t>Statement of changes in equity</w:t>
      </w:r>
    </w:p>
    <w:p w:rsidR="002C39A3" w:rsidRPr="00AC6103" w:rsidRDefault="002C39A3" w:rsidP="00361FA9">
      <w:pPr>
        <w:pStyle w:val="million"/>
        <w:rPr>
          <w:rFonts w:eastAsiaTheme="minorHAnsi"/>
          <w:b/>
          <w:bCs/>
          <w:lang w:val="en-US"/>
        </w:rPr>
      </w:pPr>
      <w:r>
        <w:rPr>
          <w:rFonts w:eastAsiaTheme="minorHAnsi"/>
        </w:rPr>
        <w:t>($ million)</w:t>
      </w:r>
    </w:p>
    <w:tbl>
      <w:tblPr>
        <w:tblW w:w="7760" w:type="dxa"/>
        <w:tblInd w:w="45" w:type="dxa"/>
        <w:tblLayout w:type="fixed"/>
        <w:tblCellMar>
          <w:left w:w="45" w:type="dxa"/>
          <w:right w:w="45" w:type="dxa"/>
        </w:tblCellMar>
        <w:tblLook w:val="0000" w:firstRow="0" w:lastRow="0" w:firstColumn="0" w:lastColumn="0" w:noHBand="0" w:noVBand="0"/>
      </w:tblPr>
      <w:tblGrid>
        <w:gridCol w:w="2551"/>
        <w:gridCol w:w="567"/>
        <w:gridCol w:w="850"/>
        <w:gridCol w:w="1134"/>
        <w:gridCol w:w="1071"/>
        <w:gridCol w:w="771"/>
        <w:gridCol w:w="816"/>
      </w:tblGrid>
      <w:tr w:rsidR="002C39A3" w:rsidRPr="00AC6103" w:rsidTr="00361FA9">
        <w:trPr>
          <w:tblHeader/>
        </w:trPr>
        <w:tc>
          <w:tcPr>
            <w:tcW w:w="2551" w:type="dxa"/>
            <w:tcBorders>
              <w:left w:val="nil"/>
              <w:bottom w:val="single" w:sz="6" w:space="0" w:color="auto"/>
              <w:right w:val="nil"/>
            </w:tcBorders>
            <w:shd w:val="solid" w:color="000000" w:fill="auto"/>
            <w:vAlign w:val="bottom"/>
          </w:tcPr>
          <w:p w:rsidR="002C39A3" w:rsidRPr="00AC6103" w:rsidRDefault="002C39A3" w:rsidP="00361FA9">
            <w:pPr>
              <w:pStyle w:val="million"/>
              <w:jc w:val="left"/>
              <w:rPr>
                <w:rFonts w:eastAsiaTheme="minorEastAsia" w:cs="Calibri"/>
                <w:color w:val="FFFFFF"/>
                <w:sz w:val="19"/>
                <w:lang w:eastAsia="en-AU"/>
              </w:rPr>
            </w:pPr>
            <w:r w:rsidRPr="00AC6103">
              <w:rPr>
                <w:rFonts w:eastAsiaTheme="minorEastAsia" w:cs="Calibri"/>
                <w:color w:val="FFFFFF"/>
                <w:sz w:val="19"/>
                <w:lang w:eastAsia="en-AU"/>
              </w:rPr>
              <w:t xml:space="preserve"> </w:t>
            </w:r>
          </w:p>
        </w:tc>
        <w:tc>
          <w:tcPr>
            <w:tcW w:w="1417" w:type="dxa"/>
            <w:gridSpan w:val="2"/>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Accumulated surplus/(deficit)</w:t>
            </w:r>
          </w:p>
        </w:tc>
        <w:tc>
          <w:tcPr>
            <w:tcW w:w="1134" w:type="dxa"/>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Contributions by owner</w:t>
            </w:r>
          </w:p>
        </w:tc>
        <w:tc>
          <w:tcPr>
            <w:tcW w:w="1071" w:type="dxa"/>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Revaluation surplus</w:t>
            </w:r>
          </w:p>
        </w:tc>
        <w:tc>
          <w:tcPr>
            <w:tcW w:w="771" w:type="dxa"/>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Other reserves</w:t>
            </w:r>
          </w:p>
        </w:tc>
        <w:tc>
          <w:tcPr>
            <w:tcW w:w="816" w:type="dxa"/>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 xml:space="preserve">Total equity </w:t>
            </w:r>
          </w:p>
        </w:tc>
      </w:tr>
      <w:tr w:rsidR="002C39A3" w:rsidRPr="00AC6103" w:rsidTr="00361FA9">
        <w:tc>
          <w:tcPr>
            <w:tcW w:w="3118" w:type="dxa"/>
            <w:gridSpan w:val="2"/>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Opening balance 1 July 2014</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44</w:t>
            </w:r>
          </w:p>
        </w:tc>
        <w:tc>
          <w:tcPr>
            <w:tcW w:w="1134"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171</w:t>
            </w:r>
          </w:p>
        </w:tc>
        <w:tc>
          <w:tcPr>
            <w:tcW w:w="10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278</w:t>
            </w:r>
          </w:p>
        </w:tc>
        <w:tc>
          <w:tcPr>
            <w:tcW w:w="7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16"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493</w:t>
            </w:r>
          </w:p>
        </w:tc>
      </w:tr>
      <w:tr w:rsidR="002C39A3" w:rsidRPr="00AC6103" w:rsidTr="00361FA9">
        <w:tc>
          <w:tcPr>
            <w:tcW w:w="3118"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w:t>
            </w:r>
          </w:p>
        </w:tc>
        <w:tc>
          <w:tcPr>
            <w:tcW w:w="1134"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w:t>
            </w:r>
          </w:p>
        </w:tc>
      </w:tr>
      <w:tr w:rsidR="002C39A3" w:rsidRPr="00AC6103" w:rsidTr="00361FA9">
        <w:tc>
          <w:tcPr>
            <w:tcW w:w="3118"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134"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w:t>
            </w:r>
          </w:p>
        </w:tc>
        <w:tc>
          <w:tcPr>
            <w:tcW w:w="10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w:t>
            </w:r>
          </w:p>
        </w:tc>
      </w:tr>
      <w:tr w:rsidR="002C39A3" w:rsidRPr="00AC6103" w:rsidTr="00361FA9">
        <w:tc>
          <w:tcPr>
            <w:tcW w:w="3118" w:type="dxa"/>
            <w:gridSpan w:val="2"/>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Closing balance 30 June 2015 (actual)</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48</w:t>
            </w:r>
          </w:p>
        </w:tc>
        <w:tc>
          <w:tcPr>
            <w:tcW w:w="1134"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173</w:t>
            </w:r>
          </w:p>
        </w:tc>
        <w:tc>
          <w:tcPr>
            <w:tcW w:w="10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278</w:t>
            </w:r>
          </w:p>
        </w:tc>
        <w:tc>
          <w:tcPr>
            <w:tcW w:w="7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16"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499</w:t>
            </w:r>
          </w:p>
        </w:tc>
      </w:tr>
      <w:tr w:rsidR="002C39A3" w:rsidRPr="00AC6103" w:rsidTr="00361FA9">
        <w:tc>
          <w:tcPr>
            <w:tcW w:w="3118"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1134"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w:t>
            </w:r>
          </w:p>
        </w:tc>
      </w:tr>
      <w:tr w:rsidR="002C39A3" w:rsidRPr="00AC6103" w:rsidTr="00361FA9">
        <w:tc>
          <w:tcPr>
            <w:tcW w:w="3118"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134"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c>
          <w:tcPr>
            <w:tcW w:w="3118" w:type="dxa"/>
            <w:gridSpan w:val="2"/>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Closing balance 30 June 2016 (budget)</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47</w:t>
            </w:r>
          </w:p>
        </w:tc>
        <w:tc>
          <w:tcPr>
            <w:tcW w:w="1134"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173</w:t>
            </w:r>
          </w:p>
        </w:tc>
        <w:tc>
          <w:tcPr>
            <w:tcW w:w="10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278</w:t>
            </w:r>
          </w:p>
        </w:tc>
        <w:tc>
          <w:tcPr>
            <w:tcW w:w="7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16"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499</w:t>
            </w:r>
          </w:p>
        </w:tc>
      </w:tr>
      <w:tr w:rsidR="002C39A3" w:rsidRPr="00AC6103" w:rsidTr="00361FA9">
        <w:tc>
          <w:tcPr>
            <w:tcW w:w="3118"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1134"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w:t>
            </w:r>
          </w:p>
        </w:tc>
      </w:tr>
      <w:tr w:rsidR="002C39A3" w:rsidRPr="00AC6103" w:rsidTr="00361FA9">
        <w:tc>
          <w:tcPr>
            <w:tcW w:w="3118"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134"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c>
          <w:tcPr>
            <w:tcW w:w="3118" w:type="dxa"/>
            <w:gridSpan w:val="2"/>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Closing balance 30 June 2016 (revised)</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47</w:t>
            </w:r>
          </w:p>
        </w:tc>
        <w:tc>
          <w:tcPr>
            <w:tcW w:w="1134"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173</w:t>
            </w:r>
          </w:p>
        </w:tc>
        <w:tc>
          <w:tcPr>
            <w:tcW w:w="10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278</w:t>
            </w:r>
          </w:p>
        </w:tc>
        <w:tc>
          <w:tcPr>
            <w:tcW w:w="7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16"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499</w:t>
            </w:r>
          </w:p>
        </w:tc>
      </w:tr>
      <w:tr w:rsidR="002C39A3" w:rsidRPr="00AC6103" w:rsidTr="00361FA9">
        <w:tc>
          <w:tcPr>
            <w:tcW w:w="3118"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134"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c>
          <w:tcPr>
            <w:tcW w:w="3118"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134"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c>
          <w:tcPr>
            <w:tcW w:w="3118" w:type="dxa"/>
            <w:gridSpan w:val="2"/>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Closing balance 30 June 2017 (budget)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47</w:t>
            </w:r>
          </w:p>
        </w:tc>
        <w:tc>
          <w:tcPr>
            <w:tcW w:w="1134"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173</w:t>
            </w:r>
          </w:p>
        </w:tc>
        <w:tc>
          <w:tcPr>
            <w:tcW w:w="1071"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278</w:t>
            </w:r>
          </w:p>
        </w:tc>
        <w:tc>
          <w:tcPr>
            <w:tcW w:w="771"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16"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498</w:t>
            </w:r>
          </w:p>
        </w:tc>
      </w:tr>
    </w:tbl>
    <w:p w:rsidR="002C39A3" w:rsidRDefault="002C39A3" w:rsidP="00361FA9">
      <w:pPr>
        <w:pStyle w:val="Source"/>
        <w:rPr>
          <w:rFonts w:eastAsiaTheme="minorHAnsi"/>
        </w:rPr>
      </w:pPr>
      <w:r w:rsidRPr="00B82AEA">
        <w:rPr>
          <w:rFonts w:eastAsiaTheme="minorHAnsi"/>
        </w:rPr>
        <w:t>Sources: Parliament of Victoria, Victorian Auditor</w:t>
      </w:r>
      <w:r>
        <w:rPr>
          <w:rFonts w:eastAsiaTheme="minorHAnsi"/>
        </w:rPr>
        <w:noBreakHyphen/>
      </w:r>
      <w:r w:rsidRPr="00B82AEA">
        <w:rPr>
          <w:rFonts w:eastAsiaTheme="minorHAnsi"/>
        </w:rPr>
        <w:t>General</w:t>
      </w:r>
      <w:r w:rsidR="0097550F">
        <w:rPr>
          <w:rFonts w:eastAsiaTheme="minorHAnsi"/>
        </w:rPr>
        <w:t>’</w:t>
      </w:r>
      <w:r w:rsidRPr="00B82AEA">
        <w:rPr>
          <w:rFonts w:eastAsiaTheme="minorHAnsi"/>
        </w:rPr>
        <w:t>s Office, and Department of Treasury and Finance</w:t>
      </w:r>
    </w:p>
    <w:p w:rsidR="002C39A3" w:rsidRDefault="002C39A3" w:rsidP="00361FA9">
      <w:pPr>
        <w:pStyle w:val="million"/>
        <w:rPr>
          <w:rFonts w:eastAsiaTheme="minorHAnsi"/>
        </w:rPr>
      </w:pP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3.8.5:</w:t>
      </w:r>
      <w:r>
        <w:rPr>
          <w:rFonts w:eastAsiaTheme="minorHAnsi"/>
        </w:rPr>
        <w:tab/>
        <w:t>Administered items statement</w:t>
      </w:r>
    </w:p>
    <w:p w:rsidR="002C39A3" w:rsidRPr="00AC6103" w:rsidRDefault="002C39A3" w:rsidP="00361FA9">
      <w:pPr>
        <w:pStyle w:val="million"/>
        <w:rPr>
          <w:rFonts w:eastAsiaTheme="minorHAnsi"/>
          <w:b/>
          <w:bCs/>
          <w:sz w:val="15"/>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C558E9" w:rsidRPr="00AC6103" w:rsidTr="00C558E9">
        <w:trPr>
          <w:cantSplit/>
          <w:trHeight w:val="464"/>
          <w:tblHeader/>
        </w:trPr>
        <w:tc>
          <w:tcPr>
            <w:tcW w:w="4365" w:type="dxa"/>
            <w:tcBorders>
              <w:left w:val="nil"/>
              <w:right w:val="nil"/>
            </w:tcBorders>
            <w:shd w:val="solid" w:color="000000" w:fill="auto"/>
            <w:vAlign w:val="bottom"/>
          </w:tcPr>
          <w:p w:rsidR="00C558E9" w:rsidRPr="00AC6103" w:rsidRDefault="00C558E9" w:rsidP="00C558E9">
            <w:pPr>
              <w:pStyle w:val="Source"/>
              <w:spacing w:after="0"/>
              <w:rPr>
                <w:rFonts w:eastAsiaTheme="minorEastAsia" w:cs="Calibri"/>
                <w:color w:val="FFFFFF"/>
                <w:sz w:val="19"/>
                <w:lang w:eastAsia="en-AU"/>
              </w:rPr>
            </w:pPr>
          </w:p>
        </w:tc>
        <w:tc>
          <w:tcPr>
            <w:tcW w:w="850" w:type="dxa"/>
            <w:tcBorders>
              <w:left w:val="nil"/>
              <w:right w:val="nil"/>
            </w:tcBorders>
            <w:shd w:val="solid" w:color="000000" w:fill="auto"/>
            <w:vAlign w:val="bottom"/>
          </w:tcPr>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2014-15</w:t>
            </w:r>
          </w:p>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actual</w:t>
            </w:r>
          </w:p>
        </w:tc>
        <w:tc>
          <w:tcPr>
            <w:tcW w:w="850" w:type="dxa"/>
            <w:tcBorders>
              <w:left w:val="nil"/>
              <w:right w:val="nil"/>
            </w:tcBorders>
            <w:shd w:val="solid" w:color="000000" w:fill="auto"/>
            <w:vAlign w:val="bottom"/>
          </w:tcPr>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2016-17</w:t>
            </w:r>
          </w:p>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r>
      <w:tr w:rsidR="00C558E9" w:rsidRPr="00AC6103" w:rsidTr="00C558E9">
        <w:trPr>
          <w:cantSplit/>
        </w:trPr>
        <w:tc>
          <w:tcPr>
            <w:tcW w:w="7765" w:type="dxa"/>
            <w:gridSpan w:val="5"/>
            <w:tcBorders>
              <w:top w:val="single" w:sz="6" w:space="0" w:color="auto"/>
              <w:left w:val="nil"/>
              <w:right w:val="nil"/>
            </w:tcBorders>
            <w:shd w:val="clear" w:color="auto" w:fill="FFFFFF"/>
          </w:tcPr>
          <w:p w:rsidR="00C558E9" w:rsidRPr="00AC6103" w:rsidRDefault="00C558E9" w:rsidP="00C558E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Administered income</w:t>
            </w:r>
          </w:p>
        </w:tc>
      </w:tr>
      <w:tr w:rsidR="002C39A3" w:rsidRPr="00AC6103" w:rsidTr="00361FA9">
        <w:trPr>
          <w:cantSplit/>
        </w:trPr>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Sale of goods and services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24</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24</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24</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26</w:t>
            </w:r>
          </w:p>
        </w:tc>
      </w:tr>
      <w:tr w:rsidR="002C39A3" w:rsidRPr="00AC6103" w:rsidTr="00361FA9">
        <w:trPr>
          <w:cantSplit/>
        </w:trPr>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administered income</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24</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24</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24</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26</w:t>
            </w:r>
          </w:p>
        </w:tc>
      </w:tr>
      <w:tr w:rsidR="00C558E9" w:rsidRPr="00AC6103" w:rsidTr="00C558E9">
        <w:trPr>
          <w:cantSplit/>
          <w:trHeight w:hRule="exact" w:val="120"/>
        </w:trPr>
        <w:tc>
          <w:tcPr>
            <w:tcW w:w="7765" w:type="dxa"/>
            <w:gridSpan w:val="5"/>
            <w:tcBorders>
              <w:top w:val="single" w:sz="6" w:space="0" w:color="auto"/>
              <w:left w:val="nil"/>
              <w:right w:val="nil"/>
            </w:tcBorders>
            <w:shd w:val="clear" w:color="auto" w:fill="FFFFFF"/>
          </w:tcPr>
          <w:p w:rsidR="00C558E9" w:rsidRPr="00AC6103" w:rsidRDefault="00C558E9" w:rsidP="00361FA9">
            <w:pPr>
              <w:autoSpaceDE w:val="0"/>
              <w:autoSpaceDN w:val="0"/>
              <w:adjustRightInd w:val="0"/>
              <w:spacing w:after="0"/>
              <w:jc w:val="right"/>
              <w:rPr>
                <w:rFonts w:ascii="Calibri" w:eastAsiaTheme="minorEastAsia" w:hAnsi="Calibri" w:cs="Calibri"/>
                <w:color w:val="000000"/>
                <w:sz w:val="19"/>
                <w:lang w:eastAsia="en-AU"/>
              </w:rPr>
            </w:pPr>
          </w:p>
        </w:tc>
      </w:tr>
      <w:tr w:rsidR="00C558E9" w:rsidRPr="00AC6103" w:rsidTr="00C558E9">
        <w:trPr>
          <w:cantSplit/>
        </w:trPr>
        <w:tc>
          <w:tcPr>
            <w:tcW w:w="7765" w:type="dxa"/>
            <w:gridSpan w:val="5"/>
            <w:tcBorders>
              <w:top w:val="nil"/>
              <w:left w:val="nil"/>
              <w:right w:val="nil"/>
            </w:tcBorders>
            <w:shd w:val="clear" w:color="auto" w:fill="FFFFFF"/>
          </w:tcPr>
          <w:p w:rsidR="00C558E9" w:rsidRPr="00AC6103" w:rsidRDefault="00C558E9" w:rsidP="00C558E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Administered expenses</w:t>
            </w:r>
          </w:p>
        </w:tc>
      </w:tr>
      <w:tr w:rsidR="002C39A3" w:rsidRPr="00AC6103" w:rsidTr="00361FA9">
        <w:trPr>
          <w:cantSplit/>
        </w:trPr>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Payments into the Consolidated Fund</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24</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20</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24</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26</w:t>
            </w:r>
          </w:p>
        </w:tc>
      </w:tr>
      <w:tr w:rsidR="002C39A3" w:rsidRPr="00AC6103" w:rsidTr="00361FA9">
        <w:trPr>
          <w:cantSplit/>
        </w:trPr>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administered expenses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24</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20</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24</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26</w:t>
            </w:r>
          </w:p>
        </w:tc>
      </w:tr>
      <w:tr w:rsidR="002C39A3" w:rsidRPr="00AC6103" w:rsidTr="00361FA9">
        <w:trPr>
          <w:cantSplit/>
        </w:trPr>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Income less expenses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rPr>
          <w:cantSplit/>
        </w:trPr>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result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C558E9" w:rsidRPr="00AC6103" w:rsidTr="00C558E9">
        <w:trPr>
          <w:cantSplit/>
        </w:trPr>
        <w:tc>
          <w:tcPr>
            <w:tcW w:w="7765" w:type="dxa"/>
            <w:gridSpan w:val="5"/>
            <w:tcBorders>
              <w:top w:val="single" w:sz="12" w:space="0" w:color="auto"/>
              <w:left w:val="nil"/>
              <w:bottom w:val="single" w:sz="6" w:space="0" w:color="auto"/>
              <w:right w:val="nil"/>
            </w:tcBorders>
            <w:shd w:val="clear" w:color="auto" w:fill="FFFFFF"/>
          </w:tcPr>
          <w:p w:rsidR="00C558E9" w:rsidRPr="00AC6103" w:rsidRDefault="00C558E9" w:rsidP="00C558E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Other economic flows – other comprehensive income</w:t>
            </w:r>
          </w:p>
        </w:tc>
      </w:tr>
      <w:tr w:rsidR="002C39A3" w:rsidRPr="00AC6103" w:rsidTr="00361FA9">
        <w:trPr>
          <w:cantSplit/>
        </w:trPr>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 xml:space="preserve">Total other economic flows – </w:t>
            </w:r>
            <w:r w:rsidR="00C558E9">
              <w:rPr>
                <w:rFonts w:ascii="Calibri" w:eastAsiaTheme="minorEastAsia" w:hAnsi="Calibri" w:cs="Calibri"/>
                <w:b/>
                <w:bCs/>
                <w:color w:val="000000"/>
                <w:sz w:val="19"/>
                <w:lang w:eastAsia="en-AU"/>
              </w:rPr>
              <w:br/>
            </w:r>
            <w:r w:rsidRPr="00AC6103">
              <w:rPr>
                <w:rFonts w:ascii="Calibri" w:eastAsiaTheme="minorEastAsia" w:hAnsi="Calibri" w:cs="Calibri"/>
                <w:b/>
                <w:bCs/>
                <w:color w:val="000000"/>
                <w:sz w:val="19"/>
                <w:lang w:eastAsia="en-AU"/>
              </w:rPr>
              <w:t>other comprehensive income</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rPr>
          <w:cantSplit/>
        </w:trPr>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Comprehensive result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C558E9" w:rsidRPr="00AC6103" w:rsidTr="00C558E9">
        <w:trPr>
          <w:cantSplit/>
          <w:trHeight w:hRule="exact" w:val="120"/>
        </w:trPr>
        <w:tc>
          <w:tcPr>
            <w:tcW w:w="7765" w:type="dxa"/>
            <w:gridSpan w:val="5"/>
            <w:tcBorders>
              <w:top w:val="single" w:sz="12" w:space="0" w:color="auto"/>
              <w:left w:val="nil"/>
              <w:right w:val="nil"/>
            </w:tcBorders>
            <w:shd w:val="clear" w:color="auto" w:fill="FFFFFF"/>
          </w:tcPr>
          <w:p w:rsidR="00C558E9" w:rsidRPr="00AC6103" w:rsidRDefault="00C558E9" w:rsidP="00361FA9">
            <w:pPr>
              <w:autoSpaceDE w:val="0"/>
              <w:autoSpaceDN w:val="0"/>
              <w:adjustRightInd w:val="0"/>
              <w:spacing w:after="0"/>
              <w:jc w:val="right"/>
              <w:rPr>
                <w:rFonts w:ascii="Calibri" w:eastAsiaTheme="minorEastAsia" w:hAnsi="Calibri" w:cs="Calibri"/>
                <w:b/>
                <w:bCs/>
                <w:color w:val="000000"/>
                <w:sz w:val="19"/>
                <w:lang w:eastAsia="en-AU"/>
              </w:rPr>
            </w:pPr>
          </w:p>
        </w:tc>
      </w:tr>
      <w:tr w:rsidR="00C558E9" w:rsidRPr="00AC6103" w:rsidTr="00C558E9">
        <w:trPr>
          <w:cantSplit/>
        </w:trPr>
        <w:tc>
          <w:tcPr>
            <w:tcW w:w="7765" w:type="dxa"/>
            <w:gridSpan w:val="5"/>
            <w:tcBorders>
              <w:top w:val="nil"/>
              <w:left w:val="nil"/>
              <w:right w:val="nil"/>
            </w:tcBorders>
            <w:shd w:val="clear" w:color="auto" w:fill="FFFFFF"/>
          </w:tcPr>
          <w:p w:rsidR="00C558E9" w:rsidRPr="00AC6103" w:rsidRDefault="00C558E9" w:rsidP="00C558E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Administered assets</w:t>
            </w:r>
          </w:p>
        </w:tc>
      </w:tr>
      <w:tr w:rsidR="002C39A3" w:rsidRPr="00AC6103" w:rsidTr="00361FA9">
        <w:trPr>
          <w:cantSplit/>
        </w:trPr>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Receivables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10</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6</w:t>
            </w:r>
          </w:p>
        </w:tc>
      </w:tr>
      <w:tr w:rsidR="002C39A3" w:rsidRPr="00AC6103" w:rsidTr="00361FA9">
        <w:trPr>
          <w:cantSplit/>
        </w:trPr>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administered assets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6</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10</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6</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6</w:t>
            </w:r>
          </w:p>
        </w:tc>
      </w:tr>
      <w:tr w:rsidR="00C558E9" w:rsidRPr="00AC6103" w:rsidTr="00C558E9">
        <w:trPr>
          <w:cantSplit/>
          <w:trHeight w:hRule="exact" w:val="120"/>
        </w:trPr>
        <w:tc>
          <w:tcPr>
            <w:tcW w:w="7765" w:type="dxa"/>
            <w:gridSpan w:val="5"/>
            <w:tcBorders>
              <w:top w:val="single" w:sz="6" w:space="0" w:color="auto"/>
              <w:left w:val="nil"/>
              <w:right w:val="nil"/>
            </w:tcBorders>
            <w:shd w:val="clear" w:color="auto" w:fill="FFFFFF"/>
          </w:tcPr>
          <w:p w:rsidR="00C558E9" w:rsidRPr="00AC6103" w:rsidRDefault="00C558E9" w:rsidP="00361FA9">
            <w:pPr>
              <w:autoSpaceDE w:val="0"/>
              <w:autoSpaceDN w:val="0"/>
              <w:adjustRightInd w:val="0"/>
              <w:spacing w:after="0"/>
              <w:jc w:val="right"/>
              <w:rPr>
                <w:rFonts w:ascii="Calibri" w:eastAsiaTheme="minorEastAsia" w:hAnsi="Calibri" w:cs="Calibri"/>
                <w:color w:val="000000"/>
                <w:sz w:val="19"/>
                <w:lang w:eastAsia="en-AU"/>
              </w:rPr>
            </w:pPr>
          </w:p>
        </w:tc>
      </w:tr>
      <w:tr w:rsidR="00C558E9" w:rsidRPr="00AC6103" w:rsidTr="00C558E9">
        <w:trPr>
          <w:cantSplit/>
        </w:trPr>
        <w:tc>
          <w:tcPr>
            <w:tcW w:w="7765" w:type="dxa"/>
            <w:gridSpan w:val="5"/>
            <w:tcBorders>
              <w:top w:val="nil"/>
              <w:left w:val="nil"/>
              <w:bottom w:val="single" w:sz="6" w:space="0" w:color="auto"/>
              <w:right w:val="nil"/>
            </w:tcBorders>
            <w:shd w:val="clear" w:color="auto" w:fill="FFFFFF"/>
          </w:tcPr>
          <w:p w:rsidR="00C558E9" w:rsidRPr="00AC6103" w:rsidRDefault="00C558E9" w:rsidP="00C558E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Administered liabilities</w:t>
            </w:r>
          </w:p>
        </w:tc>
      </w:tr>
      <w:tr w:rsidR="002C39A3" w:rsidRPr="00AC6103" w:rsidTr="00361FA9">
        <w:trPr>
          <w:cantSplit/>
        </w:trPr>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administered liabilities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rPr>
          <w:cantSplit/>
        </w:trPr>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assets</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6</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10</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6</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6</w:t>
            </w:r>
          </w:p>
        </w:tc>
      </w:tr>
    </w:tbl>
    <w:p w:rsidR="002C39A3" w:rsidRDefault="002C39A3" w:rsidP="00361FA9">
      <w:pPr>
        <w:pStyle w:val="Source"/>
        <w:rPr>
          <w:rFonts w:eastAsiaTheme="minorHAnsi"/>
        </w:rPr>
      </w:pPr>
      <w:r w:rsidRPr="00B82AEA">
        <w:rPr>
          <w:rFonts w:eastAsiaTheme="minorHAnsi"/>
        </w:rPr>
        <w:t>Sources: Parliament of Victoria, Victorian Auditor</w:t>
      </w:r>
      <w:r>
        <w:rPr>
          <w:rFonts w:eastAsiaTheme="minorHAnsi"/>
        </w:rPr>
        <w:noBreakHyphen/>
      </w:r>
      <w:r w:rsidRPr="00B82AEA">
        <w:rPr>
          <w:rFonts w:eastAsiaTheme="minorHAnsi"/>
        </w:rPr>
        <w:t>General</w:t>
      </w:r>
      <w:r w:rsidR="0097550F">
        <w:rPr>
          <w:rFonts w:eastAsiaTheme="minorHAnsi"/>
        </w:rPr>
        <w:t>’</w:t>
      </w:r>
      <w:r w:rsidRPr="00B82AEA">
        <w:rPr>
          <w:rFonts w:eastAsiaTheme="minorHAnsi"/>
        </w:rPr>
        <w:t>s Office, and Department of Treasury and Finance</w:t>
      </w:r>
    </w:p>
    <w:p w:rsidR="002C39A3" w:rsidRDefault="002C39A3" w:rsidP="00361FA9">
      <w:pPr>
        <w:rPr>
          <w:rFonts w:eastAsiaTheme="minorHAnsi"/>
        </w:rPr>
      </w:pPr>
    </w:p>
    <w:p w:rsidR="002C39A3" w:rsidRDefault="002C39A3" w:rsidP="00361FA9">
      <w:pPr>
        <w:rPr>
          <w:rFonts w:eastAsiaTheme="minorHAnsi"/>
        </w:rPr>
        <w:sectPr w:rsidR="002C39A3" w:rsidSect="00361FA9">
          <w:footerReference w:type="even" r:id="rId50"/>
          <w:footerReference w:type="default" r:id="rId51"/>
          <w:pgSz w:w="9979" w:h="14181" w:code="138"/>
          <w:pgMar w:top="1140" w:right="1140" w:bottom="1140" w:left="1140" w:header="720" w:footer="431" w:gutter="0"/>
          <w:cols w:space="708"/>
          <w:docGrid w:linePitch="360"/>
        </w:sectPr>
      </w:pPr>
    </w:p>
    <w:p w:rsidR="002C39A3" w:rsidRDefault="002C39A3" w:rsidP="00361FA9">
      <w:pPr>
        <w:pStyle w:val="Heading1"/>
        <w:rPr>
          <w:rFonts w:eastAsiaTheme="minorHAnsi"/>
        </w:rPr>
      </w:pPr>
      <w:bookmarkStart w:id="46" w:name="_Toc449116204"/>
      <w:r>
        <w:rPr>
          <w:rFonts w:eastAsiaTheme="minorHAnsi"/>
        </w:rPr>
        <w:t>Courts</w:t>
      </w:r>
      <w:bookmarkEnd w:id="46"/>
    </w:p>
    <w:p w:rsidR="002C39A3" w:rsidRDefault="002C39A3" w:rsidP="00361FA9">
      <w:pPr>
        <w:pStyle w:val="Heading2"/>
        <w:rPr>
          <w:rFonts w:eastAsiaTheme="minorHAnsi"/>
        </w:rPr>
      </w:pPr>
      <w:r>
        <w:rPr>
          <w:rFonts w:eastAsiaTheme="minorHAnsi"/>
        </w:rPr>
        <w:t>Operating performance</w:t>
      </w:r>
    </w:p>
    <w:p w:rsidR="002C39A3" w:rsidRPr="00E5741A" w:rsidRDefault="002C39A3" w:rsidP="00361FA9">
      <w:r>
        <w:t xml:space="preserve">Courts </w:t>
      </w:r>
      <w:r w:rsidRPr="00E5741A">
        <w:t>is expected to have a balanced net result</w:t>
      </w:r>
      <w:r>
        <w:t xml:space="preserve"> from transactions for the 2016</w:t>
      </w:r>
      <w:r>
        <w:noBreakHyphen/>
      </w:r>
      <w:r w:rsidRPr="00E5741A">
        <w:t xml:space="preserve">17 budget </w:t>
      </w:r>
      <w:r>
        <w:t>which includes</w:t>
      </w:r>
      <w:r w:rsidRPr="00E5741A">
        <w:t xml:space="preserve"> operatin</w:t>
      </w:r>
      <w:r>
        <w:t xml:space="preserve">g income and expenditure of $487 </w:t>
      </w:r>
      <w:r w:rsidRPr="00E5741A">
        <w:t>million.</w:t>
      </w:r>
    </w:p>
    <w:p w:rsidR="002C39A3" w:rsidRPr="00E5741A" w:rsidRDefault="002C39A3" w:rsidP="00361FA9">
      <w:r w:rsidRPr="00E5741A">
        <w:t>Total income from transactions is expected to increase by $</w:t>
      </w:r>
      <w:r>
        <w:t>13 million from the 2015</w:t>
      </w:r>
      <w:r>
        <w:noBreakHyphen/>
      </w:r>
      <w:r w:rsidRPr="00E5741A">
        <w:t>16 revised budget to the 2016</w:t>
      </w:r>
      <w:r>
        <w:noBreakHyphen/>
      </w:r>
      <w:r w:rsidRPr="00E5741A">
        <w:t xml:space="preserve">17 budget. </w:t>
      </w:r>
    </w:p>
    <w:p w:rsidR="002C39A3" w:rsidRPr="00E5741A" w:rsidRDefault="002C39A3" w:rsidP="00361FA9">
      <w:r w:rsidRPr="00E5741A">
        <w:t>The increase is a result of funding for initiatives announced in the 2016</w:t>
      </w:r>
      <w:r>
        <w:noBreakHyphen/>
      </w:r>
      <w:r w:rsidRPr="00E5741A">
        <w:t>17 budget, i</w:t>
      </w:r>
      <w:r>
        <w:t>ncluding:</w:t>
      </w:r>
      <w:r w:rsidRPr="00E5741A">
        <w:t xml:space="preserve"> </w:t>
      </w:r>
    </w:p>
    <w:p w:rsidR="002C39A3" w:rsidRDefault="002C39A3" w:rsidP="00361FA9">
      <w:pPr>
        <w:pStyle w:val="BulletText"/>
      </w:pPr>
      <w:r>
        <w:t>Ice Action Plan - E</w:t>
      </w:r>
      <w:r w:rsidRPr="00E5741A">
        <w:t>xpansion of the Drug Court of Victoria</w:t>
      </w:r>
      <w:r>
        <w:t>;</w:t>
      </w:r>
    </w:p>
    <w:p w:rsidR="002C39A3" w:rsidRPr="00AE3226" w:rsidRDefault="002C39A3" w:rsidP="00361FA9">
      <w:pPr>
        <w:pStyle w:val="BulletText"/>
      </w:pPr>
      <w:r>
        <w:t>C</w:t>
      </w:r>
      <w:r w:rsidRPr="00875C4F">
        <w:t>ourt safety and security</w:t>
      </w:r>
      <w:r>
        <w:t>; and</w:t>
      </w:r>
    </w:p>
    <w:p w:rsidR="002C39A3" w:rsidRPr="00875C4F" w:rsidRDefault="002C39A3" w:rsidP="00361FA9">
      <w:pPr>
        <w:pStyle w:val="BulletText"/>
      </w:pPr>
      <w:r>
        <w:t>I</w:t>
      </w:r>
      <w:r w:rsidRPr="006E18DD">
        <w:t xml:space="preserve">ntegrated court </w:t>
      </w:r>
      <w:r>
        <w:t xml:space="preserve">case </w:t>
      </w:r>
      <w:r w:rsidRPr="006E18DD">
        <w:t>management system – planning</w:t>
      </w:r>
      <w:r>
        <w:t>.</w:t>
      </w:r>
    </w:p>
    <w:p w:rsidR="002C39A3" w:rsidRDefault="002C39A3" w:rsidP="00361FA9">
      <w:r w:rsidRPr="00E5741A">
        <w:t>Court</w:t>
      </w:r>
      <w:r>
        <w:t>s</w:t>
      </w:r>
      <w:r w:rsidR="0097550F">
        <w:t>’</w:t>
      </w:r>
      <w:r w:rsidRPr="00E5741A">
        <w:t xml:space="preserve"> net result from transactions </w:t>
      </w:r>
      <w:r>
        <w:t xml:space="preserve">is </w:t>
      </w:r>
      <w:r w:rsidRPr="00E5741A">
        <w:t>for</w:t>
      </w:r>
      <w:r>
        <w:t>ecast to increase from a deficit of $7 million</w:t>
      </w:r>
      <w:r w:rsidRPr="00E5741A">
        <w:t xml:space="preserve"> </w:t>
      </w:r>
      <w:r>
        <w:t>in the 2015</w:t>
      </w:r>
      <w:r>
        <w:noBreakHyphen/>
        <w:t>16 revised budget to a balanced net result from transactions in the 2016</w:t>
      </w:r>
      <w:r>
        <w:noBreakHyphen/>
        <w:t>17 budget. The balanced net result in 2016</w:t>
      </w:r>
      <w:r>
        <w:noBreakHyphen/>
        <w:t>17 is mainly attributable to:</w:t>
      </w:r>
    </w:p>
    <w:p w:rsidR="002C39A3" w:rsidRPr="00875C4F" w:rsidRDefault="002C39A3" w:rsidP="00361FA9">
      <w:pPr>
        <w:pStyle w:val="BulletText"/>
      </w:pPr>
      <w:r w:rsidRPr="00875C4F">
        <w:t>expected completion of the desktop refresh</w:t>
      </w:r>
      <w:r>
        <w:t xml:space="preserve"> funded</w:t>
      </w:r>
      <w:r w:rsidRPr="00875C4F">
        <w:t xml:space="preserve"> from prior year accumulated surplus</w:t>
      </w:r>
      <w:r>
        <w:t xml:space="preserve"> in 2015</w:t>
      </w:r>
      <w:r>
        <w:noBreakHyphen/>
        <w:t>16; and</w:t>
      </w:r>
    </w:p>
    <w:p w:rsidR="002C39A3" w:rsidRDefault="002C39A3" w:rsidP="00361FA9">
      <w:pPr>
        <w:pStyle w:val="BulletText"/>
      </w:pPr>
      <w:r w:rsidRPr="00A064EB">
        <w:t xml:space="preserve">spending </w:t>
      </w:r>
      <w:r>
        <w:t>to deliver information technology projects associated in establishing Court Services Victoria and the strengthening of the information technology network as an independent organisation.</w:t>
      </w:r>
    </w:p>
    <w:p w:rsidR="002C39A3" w:rsidRPr="00E5741A" w:rsidRDefault="002C39A3" w:rsidP="00361FA9">
      <w:r w:rsidRPr="00E5741A">
        <w:t xml:space="preserve">Special appropriation revenue </w:t>
      </w:r>
      <w:r>
        <w:t>is expected to increase by $10</w:t>
      </w:r>
      <w:r w:rsidRPr="00E5741A">
        <w:t xml:space="preserve"> million </w:t>
      </w:r>
      <w:r>
        <w:t>(or 7 per cent), higher than the 2015</w:t>
      </w:r>
      <w:r>
        <w:noBreakHyphen/>
        <w:t>16 revised budget and</w:t>
      </w:r>
      <w:r w:rsidRPr="00E5741A">
        <w:t xml:space="preserve"> </w:t>
      </w:r>
      <w:r>
        <w:t>$30 million (or 26 per cent) higher than the previous year</w:t>
      </w:r>
      <w:r w:rsidR="0097550F">
        <w:t>’</w:t>
      </w:r>
      <w:r>
        <w:t>s actual result. This increase is attributable to a year</w:t>
      </w:r>
      <w:r>
        <w:noBreakHyphen/>
        <w:t>on</w:t>
      </w:r>
      <w:r>
        <w:noBreakHyphen/>
        <w:t>year growth rate in indexation of approximately 5 per cent, which is determined by the Federal Government Judicial Remuneration Tribunal.</w:t>
      </w:r>
    </w:p>
    <w:p w:rsidR="002C39A3" w:rsidRPr="0007788B" w:rsidRDefault="002C39A3" w:rsidP="00361FA9">
      <w:pPr>
        <w:rPr>
          <w:rFonts w:eastAsiaTheme="minorHAnsi"/>
        </w:rPr>
      </w:pPr>
      <w:r w:rsidRPr="00E5741A">
        <w:t>Total expenses from transactions is</w:t>
      </w:r>
      <w:r>
        <w:t xml:space="preserve"> expected to increase by $7</w:t>
      </w:r>
      <w:r w:rsidRPr="00E5741A">
        <w:t xml:space="preserve"> million from the 2015</w:t>
      </w:r>
      <w:r>
        <w:noBreakHyphen/>
      </w:r>
      <w:r w:rsidRPr="00E5741A">
        <w:t>16 revised budget due to the factors identified above.</w:t>
      </w:r>
    </w:p>
    <w:p w:rsidR="002C39A3" w:rsidRDefault="002C39A3">
      <w:pPr>
        <w:spacing w:after="0"/>
        <w:rPr>
          <w:rFonts w:ascii="Calibri" w:eastAsiaTheme="minorHAnsi" w:hAnsi="Calibri"/>
          <w:b/>
          <w:kern w:val="28"/>
          <w:sz w:val="26"/>
          <w:szCs w:val="22"/>
        </w:rPr>
      </w:pPr>
      <w:r>
        <w:rPr>
          <w:rFonts w:eastAsiaTheme="minorHAnsi"/>
        </w:rPr>
        <w:br w:type="page"/>
      </w:r>
    </w:p>
    <w:p w:rsidR="002C39A3" w:rsidRDefault="002C39A3" w:rsidP="00361FA9">
      <w:pPr>
        <w:pStyle w:val="Heading2"/>
        <w:rPr>
          <w:rFonts w:eastAsiaTheme="minorHAnsi"/>
        </w:rPr>
      </w:pPr>
      <w:r>
        <w:rPr>
          <w:rFonts w:eastAsiaTheme="minorHAnsi"/>
        </w:rPr>
        <w:t>Balance sheet</w:t>
      </w:r>
    </w:p>
    <w:p w:rsidR="002C39A3" w:rsidRDefault="002C39A3" w:rsidP="00361FA9">
      <w:r w:rsidRPr="00895B25">
        <w:t>Court</w:t>
      </w:r>
      <w:r>
        <w:t>s</w:t>
      </w:r>
      <w:r w:rsidR="0097550F">
        <w:t>’</w:t>
      </w:r>
      <w:r>
        <w:t xml:space="preserve"> net asset position is estimated to increase by $44 million in 2016</w:t>
      </w:r>
      <w:r>
        <w:noBreakHyphen/>
        <w:t>17 compared to the revised 2015</w:t>
      </w:r>
      <w:r>
        <w:noBreakHyphen/>
        <w:t>16 budget. This is primarily attributable to existing infrastructure investments such as expanding the video conferencing network and the Shepparton Court redevelopment which will create a new purpose</w:t>
      </w:r>
      <w:r>
        <w:noBreakHyphen/>
        <w:t>built complex.</w:t>
      </w:r>
    </w:p>
    <w:p w:rsidR="002C39A3" w:rsidRDefault="002C39A3" w:rsidP="00361FA9">
      <w:r>
        <w:t xml:space="preserve">New asset initiative funding reflected in the </w:t>
      </w:r>
      <w:r w:rsidRPr="00895B25">
        <w:rPr>
          <w:i/>
        </w:rPr>
        <w:t>2016</w:t>
      </w:r>
      <w:r>
        <w:rPr>
          <w:i/>
        </w:rPr>
        <w:noBreakHyphen/>
      </w:r>
      <w:r w:rsidRPr="00895B25">
        <w:rPr>
          <w:i/>
        </w:rPr>
        <w:t>17 Budget</w:t>
      </w:r>
      <w:r>
        <w:t xml:space="preserve"> includes:</w:t>
      </w:r>
    </w:p>
    <w:p w:rsidR="002C39A3" w:rsidRDefault="002C39A3" w:rsidP="00361FA9">
      <w:pPr>
        <w:pStyle w:val="BulletText"/>
      </w:pPr>
      <w:r>
        <w:t>Expansion of the Drug Court of Victoria to the Melbourne Magistrates</w:t>
      </w:r>
      <w:r w:rsidR="0097550F">
        <w:t>’</w:t>
      </w:r>
      <w:r>
        <w:t xml:space="preserve"> Court that will provide access to targeted support to address drug use and reduce associated recidivist criminal activity; and</w:t>
      </w:r>
    </w:p>
    <w:p w:rsidR="002C39A3" w:rsidRPr="00D325FB" w:rsidRDefault="002C39A3" w:rsidP="00361FA9">
      <w:pPr>
        <w:pStyle w:val="BulletText"/>
      </w:pPr>
      <w:r>
        <w:t>Court safety and security to ensure safe and secure Victorian courts and tribunals for the Victorian community.</w:t>
      </w:r>
    </w:p>
    <w:p w:rsidR="002C39A3" w:rsidRDefault="002C39A3" w:rsidP="00361FA9">
      <w:pPr>
        <w:pStyle w:val="Heading2"/>
        <w:rPr>
          <w:rFonts w:eastAsiaTheme="minorHAnsi"/>
        </w:rPr>
      </w:pPr>
      <w:r>
        <w:rPr>
          <w:rFonts w:eastAsiaTheme="minorHAnsi"/>
        </w:rPr>
        <w:t>Investing and financing</w:t>
      </w:r>
    </w:p>
    <w:p w:rsidR="002C39A3" w:rsidRPr="0007788B" w:rsidRDefault="002C39A3" w:rsidP="00361FA9">
      <w:r w:rsidRPr="00895B25">
        <w:t>The payments for non</w:t>
      </w:r>
      <w:r>
        <w:noBreakHyphen/>
      </w:r>
      <w:r w:rsidRPr="00895B25">
        <w:t>financial assets in 2016</w:t>
      </w:r>
      <w:r>
        <w:noBreakHyphen/>
      </w:r>
      <w:r w:rsidRPr="00895B25">
        <w:t xml:space="preserve">17 reflect new asset investment such as the expansion of the drug court to the Melbourne </w:t>
      </w:r>
      <w:r>
        <w:t>Magistrates</w:t>
      </w:r>
      <w:r w:rsidR="0097550F">
        <w:t>’</w:t>
      </w:r>
      <w:r>
        <w:t xml:space="preserve"> Court, Court Safety and Security</w:t>
      </w:r>
      <w:r w:rsidRPr="00895B25">
        <w:t xml:space="preserve"> and the continued implementation of asset investment programs commenced in previou</w:t>
      </w:r>
      <w:r>
        <w:t>s years, including the expansion</w:t>
      </w:r>
      <w:r w:rsidRPr="00895B25">
        <w:t xml:space="preserve"> </w:t>
      </w:r>
      <w:r>
        <w:t xml:space="preserve">of </w:t>
      </w:r>
      <w:r w:rsidRPr="00895B25">
        <w:t xml:space="preserve">the video conferencing network and the </w:t>
      </w:r>
      <w:r>
        <w:t xml:space="preserve">Shepparton Court </w:t>
      </w:r>
      <w:r w:rsidRPr="00895B25">
        <w:t>redevelopment</w:t>
      </w:r>
      <w:r>
        <w:t>.</w:t>
      </w:r>
      <w:r w:rsidRPr="00895B25">
        <w:t xml:space="preserve"> The investing activity is financed by a net cash inflow from operations and a capital contribution from the State.</w:t>
      </w:r>
    </w:p>
    <w:p w:rsidR="002C39A3" w:rsidRDefault="002C39A3" w:rsidP="00361FA9">
      <w:pPr>
        <w:pStyle w:val="Heading2"/>
        <w:rPr>
          <w:rFonts w:eastAsiaTheme="minorHAnsi"/>
        </w:rPr>
      </w:pPr>
      <w:r>
        <w:rPr>
          <w:rFonts w:eastAsiaTheme="minorHAnsi"/>
        </w:rPr>
        <w:t>Administered items statement</w:t>
      </w:r>
    </w:p>
    <w:p w:rsidR="002C39A3" w:rsidRPr="0007788B" w:rsidRDefault="002C39A3" w:rsidP="00361FA9">
      <w:r w:rsidRPr="00895B25">
        <w:t xml:space="preserve">Transactions administered by Courts include revenue items from special appropriations to award </w:t>
      </w:r>
      <w:r>
        <w:t xml:space="preserve">compensation to </w:t>
      </w:r>
      <w:r w:rsidRPr="00895B25">
        <w:t xml:space="preserve">victims </w:t>
      </w:r>
      <w:r>
        <w:t>who</w:t>
      </w:r>
      <w:r w:rsidRPr="00895B25">
        <w:t xml:space="preserve"> suffered</w:t>
      </w:r>
      <w:r>
        <w:t xml:space="preserve"> loss of earnings</w:t>
      </w:r>
      <w:r w:rsidRPr="00895B25">
        <w:t>, or</w:t>
      </w:r>
      <w:r>
        <w:t xml:space="preserve"> are</w:t>
      </w:r>
      <w:r w:rsidRPr="00895B25">
        <w:t xml:space="preserve"> reasonably likely </w:t>
      </w:r>
      <w:r>
        <w:t xml:space="preserve">to </w:t>
      </w:r>
      <w:r w:rsidRPr="00895B25">
        <w:t>suffer as a direct result of an act of violence</w:t>
      </w:r>
      <w:r>
        <w:t xml:space="preserve">. </w:t>
      </w:r>
      <w:r w:rsidRPr="00895B25">
        <w:t>In addition, Courts collects revenue from court fees and fines.</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3.9.1:</w:t>
      </w:r>
      <w:r>
        <w:rPr>
          <w:rFonts w:eastAsiaTheme="minorHAnsi"/>
        </w:rPr>
        <w:tab/>
        <w:t>Comprehensive operating statement</w:t>
      </w:r>
    </w:p>
    <w:p w:rsidR="002C39A3" w:rsidRPr="00AC6103" w:rsidRDefault="002C39A3" w:rsidP="00361FA9">
      <w:pPr>
        <w:pStyle w:val="million"/>
        <w:rPr>
          <w:rFonts w:eastAsiaTheme="minorHAnsi"/>
          <w:b/>
          <w:bCs/>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C558E9" w:rsidRPr="00AC6103" w:rsidTr="00C558E9">
        <w:trPr>
          <w:trHeight w:val="464"/>
          <w:tblHeader/>
        </w:trPr>
        <w:tc>
          <w:tcPr>
            <w:tcW w:w="4365" w:type="dxa"/>
            <w:tcBorders>
              <w:left w:val="nil"/>
              <w:right w:val="nil"/>
            </w:tcBorders>
            <w:shd w:val="solid" w:color="000000" w:fill="auto"/>
            <w:vAlign w:val="bottom"/>
          </w:tcPr>
          <w:p w:rsidR="00C558E9" w:rsidRPr="00AC6103" w:rsidRDefault="00C558E9" w:rsidP="00361FA9">
            <w:pPr>
              <w:autoSpaceDE w:val="0"/>
              <w:autoSpaceDN w:val="0"/>
              <w:adjustRightInd w:val="0"/>
              <w:spacing w:after="0"/>
              <w:rPr>
                <w:rFonts w:eastAsiaTheme="minorEastAsia" w:cs="Calibri"/>
                <w:color w:val="FFFFFF"/>
                <w:sz w:val="19"/>
                <w:lang w:eastAsia="en-AU"/>
              </w:rPr>
            </w:pPr>
          </w:p>
        </w:tc>
        <w:tc>
          <w:tcPr>
            <w:tcW w:w="850" w:type="dxa"/>
            <w:tcBorders>
              <w:left w:val="nil"/>
              <w:right w:val="nil"/>
            </w:tcBorders>
            <w:shd w:val="solid" w:color="000000" w:fill="auto"/>
            <w:vAlign w:val="bottom"/>
          </w:tcPr>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2014-15</w:t>
            </w:r>
          </w:p>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actual</w:t>
            </w:r>
          </w:p>
        </w:tc>
        <w:tc>
          <w:tcPr>
            <w:tcW w:w="850" w:type="dxa"/>
            <w:tcBorders>
              <w:left w:val="nil"/>
              <w:right w:val="nil"/>
            </w:tcBorders>
            <w:shd w:val="solid" w:color="000000" w:fill="auto"/>
            <w:vAlign w:val="bottom"/>
          </w:tcPr>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2016-17</w:t>
            </w:r>
          </w:p>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r>
      <w:tr w:rsidR="00C558E9" w:rsidRPr="00AC6103" w:rsidTr="00C558E9">
        <w:tc>
          <w:tcPr>
            <w:tcW w:w="7765" w:type="dxa"/>
            <w:gridSpan w:val="5"/>
            <w:tcBorders>
              <w:top w:val="single" w:sz="6" w:space="0" w:color="auto"/>
              <w:left w:val="nil"/>
              <w:right w:val="nil"/>
            </w:tcBorders>
            <w:shd w:val="clear" w:color="auto" w:fill="FFFFFF"/>
          </w:tcPr>
          <w:p w:rsidR="00C558E9" w:rsidRPr="00AC6103" w:rsidRDefault="00C558E9" w:rsidP="00C558E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Net re</w:t>
            </w:r>
            <w:r>
              <w:rPr>
                <w:rFonts w:ascii="Calibri" w:eastAsiaTheme="minorEastAsia" w:hAnsi="Calibri" w:cs="Calibri"/>
                <w:b/>
                <w:bCs/>
                <w:color w:val="000000"/>
                <w:sz w:val="19"/>
                <w:lang w:eastAsia="en-AU"/>
              </w:rPr>
              <w:t>sult from continuing operations</w:t>
            </w:r>
          </w:p>
        </w:tc>
      </w:tr>
      <w:tr w:rsidR="00C558E9" w:rsidRPr="00AC6103" w:rsidTr="00C558E9">
        <w:tc>
          <w:tcPr>
            <w:tcW w:w="7765" w:type="dxa"/>
            <w:gridSpan w:val="5"/>
            <w:tcBorders>
              <w:top w:val="nil"/>
              <w:left w:val="nil"/>
              <w:right w:val="nil"/>
            </w:tcBorders>
            <w:shd w:val="clear" w:color="auto" w:fill="FFFFFF"/>
          </w:tcPr>
          <w:p w:rsidR="00C558E9" w:rsidRPr="00AC6103" w:rsidRDefault="00C558E9" w:rsidP="00C558E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Income from transactions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Output appropriations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297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312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322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325</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Special appropriations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138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135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145</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Grants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36</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17</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17</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17</w:t>
            </w:r>
          </w:p>
        </w:tc>
      </w:tr>
      <w:tr w:rsidR="002C39A3" w:rsidRPr="00AC6103" w:rsidTr="00361FA9">
        <w:tc>
          <w:tcPr>
            <w:tcW w:w="4365"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income from transactions</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450</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466</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474</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487</w:t>
            </w:r>
          </w:p>
        </w:tc>
      </w:tr>
      <w:tr w:rsidR="00C558E9" w:rsidRPr="00AC6103" w:rsidTr="00C558E9">
        <w:tc>
          <w:tcPr>
            <w:tcW w:w="7765" w:type="dxa"/>
            <w:gridSpan w:val="5"/>
            <w:tcBorders>
              <w:top w:val="nil"/>
              <w:left w:val="nil"/>
              <w:right w:val="nil"/>
            </w:tcBorders>
            <w:shd w:val="clear" w:color="auto" w:fill="FFFFFF"/>
          </w:tcPr>
          <w:p w:rsidR="00C558E9" w:rsidRPr="00AC6103" w:rsidRDefault="00C558E9" w:rsidP="00C558E9">
            <w:pPr>
              <w:pStyle w:val="Heading9"/>
            </w:pPr>
            <w:r w:rsidRPr="00AC6103">
              <w:t>Expenses from transactions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Employee benefits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251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280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279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295</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 xml:space="preserve">Depreciation </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34</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Interest expense</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Grants and other transfers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Capital asset charge</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40</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operating expenses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109</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103</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118</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106</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expenses from transactions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443</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466</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480</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487</w:t>
            </w:r>
          </w:p>
        </w:tc>
      </w:tr>
      <w:tr w:rsidR="002C39A3" w:rsidRPr="00AC6103" w:rsidTr="00361FA9">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result from transactions (net operating balance)</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c>
          <w:tcPr>
            <w:tcW w:w="4365" w:type="dxa"/>
            <w:tcBorders>
              <w:top w:val="single" w:sz="12"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result</w:t>
            </w:r>
          </w:p>
        </w:tc>
        <w:tc>
          <w:tcPr>
            <w:tcW w:w="850" w:type="dxa"/>
            <w:tcBorders>
              <w:top w:val="single" w:sz="12"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w:t>
            </w:r>
          </w:p>
        </w:tc>
        <w:tc>
          <w:tcPr>
            <w:tcW w:w="850" w:type="dxa"/>
            <w:tcBorders>
              <w:top w:val="single" w:sz="12"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12"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w:t>
            </w:r>
          </w:p>
        </w:tc>
        <w:tc>
          <w:tcPr>
            <w:tcW w:w="850" w:type="dxa"/>
            <w:tcBorders>
              <w:top w:val="single" w:sz="12"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Comprehensive result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bl>
    <w:p w:rsidR="002C39A3" w:rsidRDefault="002C39A3" w:rsidP="00361FA9">
      <w:pPr>
        <w:pStyle w:val="Source"/>
        <w:rPr>
          <w:rFonts w:eastAsiaTheme="minorHAnsi"/>
        </w:rPr>
      </w:pPr>
      <w:r w:rsidRPr="003B7DEB">
        <w:rPr>
          <w:rFonts w:eastAsiaTheme="minorHAnsi"/>
        </w:rPr>
        <w:t xml:space="preserve">Sources: </w:t>
      </w:r>
      <w:r w:rsidRPr="004919C5">
        <w:rPr>
          <w:rFonts w:eastAsiaTheme="minorHAnsi"/>
        </w:rPr>
        <w:t>Courts, and Department of Treasury and Finance</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3.9.2:</w:t>
      </w:r>
      <w:r>
        <w:rPr>
          <w:rFonts w:eastAsiaTheme="minorHAnsi"/>
        </w:rPr>
        <w:tab/>
        <w:t>Balance sheet</w:t>
      </w:r>
    </w:p>
    <w:p w:rsidR="002C39A3" w:rsidRPr="00AC6103" w:rsidRDefault="002C39A3" w:rsidP="00361FA9">
      <w:pPr>
        <w:pStyle w:val="million"/>
        <w:rPr>
          <w:rFonts w:eastAsiaTheme="minorHAnsi"/>
          <w:b/>
          <w:bCs/>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C558E9" w:rsidRPr="00AC6103" w:rsidTr="00C558E9">
        <w:trPr>
          <w:tblHeader/>
        </w:trPr>
        <w:tc>
          <w:tcPr>
            <w:tcW w:w="4365" w:type="dxa"/>
            <w:tcBorders>
              <w:bottom w:val="nil"/>
              <w:right w:val="nil"/>
            </w:tcBorders>
            <w:shd w:val="solid" w:color="000000" w:fill="auto"/>
            <w:vAlign w:val="bottom"/>
          </w:tcPr>
          <w:p w:rsidR="00C558E9" w:rsidRPr="00AC6103" w:rsidRDefault="00C558E9" w:rsidP="00361FA9">
            <w:pPr>
              <w:pStyle w:val="million"/>
              <w:jc w:val="left"/>
              <w:rPr>
                <w:rFonts w:eastAsiaTheme="minorEastAsia" w:cs="Calibri"/>
                <w:iCs/>
                <w:color w:val="FFFFFF"/>
                <w:sz w:val="19"/>
                <w:lang w:eastAsia="en-AU"/>
              </w:rPr>
            </w:pPr>
            <w:r w:rsidRPr="00AC6103">
              <w:rPr>
                <w:rFonts w:eastAsiaTheme="minorEastAsia" w:cs="Calibri"/>
                <w:iCs/>
                <w:color w:val="FFFFFF"/>
                <w:sz w:val="19"/>
                <w:lang w:eastAsia="en-AU"/>
              </w:rPr>
              <w:t xml:space="preserve"> </w:t>
            </w:r>
          </w:p>
        </w:tc>
        <w:tc>
          <w:tcPr>
            <w:tcW w:w="850" w:type="dxa"/>
            <w:tcBorders>
              <w:left w:val="nil"/>
              <w:bottom w:val="nil"/>
              <w:right w:val="nil"/>
            </w:tcBorders>
            <w:shd w:val="solid" w:color="000000" w:fill="auto"/>
            <w:vAlign w:val="bottom"/>
          </w:tcPr>
          <w:p w:rsidR="00C558E9" w:rsidRPr="00AC6103" w:rsidRDefault="00C558E9" w:rsidP="00361FA9">
            <w:pPr>
              <w:autoSpaceDE w:val="0"/>
              <w:autoSpaceDN w:val="0"/>
              <w:adjustRightInd w:val="0"/>
              <w:spacing w:after="0"/>
              <w:jc w:val="right"/>
              <w:rPr>
                <w:rFonts w:ascii="Calibri" w:eastAsiaTheme="minorEastAsia" w:hAnsi="Calibri" w:cs="Calibri"/>
                <w:color w:val="FFFFFF"/>
                <w:sz w:val="19"/>
                <w:lang w:eastAsia="en-AU"/>
              </w:rPr>
            </w:pPr>
            <w:r w:rsidRPr="00AC6103">
              <w:rPr>
                <w:rFonts w:ascii="Calibri" w:eastAsiaTheme="minorEastAsia" w:hAnsi="Calibri" w:cs="Calibri"/>
                <w:color w:val="FFFFFF"/>
                <w:sz w:val="19"/>
                <w:lang w:eastAsia="en-AU"/>
              </w:rPr>
              <w:t xml:space="preserve"> </w:t>
            </w:r>
          </w:p>
        </w:tc>
        <w:tc>
          <w:tcPr>
            <w:tcW w:w="2550" w:type="dxa"/>
            <w:gridSpan w:val="3"/>
            <w:tcBorders>
              <w:left w:val="nil"/>
              <w:bottom w:val="nil"/>
            </w:tcBorders>
            <w:shd w:val="solid" w:color="000000" w:fill="auto"/>
            <w:vAlign w:val="bottom"/>
          </w:tcPr>
          <w:p w:rsidR="00C558E9" w:rsidRPr="00AC6103" w:rsidRDefault="00C558E9" w:rsidP="00C558E9">
            <w:pPr>
              <w:autoSpaceDE w:val="0"/>
              <w:autoSpaceDN w:val="0"/>
              <w:adjustRightInd w:val="0"/>
              <w:spacing w:after="0"/>
              <w:jc w:val="center"/>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Estimated as at 30 June</w:t>
            </w:r>
          </w:p>
        </w:tc>
      </w:tr>
      <w:tr w:rsidR="00C558E9" w:rsidRPr="00AC6103" w:rsidTr="00C558E9">
        <w:trPr>
          <w:trHeight w:val="464"/>
          <w:tblHeader/>
        </w:trPr>
        <w:tc>
          <w:tcPr>
            <w:tcW w:w="4365" w:type="dxa"/>
            <w:tcBorders>
              <w:top w:val="nil"/>
              <w:right w:val="nil"/>
            </w:tcBorders>
            <w:shd w:val="solid" w:color="000000" w:fill="auto"/>
            <w:vAlign w:val="bottom"/>
          </w:tcPr>
          <w:p w:rsidR="00C558E9" w:rsidRPr="00AC6103" w:rsidRDefault="00C558E9" w:rsidP="00361FA9">
            <w:pPr>
              <w:autoSpaceDE w:val="0"/>
              <w:autoSpaceDN w:val="0"/>
              <w:adjustRightInd w:val="0"/>
              <w:spacing w:after="0"/>
              <w:rPr>
                <w:rFonts w:ascii="Calibri" w:eastAsiaTheme="minorEastAsia" w:hAnsi="Calibri" w:cs="Calibri"/>
                <w:color w:val="FFFFFF"/>
                <w:sz w:val="19"/>
                <w:lang w:eastAsia="en-AU"/>
              </w:rPr>
            </w:pPr>
          </w:p>
        </w:tc>
        <w:tc>
          <w:tcPr>
            <w:tcW w:w="850" w:type="dxa"/>
            <w:tcBorders>
              <w:top w:val="nil"/>
              <w:left w:val="nil"/>
              <w:right w:val="nil"/>
            </w:tcBorders>
            <w:shd w:val="solid" w:color="000000" w:fill="auto"/>
            <w:vAlign w:val="bottom"/>
          </w:tcPr>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w:t>
            </w:r>
          </w:p>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actual</w:t>
            </w:r>
          </w:p>
        </w:tc>
        <w:tc>
          <w:tcPr>
            <w:tcW w:w="850" w:type="dxa"/>
            <w:tcBorders>
              <w:top w:val="nil"/>
              <w:left w:val="nil"/>
              <w:right w:val="nil"/>
            </w:tcBorders>
            <w:shd w:val="solid" w:color="000000" w:fill="auto"/>
            <w:vAlign w:val="bottom"/>
          </w:tcPr>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w:t>
            </w:r>
          </w:p>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tcBorders>
              <w:top w:val="nil"/>
              <w:left w:val="nil"/>
              <w:right w:val="nil"/>
            </w:tcBorders>
            <w:shd w:val="solid" w:color="000000" w:fill="auto"/>
            <w:vAlign w:val="bottom"/>
          </w:tcPr>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w:t>
            </w:r>
          </w:p>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0" w:type="dxa"/>
            <w:tcBorders>
              <w:top w:val="nil"/>
              <w:left w:val="nil"/>
            </w:tcBorders>
            <w:shd w:val="solid" w:color="000000" w:fill="auto"/>
            <w:vAlign w:val="bottom"/>
          </w:tcPr>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2017</w:t>
            </w:r>
          </w:p>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r>
      <w:tr w:rsidR="00C558E9" w:rsidRPr="00AC6103" w:rsidTr="00C558E9">
        <w:tc>
          <w:tcPr>
            <w:tcW w:w="7765" w:type="dxa"/>
            <w:gridSpan w:val="5"/>
            <w:tcBorders>
              <w:top w:val="single" w:sz="6" w:space="0" w:color="auto"/>
              <w:left w:val="nil"/>
              <w:right w:val="nil"/>
            </w:tcBorders>
            <w:shd w:val="clear" w:color="auto" w:fill="FFFFFF"/>
          </w:tcPr>
          <w:p w:rsidR="00C558E9" w:rsidRPr="00AC6103" w:rsidRDefault="00C558E9" w:rsidP="00C558E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Assets</w:t>
            </w:r>
          </w:p>
        </w:tc>
      </w:tr>
      <w:tr w:rsidR="00C558E9" w:rsidRPr="00AC6103" w:rsidTr="00C558E9">
        <w:tc>
          <w:tcPr>
            <w:tcW w:w="7765" w:type="dxa"/>
            <w:gridSpan w:val="5"/>
            <w:tcBorders>
              <w:top w:val="nil"/>
              <w:left w:val="nil"/>
              <w:right w:val="nil"/>
            </w:tcBorders>
            <w:shd w:val="clear" w:color="auto" w:fill="FFFFFF"/>
          </w:tcPr>
          <w:p w:rsidR="00C558E9" w:rsidRPr="00AC6103" w:rsidRDefault="00C558E9" w:rsidP="00C558E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Financial assets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Cash and deposits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Receivables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60</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78</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101</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financial assets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68</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89</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82</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105</w:t>
            </w:r>
          </w:p>
        </w:tc>
      </w:tr>
      <w:tr w:rsidR="00C558E9" w:rsidRPr="00AC6103" w:rsidTr="00C558E9">
        <w:tc>
          <w:tcPr>
            <w:tcW w:w="7765" w:type="dxa"/>
            <w:gridSpan w:val="5"/>
            <w:tcBorders>
              <w:top w:val="single" w:sz="6" w:space="0" w:color="auto"/>
              <w:left w:val="nil"/>
              <w:right w:val="nil"/>
            </w:tcBorders>
            <w:shd w:val="clear" w:color="auto" w:fill="FFFFFF"/>
          </w:tcPr>
          <w:p w:rsidR="00C558E9" w:rsidRPr="00AC6103" w:rsidRDefault="00C558E9" w:rsidP="00C558E9">
            <w:pPr>
              <w:pStyle w:val="Heading9"/>
            </w:pPr>
            <w:r w:rsidRPr="00AC6103">
              <w:t>Non-financial assets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Property, plant and equipment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727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756</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739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762</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Intangible assets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32</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25</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25</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18</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non-financial assets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760</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783</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766</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782</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assets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829</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872</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848</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887</w:t>
            </w:r>
          </w:p>
        </w:tc>
      </w:tr>
      <w:tr w:rsidR="00C558E9" w:rsidRPr="00AC6103" w:rsidTr="00C558E9">
        <w:tc>
          <w:tcPr>
            <w:tcW w:w="7765" w:type="dxa"/>
            <w:gridSpan w:val="5"/>
            <w:tcBorders>
              <w:top w:val="single" w:sz="6" w:space="0" w:color="auto"/>
              <w:left w:val="nil"/>
              <w:right w:val="nil"/>
            </w:tcBorders>
            <w:shd w:val="clear" w:color="auto" w:fill="FFFFFF"/>
          </w:tcPr>
          <w:p w:rsidR="00C558E9" w:rsidRPr="00AC6103" w:rsidRDefault="00C558E9" w:rsidP="00C558E9">
            <w:pPr>
              <w:pStyle w:val="Heading9"/>
            </w:pPr>
            <w:r w:rsidRPr="00AC6103">
              <w:t>Liabilities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Payables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25</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Borrowings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95</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91</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Provisions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70</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70</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70</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70</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liabilities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195</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190</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190</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185</w:t>
            </w:r>
          </w:p>
        </w:tc>
      </w:tr>
      <w:tr w:rsidR="002C39A3" w:rsidRPr="00AC6103" w:rsidTr="00361FA9">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assets</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634</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682</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658</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702</w:t>
            </w:r>
          </w:p>
        </w:tc>
      </w:tr>
      <w:tr w:rsidR="00C558E9" w:rsidRPr="00AC6103" w:rsidTr="00C558E9">
        <w:tc>
          <w:tcPr>
            <w:tcW w:w="7765" w:type="dxa"/>
            <w:gridSpan w:val="5"/>
            <w:tcBorders>
              <w:top w:val="single" w:sz="12" w:space="0" w:color="auto"/>
              <w:left w:val="nil"/>
              <w:right w:val="nil"/>
            </w:tcBorders>
            <w:shd w:val="clear" w:color="auto" w:fill="FFFFFF"/>
          </w:tcPr>
          <w:p w:rsidR="00C558E9" w:rsidRPr="00AC6103" w:rsidRDefault="00C558E9" w:rsidP="00C558E9">
            <w:pPr>
              <w:pStyle w:val="Heading9"/>
            </w:pPr>
            <w:r w:rsidRPr="00AC6103">
              <w:t>Equity</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Contributed capital</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629</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677</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660</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704</w:t>
            </w:r>
          </w:p>
        </w:tc>
      </w:tr>
      <w:tr w:rsidR="002C39A3" w:rsidRPr="00AC6103" w:rsidTr="00361FA9">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equity</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634</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682</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658</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702</w:t>
            </w:r>
          </w:p>
        </w:tc>
      </w:tr>
    </w:tbl>
    <w:p w:rsidR="002C39A3" w:rsidRDefault="002C39A3" w:rsidP="00361FA9">
      <w:pPr>
        <w:pStyle w:val="Source"/>
        <w:rPr>
          <w:rFonts w:eastAsiaTheme="minorHAnsi"/>
        </w:rPr>
      </w:pPr>
      <w:r w:rsidRPr="003B7DEB">
        <w:rPr>
          <w:rFonts w:eastAsiaTheme="minorHAnsi"/>
        </w:rPr>
        <w:t xml:space="preserve">Sources: </w:t>
      </w:r>
      <w:r w:rsidRPr="004919C5">
        <w:rPr>
          <w:rFonts w:eastAsiaTheme="minorHAnsi"/>
        </w:rPr>
        <w:t>Courts, and Department of Treasury and Finance</w:t>
      </w:r>
    </w:p>
    <w:p w:rsidR="002C39A3" w:rsidRDefault="002C39A3" w:rsidP="00361FA9">
      <w:pPr>
        <w:pStyle w:val="million"/>
        <w:rPr>
          <w:rFonts w:eastAsiaTheme="minorHAnsi"/>
        </w:rPr>
      </w:pP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3.9.3:</w:t>
      </w:r>
      <w:r>
        <w:rPr>
          <w:rFonts w:eastAsiaTheme="minorHAnsi"/>
        </w:rPr>
        <w:tab/>
        <w:t>Statement of cash flows</w:t>
      </w:r>
    </w:p>
    <w:p w:rsidR="002C39A3" w:rsidRPr="0028162B" w:rsidRDefault="002C39A3" w:rsidP="00361FA9">
      <w:pPr>
        <w:pStyle w:val="million"/>
        <w:rPr>
          <w:rFonts w:eastAsiaTheme="minorHAnsi"/>
          <w:b/>
          <w:bCs/>
          <w:sz w:val="15"/>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C558E9" w:rsidRPr="0028162B" w:rsidTr="00C558E9">
        <w:trPr>
          <w:cantSplit/>
          <w:trHeight w:val="464"/>
          <w:tblHeader/>
        </w:trPr>
        <w:tc>
          <w:tcPr>
            <w:tcW w:w="4365" w:type="dxa"/>
            <w:tcBorders>
              <w:left w:val="nil"/>
              <w:right w:val="nil"/>
            </w:tcBorders>
            <w:shd w:val="solid" w:color="000000" w:fill="auto"/>
            <w:vAlign w:val="bottom"/>
          </w:tcPr>
          <w:p w:rsidR="00C558E9" w:rsidRPr="0028162B" w:rsidRDefault="00C558E9" w:rsidP="00C558E9">
            <w:pPr>
              <w:pStyle w:val="Source"/>
              <w:spacing w:after="0"/>
              <w:rPr>
                <w:rFonts w:eastAsiaTheme="minorEastAsia" w:cs="Calibri"/>
                <w:color w:val="FFFFFF"/>
                <w:sz w:val="19"/>
                <w:lang w:eastAsia="en-AU"/>
              </w:rPr>
            </w:pPr>
          </w:p>
        </w:tc>
        <w:tc>
          <w:tcPr>
            <w:tcW w:w="850" w:type="dxa"/>
            <w:tcBorders>
              <w:left w:val="nil"/>
              <w:right w:val="nil"/>
            </w:tcBorders>
            <w:shd w:val="solid" w:color="000000" w:fill="auto"/>
            <w:vAlign w:val="bottom"/>
          </w:tcPr>
          <w:p w:rsidR="00C558E9" w:rsidRPr="0028162B"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28162B">
              <w:rPr>
                <w:rFonts w:ascii="Calibri" w:eastAsiaTheme="minorEastAsia" w:hAnsi="Calibri" w:cs="Calibri"/>
                <w:i/>
                <w:iCs/>
                <w:color w:val="FFFFFF"/>
                <w:sz w:val="19"/>
                <w:lang w:eastAsia="en-AU"/>
              </w:rPr>
              <w:t>2014-15</w:t>
            </w:r>
          </w:p>
          <w:p w:rsidR="00C558E9" w:rsidRPr="0028162B"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28162B">
              <w:rPr>
                <w:rFonts w:ascii="Calibri" w:eastAsiaTheme="minorEastAsia" w:hAnsi="Calibri" w:cs="Calibri"/>
                <w:i/>
                <w:iCs/>
                <w:color w:val="FFFFFF"/>
                <w:sz w:val="19"/>
                <w:lang w:eastAsia="en-AU"/>
              </w:rPr>
              <w:t>actual</w:t>
            </w:r>
          </w:p>
        </w:tc>
        <w:tc>
          <w:tcPr>
            <w:tcW w:w="850" w:type="dxa"/>
            <w:tcBorders>
              <w:left w:val="nil"/>
              <w:right w:val="nil"/>
            </w:tcBorders>
            <w:shd w:val="solid" w:color="000000" w:fill="auto"/>
            <w:vAlign w:val="bottom"/>
          </w:tcPr>
          <w:p w:rsidR="00C558E9" w:rsidRPr="0028162B"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28162B">
              <w:rPr>
                <w:rFonts w:ascii="Calibri" w:eastAsiaTheme="minorEastAsia" w:hAnsi="Calibri" w:cs="Calibri"/>
                <w:i/>
                <w:iCs/>
                <w:color w:val="FFFFFF"/>
                <w:sz w:val="19"/>
                <w:lang w:eastAsia="en-AU"/>
              </w:rPr>
              <w:t>2015-16</w:t>
            </w:r>
          </w:p>
          <w:p w:rsidR="00C558E9" w:rsidRPr="0028162B"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28162B">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C558E9" w:rsidRPr="0028162B"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28162B">
              <w:rPr>
                <w:rFonts w:ascii="Calibri" w:eastAsiaTheme="minorEastAsia" w:hAnsi="Calibri" w:cs="Calibri"/>
                <w:i/>
                <w:iCs/>
                <w:color w:val="FFFFFF"/>
                <w:sz w:val="19"/>
                <w:lang w:eastAsia="en-AU"/>
              </w:rPr>
              <w:t>2015-16</w:t>
            </w:r>
          </w:p>
          <w:p w:rsidR="00C558E9" w:rsidRPr="0028162B"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28162B">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C558E9" w:rsidRPr="0028162B"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28162B">
              <w:rPr>
                <w:rFonts w:ascii="Calibri" w:eastAsiaTheme="minorEastAsia" w:hAnsi="Calibri" w:cs="Calibri"/>
                <w:i/>
                <w:iCs/>
                <w:color w:val="FFFFFF"/>
                <w:sz w:val="19"/>
                <w:lang w:eastAsia="en-AU"/>
              </w:rPr>
              <w:t>2016-17</w:t>
            </w:r>
          </w:p>
          <w:p w:rsidR="00C558E9" w:rsidRPr="0028162B"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28162B">
              <w:rPr>
                <w:rFonts w:ascii="Calibri" w:eastAsiaTheme="minorEastAsia" w:hAnsi="Calibri" w:cs="Calibri"/>
                <w:i/>
                <w:iCs/>
                <w:color w:val="FFFFFF"/>
                <w:sz w:val="19"/>
                <w:lang w:eastAsia="en-AU"/>
              </w:rPr>
              <w:t>budget</w:t>
            </w:r>
          </w:p>
        </w:tc>
      </w:tr>
      <w:tr w:rsidR="00C558E9" w:rsidRPr="0028162B" w:rsidTr="00C558E9">
        <w:trPr>
          <w:cantSplit/>
        </w:trPr>
        <w:tc>
          <w:tcPr>
            <w:tcW w:w="7765" w:type="dxa"/>
            <w:gridSpan w:val="5"/>
            <w:tcBorders>
              <w:top w:val="single" w:sz="6" w:space="0" w:color="auto"/>
              <w:left w:val="nil"/>
              <w:right w:val="nil"/>
            </w:tcBorders>
            <w:shd w:val="clear" w:color="auto" w:fill="FFFFFF"/>
          </w:tcPr>
          <w:p w:rsidR="00C558E9" w:rsidRPr="0028162B" w:rsidRDefault="00C558E9" w:rsidP="00C558E9">
            <w:pPr>
              <w:autoSpaceDE w:val="0"/>
              <w:autoSpaceDN w:val="0"/>
              <w:adjustRightInd w:val="0"/>
              <w:spacing w:after="0"/>
              <w:ind w:left="227" w:hanging="227"/>
              <w:rPr>
                <w:rFonts w:ascii="Calibri" w:eastAsiaTheme="minorEastAsia" w:hAnsi="Calibri" w:cs="Calibri"/>
                <w:color w:val="000000"/>
                <w:sz w:val="19"/>
                <w:lang w:eastAsia="en-AU"/>
              </w:rPr>
            </w:pPr>
            <w:r w:rsidRPr="0028162B">
              <w:rPr>
                <w:rFonts w:ascii="Calibri" w:eastAsiaTheme="minorEastAsia" w:hAnsi="Calibri" w:cs="Calibri"/>
                <w:b/>
                <w:bCs/>
                <w:color w:val="000000"/>
                <w:sz w:val="19"/>
                <w:lang w:eastAsia="en-AU"/>
              </w:rPr>
              <w:t>Cash flows from operating activities</w:t>
            </w:r>
          </w:p>
        </w:tc>
      </w:tr>
      <w:tr w:rsidR="00C558E9" w:rsidRPr="0028162B" w:rsidTr="00C558E9">
        <w:trPr>
          <w:cantSplit/>
        </w:trPr>
        <w:tc>
          <w:tcPr>
            <w:tcW w:w="7765" w:type="dxa"/>
            <w:gridSpan w:val="5"/>
            <w:tcBorders>
              <w:top w:val="nil"/>
              <w:left w:val="nil"/>
              <w:right w:val="nil"/>
            </w:tcBorders>
            <w:shd w:val="clear" w:color="auto" w:fill="FFFFFF"/>
          </w:tcPr>
          <w:p w:rsidR="00C558E9" w:rsidRPr="0028162B" w:rsidRDefault="00C558E9" w:rsidP="00C558E9">
            <w:pPr>
              <w:autoSpaceDE w:val="0"/>
              <w:autoSpaceDN w:val="0"/>
              <w:adjustRightInd w:val="0"/>
              <w:spacing w:after="0"/>
              <w:ind w:left="227" w:hanging="227"/>
              <w:rPr>
                <w:rFonts w:ascii="Calibri" w:eastAsiaTheme="minorEastAsia" w:hAnsi="Calibri" w:cs="Calibri"/>
                <w:color w:val="000000"/>
                <w:sz w:val="19"/>
                <w:lang w:eastAsia="en-AU"/>
              </w:rPr>
            </w:pPr>
            <w:r w:rsidRPr="0028162B">
              <w:rPr>
                <w:rFonts w:ascii="Calibri" w:eastAsiaTheme="minorEastAsia" w:hAnsi="Calibri" w:cs="Calibri"/>
                <w:b/>
                <w:bCs/>
                <w:color w:val="000000"/>
                <w:sz w:val="19"/>
                <w:lang w:eastAsia="en-AU"/>
              </w:rPr>
              <w:t>Receipts</w:t>
            </w:r>
          </w:p>
        </w:tc>
      </w:tr>
      <w:tr w:rsidR="002C39A3" w:rsidRPr="0028162B" w:rsidTr="00361FA9">
        <w:trPr>
          <w:cantSplit/>
        </w:trPr>
        <w:tc>
          <w:tcPr>
            <w:tcW w:w="4365" w:type="dxa"/>
            <w:tcBorders>
              <w:top w:val="nil"/>
              <w:left w:val="nil"/>
              <w:right w:val="nil"/>
            </w:tcBorders>
            <w:shd w:val="clear" w:color="auto" w:fill="FFFFFF"/>
          </w:tcPr>
          <w:p w:rsidR="002C39A3" w:rsidRPr="0028162B"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28162B">
              <w:rPr>
                <w:rFonts w:ascii="Calibri" w:eastAsiaTheme="minorEastAsia" w:hAnsi="Calibri" w:cs="Calibri"/>
                <w:color w:val="000000"/>
                <w:sz w:val="19"/>
                <w:lang w:eastAsia="en-AU"/>
              </w:rPr>
              <w:t>Receipts from Government</w:t>
            </w:r>
          </w:p>
        </w:tc>
        <w:tc>
          <w:tcPr>
            <w:tcW w:w="850" w:type="dxa"/>
            <w:tcBorders>
              <w:top w:val="nil"/>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396</w:t>
            </w:r>
          </w:p>
        </w:tc>
        <w:tc>
          <w:tcPr>
            <w:tcW w:w="850" w:type="dxa"/>
            <w:tcBorders>
              <w:top w:val="nil"/>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429</w:t>
            </w:r>
          </w:p>
        </w:tc>
        <w:tc>
          <w:tcPr>
            <w:tcW w:w="850" w:type="dxa"/>
            <w:tcBorders>
              <w:top w:val="nil"/>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440</w:t>
            </w:r>
          </w:p>
        </w:tc>
        <w:tc>
          <w:tcPr>
            <w:tcW w:w="850" w:type="dxa"/>
            <w:tcBorders>
              <w:top w:val="nil"/>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447</w:t>
            </w:r>
          </w:p>
        </w:tc>
      </w:tr>
      <w:tr w:rsidR="002C39A3" w:rsidRPr="0028162B" w:rsidTr="00361FA9">
        <w:trPr>
          <w:cantSplit/>
        </w:trPr>
        <w:tc>
          <w:tcPr>
            <w:tcW w:w="4365" w:type="dxa"/>
            <w:tcBorders>
              <w:top w:val="nil"/>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28162B">
              <w:rPr>
                <w:rFonts w:ascii="Calibri" w:eastAsiaTheme="minorEastAsia" w:hAnsi="Calibri" w:cs="Calibri"/>
                <w:color w:val="000000"/>
                <w:sz w:val="19"/>
                <w:lang w:eastAsia="en-AU"/>
              </w:rPr>
              <w:t>Receipts from other entities</w:t>
            </w:r>
          </w:p>
        </w:tc>
        <w:tc>
          <w:tcPr>
            <w:tcW w:w="850" w:type="dxa"/>
            <w:tcBorders>
              <w:top w:val="nil"/>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33</w:t>
            </w:r>
          </w:p>
        </w:tc>
        <w:tc>
          <w:tcPr>
            <w:tcW w:w="850" w:type="dxa"/>
            <w:tcBorders>
              <w:top w:val="nil"/>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17</w:t>
            </w:r>
          </w:p>
        </w:tc>
        <w:tc>
          <w:tcPr>
            <w:tcW w:w="850" w:type="dxa"/>
            <w:tcBorders>
              <w:top w:val="nil"/>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17</w:t>
            </w:r>
          </w:p>
        </w:tc>
        <w:tc>
          <w:tcPr>
            <w:tcW w:w="850" w:type="dxa"/>
            <w:tcBorders>
              <w:top w:val="nil"/>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17</w:t>
            </w:r>
          </w:p>
        </w:tc>
      </w:tr>
      <w:tr w:rsidR="002C39A3" w:rsidRPr="0028162B" w:rsidTr="00361FA9">
        <w:trPr>
          <w:cantSplit/>
        </w:trPr>
        <w:tc>
          <w:tcPr>
            <w:tcW w:w="4365" w:type="dxa"/>
            <w:tcBorders>
              <w:top w:val="single" w:sz="6" w:space="0" w:color="auto"/>
              <w:left w:val="nil"/>
              <w:right w:val="nil"/>
            </w:tcBorders>
            <w:shd w:val="clear" w:color="auto" w:fill="FFFFFF"/>
          </w:tcPr>
          <w:p w:rsidR="002C39A3" w:rsidRPr="0028162B"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28162B">
              <w:rPr>
                <w:rFonts w:ascii="Calibri" w:eastAsiaTheme="minorEastAsia" w:hAnsi="Calibri" w:cs="Calibri"/>
                <w:b/>
                <w:bCs/>
                <w:color w:val="000000"/>
                <w:sz w:val="19"/>
                <w:lang w:eastAsia="en-AU"/>
              </w:rPr>
              <w:t>Total receipts</w:t>
            </w:r>
          </w:p>
        </w:tc>
        <w:tc>
          <w:tcPr>
            <w:tcW w:w="850" w:type="dxa"/>
            <w:tcBorders>
              <w:top w:val="single" w:sz="6" w:space="0" w:color="auto"/>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429</w:t>
            </w:r>
          </w:p>
        </w:tc>
        <w:tc>
          <w:tcPr>
            <w:tcW w:w="850" w:type="dxa"/>
            <w:tcBorders>
              <w:top w:val="single" w:sz="6" w:space="0" w:color="auto"/>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445</w:t>
            </w:r>
          </w:p>
        </w:tc>
        <w:tc>
          <w:tcPr>
            <w:tcW w:w="850" w:type="dxa"/>
            <w:tcBorders>
              <w:top w:val="single" w:sz="6" w:space="0" w:color="auto"/>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456</w:t>
            </w:r>
          </w:p>
        </w:tc>
        <w:tc>
          <w:tcPr>
            <w:tcW w:w="850" w:type="dxa"/>
            <w:tcBorders>
              <w:top w:val="single" w:sz="6" w:space="0" w:color="auto"/>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464</w:t>
            </w:r>
          </w:p>
        </w:tc>
      </w:tr>
      <w:tr w:rsidR="00C558E9" w:rsidRPr="0028162B" w:rsidTr="00C558E9">
        <w:trPr>
          <w:cantSplit/>
        </w:trPr>
        <w:tc>
          <w:tcPr>
            <w:tcW w:w="7765" w:type="dxa"/>
            <w:gridSpan w:val="5"/>
            <w:tcBorders>
              <w:top w:val="nil"/>
              <w:left w:val="nil"/>
              <w:right w:val="nil"/>
            </w:tcBorders>
            <w:shd w:val="clear" w:color="auto" w:fill="FFFFFF"/>
          </w:tcPr>
          <w:p w:rsidR="00C558E9" w:rsidRPr="0028162B" w:rsidRDefault="00C558E9" w:rsidP="00C558E9">
            <w:pPr>
              <w:autoSpaceDE w:val="0"/>
              <w:autoSpaceDN w:val="0"/>
              <w:adjustRightInd w:val="0"/>
              <w:spacing w:after="0"/>
              <w:ind w:left="227" w:hanging="227"/>
              <w:rPr>
                <w:rFonts w:ascii="Calibri" w:eastAsiaTheme="minorEastAsia" w:hAnsi="Calibri" w:cs="Calibri"/>
                <w:color w:val="000000"/>
                <w:sz w:val="19"/>
                <w:lang w:eastAsia="en-AU"/>
              </w:rPr>
            </w:pPr>
            <w:r>
              <w:rPr>
                <w:rFonts w:ascii="Calibri" w:eastAsiaTheme="minorEastAsia" w:hAnsi="Calibri" w:cs="Calibri"/>
                <w:b/>
                <w:bCs/>
                <w:color w:val="000000"/>
                <w:sz w:val="19"/>
                <w:lang w:eastAsia="en-AU"/>
              </w:rPr>
              <w:t>Payments</w:t>
            </w:r>
          </w:p>
        </w:tc>
      </w:tr>
      <w:tr w:rsidR="002C39A3" w:rsidRPr="0028162B" w:rsidTr="00361FA9">
        <w:trPr>
          <w:cantSplit/>
        </w:trPr>
        <w:tc>
          <w:tcPr>
            <w:tcW w:w="4365" w:type="dxa"/>
            <w:tcBorders>
              <w:top w:val="nil"/>
              <w:left w:val="nil"/>
              <w:right w:val="nil"/>
            </w:tcBorders>
            <w:shd w:val="clear" w:color="auto" w:fill="FFFFFF"/>
          </w:tcPr>
          <w:p w:rsidR="002C39A3" w:rsidRPr="0028162B"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28162B">
              <w:rPr>
                <w:rFonts w:ascii="Calibri" w:eastAsiaTheme="minorEastAsia" w:hAnsi="Calibri" w:cs="Calibri"/>
                <w:color w:val="000000"/>
                <w:sz w:val="19"/>
                <w:lang w:eastAsia="en-AU"/>
              </w:rPr>
              <w:t>Payments of grants and other transfers</w:t>
            </w:r>
          </w:p>
        </w:tc>
        <w:tc>
          <w:tcPr>
            <w:tcW w:w="850" w:type="dxa"/>
            <w:tcBorders>
              <w:top w:val="nil"/>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w:t>
            </w:r>
          </w:p>
        </w:tc>
        <w:tc>
          <w:tcPr>
            <w:tcW w:w="850" w:type="dxa"/>
            <w:tcBorders>
              <w:top w:val="nil"/>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c>
          <w:tcPr>
            <w:tcW w:w="850" w:type="dxa"/>
            <w:tcBorders>
              <w:top w:val="nil"/>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w:t>
            </w:r>
          </w:p>
        </w:tc>
      </w:tr>
      <w:tr w:rsidR="002C39A3" w:rsidRPr="0028162B" w:rsidTr="00361FA9">
        <w:trPr>
          <w:cantSplit/>
        </w:trPr>
        <w:tc>
          <w:tcPr>
            <w:tcW w:w="4365" w:type="dxa"/>
            <w:tcBorders>
              <w:top w:val="nil"/>
              <w:left w:val="nil"/>
              <w:right w:val="nil"/>
            </w:tcBorders>
            <w:shd w:val="clear" w:color="auto" w:fill="FFFFFF"/>
          </w:tcPr>
          <w:p w:rsidR="002C39A3" w:rsidRPr="0028162B"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28162B">
              <w:rPr>
                <w:rFonts w:ascii="Calibri" w:eastAsiaTheme="minorEastAsia" w:hAnsi="Calibri" w:cs="Calibri"/>
                <w:color w:val="000000"/>
                <w:sz w:val="19"/>
                <w:lang w:eastAsia="en-AU"/>
              </w:rPr>
              <w:t>Payments to suppliers and employees</w:t>
            </w:r>
          </w:p>
        </w:tc>
        <w:tc>
          <w:tcPr>
            <w:tcW w:w="850" w:type="dxa"/>
            <w:tcBorders>
              <w:top w:val="nil"/>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(343)</w:t>
            </w:r>
          </w:p>
        </w:tc>
        <w:tc>
          <w:tcPr>
            <w:tcW w:w="850" w:type="dxa"/>
            <w:tcBorders>
              <w:top w:val="nil"/>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(382)</w:t>
            </w:r>
          </w:p>
        </w:tc>
        <w:tc>
          <w:tcPr>
            <w:tcW w:w="850" w:type="dxa"/>
            <w:tcBorders>
              <w:top w:val="nil"/>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(397)</w:t>
            </w:r>
          </w:p>
        </w:tc>
        <w:tc>
          <w:tcPr>
            <w:tcW w:w="850" w:type="dxa"/>
            <w:tcBorders>
              <w:top w:val="nil"/>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(401)</w:t>
            </w:r>
          </w:p>
        </w:tc>
      </w:tr>
      <w:tr w:rsidR="002C39A3" w:rsidRPr="0028162B" w:rsidTr="00361FA9">
        <w:trPr>
          <w:cantSplit/>
        </w:trPr>
        <w:tc>
          <w:tcPr>
            <w:tcW w:w="4365" w:type="dxa"/>
            <w:tcBorders>
              <w:top w:val="nil"/>
              <w:left w:val="nil"/>
              <w:right w:val="nil"/>
            </w:tcBorders>
            <w:shd w:val="clear" w:color="auto" w:fill="FFFFFF"/>
          </w:tcPr>
          <w:p w:rsidR="002C39A3" w:rsidRPr="0028162B"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28162B">
              <w:rPr>
                <w:rFonts w:ascii="Calibri" w:eastAsiaTheme="minorEastAsia" w:hAnsi="Calibri" w:cs="Calibri"/>
                <w:color w:val="000000"/>
                <w:sz w:val="19"/>
                <w:lang w:eastAsia="en-AU"/>
              </w:rPr>
              <w:t>Capital asset charge</w:t>
            </w:r>
          </w:p>
        </w:tc>
        <w:tc>
          <w:tcPr>
            <w:tcW w:w="850" w:type="dxa"/>
            <w:tcBorders>
              <w:top w:val="nil"/>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(41)</w:t>
            </w:r>
          </w:p>
        </w:tc>
        <w:tc>
          <w:tcPr>
            <w:tcW w:w="850" w:type="dxa"/>
            <w:tcBorders>
              <w:top w:val="nil"/>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(41)</w:t>
            </w:r>
          </w:p>
        </w:tc>
        <w:tc>
          <w:tcPr>
            <w:tcW w:w="850" w:type="dxa"/>
            <w:tcBorders>
              <w:top w:val="nil"/>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(41)</w:t>
            </w:r>
          </w:p>
        </w:tc>
        <w:tc>
          <w:tcPr>
            <w:tcW w:w="850" w:type="dxa"/>
            <w:tcBorders>
              <w:top w:val="nil"/>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(40)</w:t>
            </w:r>
          </w:p>
        </w:tc>
      </w:tr>
      <w:tr w:rsidR="002C39A3" w:rsidRPr="0028162B" w:rsidTr="00361FA9">
        <w:trPr>
          <w:cantSplit/>
        </w:trPr>
        <w:tc>
          <w:tcPr>
            <w:tcW w:w="4365" w:type="dxa"/>
            <w:tcBorders>
              <w:top w:val="nil"/>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28162B">
              <w:rPr>
                <w:rFonts w:ascii="Calibri" w:eastAsiaTheme="minorEastAsia" w:hAnsi="Calibri" w:cs="Calibri"/>
                <w:color w:val="000000"/>
                <w:sz w:val="19"/>
                <w:lang w:eastAsia="en-AU"/>
              </w:rPr>
              <w:t>Interest and other costs of finance paid</w:t>
            </w:r>
          </w:p>
        </w:tc>
        <w:tc>
          <w:tcPr>
            <w:tcW w:w="850" w:type="dxa"/>
            <w:tcBorders>
              <w:top w:val="nil"/>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(9)</w:t>
            </w:r>
          </w:p>
        </w:tc>
        <w:tc>
          <w:tcPr>
            <w:tcW w:w="850" w:type="dxa"/>
            <w:tcBorders>
              <w:top w:val="nil"/>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w:t>
            </w:r>
          </w:p>
        </w:tc>
        <w:tc>
          <w:tcPr>
            <w:tcW w:w="850" w:type="dxa"/>
            <w:tcBorders>
              <w:top w:val="nil"/>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w:t>
            </w:r>
          </w:p>
        </w:tc>
        <w:tc>
          <w:tcPr>
            <w:tcW w:w="850" w:type="dxa"/>
            <w:tcBorders>
              <w:top w:val="nil"/>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(11)</w:t>
            </w:r>
          </w:p>
        </w:tc>
      </w:tr>
      <w:tr w:rsidR="002C39A3" w:rsidRPr="0028162B" w:rsidTr="00361FA9">
        <w:trPr>
          <w:cantSplit/>
        </w:trPr>
        <w:tc>
          <w:tcPr>
            <w:tcW w:w="4365" w:type="dxa"/>
            <w:tcBorders>
              <w:top w:val="single" w:sz="6" w:space="0" w:color="auto"/>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28162B">
              <w:rPr>
                <w:rFonts w:ascii="Calibri" w:eastAsiaTheme="minorEastAsia" w:hAnsi="Calibri" w:cs="Calibri"/>
                <w:b/>
                <w:bCs/>
                <w:color w:val="000000"/>
                <w:sz w:val="19"/>
                <w:lang w:eastAsia="en-AU"/>
              </w:rPr>
              <w:t>Total payments</w:t>
            </w:r>
          </w:p>
        </w:tc>
        <w:tc>
          <w:tcPr>
            <w:tcW w:w="850" w:type="dxa"/>
            <w:tcBorders>
              <w:top w:val="single" w:sz="6" w:space="0" w:color="auto"/>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(396)</w:t>
            </w:r>
          </w:p>
        </w:tc>
        <w:tc>
          <w:tcPr>
            <w:tcW w:w="850" w:type="dxa"/>
            <w:tcBorders>
              <w:top w:val="single" w:sz="6" w:space="0" w:color="auto"/>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(435)</w:t>
            </w:r>
          </w:p>
        </w:tc>
        <w:tc>
          <w:tcPr>
            <w:tcW w:w="850" w:type="dxa"/>
            <w:tcBorders>
              <w:top w:val="single" w:sz="6" w:space="0" w:color="auto"/>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(449)</w:t>
            </w:r>
          </w:p>
        </w:tc>
        <w:tc>
          <w:tcPr>
            <w:tcW w:w="850" w:type="dxa"/>
            <w:tcBorders>
              <w:top w:val="single" w:sz="6" w:space="0" w:color="auto"/>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(453)</w:t>
            </w:r>
          </w:p>
        </w:tc>
      </w:tr>
      <w:tr w:rsidR="002C39A3" w:rsidRPr="0028162B" w:rsidTr="00361FA9">
        <w:trPr>
          <w:cantSplit/>
        </w:trPr>
        <w:tc>
          <w:tcPr>
            <w:tcW w:w="4365" w:type="dxa"/>
            <w:tcBorders>
              <w:top w:val="single" w:sz="6" w:space="0" w:color="auto"/>
              <w:left w:val="nil"/>
              <w:right w:val="nil"/>
            </w:tcBorders>
            <w:shd w:val="clear" w:color="auto" w:fill="FFFFFF"/>
          </w:tcPr>
          <w:p w:rsidR="002C39A3" w:rsidRPr="0028162B"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28162B">
              <w:rPr>
                <w:rFonts w:ascii="Calibri" w:eastAsiaTheme="minorEastAsia" w:hAnsi="Calibri" w:cs="Calibri"/>
                <w:b/>
                <w:bCs/>
                <w:color w:val="000000"/>
                <w:sz w:val="19"/>
                <w:lang w:eastAsia="en-AU"/>
              </w:rPr>
              <w:t>Net cash flows from/(used in) operating activities</w:t>
            </w:r>
          </w:p>
        </w:tc>
        <w:tc>
          <w:tcPr>
            <w:tcW w:w="850" w:type="dxa"/>
            <w:tcBorders>
              <w:top w:val="single" w:sz="6" w:space="0" w:color="auto"/>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34</w:t>
            </w:r>
          </w:p>
        </w:tc>
        <w:tc>
          <w:tcPr>
            <w:tcW w:w="850" w:type="dxa"/>
            <w:tcBorders>
              <w:top w:val="single" w:sz="6" w:space="0" w:color="auto"/>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11</w:t>
            </w:r>
          </w:p>
        </w:tc>
        <w:tc>
          <w:tcPr>
            <w:tcW w:w="850" w:type="dxa"/>
            <w:tcBorders>
              <w:top w:val="single" w:sz="6" w:space="0" w:color="auto"/>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7</w:t>
            </w:r>
          </w:p>
        </w:tc>
        <w:tc>
          <w:tcPr>
            <w:tcW w:w="850" w:type="dxa"/>
            <w:tcBorders>
              <w:top w:val="single" w:sz="6" w:space="0" w:color="auto"/>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11</w:t>
            </w:r>
          </w:p>
        </w:tc>
      </w:tr>
      <w:tr w:rsidR="00C558E9" w:rsidRPr="0028162B" w:rsidTr="00C558E9">
        <w:trPr>
          <w:cantSplit/>
        </w:trPr>
        <w:tc>
          <w:tcPr>
            <w:tcW w:w="7765" w:type="dxa"/>
            <w:gridSpan w:val="5"/>
            <w:tcBorders>
              <w:top w:val="nil"/>
              <w:left w:val="nil"/>
              <w:right w:val="nil"/>
            </w:tcBorders>
            <w:shd w:val="clear" w:color="auto" w:fill="FFFFFF"/>
          </w:tcPr>
          <w:p w:rsidR="00C558E9" w:rsidRPr="0028162B" w:rsidRDefault="00C558E9" w:rsidP="00C558E9">
            <w:pPr>
              <w:autoSpaceDE w:val="0"/>
              <w:autoSpaceDN w:val="0"/>
              <w:adjustRightInd w:val="0"/>
              <w:spacing w:after="0"/>
              <w:ind w:left="227" w:hanging="227"/>
              <w:rPr>
                <w:rFonts w:ascii="Calibri" w:eastAsiaTheme="minorEastAsia" w:hAnsi="Calibri" w:cs="Calibri"/>
                <w:color w:val="000000"/>
                <w:sz w:val="19"/>
                <w:lang w:eastAsia="en-AU"/>
              </w:rPr>
            </w:pPr>
            <w:r w:rsidRPr="0028162B">
              <w:rPr>
                <w:rFonts w:ascii="Calibri" w:eastAsiaTheme="minorEastAsia" w:hAnsi="Calibri" w:cs="Calibri"/>
                <w:b/>
                <w:bCs/>
                <w:color w:val="000000"/>
                <w:sz w:val="19"/>
                <w:lang w:eastAsia="en-AU"/>
              </w:rPr>
              <w:t>Cash flows from investing activities</w:t>
            </w:r>
          </w:p>
        </w:tc>
      </w:tr>
      <w:tr w:rsidR="002C39A3" w:rsidRPr="0028162B" w:rsidTr="00361FA9">
        <w:trPr>
          <w:cantSplit/>
        </w:trPr>
        <w:tc>
          <w:tcPr>
            <w:tcW w:w="4365" w:type="dxa"/>
            <w:tcBorders>
              <w:top w:val="nil"/>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28162B">
              <w:rPr>
                <w:rFonts w:ascii="Calibri" w:eastAsiaTheme="minorEastAsia" w:hAnsi="Calibri" w:cs="Calibri"/>
                <w:color w:val="000000"/>
                <w:sz w:val="19"/>
                <w:lang w:eastAsia="en-AU"/>
              </w:rPr>
              <w:t>Payments for non-financial assets</w:t>
            </w:r>
          </w:p>
        </w:tc>
        <w:tc>
          <w:tcPr>
            <w:tcW w:w="850" w:type="dxa"/>
            <w:tcBorders>
              <w:top w:val="nil"/>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(20)</w:t>
            </w:r>
          </w:p>
        </w:tc>
        <w:tc>
          <w:tcPr>
            <w:tcW w:w="850" w:type="dxa"/>
            <w:tcBorders>
              <w:top w:val="nil"/>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(53)</w:t>
            </w:r>
          </w:p>
        </w:tc>
        <w:tc>
          <w:tcPr>
            <w:tcW w:w="850" w:type="dxa"/>
            <w:tcBorders>
              <w:top w:val="nil"/>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(37)</w:t>
            </w:r>
          </w:p>
        </w:tc>
        <w:tc>
          <w:tcPr>
            <w:tcW w:w="850" w:type="dxa"/>
            <w:tcBorders>
              <w:top w:val="nil"/>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(49)</w:t>
            </w:r>
          </w:p>
        </w:tc>
      </w:tr>
      <w:tr w:rsidR="002C39A3" w:rsidRPr="0028162B" w:rsidTr="00361FA9">
        <w:trPr>
          <w:cantSplit/>
        </w:trPr>
        <w:tc>
          <w:tcPr>
            <w:tcW w:w="4365" w:type="dxa"/>
            <w:tcBorders>
              <w:top w:val="single" w:sz="6" w:space="0" w:color="auto"/>
              <w:left w:val="nil"/>
              <w:right w:val="nil"/>
            </w:tcBorders>
            <w:shd w:val="clear" w:color="auto" w:fill="FFFFFF"/>
          </w:tcPr>
          <w:p w:rsidR="002C39A3" w:rsidRPr="0028162B"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28162B">
              <w:rPr>
                <w:rFonts w:ascii="Calibri" w:eastAsiaTheme="minorEastAsia" w:hAnsi="Calibri" w:cs="Calibri"/>
                <w:b/>
                <w:bCs/>
                <w:color w:val="000000"/>
                <w:sz w:val="19"/>
                <w:lang w:eastAsia="en-AU"/>
              </w:rPr>
              <w:t>Net cash flow from/(used in) investing activities</w:t>
            </w:r>
          </w:p>
        </w:tc>
        <w:tc>
          <w:tcPr>
            <w:tcW w:w="850" w:type="dxa"/>
            <w:tcBorders>
              <w:top w:val="single" w:sz="6" w:space="0" w:color="auto"/>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(18)</w:t>
            </w:r>
          </w:p>
        </w:tc>
        <w:tc>
          <w:tcPr>
            <w:tcW w:w="850" w:type="dxa"/>
            <w:tcBorders>
              <w:top w:val="single" w:sz="6" w:space="0" w:color="auto"/>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(53)</w:t>
            </w:r>
          </w:p>
        </w:tc>
        <w:tc>
          <w:tcPr>
            <w:tcW w:w="850" w:type="dxa"/>
            <w:tcBorders>
              <w:top w:val="single" w:sz="6" w:space="0" w:color="auto"/>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(37)</w:t>
            </w:r>
          </w:p>
        </w:tc>
        <w:tc>
          <w:tcPr>
            <w:tcW w:w="850" w:type="dxa"/>
            <w:tcBorders>
              <w:top w:val="single" w:sz="6" w:space="0" w:color="auto"/>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(49)</w:t>
            </w:r>
          </w:p>
        </w:tc>
      </w:tr>
      <w:tr w:rsidR="00C558E9" w:rsidRPr="0028162B" w:rsidTr="00C558E9">
        <w:trPr>
          <w:cantSplit/>
        </w:trPr>
        <w:tc>
          <w:tcPr>
            <w:tcW w:w="7765" w:type="dxa"/>
            <w:gridSpan w:val="5"/>
            <w:tcBorders>
              <w:top w:val="nil"/>
              <w:left w:val="nil"/>
              <w:right w:val="nil"/>
            </w:tcBorders>
            <w:shd w:val="clear" w:color="auto" w:fill="FFFFFF"/>
          </w:tcPr>
          <w:p w:rsidR="00C558E9" w:rsidRPr="0028162B" w:rsidRDefault="00C558E9" w:rsidP="00C558E9">
            <w:pPr>
              <w:autoSpaceDE w:val="0"/>
              <w:autoSpaceDN w:val="0"/>
              <w:adjustRightInd w:val="0"/>
              <w:spacing w:after="0"/>
              <w:ind w:left="227" w:hanging="227"/>
              <w:rPr>
                <w:rFonts w:ascii="Calibri" w:eastAsiaTheme="minorEastAsia" w:hAnsi="Calibri" w:cs="Calibri"/>
                <w:color w:val="000000"/>
                <w:sz w:val="19"/>
                <w:lang w:eastAsia="en-AU"/>
              </w:rPr>
            </w:pPr>
            <w:r w:rsidRPr="0028162B">
              <w:rPr>
                <w:rFonts w:ascii="Calibri" w:eastAsiaTheme="minorEastAsia" w:hAnsi="Calibri" w:cs="Calibri"/>
                <w:b/>
                <w:bCs/>
                <w:color w:val="000000"/>
                <w:sz w:val="19"/>
                <w:lang w:eastAsia="en-AU"/>
              </w:rPr>
              <w:t>Cash flows from financing activities</w:t>
            </w:r>
          </w:p>
        </w:tc>
      </w:tr>
      <w:tr w:rsidR="002C39A3" w:rsidRPr="0028162B" w:rsidTr="00361FA9">
        <w:trPr>
          <w:cantSplit/>
        </w:trPr>
        <w:tc>
          <w:tcPr>
            <w:tcW w:w="4365" w:type="dxa"/>
            <w:tcBorders>
              <w:top w:val="nil"/>
              <w:left w:val="nil"/>
              <w:right w:val="nil"/>
            </w:tcBorders>
            <w:shd w:val="clear" w:color="auto" w:fill="FFFFFF"/>
          </w:tcPr>
          <w:p w:rsidR="002C39A3" w:rsidRPr="0028162B"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28162B">
              <w:rPr>
                <w:rFonts w:ascii="Calibri" w:eastAsiaTheme="minorEastAsia" w:hAnsi="Calibri" w:cs="Calibri"/>
                <w:color w:val="000000"/>
                <w:sz w:val="19"/>
                <w:lang w:eastAsia="en-AU"/>
              </w:rPr>
              <w:t>Owner contributions by State Government</w:t>
            </w:r>
          </w:p>
        </w:tc>
        <w:tc>
          <w:tcPr>
            <w:tcW w:w="850" w:type="dxa"/>
            <w:tcBorders>
              <w:top w:val="nil"/>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w:t>
            </w:r>
          </w:p>
        </w:tc>
        <w:tc>
          <w:tcPr>
            <w:tcW w:w="850" w:type="dxa"/>
            <w:tcBorders>
              <w:top w:val="nil"/>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48</w:t>
            </w:r>
          </w:p>
        </w:tc>
        <w:tc>
          <w:tcPr>
            <w:tcW w:w="850" w:type="dxa"/>
            <w:tcBorders>
              <w:top w:val="nil"/>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31</w:t>
            </w:r>
          </w:p>
        </w:tc>
        <w:tc>
          <w:tcPr>
            <w:tcW w:w="850" w:type="dxa"/>
            <w:tcBorders>
              <w:top w:val="nil"/>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43</w:t>
            </w:r>
          </w:p>
        </w:tc>
      </w:tr>
      <w:tr w:rsidR="002C39A3" w:rsidRPr="0028162B" w:rsidTr="00361FA9">
        <w:trPr>
          <w:cantSplit/>
        </w:trPr>
        <w:tc>
          <w:tcPr>
            <w:tcW w:w="4365" w:type="dxa"/>
            <w:tcBorders>
              <w:top w:val="nil"/>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28162B">
              <w:rPr>
                <w:rFonts w:ascii="Calibri" w:eastAsiaTheme="minorEastAsia" w:hAnsi="Calibri" w:cs="Calibri"/>
                <w:color w:val="000000"/>
                <w:sz w:val="19"/>
                <w:lang w:eastAsia="en-AU"/>
              </w:rPr>
              <w:t>Repayment of finance leases</w:t>
            </w:r>
          </w:p>
        </w:tc>
        <w:tc>
          <w:tcPr>
            <w:tcW w:w="850" w:type="dxa"/>
            <w:tcBorders>
              <w:top w:val="nil"/>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(12)</w:t>
            </w:r>
          </w:p>
        </w:tc>
        <w:tc>
          <w:tcPr>
            <w:tcW w:w="850" w:type="dxa"/>
            <w:tcBorders>
              <w:top w:val="nil"/>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w:t>
            </w:r>
          </w:p>
        </w:tc>
        <w:tc>
          <w:tcPr>
            <w:tcW w:w="850" w:type="dxa"/>
            <w:tcBorders>
              <w:top w:val="nil"/>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w:t>
            </w:r>
          </w:p>
        </w:tc>
        <w:tc>
          <w:tcPr>
            <w:tcW w:w="850" w:type="dxa"/>
            <w:tcBorders>
              <w:top w:val="nil"/>
              <w:left w:val="nil"/>
              <w:bottom w:val="single" w:sz="6" w:space="0" w:color="auto"/>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w:t>
            </w:r>
          </w:p>
        </w:tc>
      </w:tr>
      <w:tr w:rsidR="002C39A3" w:rsidRPr="0028162B" w:rsidTr="00361FA9">
        <w:trPr>
          <w:cantSplit/>
        </w:trPr>
        <w:tc>
          <w:tcPr>
            <w:tcW w:w="4365" w:type="dxa"/>
            <w:tcBorders>
              <w:top w:val="single" w:sz="6" w:space="0" w:color="auto"/>
              <w:left w:val="nil"/>
              <w:bottom w:val="single" w:sz="12" w:space="0" w:color="auto"/>
              <w:right w:val="nil"/>
            </w:tcBorders>
            <w:shd w:val="clear" w:color="auto" w:fill="FFFFFF"/>
          </w:tcPr>
          <w:p w:rsidR="002C39A3" w:rsidRPr="0028162B"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28162B">
              <w:rPr>
                <w:rFonts w:ascii="Calibri" w:eastAsiaTheme="minorEastAsia" w:hAnsi="Calibri" w:cs="Calibri"/>
                <w:b/>
                <w:bCs/>
                <w:color w:val="000000"/>
                <w:sz w:val="19"/>
                <w:lang w:eastAsia="en-AU"/>
              </w:rPr>
              <w:t>Net cash flows from/(used in) financing activities</w:t>
            </w:r>
          </w:p>
        </w:tc>
        <w:tc>
          <w:tcPr>
            <w:tcW w:w="850" w:type="dxa"/>
            <w:tcBorders>
              <w:top w:val="single" w:sz="6" w:space="0" w:color="auto"/>
              <w:left w:val="nil"/>
              <w:bottom w:val="single" w:sz="12" w:space="0" w:color="auto"/>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(8)</w:t>
            </w:r>
          </w:p>
        </w:tc>
        <w:tc>
          <w:tcPr>
            <w:tcW w:w="850" w:type="dxa"/>
            <w:tcBorders>
              <w:top w:val="single" w:sz="6" w:space="0" w:color="auto"/>
              <w:left w:val="nil"/>
              <w:bottom w:val="single" w:sz="12" w:space="0" w:color="auto"/>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43</w:t>
            </w:r>
          </w:p>
        </w:tc>
        <w:tc>
          <w:tcPr>
            <w:tcW w:w="850" w:type="dxa"/>
            <w:tcBorders>
              <w:top w:val="single" w:sz="6" w:space="0" w:color="auto"/>
              <w:left w:val="nil"/>
              <w:bottom w:val="single" w:sz="12" w:space="0" w:color="auto"/>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26</w:t>
            </w:r>
          </w:p>
        </w:tc>
        <w:tc>
          <w:tcPr>
            <w:tcW w:w="850" w:type="dxa"/>
            <w:tcBorders>
              <w:top w:val="single" w:sz="6" w:space="0" w:color="auto"/>
              <w:left w:val="nil"/>
              <w:bottom w:val="single" w:sz="12" w:space="0" w:color="auto"/>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38</w:t>
            </w:r>
          </w:p>
        </w:tc>
      </w:tr>
      <w:tr w:rsidR="002C39A3" w:rsidRPr="0028162B" w:rsidTr="00361FA9">
        <w:trPr>
          <w:cantSplit/>
        </w:trPr>
        <w:tc>
          <w:tcPr>
            <w:tcW w:w="4365" w:type="dxa"/>
            <w:tcBorders>
              <w:top w:val="single" w:sz="12" w:space="0" w:color="auto"/>
              <w:left w:val="nil"/>
              <w:right w:val="nil"/>
            </w:tcBorders>
            <w:shd w:val="clear" w:color="auto" w:fill="FFFFFF"/>
          </w:tcPr>
          <w:p w:rsidR="002C39A3" w:rsidRPr="0028162B"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28162B">
              <w:rPr>
                <w:rFonts w:ascii="Calibri" w:eastAsiaTheme="minorEastAsia" w:hAnsi="Calibri" w:cs="Calibri"/>
                <w:b/>
                <w:bCs/>
                <w:color w:val="000000"/>
                <w:sz w:val="19"/>
                <w:lang w:eastAsia="en-AU"/>
              </w:rPr>
              <w:t>Net increase/(decrease) in cash and cash equivalents</w:t>
            </w:r>
          </w:p>
        </w:tc>
        <w:tc>
          <w:tcPr>
            <w:tcW w:w="850" w:type="dxa"/>
            <w:tcBorders>
              <w:top w:val="single" w:sz="12" w:space="0" w:color="auto"/>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8</w:t>
            </w:r>
          </w:p>
        </w:tc>
        <w:tc>
          <w:tcPr>
            <w:tcW w:w="850" w:type="dxa"/>
            <w:tcBorders>
              <w:top w:val="single" w:sz="12" w:space="0" w:color="auto"/>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28162B">
              <w:rPr>
                <w:rFonts w:ascii="Calibri" w:eastAsiaTheme="minorEastAsia" w:hAnsi="Calibri" w:cs="Calibri"/>
                <w:b/>
                <w:bCs/>
                <w:color w:val="000000"/>
                <w:sz w:val="19"/>
                <w:lang w:eastAsia="en-AU"/>
              </w:rPr>
              <w:t>..</w:t>
            </w:r>
          </w:p>
        </w:tc>
        <w:tc>
          <w:tcPr>
            <w:tcW w:w="850" w:type="dxa"/>
            <w:tcBorders>
              <w:top w:val="single" w:sz="12" w:space="0" w:color="auto"/>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(4)</w:t>
            </w:r>
          </w:p>
        </w:tc>
        <w:tc>
          <w:tcPr>
            <w:tcW w:w="850" w:type="dxa"/>
            <w:tcBorders>
              <w:top w:val="single" w:sz="12" w:space="0" w:color="auto"/>
              <w:left w:val="nil"/>
              <w:right w:val="nil"/>
            </w:tcBorders>
            <w:shd w:val="clear" w:color="auto"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28162B">
              <w:rPr>
                <w:rFonts w:ascii="Calibri" w:eastAsiaTheme="minorEastAsia" w:hAnsi="Calibri" w:cs="Calibri"/>
                <w:b/>
                <w:bCs/>
                <w:color w:val="000000"/>
                <w:sz w:val="19"/>
                <w:lang w:eastAsia="en-AU"/>
              </w:rPr>
              <w:t>..</w:t>
            </w:r>
          </w:p>
        </w:tc>
      </w:tr>
      <w:tr w:rsidR="002C39A3" w:rsidRPr="0028162B" w:rsidTr="00361FA9">
        <w:trPr>
          <w:cantSplit/>
        </w:trPr>
        <w:tc>
          <w:tcPr>
            <w:tcW w:w="4365" w:type="dxa"/>
            <w:tcBorders>
              <w:top w:val="nil"/>
              <w:left w:val="nil"/>
              <w:bottom w:val="single" w:sz="6" w:space="0" w:color="auto"/>
              <w:right w:val="nil"/>
            </w:tcBorders>
            <w:shd w:val="solid" w:color="FFFFFF" w:fill="FFFFFF"/>
          </w:tcPr>
          <w:p w:rsidR="002C39A3" w:rsidRPr="0028162B"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28162B">
              <w:rPr>
                <w:rFonts w:ascii="Calibri" w:eastAsiaTheme="minorEastAsia" w:hAnsi="Calibri" w:cs="Calibri"/>
                <w:color w:val="000000"/>
                <w:sz w:val="19"/>
                <w:lang w:eastAsia="en-AU"/>
              </w:rPr>
              <w:t>Cash and cash equivalents at the beginning of the financial year</w:t>
            </w:r>
          </w:p>
        </w:tc>
        <w:tc>
          <w:tcPr>
            <w:tcW w:w="850" w:type="dxa"/>
            <w:tcBorders>
              <w:top w:val="nil"/>
              <w:left w:val="nil"/>
              <w:bottom w:val="single" w:sz="6" w:space="0" w:color="auto"/>
              <w:right w:val="nil"/>
            </w:tcBorders>
            <w:shd w:val="solid" w:color="FFFFFF"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28162B">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solid" w:color="FFFFFF"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w:t>
            </w:r>
          </w:p>
        </w:tc>
        <w:tc>
          <w:tcPr>
            <w:tcW w:w="850" w:type="dxa"/>
            <w:tcBorders>
              <w:top w:val="nil"/>
              <w:left w:val="nil"/>
              <w:bottom w:val="single" w:sz="6" w:space="0" w:color="auto"/>
              <w:right w:val="nil"/>
            </w:tcBorders>
            <w:shd w:val="solid" w:color="FFFFFF"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8</w:t>
            </w:r>
          </w:p>
        </w:tc>
        <w:tc>
          <w:tcPr>
            <w:tcW w:w="850" w:type="dxa"/>
            <w:tcBorders>
              <w:top w:val="nil"/>
              <w:left w:val="nil"/>
              <w:bottom w:val="single" w:sz="6" w:space="0" w:color="auto"/>
              <w:right w:val="nil"/>
            </w:tcBorders>
            <w:shd w:val="solid" w:color="FFFFFF" w:fill="FFFFFF"/>
          </w:tcPr>
          <w:p w:rsidR="002C39A3" w:rsidRPr="0028162B" w:rsidRDefault="002C39A3" w:rsidP="00361FA9">
            <w:pPr>
              <w:autoSpaceDE w:val="0"/>
              <w:autoSpaceDN w:val="0"/>
              <w:adjustRightInd w:val="0"/>
              <w:spacing w:after="0"/>
              <w:jc w:val="right"/>
              <w:rPr>
                <w:rFonts w:ascii="Calibri" w:eastAsiaTheme="minorEastAsia" w:hAnsi="Calibri" w:cs="Calibri"/>
                <w:color w:val="000000"/>
                <w:sz w:val="19"/>
                <w:lang w:eastAsia="en-AU"/>
              </w:rPr>
            </w:pPr>
            <w:r>
              <w:rPr>
                <w:rFonts w:ascii="Calibri" w:eastAsiaTheme="minorEastAsia" w:hAnsi="Calibri" w:cs="Calibri"/>
                <w:color w:val="000000"/>
                <w:sz w:val="19"/>
                <w:lang w:eastAsia="en-AU"/>
              </w:rPr>
              <w:t>5</w:t>
            </w:r>
          </w:p>
        </w:tc>
      </w:tr>
      <w:tr w:rsidR="002C39A3" w:rsidRPr="0028162B" w:rsidTr="00C558E9">
        <w:trPr>
          <w:cantSplit/>
        </w:trPr>
        <w:tc>
          <w:tcPr>
            <w:tcW w:w="4368" w:type="dxa"/>
            <w:tcBorders>
              <w:top w:val="single" w:sz="6" w:space="0" w:color="auto"/>
              <w:left w:val="nil"/>
              <w:bottom w:val="single" w:sz="12" w:space="0" w:color="auto"/>
              <w:right w:val="nil"/>
            </w:tcBorders>
            <w:shd w:val="solid" w:color="FFFFFF" w:fill="FFFFFF"/>
          </w:tcPr>
          <w:p w:rsidR="002C39A3" w:rsidRPr="0028162B"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28162B">
              <w:rPr>
                <w:rFonts w:ascii="Calibri" w:eastAsiaTheme="minorEastAsia" w:hAnsi="Calibri" w:cs="Calibri"/>
                <w:b/>
                <w:bCs/>
                <w:color w:val="000000"/>
                <w:sz w:val="19"/>
                <w:lang w:eastAsia="en-AU"/>
              </w:rPr>
              <w:t>Cash and cash equivale</w:t>
            </w:r>
            <w:r w:rsidR="00C558E9">
              <w:rPr>
                <w:rFonts w:ascii="Calibri" w:eastAsiaTheme="minorEastAsia" w:hAnsi="Calibri" w:cs="Calibri"/>
                <w:b/>
                <w:bCs/>
                <w:color w:val="000000"/>
                <w:sz w:val="19"/>
                <w:lang w:eastAsia="en-AU"/>
              </w:rPr>
              <w:t>nts at the end of the financial </w:t>
            </w:r>
            <w:r w:rsidRPr="0028162B">
              <w:rPr>
                <w:rFonts w:ascii="Calibri" w:eastAsiaTheme="minorEastAsia" w:hAnsi="Calibri" w:cs="Calibri"/>
                <w:b/>
                <w:bCs/>
                <w:color w:val="000000"/>
                <w:sz w:val="19"/>
                <w:lang w:eastAsia="en-AU"/>
              </w:rPr>
              <w:t>year</w:t>
            </w:r>
          </w:p>
        </w:tc>
        <w:tc>
          <w:tcPr>
            <w:tcW w:w="847" w:type="dxa"/>
            <w:tcBorders>
              <w:top w:val="single" w:sz="6" w:space="0" w:color="auto"/>
              <w:left w:val="nil"/>
              <w:bottom w:val="single" w:sz="12" w:space="0" w:color="auto"/>
              <w:right w:val="nil"/>
            </w:tcBorders>
            <w:shd w:val="solid" w:color="FFFFFF"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8</w:t>
            </w:r>
          </w:p>
        </w:tc>
        <w:tc>
          <w:tcPr>
            <w:tcW w:w="850" w:type="dxa"/>
            <w:tcBorders>
              <w:top w:val="single" w:sz="6" w:space="0" w:color="auto"/>
              <w:left w:val="nil"/>
              <w:bottom w:val="single" w:sz="12" w:space="0" w:color="auto"/>
              <w:right w:val="nil"/>
            </w:tcBorders>
            <w:shd w:val="solid" w:color="FFFFFF"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8</w:t>
            </w:r>
          </w:p>
        </w:tc>
        <w:tc>
          <w:tcPr>
            <w:tcW w:w="850" w:type="dxa"/>
            <w:tcBorders>
              <w:top w:val="single" w:sz="6" w:space="0" w:color="auto"/>
              <w:left w:val="nil"/>
              <w:bottom w:val="single" w:sz="12" w:space="0" w:color="auto"/>
              <w:right w:val="nil"/>
            </w:tcBorders>
            <w:shd w:val="solid" w:color="FFFFFF"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w:t>
            </w:r>
          </w:p>
        </w:tc>
        <w:tc>
          <w:tcPr>
            <w:tcW w:w="850" w:type="dxa"/>
            <w:tcBorders>
              <w:top w:val="single" w:sz="6" w:space="0" w:color="auto"/>
              <w:left w:val="nil"/>
              <w:bottom w:val="single" w:sz="12" w:space="0" w:color="auto"/>
              <w:right w:val="nil"/>
            </w:tcBorders>
            <w:shd w:val="solid" w:color="FFFFFF" w:fill="FFFFFF"/>
          </w:tcPr>
          <w:p w:rsidR="002C39A3" w:rsidRPr="0028162B"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w:t>
            </w:r>
          </w:p>
        </w:tc>
      </w:tr>
    </w:tbl>
    <w:p w:rsidR="002C39A3" w:rsidRDefault="002C39A3" w:rsidP="00361FA9">
      <w:pPr>
        <w:pStyle w:val="Source"/>
        <w:rPr>
          <w:rFonts w:eastAsiaTheme="minorHAnsi"/>
        </w:rPr>
      </w:pPr>
      <w:r w:rsidRPr="003B7DEB">
        <w:rPr>
          <w:rFonts w:eastAsiaTheme="minorHAnsi"/>
        </w:rPr>
        <w:t xml:space="preserve">Sources: </w:t>
      </w:r>
      <w:r w:rsidRPr="004919C5">
        <w:rPr>
          <w:rFonts w:eastAsiaTheme="minorHAnsi"/>
        </w:rPr>
        <w:t>Courts, and Department of Treasury and Finance</w:t>
      </w:r>
    </w:p>
    <w:p w:rsidR="002C39A3" w:rsidRDefault="002C39A3" w:rsidP="00361FA9">
      <w:pPr>
        <w:rPr>
          <w:rFonts w:eastAsiaTheme="minorHAnsi"/>
        </w:rPr>
      </w:pPr>
    </w:p>
    <w:p w:rsidR="002C39A3" w:rsidRDefault="002C39A3" w:rsidP="00361FA9">
      <w:pPr>
        <w:rPr>
          <w:rFonts w:ascii="Calibri" w:eastAsiaTheme="minorHAnsi" w:hAnsi="Calibri"/>
        </w:rPr>
      </w:pPr>
      <w:r>
        <w:rPr>
          <w:rFonts w:eastAsiaTheme="minorHAnsi"/>
        </w:rPr>
        <w:br w:type="page"/>
      </w:r>
    </w:p>
    <w:p w:rsidR="002C39A3" w:rsidRDefault="002C39A3" w:rsidP="00361FA9">
      <w:pPr>
        <w:pStyle w:val="Tableheading"/>
        <w:rPr>
          <w:rFonts w:eastAsiaTheme="minorHAnsi"/>
        </w:rPr>
      </w:pPr>
      <w:r>
        <w:rPr>
          <w:rFonts w:eastAsiaTheme="minorHAnsi"/>
        </w:rPr>
        <w:t>Table 3.9.4:</w:t>
      </w:r>
      <w:r>
        <w:rPr>
          <w:rFonts w:eastAsiaTheme="minorHAnsi"/>
        </w:rPr>
        <w:tab/>
        <w:t>Statement of changes in equity</w:t>
      </w:r>
    </w:p>
    <w:p w:rsidR="002C39A3" w:rsidRPr="00AC6103" w:rsidRDefault="002C39A3" w:rsidP="00361FA9">
      <w:pPr>
        <w:pStyle w:val="million"/>
        <w:rPr>
          <w:rFonts w:eastAsiaTheme="minorEastAsia"/>
          <w:b/>
          <w:bCs/>
          <w:lang w:val="en-US" w:eastAsia="en-AU"/>
        </w:rPr>
      </w:pPr>
      <w:r>
        <w:rPr>
          <w:rFonts w:eastAsiaTheme="minorHAnsi"/>
        </w:rPr>
        <w:t>($ million)</w:t>
      </w:r>
    </w:p>
    <w:tbl>
      <w:tblPr>
        <w:tblW w:w="7760" w:type="dxa"/>
        <w:tblInd w:w="45" w:type="dxa"/>
        <w:tblLayout w:type="fixed"/>
        <w:tblCellMar>
          <w:left w:w="45" w:type="dxa"/>
          <w:right w:w="45" w:type="dxa"/>
        </w:tblCellMar>
        <w:tblLook w:val="0000" w:firstRow="0" w:lastRow="0" w:firstColumn="0" w:lastColumn="0" w:noHBand="0" w:noVBand="0"/>
      </w:tblPr>
      <w:tblGrid>
        <w:gridCol w:w="2551"/>
        <w:gridCol w:w="567"/>
        <w:gridCol w:w="850"/>
        <w:gridCol w:w="1134"/>
        <w:gridCol w:w="1071"/>
        <w:gridCol w:w="771"/>
        <w:gridCol w:w="816"/>
      </w:tblGrid>
      <w:tr w:rsidR="002C39A3" w:rsidRPr="00AC6103" w:rsidTr="00361FA9">
        <w:trPr>
          <w:tblHeader/>
        </w:trPr>
        <w:tc>
          <w:tcPr>
            <w:tcW w:w="2551" w:type="dxa"/>
            <w:tcBorders>
              <w:left w:val="nil"/>
              <w:bottom w:val="single" w:sz="6" w:space="0" w:color="auto"/>
              <w:right w:val="nil"/>
            </w:tcBorders>
            <w:shd w:val="solid" w:color="000000" w:fill="auto"/>
            <w:vAlign w:val="bottom"/>
          </w:tcPr>
          <w:p w:rsidR="002C39A3" w:rsidRPr="00AC6103" w:rsidRDefault="002C39A3" w:rsidP="00361FA9">
            <w:pPr>
              <w:pStyle w:val="Source"/>
              <w:spacing w:after="0"/>
              <w:rPr>
                <w:rFonts w:eastAsiaTheme="minorEastAsia" w:cs="Calibri"/>
                <w:color w:val="FFFFFF"/>
                <w:sz w:val="19"/>
                <w:lang w:eastAsia="en-AU"/>
              </w:rPr>
            </w:pPr>
            <w:r w:rsidRPr="00AC6103">
              <w:rPr>
                <w:rFonts w:eastAsiaTheme="minorEastAsia" w:cs="Calibri"/>
                <w:color w:val="FFFFFF"/>
                <w:sz w:val="19"/>
                <w:lang w:eastAsia="en-AU"/>
              </w:rPr>
              <w:t xml:space="preserve"> </w:t>
            </w:r>
          </w:p>
        </w:tc>
        <w:tc>
          <w:tcPr>
            <w:tcW w:w="1417" w:type="dxa"/>
            <w:gridSpan w:val="2"/>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Accumulated surplus/(deficit)</w:t>
            </w:r>
          </w:p>
        </w:tc>
        <w:tc>
          <w:tcPr>
            <w:tcW w:w="1134" w:type="dxa"/>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Contributions by owner</w:t>
            </w:r>
          </w:p>
        </w:tc>
        <w:tc>
          <w:tcPr>
            <w:tcW w:w="1071" w:type="dxa"/>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Revaluation surplus</w:t>
            </w:r>
          </w:p>
        </w:tc>
        <w:tc>
          <w:tcPr>
            <w:tcW w:w="771" w:type="dxa"/>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Other reserves</w:t>
            </w:r>
          </w:p>
        </w:tc>
        <w:tc>
          <w:tcPr>
            <w:tcW w:w="816" w:type="dxa"/>
            <w:tcBorders>
              <w:left w:val="nil"/>
              <w:bottom w:val="single" w:sz="6" w:space="0" w:color="auto"/>
              <w:right w:val="nil"/>
            </w:tcBorders>
            <w:shd w:val="solid" w:color="000000" w:fill="auto"/>
            <w:vAlign w:val="bottom"/>
          </w:tcPr>
          <w:p w:rsidR="002C39A3" w:rsidRPr="00AC6103" w:rsidRDefault="002C39A3"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 xml:space="preserve">Total equity </w:t>
            </w:r>
          </w:p>
        </w:tc>
      </w:tr>
      <w:tr w:rsidR="002C39A3" w:rsidRPr="00AC6103" w:rsidTr="00361FA9">
        <w:tc>
          <w:tcPr>
            <w:tcW w:w="3118" w:type="dxa"/>
            <w:gridSpan w:val="2"/>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Opening balance 1 July 2014</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1134"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10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7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16"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c>
          <w:tcPr>
            <w:tcW w:w="3118"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c>
          <w:tcPr>
            <w:tcW w:w="1134"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w:t>
            </w:r>
          </w:p>
        </w:tc>
      </w:tr>
      <w:tr w:rsidR="002C39A3" w:rsidRPr="00AC6103" w:rsidTr="00361FA9">
        <w:tc>
          <w:tcPr>
            <w:tcW w:w="3118"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134"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629</w:t>
            </w:r>
          </w:p>
        </w:tc>
        <w:tc>
          <w:tcPr>
            <w:tcW w:w="10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629</w:t>
            </w:r>
          </w:p>
        </w:tc>
      </w:tr>
      <w:tr w:rsidR="002C39A3" w:rsidRPr="00AC6103" w:rsidTr="00361FA9">
        <w:tc>
          <w:tcPr>
            <w:tcW w:w="3118" w:type="dxa"/>
            <w:gridSpan w:val="2"/>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Closing balance 30 June 2015 (actual)</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w:t>
            </w:r>
          </w:p>
        </w:tc>
        <w:tc>
          <w:tcPr>
            <w:tcW w:w="1134"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629</w:t>
            </w:r>
          </w:p>
        </w:tc>
        <w:tc>
          <w:tcPr>
            <w:tcW w:w="10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7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16"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634</w:t>
            </w:r>
          </w:p>
        </w:tc>
      </w:tr>
      <w:tr w:rsidR="002C39A3" w:rsidRPr="00AC6103" w:rsidTr="00361FA9">
        <w:tc>
          <w:tcPr>
            <w:tcW w:w="3118"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134"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c>
          <w:tcPr>
            <w:tcW w:w="3118"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134"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48</w:t>
            </w:r>
          </w:p>
        </w:tc>
        <w:tc>
          <w:tcPr>
            <w:tcW w:w="10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48</w:t>
            </w:r>
          </w:p>
        </w:tc>
      </w:tr>
      <w:tr w:rsidR="002C39A3" w:rsidRPr="00AC6103" w:rsidTr="00361FA9">
        <w:tc>
          <w:tcPr>
            <w:tcW w:w="3118" w:type="dxa"/>
            <w:gridSpan w:val="2"/>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 xml:space="preserve">Closing balance 30 June 2016 (budget) </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5</w:t>
            </w:r>
          </w:p>
        </w:tc>
        <w:tc>
          <w:tcPr>
            <w:tcW w:w="1134"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677</w:t>
            </w:r>
          </w:p>
        </w:tc>
        <w:tc>
          <w:tcPr>
            <w:tcW w:w="10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7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16"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682</w:t>
            </w:r>
          </w:p>
        </w:tc>
      </w:tr>
      <w:tr w:rsidR="002C39A3" w:rsidRPr="00AC6103" w:rsidTr="00361FA9">
        <w:tc>
          <w:tcPr>
            <w:tcW w:w="3118"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w:t>
            </w:r>
          </w:p>
        </w:tc>
        <w:tc>
          <w:tcPr>
            <w:tcW w:w="1134"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w:t>
            </w:r>
          </w:p>
        </w:tc>
      </w:tr>
      <w:tr w:rsidR="002C39A3" w:rsidRPr="00AC6103" w:rsidTr="00361FA9">
        <w:tc>
          <w:tcPr>
            <w:tcW w:w="3118"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134"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31</w:t>
            </w:r>
          </w:p>
        </w:tc>
        <w:tc>
          <w:tcPr>
            <w:tcW w:w="10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31</w:t>
            </w:r>
          </w:p>
        </w:tc>
      </w:tr>
      <w:tr w:rsidR="002C39A3" w:rsidRPr="00AC6103" w:rsidTr="00361FA9">
        <w:tc>
          <w:tcPr>
            <w:tcW w:w="3118" w:type="dxa"/>
            <w:gridSpan w:val="2"/>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Closing balance 30 June 2016 (revised)</w:t>
            </w:r>
          </w:p>
        </w:tc>
        <w:tc>
          <w:tcPr>
            <w:tcW w:w="850"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w:t>
            </w:r>
          </w:p>
        </w:tc>
        <w:tc>
          <w:tcPr>
            <w:tcW w:w="1134"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660</w:t>
            </w:r>
          </w:p>
        </w:tc>
        <w:tc>
          <w:tcPr>
            <w:tcW w:w="10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771"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16" w:type="dxa"/>
            <w:tcBorders>
              <w:top w:val="single" w:sz="6" w:space="0" w:color="auto"/>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658</w:t>
            </w:r>
          </w:p>
        </w:tc>
      </w:tr>
      <w:tr w:rsidR="002C39A3" w:rsidRPr="00AC6103" w:rsidTr="00361FA9">
        <w:tc>
          <w:tcPr>
            <w:tcW w:w="3118" w:type="dxa"/>
            <w:gridSpan w:val="2"/>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Comprehensive result</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134"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0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c>
          <w:tcPr>
            <w:tcW w:w="3118" w:type="dxa"/>
            <w:gridSpan w:val="2"/>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Transactions with owners in their capacity as owners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1134"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43</w:t>
            </w:r>
          </w:p>
        </w:tc>
        <w:tc>
          <w:tcPr>
            <w:tcW w:w="10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771"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w:t>
            </w:r>
          </w:p>
        </w:tc>
        <w:tc>
          <w:tcPr>
            <w:tcW w:w="816"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43</w:t>
            </w:r>
          </w:p>
        </w:tc>
      </w:tr>
      <w:tr w:rsidR="002C39A3" w:rsidRPr="00AC6103" w:rsidTr="00361FA9">
        <w:tc>
          <w:tcPr>
            <w:tcW w:w="3118" w:type="dxa"/>
            <w:gridSpan w:val="2"/>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Closing balance 30 June 2017 (budget)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w:t>
            </w:r>
          </w:p>
        </w:tc>
        <w:tc>
          <w:tcPr>
            <w:tcW w:w="1134"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704</w:t>
            </w:r>
          </w:p>
        </w:tc>
        <w:tc>
          <w:tcPr>
            <w:tcW w:w="1071"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771"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16"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702</w:t>
            </w:r>
          </w:p>
        </w:tc>
      </w:tr>
    </w:tbl>
    <w:p w:rsidR="002C39A3" w:rsidRDefault="002C39A3" w:rsidP="00361FA9">
      <w:pPr>
        <w:pStyle w:val="Source"/>
        <w:rPr>
          <w:rFonts w:eastAsiaTheme="minorHAnsi"/>
        </w:rPr>
      </w:pPr>
      <w:r w:rsidRPr="003B7DEB">
        <w:rPr>
          <w:rFonts w:eastAsiaTheme="minorHAnsi"/>
        </w:rPr>
        <w:t xml:space="preserve">Sources: </w:t>
      </w:r>
      <w:r w:rsidRPr="004919C5">
        <w:rPr>
          <w:rFonts w:eastAsiaTheme="minorHAnsi"/>
        </w:rPr>
        <w:t>Courts, and Department of Treasury and Finance</w:t>
      </w:r>
    </w:p>
    <w:p w:rsidR="002C39A3" w:rsidRDefault="002C39A3" w:rsidP="00361FA9">
      <w:pPr>
        <w:pStyle w:val="million"/>
        <w:rPr>
          <w:rFonts w:eastAsiaTheme="minorHAnsi"/>
        </w:rPr>
      </w:pPr>
    </w:p>
    <w:p w:rsidR="002C39A3" w:rsidRDefault="002C39A3" w:rsidP="00361FA9">
      <w:pPr>
        <w:pStyle w:val="million"/>
        <w:rPr>
          <w:rFonts w:eastAsiaTheme="minorHAnsi"/>
        </w:rPr>
      </w:pP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Table 3.9.5:</w:t>
      </w:r>
      <w:r>
        <w:rPr>
          <w:rFonts w:eastAsiaTheme="minorHAnsi"/>
        </w:rPr>
        <w:tab/>
        <w:t>Administered items statement</w:t>
      </w:r>
    </w:p>
    <w:p w:rsidR="002C39A3" w:rsidRPr="00AC6103" w:rsidRDefault="002C39A3" w:rsidP="00361FA9">
      <w:pPr>
        <w:pStyle w:val="million"/>
        <w:rPr>
          <w:rFonts w:eastAsiaTheme="minorEastAsia"/>
          <w:lang w:val="en-US" w:eastAsia="en-AU"/>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C558E9" w:rsidRPr="00AC6103" w:rsidTr="00C558E9">
        <w:trPr>
          <w:trHeight w:val="464"/>
          <w:tblHeader/>
        </w:trPr>
        <w:tc>
          <w:tcPr>
            <w:tcW w:w="4365" w:type="dxa"/>
            <w:tcBorders>
              <w:left w:val="nil"/>
              <w:right w:val="nil"/>
            </w:tcBorders>
            <w:shd w:val="solid" w:color="000000" w:fill="auto"/>
            <w:vAlign w:val="bottom"/>
          </w:tcPr>
          <w:p w:rsidR="00C558E9" w:rsidRPr="00AC6103" w:rsidRDefault="00C558E9" w:rsidP="00361FA9">
            <w:pPr>
              <w:autoSpaceDE w:val="0"/>
              <w:autoSpaceDN w:val="0"/>
              <w:adjustRightInd w:val="0"/>
              <w:spacing w:after="0"/>
              <w:rPr>
                <w:rFonts w:eastAsiaTheme="minorEastAsia" w:cs="Calibri"/>
                <w:color w:val="FFFFFF"/>
                <w:sz w:val="19"/>
                <w:lang w:eastAsia="en-AU"/>
              </w:rPr>
            </w:pPr>
          </w:p>
        </w:tc>
        <w:tc>
          <w:tcPr>
            <w:tcW w:w="850" w:type="dxa"/>
            <w:tcBorders>
              <w:left w:val="nil"/>
              <w:right w:val="nil"/>
            </w:tcBorders>
            <w:shd w:val="solid" w:color="000000" w:fill="auto"/>
            <w:vAlign w:val="bottom"/>
          </w:tcPr>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2014-15</w:t>
            </w:r>
          </w:p>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actual</w:t>
            </w:r>
          </w:p>
        </w:tc>
        <w:tc>
          <w:tcPr>
            <w:tcW w:w="850" w:type="dxa"/>
            <w:tcBorders>
              <w:left w:val="nil"/>
              <w:right w:val="nil"/>
            </w:tcBorders>
            <w:shd w:val="solid" w:color="000000" w:fill="auto"/>
            <w:vAlign w:val="bottom"/>
          </w:tcPr>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c>
          <w:tcPr>
            <w:tcW w:w="850" w:type="dxa"/>
            <w:tcBorders>
              <w:left w:val="nil"/>
              <w:right w:val="nil"/>
            </w:tcBorders>
            <w:shd w:val="solid" w:color="000000" w:fill="auto"/>
            <w:vAlign w:val="bottom"/>
          </w:tcPr>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2015-16</w:t>
            </w:r>
          </w:p>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revised</w:t>
            </w:r>
          </w:p>
        </w:tc>
        <w:tc>
          <w:tcPr>
            <w:tcW w:w="850" w:type="dxa"/>
            <w:tcBorders>
              <w:left w:val="nil"/>
              <w:right w:val="nil"/>
            </w:tcBorders>
            <w:shd w:val="solid" w:color="000000" w:fill="auto"/>
            <w:vAlign w:val="bottom"/>
          </w:tcPr>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2016-17</w:t>
            </w:r>
          </w:p>
          <w:p w:rsidR="00C558E9" w:rsidRPr="00AC6103" w:rsidRDefault="00C558E9" w:rsidP="00361FA9">
            <w:pPr>
              <w:autoSpaceDE w:val="0"/>
              <w:autoSpaceDN w:val="0"/>
              <w:adjustRightInd w:val="0"/>
              <w:spacing w:after="0"/>
              <w:jc w:val="right"/>
              <w:rPr>
                <w:rFonts w:ascii="Calibri" w:eastAsiaTheme="minorEastAsia" w:hAnsi="Calibri" w:cs="Calibri"/>
                <w:i/>
                <w:iCs/>
                <w:color w:val="FFFFFF"/>
                <w:sz w:val="19"/>
                <w:lang w:eastAsia="en-AU"/>
              </w:rPr>
            </w:pPr>
            <w:r w:rsidRPr="00AC6103">
              <w:rPr>
                <w:rFonts w:ascii="Calibri" w:eastAsiaTheme="minorEastAsia" w:hAnsi="Calibri" w:cs="Calibri"/>
                <w:i/>
                <w:iCs/>
                <w:color w:val="FFFFFF"/>
                <w:sz w:val="19"/>
                <w:lang w:eastAsia="en-AU"/>
              </w:rPr>
              <w:t>budget</w:t>
            </w:r>
          </w:p>
        </w:tc>
      </w:tr>
      <w:tr w:rsidR="00C558E9" w:rsidRPr="00AC6103" w:rsidTr="00C558E9">
        <w:tc>
          <w:tcPr>
            <w:tcW w:w="7765" w:type="dxa"/>
            <w:gridSpan w:val="5"/>
            <w:tcBorders>
              <w:top w:val="single" w:sz="6" w:space="0" w:color="auto"/>
              <w:left w:val="nil"/>
              <w:right w:val="nil"/>
            </w:tcBorders>
            <w:shd w:val="clear" w:color="auto" w:fill="FFFFFF"/>
          </w:tcPr>
          <w:p w:rsidR="00C558E9" w:rsidRPr="00AC6103" w:rsidRDefault="00C558E9" w:rsidP="00C558E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Administered income</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Special Appropriations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39</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62</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63</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Sale of goods and services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61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57</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Other income</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30</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21</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21</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administered income</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129</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140</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140</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141</w:t>
            </w:r>
          </w:p>
        </w:tc>
      </w:tr>
      <w:tr w:rsidR="00C558E9" w:rsidRPr="00AC6103" w:rsidTr="00C558E9">
        <w:trPr>
          <w:trHeight w:hRule="exact" w:val="120"/>
        </w:trPr>
        <w:tc>
          <w:tcPr>
            <w:tcW w:w="7765" w:type="dxa"/>
            <w:gridSpan w:val="5"/>
            <w:tcBorders>
              <w:top w:val="single" w:sz="6" w:space="0" w:color="auto"/>
              <w:left w:val="nil"/>
              <w:right w:val="nil"/>
            </w:tcBorders>
            <w:shd w:val="clear" w:color="auto" w:fill="FFFFFF"/>
          </w:tcPr>
          <w:p w:rsidR="00C558E9" w:rsidRPr="00AC6103" w:rsidRDefault="00C558E9" w:rsidP="00361FA9">
            <w:pPr>
              <w:autoSpaceDE w:val="0"/>
              <w:autoSpaceDN w:val="0"/>
              <w:adjustRightInd w:val="0"/>
              <w:spacing w:after="0"/>
              <w:jc w:val="right"/>
              <w:rPr>
                <w:rFonts w:ascii="Calibri" w:eastAsiaTheme="minorEastAsia" w:hAnsi="Calibri" w:cs="Calibri"/>
                <w:color w:val="000000"/>
                <w:sz w:val="19"/>
                <w:lang w:eastAsia="en-AU"/>
              </w:rPr>
            </w:pPr>
          </w:p>
        </w:tc>
      </w:tr>
      <w:tr w:rsidR="00C558E9" w:rsidRPr="00AC6103" w:rsidTr="00C558E9">
        <w:tc>
          <w:tcPr>
            <w:tcW w:w="7765" w:type="dxa"/>
            <w:gridSpan w:val="5"/>
            <w:tcBorders>
              <w:top w:val="nil"/>
              <w:left w:val="nil"/>
              <w:right w:val="nil"/>
            </w:tcBorders>
            <w:shd w:val="clear" w:color="auto" w:fill="FFFFFF"/>
          </w:tcPr>
          <w:p w:rsidR="00C558E9" w:rsidRPr="00AC6103" w:rsidRDefault="00C558E9" w:rsidP="00C558E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Administered expenses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Expenses on behalf of the State</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10</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4</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Grants and other transfers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31</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58</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58</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Payments into the Consolidated Fund</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87</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78</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78</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78</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administered expenses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127</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140</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140</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141</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Income less expenses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2</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result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2C39A3" w:rsidRPr="00AC6103" w:rsidTr="00361FA9">
        <w:tc>
          <w:tcPr>
            <w:tcW w:w="4365" w:type="dxa"/>
            <w:tcBorders>
              <w:top w:val="single" w:sz="12"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Comprehensive result</w:t>
            </w:r>
          </w:p>
        </w:tc>
        <w:tc>
          <w:tcPr>
            <w:tcW w:w="850" w:type="dxa"/>
            <w:tcBorders>
              <w:top w:val="single" w:sz="12"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w:t>
            </w:r>
          </w:p>
        </w:tc>
        <w:tc>
          <w:tcPr>
            <w:tcW w:w="850" w:type="dxa"/>
            <w:tcBorders>
              <w:top w:val="single" w:sz="12"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12"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c>
          <w:tcPr>
            <w:tcW w:w="850" w:type="dxa"/>
            <w:tcBorders>
              <w:top w:val="single" w:sz="12"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w:t>
            </w:r>
          </w:p>
        </w:tc>
      </w:tr>
      <w:tr w:rsidR="00C558E9" w:rsidRPr="00AC6103" w:rsidTr="00C558E9">
        <w:trPr>
          <w:trHeight w:hRule="exact" w:val="120"/>
        </w:trPr>
        <w:tc>
          <w:tcPr>
            <w:tcW w:w="7765" w:type="dxa"/>
            <w:gridSpan w:val="5"/>
            <w:tcBorders>
              <w:top w:val="single" w:sz="12" w:space="0" w:color="auto"/>
              <w:left w:val="nil"/>
              <w:right w:val="nil"/>
            </w:tcBorders>
            <w:shd w:val="clear" w:color="auto" w:fill="FFFFFF"/>
          </w:tcPr>
          <w:p w:rsidR="00C558E9" w:rsidRPr="00AC6103" w:rsidRDefault="00C558E9" w:rsidP="00361FA9">
            <w:pPr>
              <w:autoSpaceDE w:val="0"/>
              <w:autoSpaceDN w:val="0"/>
              <w:adjustRightInd w:val="0"/>
              <w:spacing w:after="0"/>
              <w:jc w:val="right"/>
              <w:rPr>
                <w:rFonts w:ascii="Calibri" w:eastAsiaTheme="minorEastAsia" w:hAnsi="Calibri" w:cs="Calibri"/>
                <w:b/>
                <w:bCs/>
                <w:color w:val="000000"/>
                <w:sz w:val="19"/>
                <w:lang w:eastAsia="en-AU"/>
              </w:rPr>
            </w:pPr>
          </w:p>
        </w:tc>
      </w:tr>
      <w:tr w:rsidR="00C558E9" w:rsidRPr="00AC6103" w:rsidTr="00C558E9">
        <w:tc>
          <w:tcPr>
            <w:tcW w:w="7765" w:type="dxa"/>
            <w:gridSpan w:val="5"/>
            <w:tcBorders>
              <w:top w:val="nil"/>
              <w:left w:val="nil"/>
              <w:right w:val="nil"/>
            </w:tcBorders>
            <w:shd w:val="clear" w:color="auto" w:fill="FFFFFF"/>
          </w:tcPr>
          <w:p w:rsidR="00C558E9" w:rsidRPr="00AC6103" w:rsidRDefault="00C558E9" w:rsidP="00C558E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Administered assets</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Cash and deposits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administered assets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11</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11</w:t>
            </w:r>
          </w:p>
        </w:tc>
      </w:tr>
      <w:tr w:rsidR="00C558E9" w:rsidRPr="00AC6103" w:rsidTr="00C558E9">
        <w:trPr>
          <w:trHeight w:hRule="exact" w:val="120"/>
        </w:trPr>
        <w:tc>
          <w:tcPr>
            <w:tcW w:w="7765" w:type="dxa"/>
            <w:gridSpan w:val="5"/>
            <w:tcBorders>
              <w:top w:val="single" w:sz="6" w:space="0" w:color="auto"/>
              <w:left w:val="nil"/>
              <w:right w:val="nil"/>
            </w:tcBorders>
            <w:shd w:val="clear" w:color="auto" w:fill="FFFFFF"/>
          </w:tcPr>
          <w:p w:rsidR="00C558E9" w:rsidRPr="00AC6103" w:rsidRDefault="00C558E9" w:rsidP="00361FA9">
            <w:pPr>
              <w:autoSpaceDE w:val="0"/>
              <w:autoSpaceDN w:val="0"/>
              <w:adjustRightInd w:val="0"/>
              <w:spacing w:after="0"/>
              <w:jc w:val="right"/>
              <w:rPr>
                <w:rFonts w:ascii="Calibri" w:eastAsiaTheme="minorEastAsia" w:hAnsi="Calibri" w:cs="Calibri"/>
                <w:color w:val="000000"/>
                <w:sz w:val="19"/>
                <w:lang w:eastAsia="en-AU"/>
              </w:rPr>
            </w:pPr>
          </w:p>
        </w:tc>
      </w:tr>
      <w:tr w:rsidR="00C558E9" w:rsidRPr="00AC6103" w:rsidTr="00C558E9">
        <w:tc>
          <w:tcPr>
            <w:tcW w:w="7765" w:type="dxa"/>
            <w:gridSpan w:val="5"/>
            <w:tcBorders>
              <w:top w:val="nil"/>
              <w:left w:val="nil"/>
              <w:right w:val="nil"/>
            </w:tcBorders>
            <w:shd w:val="clear" w:color="auto" w:fill="FFFFFF"/>
          </w:tcPr>
          <w:p w:rsidR="00C558E9" w:rsidRPr="00AC6103" w:rsidRDefault="00C558E9" w:rsidP="00C558E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b/>
                <w:bCs/>
                <w:color w:val="000000"/>
                <w:sz w:val="19"/>
                <w:lang w:eastAsia="en-AU"/>
              </w:rPr>
              <w:t>Administered liabilities</w:t>
            </w:r>
          </w:p>
        </w:tc>
      </w:tr>
      <w:tr w:rsidR="002C39A3" w:rsidRPr="00AC6103" w:rsidTr="00361FA9">
        <w:tc>
          <w:tcPr>
            <w:tcW w:w="4365" w:type="dxa"/>
            <w:tcBorders>
              <w:top w:val="nil"/>
              <w:left w:val="nil"/>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Payables</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w:t>
            </w:r>
          </w:p>
        </w:tc>
        <w:tc>
          <w:tcPr>
            <w:tcW w:w="850" w:type="dxa"/>
            <w:tcBorders>
              <w:top w:val="nil"/>
              <w:left w:val="nil"/>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7</w:t>
            </w:r>
          </w:p>
        </w:tc>
      </w:tr>
      <w:tr w:rsidR="002C39A3" w:rsidRPr="00AC6103" w:rsidTr="00361FA9">
        <w:tc>
          <w:tcPr>
            <w:tcW w:w="4365"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Provisions</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c>
          <w:tcPr>
            <w:tcW w:w="850" w:type="dxa"/>
            <w:tcBorders>
              <w:top w:val="nil"/>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AC6103">
              <w:rPr>
                <w:rFonts w:ascii="Calibri" w:eastAsiaTheme="minorEastAsia" w:hAnsi="Calibri" w:cs="Calibri"/>
                <w:color w:val="000000"/>
                <w:sz w:val="19"/>
                <w:lang w:eastAsia="en-AU"/>
              </w:rPr>
              <w:t>3</w:t>
            </w:r>
          </w:p>
        </w:tc>
      </w:tr>
      <w:tr w:rsidR="002C39A3" w:rsidRPr="00AC6103" w:rsidTr="00361FA9">
        <w:tc>
          <w:tcPr>
            <w:tcW w:w="4365"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Total administered liabilities</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10</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10</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10</w:t>
            </w:r>
          </w:p>
        </w:tc>
        <w:tc>
          <w:tcPr>
            <w:tcW w:w="850" w:type="dxa"/>
            <w:tcBorders>
              <w:top w:val="single" w:sz="6" w:space="0" w:color="auto"/>
              <w:left w:val="nil"/>
              <w:bottom w:val="single" w:sz="6"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10</w:t>
            </w:r>
          </w:p>
        </w:tc>
      </w:tr>
      <w:tr w:rsidR="002C39A3" w:rsidRPr="00AC6103" w:rsidTr="00361FA9">
        <w:tc>
          <w:tcPr>
            <w:tcW w:w="4365"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ind w:left="227" w:hanging="227"/>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Net assets</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w:t>
            </w:r>
          </w:p>
        </w:tc>
        <w:tc>
          <w:tcPr>
            <w:tcW w:w="850" w:type="dxa"/>
            <w:tcBorders>
              <w:top w:val="single" w:sz="6" w:space="0" w:color="auto"/>
              <w:left w:val="nil"/>
              <w:bottom w:val="single" w:sz="12" w:space="0" w:color="auto"/>
              <w:right w:val="nil"/>
            </w:tcBorders>
            <w:shd w:val="clear" w:color="auto" w:fill="FFFFFF"/>
          </w:tcPr>
          <w:p w:rsidR="002C39A3" w:rsidRPr="00AC6103"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AC6103">
              <w:rPr>
                <w:rFonts w:ascii="Calibri" w:eastAsiaTheme="minorEastAsia" w:hAnsi="Calibri" w:cs="Calibri"/>
                <w:b/>
                <w:bCs/>
                <w:color w:val="000000"/>
                <w:sz w:val="19"/>
                <w:lang w:eastAsia="en-AU"/>
              </w:rPr>
              <w:t>1</w:t>
            </w:r>
          </w:p>
        </w:tc>
      </w:tr>
    </w:tbl>
    <w:p w:rsidR="002C39A3" w:rsidRDefault="002C39A3" w:rsidP="00361FA9">
      <w:pPr>
        <w:pStyle w:val="Source"/>
        <w:rPr>
          <w:rFonts w:eastAsiaTheme="minorHAnsi"/>
        </w:rPr>
      </w:pPr>
      <w:r w:rsidRPr="003B7DEB">
        <w:rPr>
          <w:rFonts w:eastAsiaTheme="minorHAnsi"/>
        </w:rPr>
        <w:t xml:space="preserve">Sources: </w:t>
      </w:r>
      <w:r w:rsidRPr="004919C5">
        <w:rPr>
          <w:rFonts w:eastAsiaTheme="minorHAnsi"/>
        </w:rPr>
        <w:t>Courts, and Department of Treasury and Finance</w:t>
      </w:r>
    </w:p>
    <w:p w:rsidR="002C39A3" w:rsidRDefault="002C39A3" w:rsidP="00361FA9">
      <w:pPr>
        <w:rPr>
          <w:rFonts w:eastAsiaTheme="minorHAnsi"/>
        </w:rPr>
      </w:pPr>
    </w:p>
    <w:p w:rsidR="002C39A3" w:rsidRDefault="002C39A3" w:rsidP="00361FA9">
      <w:pPr>
        <w:rPr>
          <w:rFonts w:eastAsiaTheme="minorHAnsi"/>
        </w:rPr>
      </w:pPr>
    </w:p>
    <w:p w:rsidR="002C39A3" w:rsidRDefault="002C39A3" w:rsidP="00361FA9">
      <w:pPr>
        <w:rPr>
          <w:rFonts w:eastAsiaTheme="minorHAnsi"/>
        </w:rPr>
        <w:sectPr w:rsidR="002C39A3" w:rsidSect="00361FA9">
          <w:footerReference w:type="even" r:id="rId52"/>
          <w:footerReference w:type="default" r:id="rId53"/>
          <w:pgSz w:w="9979" w:h="14181" w:code="34"/>
          <w:pgMar w:top="1140" w:right="1140" w:bottom="1140" w:left="1140" w:header="720" w:footer="431" w:gutter="0"/>
          <w:cols w:space="708"/>
          <w:docGrid w:linePitch="360"/>
        </w:sectPr>
      </w:pPr>
    </w:p>
    <w:p w:rsidR="002C39A3" w:rsidRDefault="002C39A3" w:rsidP="00273B20">
      <w:pPr>
        <w:rPr>
          <w:rFonts w:eastAsiaTheme="minorHAnsi"/>
        </w:rPr>
        <w:sectPr w:rsidR="002C39A3" w:rsidSect="00273B20">
          <w:footerReference w:type="even" r:id="rId54"/>
          <w:footerReference w:type="default" r:id="rId55"/>
          <w:type w:val="continuous"/>
          <w:pgSz w:w="9979" w:h="14181" w:code="138"/>
          <w:pgMar w:top="1138" w:right="1138" w:bottom="1138" w:left="1138" w:header="720" w:footer="432" w:gutter="0"/>
          <w:cols w:space="708"/>
          <w:docGrid w:linePitch="360"/>
        </w:sectPr>
      </w:pPr>
    </w:p>
    <w:p w:rsidR="002C39A3" w:rsidRDefault="002C39A3" w:rsidP="00361FA9">
      <w:pPr>
        <w:pStyle w:val="ChapterHeading"/>
        <w:rPr>
          <w:rFonts w:eastAsiaTheme="minorHAnsi"/>
        </w:rPr>
      </w:pPr>
      <w:bookmarkStart w:id="47" w:name="_Toc449116205"/>
      <w:r>
        <w:rPr>
          <w:rFonts w:eastAsiaTheme="minorHAnsi"/>
        </w:rPr>
        <w:t>Chapter 4 – State revenue</w:t>
      </w:r>
      <w:bookmarkEnd w:id="47"/>
    </w:p>
    <w:p w:rsidR="002C39A3" w:rsidRPr="002F2CD7" w:rsidRDefault="002C39A3" w:rsidP="00361FA9">
      <w:pPr>
        <w:rPr>
          <w:rFonts w:eastAsiaTheme="minorHAnsi"/>
        </w:rPr>
      </w:pPr>
      <w:r w:rsidRPr="0093617D">
        <w:rPr>
          <w:rFonts w:eastAsiaTheme="minorHAnsi"/>
        </w:rPr>
        <w:t>This chapter outlines expected movements in the major categories of general government revenue between 2015</w:t>
      </w:r>
      <w:r w:rsidRPr="0093617D">
        <w:rPr>
          <w:rFonts w:eastAsiaTheme="minorHAnsi"/>
        </w:rPr>
        <w:noBreakHyphen/>
        <w:t>16 and 2019</w:t>
      </w:r>
      <w:r w:rsidRPr="0093617D">
        <w:rPr>
          <w:rFonts w:eastAsiaTheme="minorHAnsi"/>
        </w:rPr>
        <w:noBreakHyphen/>
        <w:t xml:space="preserve">20. The revenue forecasts are closely linked to growth in key macroeconomic variables outlined in Budget Paper No. 2, Chapter 2 </w:t>
      </w:r>
      <w:r w:rsidRPr="0093617D">
        <w:rPr>
          <w:rFonts w:eastAsiaTheme="minorHAnsi"/>
          <w:i/>
        </w:rPr>
        <w:t>Economic c</w:t>
      </w:r>
      <w:r>
        <w:rPr>
          <w:rFonts w:eastAsiaTheme="minorHAnsi"/>
          <w:i/>
        </w:rPr>
        <w:t>ontext</w:t>
      </w:r>
      <w:r>
        <w:rPr>
          <w:rFonts w:eastAsiaTheme="minorHAnsi"/>
        </w:rPr>
        <w:t xml:space="preserve">. </w:t>
      </w:r>
      <w:r w:rsidRPr="0093617D">
        <w:rPr>
          <w:rFonts w:eastAsiaTheme="minorHAnsi"/>
        </w:rPr>
        <w:t>Victoria</w:t>
      </w:r>
      <w:r w:rsidR="0097550F">
        <w:rPr>
          <w:rFonts w:eastAsiaTheme="minorHAnsi"/>
        </w:rPr>
        <w:t>’</w:t>
      </w:r>
      <w:r w:rsidRPr="0093617D">
        <w:rPr>
          <w:rFonts w:eastAsiaTheme="minorHAnsi"/>
        </w:rPr>
        <w:t>s real output growth has</w:t>
      </w:r>
      <w:r>
        <w:rPr>
          <w:rFonts w:eastAsiaTheme="minorHAnsi"/>
        </w:rPr>
        <w:t xml:space="preserve"> improved</w:t>
      </w:r>
      <w:r w:rsidRPr="0093617D">
        <w:rPr>
          <w:rFonts w:eastAsiaTheme="minorHAnsi"/>
        </w:rPr>
        <w:t xml:space="preserve"> </w:t>
      </w:r>
      <w:r>
        <w:rPr>
          <w:rFonts w:eastAsiaTheme="minorHAnsi"/>
        </w:rPr>
        <w:t xml:space="preserve">solidly </w:t>
      </w:r>
      <w:r w:rsidRPr="0093617D">
        <w:rPr>
          <w:rFonts w:eastAsiaTheme="minorHAnsi"/>
        </w:rPr>
        <w:t xml:space="preserve">and is forecast to </w:t>
      </w:r>
      <w:r>
        <w:rPr>
          <w:rFonts w:eastAsiaTheme="minorHAnsi"/>
        </w:rPr>
        <w:t xml:space="preserve">remain above trend </w:t>
      </w:r>
      <w:r w:rsidRPr="0093617D">
        <w:rPr>
          <w:rFonts w:eastAsiaTheme="minorHAnsi"/>
        </w:rPr>
        <w:t>in 2016</w:t>
      </w:r>
      <w:r w:rsidRPr="0093617D">
        <w:rPr>
          <w:rFonts w:eastAsiaTheme="minorHAnsi"/>
        </w:rPr>
        <w:noBreakHyphen/>
        <w:t>17.</w:t>
      </w:r>
      <w:r>
        <w:rPr>
          <w:rFonts w:eastAsiaTheme="minorHAnsi"/>
        </w:rPr>
        <w:t xml:space="preserve"> This has coincided with strong</w:t>
      </w:r>
      <w:r w:rsidRPr="0093617D">
        <w:rPr>
          <w:rFonts w:eastAsiaTheme="minorHAnsi"/>
        </w:rPr>
        <w:t xml:space="preserve"> employment growth and a moderating unemployment rate. However, despite improving real outcomes, wage and consumer price </w:t>
      </w:r>
      <w:r w:rsidRPr="002F2CD7">
        <w:rPr>
          <w:rFonts w:eastAsiaTheme="minorHAnsi"/>
        </w:rPr>
        <w:t>growth remain soft and have weighed on income growth.</w:t>
      </w:r>
    </w:p>
    <w:p w:rsidR="002C39A3" w:rsidRDefault="002C39A3" w:rsidP="00361FA9">
      <w:pPr>
        <w:rPr>
          <w:rFonts w:eastAsiaTheme="minorHAnsi"/>
        </w:rPr>
      </w:pPr>
      <w:r w:rsidRPr="002F2CD7">
        <w:rPr>
          <w:rFonts w:eastAsiaTheme="minorHAnsi"/>
        </w:rPr>
        <w:t>State revenue forecasts reflect this economic backdrop. Total revenue from transactions is expected to be $60.4 billion in 2016</w:t>
      </w:r>
      <w:r w:rsidRPr="002F2CD7">
        <w:rPr>
          <w:rFonts w:eastAsiaTheme="minorHAnsi"/>
        </w:rPr>
        <w:noBreakHyphen/>
        <w:t>17, with growth averaging 3.4 per cent a year over the budget and forward estimates (Table 4.1).</w:t>
      </w:r>
    </w:p>
    <w:p w:rsidR="002C39A3" w:rsidRDefault="002C39A3" w:rsidP="00361FA9">
      <w:pPr>
        <w:pStyle w:val="Tableheading"/>
        <w:rPr>
          <w:rFonts w:eastAsiaTheme="minorHAnsi"/>
        </w:rPr>
      </w:pPr>
      <w:r>
        <w:rPr>
          <w:rFonts w:eastAsiaTheme="minorHAnsi"/>
        </w:rPr>
        <w:t xml:space="preserve">Table 4.1: </w:t>
      </w:r>
      <w:r>
        <w:rPr>
          <w:rFonts w:eastAsiaTheme="minorHAnsi"/>
        </w:rPr>
        <w:tab/>
        <w:t>General government sector revenue</w:t>
      </w:r>
    </w:p>
    <w:p w:rsidR="002C39A3" w:rsidRPr="00E65163" w:rsidRDefault="002C39A3" w:rsidP="00361FA9">
      <w:pPr>
        <w:pStyle w:val="million"/>
        <w:rPr>
          <w:rFonts w:eastAsiaTheme="minorHAnsi"/>
          <w:sz w:val="22"/>
        </w:rPr>
      </w:pPr>
      <w:r w:rsidRPr="00153F35">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C558E9" w:rsidRPr="00E65163" w:rsidTr="00C558E9">
        <w:trPr>
          <w:trHeight w:val="464"/>
        </w:trPr>
        <w:tc>
          <w:tcPr>
            <w:tcW w:w="3515" w:type="dxa"/>
            <w:tcBorders>
              <w:right w:val="nil"/>
            </w:tcBorders>
            <w:shd w:val="solid" w:color="000000" w:fill="auto"/>
          </w:tcPr>
          <w:p w:rsidR="00C558E9" w:rsidRPr="00E65163" w:rsidRDefault="00C558E9" w:rsidP="00361FA9">
            <w:pPr>
              <w:autoSpaceDE w:val="0"/>
              <w:autoSpaceDN w:val="0"/>
              <w:adjustRightInd w:val="0"/>
              <w:spacing w:after="0"/>
              <w:rPr>
                <w:rFonts w:ascii="Calibri" w:eastAsiaTheme="minorEastAsia" w:hAnsi="Calibri" w:cs="Calibri"/>
                <w:color w:val="FFFFFF"/>
                <w:sz w:val="19"/>
                <w:lang w:eastAsia="en-AU"/>
              </w:rPr>
            </w:pPr>
          </w:p>
        </w:tc>
        <w:tc>
          <w:tcPr>
            <w:tcW w:w="850" w:type="dxa"/>
            <w:tcBorders>
              <w:left w:val="nil"/>
              <w:right w:val="nil"/>
            </w:tcBorders>
            <w:shd w:val="solid" w:color="000000" w:fill="auto"/>
          </w:tcPr>
          <w:p w:rsidR="00C558E9" w:rsidRPr="00E65163" w:rsidRDefault="00C558E9" w:rsidP="00361FA9">
            <w:pPr>
              <w:pStyle w:val="Tabletextheading"/>
              <w:rPr>
                <w:rFonts w:eastAsiaTheme="minorEastAsia"/>
                <w:color w:val="FFFFFF"/>
                <w:sz w:val="19"/>
                <w:lang w:eastAsia="en-AU"/>
              </w:rPr>
            </w:pPr>
            <w:r w:rsidRPr="00E65163">
              <w:rPr>
                <w:rFonts w:eastAsiaTheme="minorEastAsia"/>
                <w:color w:val="FFFFFF"/>
                <w:sz w:val="19"/>
                <w:lang w:eastAsia="en-AU"/>
              </w:rPr>
              <w:t>2015-16</w:t>
            </w:r>
          </w:p>
          <w:p w:rsidR="00C558E9" w:rsidRPr="00E65163" w:rsidRDefault="00C558E9" w:rsidP="00361FA9">
            <w:pPr>
              <w:pStyle w:val="Tabletextheading"/>
              <w:rPr>
                <w:rFonts w:eastAsiaTheme="minorEastAsia"/>
                <w:color w:val="FFFFFF"/>
                <w:sz w:val="19"/>
                <w:lang w:eastAsia="en-AU"/>
              </w:rPr>
            </w:pPr>
            <w:r w:rsidRPr="00E65163">
              <w:rPr>
                <w:rFonts w:eastAsiaTheme="minorEastAsia"/>
                <w:color w:val="FFFFFF"/>
                <w:sz w:val="19"/>
                <w:lang w:eastAsia="en-AU"/>
              </w:rPr>
              <w:t>revised</w:t>
            </w:r>
          </w:p>
        </w:tc>
        <w:tc>
          <w:tcPr>
            <w:tcW w:w="850" w:type="dxa"/>
            <w:tcBorders>
              <w:left w:val="nil"/>
              <w:right w:val="nil"/>
            </w:tcBorders>
            <w:shd w:val="solid" w:color="000000" w:fill="auto"/>
          </w:tcPr>
          <w:p w:rsidR="00C558E9" w:rsidRPr="00E65163" w:rsidRDefault="00C558E9" w:rsidP="00361FA9">
            <w:pPr>
              <w:pStyle w:val="Tabletextheading"/>
              <w:rPr>
                <w:rFonts w:eastAsiaTheme="minorEastAsia" w:cs="Calibri"/>
                <w:iCs/>
                <w:color w:val="FFFFFF"/>
                <w:sz w:val="19"/>
                <w:lang w:eastAsia="en-AU"/>
              </w:rPr>
            </w:pPr>
            <w:r w:rsidRPr="00E65163">
              <w:rPr>
                <w:rFonts w:eastAsiaTheme="minorEastAsia"/>
                <w:color w:val="FFFFFF"/>
                <w:sz w:val="19"/>
                <w:lang w:eastAsia="en-AU"/>
              </w:rPr>
              <w:t xml:space="preserve">2016-17 </w:t>
            </w:r>
          </w:p>
          <w:p w:rsidR="00C558E9" w:rsidRPr="00E65163" w:rsidRDefault="00C558E9" w:rsidP="00361FA9">
            <w:pPr>
              <w:pStyle w:val="Tabletextheading"/>
              <w:rPr>
                <w:rFonts w:eastAsiaTheme="minorEastAsia" w:cs="Calibri"/>
                <w:iCs/>
                <w:color w:val="FFFFFF"/>
                <w:sz w:val="19"/>
                <w:lang w:eastAsia="en-AU"/>
              </w:rPr>
            </w:pPr>
            <w:r w:rsidRPr="00E65163">
              <w:rPr>
                <w:rFonts w:eastAsiaTheme="minorEastAsia"/>
                <w:color w:val="FFFFFF"/>
                <w:sz w:val="19"/>
                <w:lang w:eastAsia="en-AU"/>
              </w:rPr>
              <w:t>budget</w:t>
            </w:r>
          </w:p>
        </w:tc>
        <w:tc>
          <w:tcPr>
            <w:tcW w:w="850" w:type="dxa"/>
            <w:tcBorders>
              <w:left w:val="nil"/>
              <w:right w:val="nil"/>
            </w:tcBorders>
            <w:shd w:val="solid" w:color="000000" w:fill="auto"/>
          </w:tcPr>
          <w:p w:rsidR="00C558E9" w:rsidRPr="00E65163" w:rsidRDefault="00C558E9" w:rsidP="00361FA9">
            <w:pPr>
              <w:pStyle w:val="Tabletextheading"/>
              <w:rPr>
                <w:rFonts w:eastAsiaTheme="minorEastAsia" w:cs="Calibri"/>
                <w:iCs/>
                <w:color w:val="FFFFFF"/>
                <w:sz w:val="19"/>
                <w:lang w:eastAsia="en-AU"/>
              </w:rPr>
            </w:pPr>
            <w:r w:rsidRPr="00E65163">
              <w:rPr>
                <w:rFonts w:eastAsiaTheme="minorEastAsia"/>
                <w:color w:val="FFFFFF"/>
                <w:sz w:val="19"/>
                <w:lang w:eastAsia="en-AU"/>
              </w:rPr>
              <w:t xml:space="preserve">2017-18 </w:t>
            </w:r>
          </w:p>
          <w:p w:rsidR="00C558E9" w:rsidRPr="00E65163" w:rsidRDefault="00C558E9" w:rsidP="00361FA9">
            <w:pPr>
              <w:pStyle w:val="Tabletextheading"/>
              <w:rPr>
                <w:rFonts w:eastAsiaTheme="minorEastAsia" w:cs="Calibri"/>
                <w:iCs/>
                <w:color w:val="FFFFFF"/>
                <w:sz w:val="19"/>
                <w:lang w:eastAsia="en-AU"/>
              </w:rPr>
            </w:pPr>
            <w:r w:rsidRPr="00E65163">
              <w:rPr>
                <w:rFonts w:eastAsiaTheme="minorEastAsia"/>
                <w:color w:val="FFFFFF"/>
                <w:sz w:val="19"/>
                <w:lang w:eastAsia="en-AU"/>
              </w:rPr>
              <w:t>estimate</w:t>
            </w:r>
          </w:p>
        </w:tc>
        <w:tc>
          <w:tcPr>
            <w:tcW w:w="850" w:type="dxa"/>
            <w:tcBorders>
              <w:left w:val="nil"/>
              <w:right w:val="nil"/>
            </w:tcBorders>
            <w:shd w:val="solid" w:color="000000" w:fill="auto"/>
          </w:tcPr>
          <w:p w:rsidR="00C558E9" w:rsidRPr="00E65163" w:rsidRDefault="00C558E9" w:rsidP="00361FA9">
            <w:pPr>
              <w:pStyle w:val="Tabletextheading"/>
              <w:rPr>
                <w:rFonts w:eastAsiaTheme="minorEastAsia" w:cs="Calibri"/>
                <w:iCs/>
                <w:color w:val="FFFFFF"/>
                <w:sz w:val="19"/>
                <w:lang w:eastAsia="en-AU"/>
              </w:rPr>
            </w:pPr>
            <w:r w:rsidRPr="00E65163">
              <w:rPr>
                <w:rFonts w:eastAsiaTheme="minorEastAsia"/>
                <w:color w:val="FFFFFF"/>
                <w:sz w:val="19"/>
                <w:lang w:eastAsia="en-AU"/>
              </w:rPr>
              <w:t xml:space="preserve">2018-19 </w:t>
            </w:r>
          </w:p>
          <w:p w:rsidR="00C558E9" w:rsidRPr="00E65163" w:rsidRDefault="00C558E9" w:rsidP="00361FA9">
            <w:pPr>
              <w:pStyle w:val="Tabletextheading"/>
              <w:rPr>
                <w:rFonts w:eastAsiaTheme="minorEastAsia" w:cs="Calibri"/>
                <w:iCs/>
                <w:color w:val="FFFFFF"/>
                <w:sz w:val="19"/>
                <w:lang w:eastAsia="en-AU"/>
              </w:rPr>
            </w:pPr>
            <w:r w:rsidRPr="00E65163">
              <w:rPr>
                <w:rFonts w:eastAsiaTheme="minorEastAsia"/>
                <w:color w:val="FFFFFF"/>
                <w:sz w:val="19"/>
                <w:lang w:eastAsia="en-AU"/>
              </w:rPr>
              <w:t>estimate</w:t>
            </w:r>
          </w:p>
        </w:tc>
        <w:tc>
          <w:tcPr>
            <w:tcW w:w="850" w:type="dxa"/>
            <w:tcBorders>
              <w:left w:val="nil"/>
            </w:tcBorders>
            <w:shd w:val="solid" w:color="000000" w:fill="auto"/>
          </w:tcPr>
          <w:p w:rsidR="00C558E9" w:rsidRPr="00E65163" w:rsidRDefault="00C558E9" w:rsidP="00361FA9">
            <w:pPr>
              <w:pStyle w:val="Tabletextheading"/>
              <w:rPr>
                <w:rFonts w:eastAsiaTheme="minorEastAsia" w:cs="Calibri"/>
                <w:iCs/>
                <w:color w:val="FFFFFF"/>
                <w:sz w:val="19"/>
                <w:lang w:eastAsia="en-AU"/>
              </w:rPr>
            </w:pPr>
            <w:r w:rsidRPr="00E65163">
              <w:rPr>
                <w:rFonts w:eastAsiaTheme="minorEastAsia"/>
                <w:color w:val="FFFFFF"/>
                <w:sz w:val="19"/>
                <w:lang w:eastAsia="en-AU"/>
              </w:rPr>
              <w:t xml:space="preserve">2019-20 </w:t>
            </w:r>
          </w:p>
          <w:p w:rsidR="00C558E9" w:rsidRPr="00E65163" w:rsidRDefault="00C558E9" w:rsidP="00361FA9">
            <w:pPr>
              <w:pStyle w:val="Tabletextheading"/>
              <w:rPr>
                <w:rFonts w:eastAsiaTheme="minorEastAsia" w:cs="Calibri"/>
                <w:iCs/>
                <w:color w:val="FFFFFF"/>
                <w:sz w:val="19"/>
                <w:lang w:eastAsia="en-AU"/>
              </w:rPr>
            </w:pPr>
            <w:r w:rsidRPr="00E65163">
              <w:rPr>
                <w:rFonts w:eastAsiaTheme="minorEastAsia"/>
                <w:color w:val="FFFFFF"/>
                <w:sz w:val="19"/>
                <w:lang w:eastAsia="en-AU"/>
              </w:rPr>
              <w:t>estimate</w:t>
            </w:r>
          </w:p>
        </w:tc>
      </w:tr>
      <w:tr w:rsidR="002C39A3" w:rsidRPr="00E65163" w:rsidTr="00361FA9">
        <w:tc>
          <w:tcPr>
            <w:tcW w:w="3515" w:type="dxa"/>
            <w:tcBorders>
              <w:top w:val="single" w:sz="6" w:space="0" w:color="auto"/>
              <w:left w:val="nil"/>
              <w:right w:val="nil"/>
            </w:tcBorders>
            <w:shd w:val="clear" w:color="auto" w:fill="FFFFFF"/>
          </w:tcPr>
          <w:p w:rsidR="002C39A3" w:rsidRPr="00E65163" w:rsidRDefault="002C39A3" w:rsidP="00361FA9">
            <w:pPr>
              <w:pStyle w:val="Tabletext"/>
              <w:ind w:left="227" w:hanging="227"/>
              <w:rPr>
                <w:rFonts w:eastAsiaTheme="minorEastAsia"/>
                <w:color w:val="000000"/>
                <w:lang w:eastAsia="en-AU"/>
              </w:rPr>
            </w:pPr>
            <w:r w:rsidRPr="00E65163">
              <w:rPr>
                <w:rFonts w:eastAsiaTheme="minorEastAsia"/>
                <w:color w:val="000000"/>
                <w:lang w:eastAsia="en-AU"/>
              </w:rPr>
              <w:t>Taxation revenue</w:t>
            </w:r>
          </w:p>
        </w:tc>
        <w:tc>
          <w:tcPr>
            <w:tcW w:w="850" w:type="dxa"/>
            <w:tcBorders>
              <w:top w:val="single" w:sz="6" w:space="0" w:color="auto"/>
              <w:left w:val="nil"/>
              <w:right w:val="nil"/>
            </w:tcBorders>
            <w:shd w:val="clear" w:color="auto" w:fill="FFFFFF"/>
          </w:tcPr>
          <w:p w:rsidR="002C39A3" w:rsidRPr="00E65163" w:rsidRDefault="002C39A3" w:rsidP="00361FA9">
            <w:pPr>
              <w:pStyle w:val="TableofFigures"/>
              <w:rPr>
                <w:rFonts w:eastAsiaTheme="minorEastAsia" w:cs="Calibri"/>
                <w:color w:val="000000"/>
                <w:sz w:val="19"/>
                <w:lang w:eastAsia="en-AU"/>
              </w:rPr>
            </w:pPr>
            <w:r w:rsidRPr="00E65163">
              <w:rPr>
                <w:rFonts w:eastAsiaTheme="minorEastAsia"/>
                <w:color w:val="000000"/>
                <w:sz w:val="19"/>
                <w:lang w:eastAsia="en-AU"/>
              </w:rPr>
              <w:t>20</w:t>
            </w:r>
            <w:r w:rsidRPr="00E65163">
              <w:rPr>
                <w:rFonts w:eastAsiaTheme="minorEastAsia" w:cs="Calibri"/>
                <w:color w:val="000000"/>
                <w:sz w:val="19"/>
                <w:lang w:eastAsia="en-AU"/>
              </w:rPr>
              <w:t xml:space="preserve"> 079</w:t>
            </w:r>
          </w:p>
        </w:tc>
        <w:tc>
          <w:tcPr>
            <w:tcW w:w="850" w:type="dxa"/>
            <w:tcBorders>
              <w:top w:val="single" w:sz="6" w:space="0" w:color="auto"/>
              <w:left w:val="nil"/>
              <w:right w:val="nil"/>
            </w:tcBorders>
            <w:shd w:val="clear" w:color="auto" w:fill="FFFFFF"/>
          </w:tcPr>
          <w:p w:rsidR="002C39A3" w:rsidRPr="00E65163" w:rsidRDefault="002C39A3" w:rsidP="00361FA9">
            <w:pPr>
              <w:pStyle w:val="TableofFigures"/>
              <w:rPr>
                <w:rFonts w:eastAsiaTheme="minorEastAsia" w:cs="Calibri"/>
                <w:color w:val="000000"/>
                <w:sz w:val="19"/>
                <w:lang w:eastAsia="en-AU"/>
              </w:rPr>
            </w:pPr>
            <w:r w:rsidRPr="00E65163">
              <w:rPr>
                <w:rFonts w:eastAsiaTheme="minorEastAsia"/>
                <w:color w:val="000000"/>
                <w:sz w:val="19"/>
                <w:lang w:eastAsia="en-AU"/>
              </w:rPr>
              <w:t>21</w:t>
            </w:r>
            <w:r w:rsidRPr="00E65163">
              <w:rPr>
                <w:rFonts w:eastAsiaTheme="minorEastAsia" w:cs="Calibri"/>
                <w:color w:val="000000"/>
                <w:sz w:val="19"/>
                <w:lang w:eastAsia="en-AU"/>
              </w:rPr>
              <w:t xml:space="preserve"> 594</w:t>
            </w:r>
          </w:p>
        </w:tc>
        <w:tc>
          <w:tcPr>
            <w:tcW w:w="850" w:type="dxa"/>
            <w:tcBorders>
              <w:top w:val="single" w:sz="6" w:space="0" w:color="auto"/>
              <w:left w:val="nil"/>
              <w:right w:val="nil"/>
            </w:tcBorders>
            <w:shd w:val="clear" w:color="auto" w:fill="FFFFFF"/>
          </w:tcPr>
          <w:p w:rsidR="002C39A3" w:rsidRPr="00E65163" w:rsidRDefault="002C39A3" w:rsidP="00361FA9">
            <w:pPr>
              <w:pStyle w:val="TableofFigures"/>
              <w:rPr>
                <w:rFonts w:eastAsiaTheme="minorEastAsia" w:cs="Calibri"/>
                <w:color w:val="000000"/>
                <w:sz w:val="19"/>
                <w:lang w:eastAsia="en-AU"/>
              </w:rPr>
            </w:pPr>
            <w:r w:rsidRPr="00E65163">
              <w:rPr>
                <w:rFonts w:eastAsiaTheme="minorEastAsia"/>
                <w:color w:val="000000"/>
                <w:sz w:val="19"/>
                <w:lang w:eastAsia="en-AU"/>
              </w:rPr>
              <w:t>21</w:t>
            </w:r>
            <w:r w:rsidRPr="00E65163">
              <w:rPr>
                <w:rFonts w:eastAsiaTheme="minorEastAsia" w:cs="Calibri"/>
                <w:color w:val="000000"/>
                <w:sz w:val="19"/>
                <w:lang w:eastAsia="en-AU"/>
              </w:rPr>
              <w:t xml:space="preserve"> 292</w:t>
            </w:r>
          </w:p>
        </w:tc>
        <w:tc>
          <w:tcPr>
            <w:tcW w:w="850" w:type="dxa"/>
            <w:tcBorders>
              <w:top w:val="single" w:sz="6" w:space="0" w:color="auto"/>
              <w:left w:val="nil"/>
              <w:right w:val="nil"/>
            </w:tcBorders>
            <w:shd w:val="clear" w:color="auto" w:fill="FFFFFF"/>
          </w:tcPr>
          <w:p w:rsidR="002C39A3" w:rsidRPr="00E65163" w:rsidRDefault="002C39A3" w:rsidP="00361FA9">
            <w:pPr>
              <w:pStyle w:val="TableofFigures"/>
              <w:rPr>
                <w:rFonts w:eastAsiaTheme="minorEastAsia" w:cs="Calibri"/>
                <w:color w:val="000000"/>
                <w:sz w:val="19"/>
                <w:lang w:eastAsia="en-AU"/>
              </w:rPr>
            </w:pPr>
            <w:r w:rsidRPr="00E65163">
              <w:rPr>
                <w:rFonts w:eastAsiaTheme="minorEastAsia"/>
                <w:color w:val="000000"/>
                <w:sz w:val="19"/>
                <w:lang w:eastAsia="en-AU"/>
              </w:rPr>
              <w:t>22</w:t>
            </w:r>
            <w:r w:rsidRPr="00E65163">
              <w:rPr>
                <w:rFonts w:eastAsiaTheme="minorEastAsia" w:cs="Calibri"/>
                <w:color w:val="000000"/>
                <w:sz w:val="19"/>
                <w:lang w:eastAsia="en-AU"/>
              </w:rPr>
              <w:t xml:space="preserve"> 468</w:t>
            </w:r>
          </w:p>
        </w:tc>
        <w:tc>
          <w:tcPr>
            <w:tcW w:w="850" w:type="dxa"/>
            <w:tcBorders>
              <w:top w:val="single" w:sz="6" w:space="0" w:color="auto"/>
              <w:left w:val="nil"/>
              <w:right w:val="nil"/>
            </w:tcBorders>
            <w:shd w:val="clear" w:color="auto" w:fill="FFFFFF"/>
          </w:tcPr>
          <w:p w:rsidR="002C39A3" w:rsidRPr="00E65163" w:rsidRDefault="002C39A3" w:rsidP="00361FA9">
            <w:pPr>
              <w:pStyle w:val="TableofFigures"/>
              <w:rPr>
                <w:rFonts w:eastAsiaTheme="minorEastAsia" w:cs="Calibri"/>
                <w:color w:val="000000"/>
                <w:sz w:val="19"/>
                <w:lang w:eastAsia="en-AU"/>
              </w:rPr>
            </w:pPr>
            <w:r w:rsidRPr="00E65163">
              <w:rPr>
                <w:rFonts w:eastAsiaTheme="minorEastAsia"/>
                <w:color w:val="000000"/>
                <w:sz w:val="19"/>
                <w:lang w:eastAsia="en-AU"/>
              </w:rPr>
              <w:t>23</w:t>
            </w:r>
            <w:r w:rsidRPr="00E65163">
              <w:rPr>
                <w:rFonts w:eastAsiaTheme="minorEastAsia" w:cs="Calibri"/>
                <w:color w:val="000000"/>
                <w:sz w:val="19"/>
                <w:lang w:eastAsia="en-AU"/>
              </w:rPr>
              <w:t xml:space="preserve"> 354</w:t>
            </w:r>
          </w:p>
        </w:tc>
      </w:tr>
      <w:tr w:rsidR="002C39A3" w:rsidRPr="00E65163" w:rsidTr="00361FA9">
        <w:tc>
          <w:tcPr>
            <w:tcW w:w="3515" w:type="dxa"/>
            <w:tcBorders>
              <w:top w:val="nil"/>
              <w:left w:val="nil"/>
              <w:right w:val="nil"/>
            </w:tcBorders>
            <w:shd w:val="clear" w:color="auto" w:fill="FFFFFF"/>
          </w:tcPr>
          <w:p w:rsidR="002C39A3" w:rsidRPr="00E65163" w:rsidRDefault="002C39A3" w:rsidP="00361FA9">
            <w:pPr>
              <w:pStyle w:val="Tabletext"/>
              <w:ind w:left="227" w:hanging="227"/>
              <w:rPr>
                <w:rFonts w:eastAsiaTheme="minorEastAsia"/>
                <w:color w:val="000000"/>
                <w:lang w:eastAsia="en-AU"/>
              </w:rPr>
            </w:pPr>
            <w:r w:rsidRPr="00E65163">
              <w:rPr>
                <w:rFonts w:eastAsiaTheme="minorEastAsia"/>
                <w:color w:val="000000"/>
                <w:lang w:eastAsia="en-AU"/>
              </w:rPr>
              <w:t>Grants</w:t>
            </w:r>
          </w:p>
        </w:tc>
        <w:tc>
          <w:tcPr>
            <w:tcW w:w="850" w:type="dxa"/>
            <w:tcBorders>
              <w:top w:val="nil"/>
              <w:left w:val="nil"/>
              <w:right w:val="nil"/>
            </w:tcBorders>
            <w:shd w:val="clear" w:color="auto" w:fill="FFFFFF"/>
          </w:tcPr>
          <w:p w:rsidR="002C39A3" w:rsidRPr="00E65163" w:rsidRDefault="002C39A3" w:rsidP="00361FA9">
            <w:pPr>
              <w:pStyle w:val="TableofFigures"/>
              <w:rPr>
                <w:rFonts w:eastAsiaTheme="minorEastAsia" w:cs="Calibri"/>
                <w:color w:val="000000"/>
                <w:sz w:val="19"/>
                <w:lang w:eastAsia="en-AU"/>
              </w:rPr>
            </w:pPr>
            <w:r w:rsidRPr="00E65163">
              <w:rPr>
                <w:rFonts w:eastAsiaTheme="minorEastAsia"/>
                <w:color w:val="000000"/>
                <w:sz w:val="19"/>
                <w:lang w:eastAsia="en-AU"/>
              </w:rPr>
              <w:t>25</w:t>
            </w:r>
            <w:r w:rsidRPr="00E65163">
              <w:rPr>
                <w:rFonts w:eastAsiaTheme="minorEastAsia" w:cs="Calibri"/>
                <w:color w:val="000000"/>
                <w:sz w:val="19"/>
                <w:lang w:eastAsia="en-AU"/>
              </w:rPr>
              <w:t xml:space="preserve"> 364</w:t>
            </w:r>
          </w:p>
        </w:tc>
        <w:tc>
          <w:tcPr>
            <w:tcW w:w="850" w:type="dxa"/>
            <w:tcBorders>
              <w:top w:val="nil"/>
              <w:left w:val="nil"/>
              <w:right w:val="nil"/>
            </w:tcBorders>
            <w:shd w:val="clear" w:color="auto" w:fill="FFFFFF"/>
          </w:tcPr>
          <w:p w:rsidR="002C39A3" w:rsidRPr="00E65163" w:rsidRDefault="002C39A3" w:rsidP="00361FA9">
            <w:pPr>
              <w:pStyle w:val="TableofFigures"/>
              <w:rPr>
                <w:rFonts w:eastAsiaTheme="minorEastAsia" w:cs="Calibri"/>
                <w:color w:val="000000"/>
                <w:sz w:val="19"/>
                <w:lang w:eastAsia="en-AU"/>
              </w:rPr>
            </w:pPr>
            <w:r w:rsidRPr="00E65163">
              <w:rPr>
                <w:rFonts w:eastAsiaTheme="minorEastAsia"/>
                <w:color w:val="000000"/>
                <w:sz w:val="19"/>
                <w:lang w:eastAsia="en-AU"/>
              </w:rPr>
              <w:t>27</w:t>
            </w:r>
            <w:r w:rsidRPr="00E65163">
              <w:rPr>
                <w:rFonts w:eastAsiaTheme="minorEastAsia" w:cs="Calibri"/>
                <w:color w:val="000000"/>
                <w:sz w:val="19"/>
                <w:lang w:eastAsia="en-AU"/>
              </w:rPr>
              <w:t xml:space="preserve"> 424</w:t>
            </w:r>
          </w:p>
        </w:tc>
        <w:tc>
          <w:tcPr>
            <w:tcW w:w="850" w:type="dxa"/>
            <w:tcBorders>
              <w:top w:val="nil"/>
              <w:left w:val="nil"/>
              <w:right w:val="nil"/>
            </w:tcBorders>
            <w:shd w:val="clear" w:color="auto" w:fill="FFFFFF"/>
          </w:tcPr>
          <w:p w:rsidR="002C39A3" w:rsidRPr="00E65163" w:rsidRDefault="002C39A3" w:rsidP="00361FA9">
            <w:pPr>
              <w:pStyle w:val="TableofFigures"/>
              <w:rPr>
                <w:rFonts w:eastAsiaTheme="minorEastAsia" w:cs="Calibri"/>
                <w:color w:val="000000"/>
                <w:sz w:val="19"/>
                <w:lang w:eastAsia="en-AU"/>
              </w:rPr>
            </w:pPr>
            <w:r w:rsidRPr="00E65163">
              <w:rPr>
                <w:rFonts w:eastAsiaTheme="minorEastAsia"/>
                <w:color w:val="000000"/>
                <w:sz w:val="19"/>
                <w:lang w:eastAsia="en-AU"/>
              </w:rPr>
              <w:t>28</w:t>
            </w:r>
            <w:r w:rsidRPr="00E65163">
              <w:rPr>
                <w:rFonts w:eastAsiaTheme="minorEastAsia" w:cs="Calibri"/>
                <w:color w:val="000000"/>
                <w:sz w:val="19"/>
                <w:lang w:eastAsia="en-AU"/>
              </w:rPr>
              <w:t xml:space="preserve"> 069</w:t>
            </w:r>
          </w:p>
        </w:tc>
        <w:tc>
          <w:tcPr>
            <w:tcW w:w="850" w:type="dxa"/>
            <w:tcBorders>
              <w:top w:val="nil"/>
              <w:left w:val="nil"/>
              <w:right w:val="nil"/>
            </w:tcBorders>
            <w:shd w:val="clear" w:color="auto" w:fill="FFFFFF"/>
          </w:tcPr>
          <w:p w:rsidR="002C39A3" w:rsidRPr="00E65163" w:rsidRDefault="002C39A3" w:rsidP="00361FA9">
            <w:pPr>
              <w:pStyle w:val="TableofFigures"/>
              <w:rPr>
                <w:rFonts w:eastAsiaTheme="minorEastAsia" w:cs="Calibri"/>
                <w:color w:val="000000"/>
                <w:sz w:val="19"/>
                <w:lang w:eastAsia="en-AU"/>
              </w:rPr>
            </w:pPr>
            <w:r w:rsidRPr="00E65163">
              <w:rPr>
                <w:rFonts w:eastAsiaTheme="minorEastAsia"/>
                <w:color w:val="000000"/>
                <w:sz w:val="19"/>
                <w:lang w:eastAsia="en-AU"/>
              </w:rPr>
              <w:t>28</w:t>
            </w:r>
            <w:r w:rsidRPr="00E65163">
              <w:rPr>
                <w:rFonts w:eastAsiaTheme="minorEastAsia" w:cs="Calibri"/>
                <w:color w:val="000000"/>
                <w:sz w:val="19"/>
                <w:lang w:eastAsia="en-AU"/>
              </w:rPr>
              <w:t xml:space="preserve"> 844</w:t>
            </w:r>
          </w:p>
        </w:tc>
        <w:tc>
          <w:tcPr>
            <w:tcW w:w="850" w:type="dxa"/>
            <w:tcBorders>
              <w:top w:val="nil"/>
              <w:left w:val="nil"/>
              <w:right w:val="nil"/>
            </w:tcBorders>
            <w:shd w:val="clear" w:color="auto" w:fill="FFFFFF"/>
          </w:tcPr>
          <w:p w:rsidR="002C39A3" w:rsidRPr="00E65163" w:rsidRDefault="002C39A3" w:rsidP="00361FA9">
            <w:pPr>
              <w:pStyle w:val="TableofFigures"/>
              <w:rPr>
                <w:rFonts w:eastAsiaTheme="minorEastAsia" w:cs="Calibri"/>
                <w:color w:val="000000"/>
                <w:sz w:val="19"/>
                <w:lang w:eastAsia="en-AU"/>
              </w:rPr>
            </w:pPr>
            <w:r w:rsidRPr="00E65163">
              <w:rPr>
                <w:rFonts w:eastAsiaTheme="minorEastAsia"/>
                <w:color w:val="000000"/>
                <w:sz w:val="19"/>
                <w:lang w:eastAsia="en-AU"/>
              </w:rPr>
              <w:t>29</w:t>
            </w:r>
            <w:r w:rsidRPr="00E65163">
              <w:rPr>
                <w:rFonts w:eastAsiaTheme="minorEastAsia" w:cs="Calibri"/>
                <w:color w:val="000000"/>
                <w:sz w:val="19"/>
                <w:lang w:eastAsia="en-AU"/>
              </w:rPr>
              <w:t xml:space="preserve"> 957</w:t>
            </w:r>
          </w:p>
        </w:tc>
      </w:tr>
      <w:tr w:rsidR="002C39A3" w:rsidRPr="00E65163" w:rsidTr="00361FA9">
        <w:tc>
          <w:tcPr>
            <w:tcW w:w="3515" w:type="dxa"/>
            <w:tcBorders>
              <w:top w:val="nil"/>
              <w:left w:val="nil"/>
              <w:right w:val="nil"/>
            </w:tcBorders>
            <w:shd w:val="clear" w:color="auto" w:fill="FFFFFF"/>
          </w:tcPr>
          <w:p w:rsidR="002C39A3" w:rsidRPr="00E65163" w:rsidRDefault="002C39A3" w:rsidP="00361FA9">
            <w:pPr>
              <w:pStyle w:val="Tabletext"/>
              <w:ind w:left="227" w:hanging="227"/>
              <w:rPr>
                <w:rFonts w:eastAsiaTheme="minorEastAsia"/>
                <w:color w:val="000000"/>
                <w:lang w:eastAsia="en-AU"/>
              </w:rPr>
            </w:pPr>
            <w:r w:rsidRPr="00E65163">
              <w:rPr>
                <w:rFonts w:eastAsiaTheme="minorEastAsia"/>
                <w:color w:val="000000"/>
                <w:lang w:eastAsia="en-AU"/>
              </w:rPr>
              <w:t>Sales of goods and services</w:t>
            </w:r>
          </w:p>
        </w:tc>
        <w:tc>
          <w:tcPr>
            <w:tcW w:w="850" w:type="dxa"/>
            <w:tcBorders>
              <w:top w:val="nil"/>
              <w:left w:val="nil"/>
              <w:right w:val="nil"/>
            </w:tcBorders>
            <w:shd w:val="clear" w:color="auto" w:fill="FFFFFF"/>
          </w:tcPr>
          <w:p w:rsidR="002C39A3" w:rsidRPr="00E65163" w:rsidRDefault="002C39A3" w:rsidP="00361FA9">
            <w:pPr>
              <w:pStyle w:val="TableofFigures"/>
              <w:rPr>
                <w:rFonts w:eastAsiaTheme="minorEastAsia" w:cs="Calibri"/>
                <w:color w:val="000000"/>
                <w:sz w:val="19"/>
                <w:lang w:eastAsia="en-AU"/>
              </w:rPr>
            </w:pPr>
            <w:r w:rsidRPr="00E65163">
              <w:rPr>
                <w:rFonts w:eastAsiaTheme="minorEastAsia"/>
                <w:color w:val="000000"/>
                <w:sz w:val="19"/>
                <w:lang w:eastAsia="en-AU"/>
              </w:rPr>
              <w:t>6</w:t>
            </w:r>
            <w:r w:rsidRPr="00E65163">
              <w:rPr>
                <w:rFonts w:eastAsiaTheme="minorEastAsia" w:cs="Calibri"/>
                <w:color w:val="000000"/>
                <w:sz w:val="19"/>
                <w:lang w:eastAsia="en-AU"/>
              </w:rPr>
              <w:t xml:space="preserve"> 643</w:t>
            </w:r>
          </w:p>
        </w:tc>
        <w:tc>
          <w:tcPr>
            <w:tcW w:w="850" w:type="dxa"/>
            <w:tcBorders>
              <w:top w:val="nil"/>
              <w:left w:val="nil"/>
              <w:right w:val="nil"/>
            </w:tcBorders>
            <w:shd w:val="clear" w:color="auto" w:fill="FFFFFF"/>
          </w:tcPr>
          <w:p w:rsidR="002C39A3" w:rsidRPr="00E65163" w:rsidRDefault="002C39A3" w:rsidP="00361FA9">
            <w:pPr>
              <w:pStyle w:val="TableofFigures"/>
              <w:rPr>
                <w:rFonts w:eastAsiaTheme="minorEastAsia" w:cs="Calibri"/>
                <w:color w:val="000000"/>
                <w:sz w:val="19"/>
                <w:lang w:eastAsia="en-AU"/>
              </w:rPr>
            </w:pPr>
            <w:r w:rsidRPr="00E65163">
              <w:rPr>
                <w:rFonts w:eastAsiaTheme="minorEastAsia"/>
                <w:color w:val="000000"/>
                <w:sz w:val="19"/>
                <w:lang w:eastAsia="en-AU"/>
              </w:rPr>
              <w:t>6</w:t>
            </w:r>
            <w:r w:rsidRPr="00E65163">
              <w:rPr>
                <w:rFonts w:eastAsiaTheme="minorEastAsia" w:cs="Calibri"/>
                <w:color w:val="000000"/>
                <w:sz w:val="19"/>
                <w:lang w:eastAsia="en-AU"/>
              </w:rPr>
              <w:t xml:space="preserve"> 843</w:t>
            </w:r>
          </w:p>
        </w:tc>
        <w:tc>
          <w:tcPr>
            <w:tcW w:w="850" w:type="dxa"/>
            <w:tcBorders>
              <w:top w:val="nil"/>
              <w:left w:val="nil"/>
              <w:right w:val="nil"/>
            </w:tcBorders>
            <w:shd w:val="clear" w:color="auto" w:fill="FFFFFF"/>
          </w:tcPr>
          <w:p w:rsidR="002C39A3" w:rsidRPr="00E65163" w:rsidRDefault="002C39A3" w:rsidP="00361FA9">
            <w:pPr>
              <w:pStyle w:val="TableofFigures"/>
              <w:rPr>
                <w:rFonts w:eastAsiaTheme="minorEastAsia" w:cs="Calibri"/>
                <w:color w:val="000000"/>
                <w:sz w:val="19"/>
                <w:lang w:eastAsia="en-AU"/>
              </w:rPr>
            </w:pPr>
            <w:r w:rsidRPr="00E65163">
              <w:rPr>
                <w:rFonts w:eastAsiaTheme="minorEastAsia"/>
                <w:color w:val="000000"/>
                <w:sz w:val="19"/>
                <w:lang w:eastAsia="en-AU"/>
              </w:rPr>
              <w:t>7</w:t>
            </w:r>
            <w:r w:rsidRPr="00E65163">
              <w:rPr>
                <w:rFonts w:eastAsiaTheme="minorEastAsia" w:cs="Calibri"/>
                <w:color w:val="000000"/>
                <w:sz w:val="19"/>
                <w:lang w:eastAsia="en-AU"/>
              </w:rPr>
              <w:t xml:space="preserve"> 036</w:t>
            </w:r>
          </w:p>
        </w:tc>
        <w:tc>
          <w:tcPr>
            <w:tcW w:w="850" w:type="dxa"/>
            <w:tcBorders>
              <w:top w:val="nil"/>
              <w:left w:val="nil"/>
              <w:right w:val="nil"/>
            </w:tcBorders>
            <w:shd w:val="clear" w:color="auto" w:fill="FFFFFF"/>
          </w:tcPr>
          <w:p w:rsidR="002C39A3" w:rsidRPr="00E65163" w:rsidRDefault="002C39A3" w:rsidP="00361FA9">
            <w:pPr>
              <w:pStyle w:val="TableofFigures"/>
              <w:rPr>
                <w:rFonts w:eastAsiaTheme="minorEastAsia" w:cs="Calibri"/>
                <w:color w:val="000000"/>
                <w:sz w:val="19"/>
                <w:lang w:eastAsia="en-AU"/>
              </w:rPr>
            </w:pPr>
            <w:r w:rsidRPr="00E65163">
              <w:rPr>
                <w:rFonts w:eastAsiaTheme="minorEastAsia"/>
                <w:color w:val="000000"/>
                <w:sz w:val="19"/>
                <w:lang w:eastAsia="en-AU"/>
              </w:rPr>
              <w:t>7</w:t>
            </w:r>
            <w:r w:rsidRPr="00E65163">
              <w:rPr>
                <w:rFonts w:eastAsiaTheme="minorEastAsia" w:cs="Calibri"/>
                <w:color w:val="000000"/>
                <w:sz w:val="19"/>
                <w:lang w:eastAsia="en-AU"/>
              </w:rPr>
              <w:t xml:space="preserve"> 212</w:t>
            </w:r>
          </w:p>
        </w:tc>
        <w:tc>
          <w:tcPr>
            <w:tcW w:w="850" w:type="dxa"/>
            <w:tcBorders>
              <w:top w:val="nil"/>
              <w:left w:val="nil"/>
              <w:right w:val="nil"/>
            </w:tcBorders>
            <w:shd w:val="clear" w:color="auto" w:fill="FFFFFF"/>
          </w:tcPr>
          <w:p w:rsidR="002C39A3" w:rsidRPr="00E65163" w:rsidRDefault="002C39A3" w:rsidP="00361FA9">
            <w:pPr>
              <w:pStyle w:val="TableofFigures"/>
              <w:rPr>
                <w:rFonts w:eastAsiaTheme="minorEastAsia" w:cs="Calibri"/>
                <w:color w:val="000000"/>
                <w:sz w:val="19"/>
                <w:lang w:eastAsia="en-AU"/>
              </w:rPr>
            </w:pPr>
            <w:r w:rsidRPr="00E65163">
              <w:rPr>
                <w:rFonts w:eastAsiaTheme="minorEastAsia"/>
                <w:color w:val="000000"/>
                <w:sz w:val="19"/>
                <w:lang w:eastAsia="en-AU"/>
              </w:rPr>
              <w:t>7</w:t>
            </w:r>
            <w:r w:rsidRPr="00E65163">
              <w:rPr>
                <w:rFonts w:eastAsiaTheme="minorEastAsia" w:cs="Calibri"/>
                <w:color w:val="000000"/>
                <w:sz w:val="19"/>
                <w:lang w:eastAsia="en-AU"/>
              </w:rPr>
              <w:t xml:space="preserve"> 240</w:t>
            </w:r>
          </w:p>
        </w:tc>
      </w:tr>
      <w:tr w:rsidR="002C39A3" w:rsidRPr="00E65163" w:rsidTr="00361FA9">
        <w:tc>
          <w:tcPr>
            <w:tcW w:w="3515" w:type="dxa"/>
            <w:tcBorders>
              <w:top w:val="nil"/>
              <w:left w:val="nil"/>
              <w:right w:val="nil"/>
            </w:tcBorders>
            <w:shd w:val="clear" w:color="auto" w:fill="FFFFFF"/>
          </w:tcPr>
          <w:p w:rsidR="002C39A3" w:rsidRPr="00E65163" w:rsidRDefault="002C39A3" w:rsidP="00361FA9">
            <w:pPr>
              <w:pStyle w:val="Tabletext"/>
              <w:ind w:left="227" w:hanging="227"/>
              <w:rPr>
                <w:rFonts w:eastAsiaTheme="minorEastAsia"/>
                <w:color w:val="000000"/>
                <w:lang w:eastAsia="en-AU"/>
              </w:rPr>
            </w:pPr>
            <w:r w:rsidRPr="00E65163">
              <w:rPr>
                <w:rFonts w:eastAsiaTheme="minorEastAsia"/>
                <w:color w:val="000000"/>
                <w:lang w:eastAsia="en-AU"/>
              </w:rPr>
              <w:t>Dividends, income tax equivalent and rate equivalent revenue</w:t>
            </w:r>
          </w:p>
        </w:tc>
        <w:tc>
          <w:tcPr>
            <w:tcW w:w="850" w:type="dxa"/>
            <w:tcBorders>
              <w:top w:val="nil"/>
              <w:left w:val="nil"/>
              <w:right w:val="nil"/>
            </w:tcBorders>
            <w:shd w:val="clear" w:color="auto" w:fill="FFFFFF"/>
          </w:tcPr>
          <w:p w:rsidR="002C39A3" w:rsidRPr="00E65163" w:rsidRDefault="00AF5DDD" w:rsidP="00361FA9">
            <w:pPr>
              <w:pStyle w:val="TableofFigures"/>
              <w:rPr>
                <w:rFonts w:eastAsiaTheme="minorEastAsia"/>
                <w:color w:val="000000"/>
                <w:sz w:val="19"/>
                <w:lang w:eastAsia="en-AU"/>
              </w:rPr>
            </w:pPr>
            <w:r>
              <w:rPr>
                <w:rFonts w:eastAsiaTheme="minorEastAsia"/>
                <w:color w:val="000000"/>
                <w:sz w:val="19"/>
                <w:lang w:eastAsia="en-AU"/>
              </w:rPr>
              <w:t>762</w:t>
            </w:r>
          </w:p>
        </w:tc>
        <w:tc>
          <w:tcPr>
            <w:tcW w:w="850" w:type="dxa"/>
            <w:tcBorders>
              <w:top w:val="nil"/>
              <w:left w:val="nil"/>
              <w:right w:val="nil"/>
            </w:tcBorders>
            <w:shd w:val="clear" w:color="auto" w:fill="FFFFFF"/>
          </w:tcPr>
          <w:p w:rsidR="002C39A3" w:rsidRPr="00E65163" w:rsidRDefault="002C39A3" w:rsidP="00361FA9">
            <w:pPr>
              <w:pStyle w:val="TableofFigures"/>
              <w:rPr>
                <w:rFonts w:eastAsiaTheme="minorEastAsia" w:cs="Calibri"/>
                <w:color w:val="000000"/>
                <w:sz w:val="19"/>
                <w:lang w:eastAsia="en-AU"/>
              </w:rPr>
            </w:pPr>
            <w:r w:rsidRPr="00E65163">
              <w:rPr>
                <w:rFonts w:eastAsiaTheme="minorEastAsia"/>
                <w:color w:val="000000"/>
                <w:sz w:val="19"/>
                <w:lang w:eastAsia="en-AU"/>
              </w:rPr>
              <w:t>1</w:t>
            </w:r>
            <w:r w:rsidRPr="00E65163">
              <w:rPr>
                <w:rFonts w:eastAsiaTheme="minorEastAsia" w:cs="Calibri"/>
                <w:color w:val="000000"/>
                <w:sz w:val="19"/>
                <w:lang w:eastAsia="en-AU"/>
              </w:rPr>
              <w:t xml:space="preserve"> 059</w:t>
            </w:r>
          </w:p>
        </w:tc>
        <w:tc>
          <w:tcPr>
            <w:tcW w:w="850" w:type="dxa"/>
            <w:tcBorders>
              <w:top w:val="nil"/>
              <w:left w:val="nil"/>
              <w:right w:val="nil"/>
            </w:tcBorders>
            <w:shd w:val="clear" w:color="auto" w:fill="FFFFFF"/>
          </w:tcPr>
          <w:p w:rsidR="002C39A3" w:rsidRPr="00E65163" w:rsidRDefault="002C39A3" w:rsidP="00361FA9">
            <w:pPr>
              <w:pStyle w:val="TableofFigures"/>
              <w:rPr>
                <w:rFonts w:eastAsiaTheme="minorEastAsia" w:cs="Calibri"/>
                <w:color w:val="000000"/>
                <w:sz w:val="19"/>
                <w:szCs w:val="19"/>
                <w:lang w:eastAsia="en-AU"/>
              </w:rPr>
            </w:pPr>
            <w:r w:rsidRPr="00E65163">
              <w:rPr>
                <w:rFonts w:eastAsiaTheme="minorEastAsia"/>
                <w:color w:val="000000"/>
                <w:sz w:val="19"/>
                <w:lang w:eastAsia="en-AU"/>
              </w:rPr>
              <w:t>1</w:t>
            </w:r>
            <w:r w:rsidRPr="00E65163">
              <w:rPr>
                <w:rFonts w:eastAsiaTheme="minorEastAsia" w:cs="Calibri"/>
                <w:color w:val="000000"/>
                <w:sz w:val="19"/>
                <w:lang w:eastAsia="en-AU"/>
              </w:rPr>
              <w:t xml:space="preserve"> </w:t>
            </w:r>
            <w:r w:rsidRPr="00E65163">
              <w:rPr>
                <w:rFonts w:eastAsiaTheme="minorEastAsia" w:cs="Calibri"/>
                <w:color w:val="000000"/>
                <w:sz w:val="19"/>
                <w:szCs w:val="19"/>
                <w:lang w:eastAsia="en-AU"/>
              </w:rPr>
              <w:t>377</w:t>
            </w:r>
          </w:p>
        </w:tc>
        <w:tc>
          <w:tcPr>
            <w:tcW w:w="850" w:type="dxa"/>
            <w:tcBorders>
              <w:top w:val="nil"/>
              <w:left w:val="nil"/>
              <w:right w:val="nil"/>
            </w:tcBorders>
            <w:shd w:val="clear" w:color="auto" w:fill="FFFFFF"/>
          </w:tcPr>
          <w:p w:rsidR="002C39A3" w:rsidRPr="00E65163"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846</w:t>
            </w:r>
          </w:p>
        </w:tc>
        <w:tc>
          <w:tcPr>
            <w:tcW w:w="850" w:type="dxa"/>
            <w:tcBorders>
              <w:top w:val="nil"/>
              <w:left w:val="nil"/>
              <w:right w:val="nil"/>
            </w:tcBorders>
            <w:shd w:val="clear" w:color="auto" w:fill="FFFFFF"/>
          </w:tcPr>
          <w:p w:rsidR="002C39A3" w:rsidRPr="00E65163"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787</w:t>
            </w:r>
          </w:p>
        </w:tc>
      </w:tr>
      <w:tr w:rsidR="002C39A3" w:rsidRPr="00E65163" w:rsidTr="00361FA9">
        <w:tc>
          <w:tcPr>
            <w:tcW w:w="3515" w:type="dxa"/>
            <w:tcBorders>
              <w:top w:val="nil"/>
              <w:left w:val="nil"/>
              <w:right w:val="nil"/>
            </w:tcBorders>
            <w:shd w:val="clear" w:color="auto" w:fill="FFFFFF"/>
          </w:tcPr>
          <w:p w:rsidR="002C39A3" w:rsidRPr="00E65163" w:rsidRDefault="002C39A3" w:rsidP="00361FA9">
            <w:pPr>
              <w:pStyle w:val="Tabletext"/>
              <w:ind w:left="227" w:hanging="227"/>
              <w:rPr>
                <w:rFonts w:eastAsiaTheme="minorEastAsia"/>
                <w:color w:val="000000"/>
                <w:lang w:eastAsia="en-AU"/>
              </w:rPr>
            </w:pPr>
            <w:r w:rsidRPr="00E65163">
              <w:rPr>
                <w:rFonts w:eastAsiaTheme="minorEastAsia"/>
                <w:color w:val="000000"/>
                <w:lang w:eastAsia="en-AU"/>
              </w:rPr>
              <w:t>Interest revenue</w:t>
            </w:r>
          </w:p>
        </w:tc>
        <w:tc>
          <w:tcPr>
            <w:tcW w:w="850" w:type="dxa"/>
            <w:tcBorders>
              <w:top w:val="nil"/>
              <w:left w:val="nil"/>
              <w:right w:val="nil"/>
            </w:tcBorders>
            <w:shd w:val="clear" w:color="auto" w:fill="FFFFFF"/>
          </w:tcPr>
          <w:p w:rsidR="002C39A3" w:rsidRPr="00E65163"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795</w:t>
            </w:r>
          </w:p>
        </w:tc>
        <w:tc>
          <w:tcPr>
            <w:tcW w:w="850" w:type="dxa"/>
            <w:tcBorders>
              <w:top w:val="nil"/>
              <w:left w:val="nil"/>
              <w:right w:val="nil"/>
            </w:tcBorders>
            <w:shd w:val="clear" w:color="auto" w:fill="FFFFFF"/>
          </w:tcPr>
          <w:p w:rsidR="002C39A3" w:rsidRPr="00E65163"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881</w:t>
            </w:r>
          </w:p>
        </w:tc>
        <w:tc>
          <w:tcPr>
            <w:tcW w:w="850" w:type="dxa"/>
            <w:tcBorders>
              <w:top w:val="nil"/>
              <w:left w:val="nil"/>
              <w:right w:val="nil"/>
            </w:tcBorders>
            <w:shd w:val="clear" w:color="auto" w:fill="FFFFFF"/>
          </w:tcPr>
          <w:p w:rsidR="002C39A3" w:rsidRPr="00E65163"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915</w:t>
            </w:r>
          </w:p>
        </w:tc>
        <w:tc>
          <w:tcPr>
            <w:tcW w:w="850" w:type="dxa"/>
            <w:tcBorders>
              <w:top w:val="nil"/>
              <w:left w:val="nil"/>
              <w:right w:val="nil"/>
            </w:tcBorders>
            <w:shd w:val="clear" w:color="auto" w:fill="FFFFFF"/>
          </w:tcPr>
          <w:p w:rsidR="002C39A3" w:rsidRPr="00E65163"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903</w:t>
            </w:r>
          </w:p>
        </w:tc>
        <w:tc>
          <w:tcPr>
            <w:tcW w:w="850" w:type="dxa"/>
            <w:tcBorders>
              <w:top w:val="nil"/>
              <w:left w:val="nil"/>
              <w:right w:val="nil"/>
            </w:tcBorders>
            <w:shd w:val="clear" w:color="auto" w:fill="FFFFFF"/>
          </w:tcPr>
          <w:p w:rsidR="002C39A3" w:rsidRPr="00E65163"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906</w:t>
            </w:r>
          </w:p>
        </w:tc>
      </w:tr>
      <w:tr w:rsidR="002C39A3" w:rsidRPr="00E65163" w:rsidTr="00361FA9">
        <w:tc>
          <w:tcPr>
            <w:tcW w:w="3515" w:type="dxa"/>
            <w:tcBorders>
              <w:top w:val="nil"/>
              <w:left w:val="nil"/>
              <w:bottom w:val="single" w:sz="6" w:space="0" w:color="auto"/>
              <w:right w:val="nil"/>
            </w:tcBorders>
            <w:shd w:val="clear" w:color="auto" w:fill="FFFFFF"/>
          </w:tcPr>
          <w:p w:rsidR="002C39A3" w:rsidRPr="00E65163" w:rsidRDefault="002C39A3" w:rsidP="00361FA9">
            <w:pPr>
              <w:pStyle w:val="Tabletext"/>
              <w:ind w:left="227" w:hanging="227"/>
              <w:rPr>
                <w:rFonts w:eastAsiaTheme="minorEastAsia"/>
                <w:color w:val="000000"/>
                <w:lang w:eastAsia="en-AU"/>
              </w:rPr>
            </w:pPr>
            <w:r w:rsidRPr="00E65163">
              <w:rPr>
                <w:rFonts w:eastAsiaTheme="minorEastAsia"/>
                <w:color w:val="000000"/>
                <w:lang w:eastAsia="en-AU"/>
              </w:rPr>
              <w:t>Other revenue</w:t>
            </w:r>
          </w:p>
        </w:tc>
        <w:tc>
          <w:tcPr>
            <w:tcW w:w="850" w:type="dxa"/>
            <w:tcBorders>
              <w:top w:val="nil"/>
              <w:left w:val="nil"/>
              <w:bottom w:val="single" w:sz="6" w:space="0" w:color="auto"/>
              <w:right w:val="nil"/>
            </w:tcBorders>
            <w:shd w:val="clear" w:color="auto" w:fill="FFFFFF"/>
          </w:tcPr>
          <w:p w:rsidR="002C39A3" w:rsidRPr="00E65163" w:rsidRDefault="002C39A3" w:rsidP="00361FA9">
            <w:pPr>
              <w:pStyle w:val="TableofFigures"/>
              <w:rPr>
                <w:rFonts w:eastAsiaTheme="minorEastAsia" w:cs="Calibri"/>
                <w:color w:val="000000"/>
                <w:sz w:val="19"/>
                <w:lang w:eastAsia="en-AU"/>
              </w:rPr>
            </w:pPr>
            <w:r w:rsidRPr="00E65163">
              <w:rPr>
                <w:rFonts w:eastAsiaTheme="minorEastAsia"/>
                <w:color w:val="000000"/>
                <w:sz w:val="19"/>
                <w:lang w:eastAsia="en-AU"/>
              </w:rPr>
              <w:t>2</w:t>
            </w:r>
            <w:r w:rsidRPr="00E65163">
              <w:rPr>
                <w:rFonts w:eastAsiaTheme="minorEastAsia" w:cs="Calibri"/>
                <w:color w:val="000000"/>
                <w:sz w:val="19"/>
                <w:lang w:eastAsia="en-AU"/>
              </w:rPr>
              <w:t xml:space="preserve"> 828</w:t>
            </w:r>
          </w:p>
        </w:tc>
        <w:tc>
          <w:tcPr>
            <w:tcW w:w="850" w:type="dxa"/>
            <w:tcBorders>
              <w:top w:val="nil"/>
              <w:left w:val="nil"/>
              <w:bottom w:val="single" w:sz="6" w:space="0" w:color="auto"/>
              <w:right w:val="nil"/>
            </w:tcBorders>
            <w:shd w:val="clear" w:color="auto" w:fill="FFFFFF"/>
          </w:tcPr>
          <w:p w:rsidR="002C39A3" w:rsidRPr="00E65163" w:rsidRDefault="002C39A3" w:rsidP="00361FA9">
            <w:pPr>
              <w:pStyle w:val="TableofFigures"/>
              <w:rPr>
                <w:rFonts w:eastAsiaTheme="minorEastAsia" w:cs="Calibri"/>
                <w:color w:val="000000"/>
                <w:sz w:val="19"/>
                <w:lang w:eastAsia="en-AU"/>
              </w:rPr>
            </w:pPr>
            <w:r w:rsidRPr="00E65163">
              <w:rPr>
                <w:rFonts w:eastAsiaTheme="minorEastAsia"/>
                <w:color w:val="000000"/>
                <w:sz w:val="19"/>
                <w:lang w:eastAsia="en-AU"/>
              </w:rPr>
              <w:t>2</w:t>
            </w:r>
            <w:r w:rsidRPr="00E65163">
              <w:rPr>
                <w:rFonts w:eastAsiaTheme="minorEastAsia" w:cs="Calibri"/>
                <w:color w:val="000000"/>
                <w:sz w:val="19"/>
                <w:lang w:eastAsia="en-AU"/>
              </w:rPr>
              <w:t xml:space="preserve"> 569</w:t>
            </w:r>
          </w:p>
        </w:tc>
        <w:tc>
          <w:tcPr>
            <w:tcW w:w="850" w:type="dxa"/>
            <w:tcBorders>
              <w:top w:val="nil"/>
              <w:left w:val="nil"/>
              <w:bottom w:val="single" w:sz="6" w:space="0" w:color="auto"/>
              <w:right w:val="nil"/>
            </w:tcBorders>
            <w:shd w:val="clear" w:color="auto" w:fill="FFFFFF"/>
          </w:tcPr>
          <w:p w:rsidR="002C39A3" w:rsidRPr="00E65163" w:rsidRDefault="002C39A3" w:rsidP="00361FA9">
            <w:pPr>
              <w:pStyle w:val="TableofFigures"/>
              <w:rPr>
                <w:rFonts w:eastAsiaTheme="minorEastAsia" w:cs="Calibri"/>
                <w:color w:val="000000"/>
                <w:sz w:val="19"/>
                <w:lang w:eastAsia="en-AU"/>
              </w:rPr>
            </w:pPr>
            <w:r w:rsidRPr="00E65163">
              <w:rPr>
                <w:rFonts w:eastAsiaTheme="minorEastAsia"/>
                <w:color w:val="000000"/>
                <w:sz w:val="19"/>
                <w:lang w:eastAsia="en-AU"/>
              </w:rPr>
              <w:t>2</w:t>
            </w:r>
            <w:r w:rsidRPr="00E65163">
              <w:rPr>
                <w:rFonts w:eastAsiaTheme="minorEastAsia" w:cs="Calibri"/>
                <w:color w:val="000000"/>
                <w:sz w:val="19"/>
                <w:lang w:eastAsia="en-AU"/>
              </w:rPr>
              <w:t xml:space="preserve"> 320</w:t>
            </w:r>
          </w:p>
        </w:tc>
        <w:tc>
          <w:tcPr>
            <w:tcW w:w="850" w:type="dxa"/>
            <w:tcBorders>
              <w:top w:val="nil"/>
              <w:left w:val="nil"/>
              <w:bottom w:val="single" w:sz="6" w:space="0" w:color="auto"/>
              <w:right w:val="nil"/>
            </w:tcBorders>
            <w:shd w:val="clear" w:color="auto" w:fill="FFFFFF"/>
          </w:tcPr>
          <w:p w:rsidR="002C39A3" w:rsidRPr="00E65163" w:rsidRDefault="002C39A3" w:rsidP="00361FA9">
            <w:pPr>
              <w:pStyle w:val="TableofFigures"/>
              <w:rPr>
                <w:rFonts w:eastAsiaTheme="minorEastAsia" w:cs="Calibri"/>
                <w:color w:val="000000"/>
                <w:sz w:val="19"/>
                <w:lang w:eastAsia="en-AU"/>
              </w:rPr>
            </w:pPr>
            <w:r w:rsidRPr="00E65163">
              <w:rPr>
                <w:rFonts w:eastAsiaTheme="minorEastAsia"/>
                <w:color w:val="000000"/>
                <w:sz w:val="19"/>
                <w:lang w:eastAsia="en-AU"/>
              </w:rPr>
              <w:t>2</w:t>
            </w:r>
            <w:r w:rsidRPr="00E65163">
              <w:rPr>
                <w:rFonts w:eastAsiaTheme="minorEastAsia" w:cs="Calibri"/>
                <w:color w:val="000000"/>
                <w:sz w:val="19"/>
                <w:lang w:eastAsia="en-AU"/>
              </w:rPr>
              <w:t xml:space="preserve"> 331</w:t>
            </w:r>
          </w:p>
        </w:tc>
        <w:tc>
          <w:tcPr>
            <w:tcW w:w="850" w:type="dxa"/>
            <w:tcBorders>
              <w:top w:val="nil"/>
              <w:left w:val="nil"/>
              <w:bottom w:val="single" w:sz="6" w:space="0" w:color="auto"/>
              <w:right w:val="nil"/>
            </w:tcBorders>
            <w:shd w:val="clear" w:color="auto" w:fill="FFFFFF"/>
          </w:tcPr>
          <w:p w:rsidR="002C39A3" w:rsidRPr="00E65163" w:rsidRDefault="002C39A3" w:rsidP="00361FA9">
            <w:pPr>
              <w:pStyle w:val="TableofFigures"/>
              <w:rPr>
                <w:rFonts w:eastAsiaTheme="minorEastAsia" w:cs="Calibri"/>
                <w:color w:val="000000"/>
                <w:sz w:val="19"/>
                <w:lang w:eastAsia="en-AU"/>
              </w:rPr>
            </w:pPr>
            <w:r w:rsidRPr="00E65163">
              <w:rPr>
                <w:rFonts w:eastAsiaTheme="minorEastAsia"/>
                <w:color w:val="000000"/>
                <w:sz w:val="19"/>
                <w:lang w:eastAsia="en-AU"/>
              </w:rPr>
              <w:t>2</w:t>
            </w:r>
            <w:r w:rsidRPr="00E65163">
              <w:rPr>
                <w:rFonts w:eastAsiaTheme="minorEastAsia" w:cs="Calibri"/>
                <w:color w:val="000000"/>
                <w:sz w:val="19"/>
                <w:lang w:eastAsia="en-AU"/>
              </w:rPr>
              <w:t xml:space="preserve"> 374</w:t>
            </w:r>
          </w:p>
        </w:tc>
      </w:tr>
      <w:tr w:rsidR="002C39A3" w:rsidRPr="00E65163" w:rsidTr="00361FA9">
        <w:tc>
          <w:tcPr>
            <w:tcW w:w="3515" w:type="dxa"/>
            <w:tcBorders>
              <w:top w:val="single" w:sz="6" w:space="0" w:color="auto"/>
              <w:left w:val="nil"/>
              <w:bottom w:val="single" w:sz="12" w:space="0" w:color="auto"/>
              <w:right w:val="nil"/>
            </w:tcBorders>
            <w:shd w:val="clear" w:color="auto" w:fill="FFFFFF"/>
          </w:tcPr>
          <w:p w:rsidR="002C39A3" w:rsidRPr="00E65163" w:rsidRDefault="002C39A3" w:rsidP="00361FA9">
            <w:pPr>
              <w:pStyle w:val="Tabletext"/>
              <w:ind w:left="227" w:hanging="227"/>
              <w:rPr>
                <w:rFonts w:eastAsiaTheme="minorEastAsia"/>
                <w:b/>
                <w:color w:val="000000"/>
                <w:lang w:eastAsia="en-AU"/>
              </w:rPr>
            </w:pPr>
            <w:r w:rsidRPr="00E65163">
              <w:rPr>
                <w:rFonts w:eastAsiaTheme="minorEastAsia"/>
                <w:b/>
                <w:color w:val="000000"/>
                <w:lang w:eastAsia="en-AU"/>
              </w:rPr>
              <w:t>Total revenue from transactions</w:t>
            </w:r>
          </w:p>
        </w:tc>
        <w:tc>
          <w:tcPr>
            <w:tcW w:w="850" w:type="dxa"/>
            <w:tcBorders>
              <w:top w:val="single" w:sz="6" w:space="0" w:color="auto"/>
              <w:left w:val="nil"/>
              <w:bottom w:val="single" w:sz="12" w:space="0" w:color="auto"/>
              <w:right w:val="nil"/>
            </w:tcBorders>
            <w:shd w:val="clear" w:color="auto" w:fill="FFFFFF"/>
          </w:tcPr>
          <w:p w:rsidR="002C39A3" w:rsidRPr="00E65163" w:rsidRDefault="002C39A3" w:rsidP="00361FA9">
            <w:pPr>
              <w:pStyle w:val="TableofFigures"/>
              <w:rPr>
                <w:rFonts w:eastAsiaTheme="minorEastAsia" w:cs="Calibri"/>
                <w:b/>
                <w:bCs/>
                <w:color w:val="000000"/>
                <w:sz w:val="19"/>
                <w:lang w:eastAsia="en-AU"/>
              </w:rPr>
            </w:pPr>
            <w:r w:rsidRPr="00E65163">
              <w:rPr>
                <w:rFonts w:eastAsiaTheme="minorEastAsia"/>
                <w:b/>
                <w:bCs/>
                <w:color w:val="000000"/>
                <w:sz w:val="19"/>
                <w:lang w:eastAsia="en-AU"/>
              </w:rPr>
              <w:t>56 470</w:t>
            </w:r>
          </w:p>
        </w:tc>
        <w:tc>
          <w:tcPr>
            <w:tcW w:w="850" w:type="dxa"/>
            <w:tcBorders>
              <w:top w:val="single" w:sz="6" w:space="0" w:color="auto"/>
              <w:left w:val="nil"/>
              <w:bottom w:val="single" w:sz="12" w:space="0" w:color="auto"/>
              <w:right w:val="nil"/>
            </w:tcBorders>
            <w:shd w:val="clear" w:color="auto" w:fill="FFFFFF"/>
          </w:tcPr>
          <w:p w:rsidR="002C39A3" w:rsidRPr="00E65163" w:rsidRDefault="002C39A3" w:rsidP="00361FA9">
            <w:pPr>
              <w:pStyle w:val="TableofFigures"/>
              <w:rPr>
                <w:rFonts w:eastAsiaTheme="minorEastAsia" w:cs="Calibri"/>
                <w:b/>
                <w:bCs/>
                <w:color w:val="000000"/>
                <w:sz w:val="19"/>
                <w:lang w:eastAsia="en-AU"/>
              </w:rPr>
            </w:pPr>
            <w:r w:rsidRPr="00E65163">
              <w:rPr>
                <w:rFonts w:eastAsiaTheme="minorEastAsia"/>
                <w:b/>
                <w:bCs/>
                <w:color w:val="000000"/>
                <w:sz w:val="19"/>
                <w:lang w:eastAsia="en-AU"/>
              </w:rPr>
              <w:t>60 370</w:t>
            </w:r>
          </w:p>
        </w:tc>
        <w:tc>
          <w:tcPr>
            <w:tcW w:w="850" w:type="dxa"/>
            <w:tcBorders>
              <w:top w:val="single" w:sz="6" w:space="0" w:color="auto"/>
              <w:left w:val="nil"/>
              <w:bottom w:val="single" w:sz="12" w:space="0" w:color="auto"/>
              <w:right w:val="nil"/>
            </w:tcBorders>
            <w:shd w:val="clear" w:color="auto" w:fill="FFFFFF"/>
          </w:tcPr>
          <w:p w:rsidR="002C39A3" w:rsidRPr="00E65163" w:rsidRDefault="002C39A3" w:rsidP="00361FA9">
            <w:pPr>
              <w:pStyle w:val="TableofFigures"/>
              <w:rPr>
                <w:rFonts w:eastAsiaTheme="minorEastAsia" w:cs="Calibri"/>
                <w:b/>
                <w:bCs/>
                <w:color w:val="000000"/>
                <w:sz w:val="19"/>
                <w:lang w:eastAsia="en-AU"/>
              </w:rPr>
            </w:pPr>
            <w:r w:rsidRPr="00E65163">
              <w:rPr>
                <w:rFonts w:eastAsiaTheme="minorEastAsia"/>
                <w:b/>
                <w:bCs/>
                <w:color w:val="000000"/>
                <w:sz w:val="19"/>
                <w:lang w:eastAsia="en-AU"/>
              </w:rPr>
              <w:t>61 009</w:t>
            </w:r>
          </w:p>
        </w:tc>
        <w:tc>
          <w:tcPr>
            <w:tcW w:w="850" w:type="dxa"/>
            <w:tcBorders>
              <w:top w:val="single" w:sz="6" w:space="0" w:color="auto"/>
              <w:left w:val="nil"/>
              <w:bottom w:val="single" w:sz="12" w:space="0" w:color="auto"/>
              <w:right w:val="nil"/>
            </w:tcBorders>
            <w:shd w:val="clear" w:color="auto" w:fill="FFFFFF"/>
          </w:tcPr>
          <w:p w:rsidR="002C39A3" w:rsidRPr="00E65163" w:rsidRDefault="002C39A3" w:rsidP="00361FA9">
            <w:pPr>
              <w:pStyle w:val="TableofFigures"/>
              <w:rPr>
                <w:rFonts w:eastAsiaTheme="minorEastAsia" w:cs="Calibri"/>
                <w:b/>
                <w:bCs/>
                <w:color w:val="000000"/>
                <w:sz w:val="19"/>
                <w:lang w:eastAsia="en-AU"/>
              </w:rPr>
            </w:pPr>
            <w:r w:rsidRPr="00E65163">
              <w:rPr>
                <w:rFonts w:eastAsiaTheme="minorEastAsia"/>
                <w:b/>
                <w:bCs/>
                <w:color w:val="000000"/>
                <w:sz w:val="19"/>
                <w:lang w:eastAsia="en-AU"/>
              </w:rPr>
              <w:t>62 604</w:t>
            </w:r>
          </w:p>
        </w:tc>
        <w:tc>
          <w:tcPr>
            <w:tcW w:w="850" w:type="dxa"/>
            <w:tcBorders>
              <w:top w:val="single" w:sz="6" w:space="0" w:color="auto"/>
              <w:left w:val="nil"/>
              <w:bottom w:val="single" w:sz="12" w:space="0" w:color="auto"/>
              <w:right w:val="nil"/>
            </w:tcBorders>
            <w:shd w:val="clear" w:color="auto" w:fill="FFFFFF"/>
          </w:tcPr>
          <w:p w:rsidR="002C39A3" w:rsidRPr="00E65163" w:rsidRDefault="002C39A3" w:rsidP="00361FA9">
            <w:pPr>
              <w:pStyle w:val="TableofFigures"/>
              <w:rPr>
                <w:rFonts w:eastAsiaTheme="minorEastAsia" w:cs="Calibri"/>
                <w:b/>
                <w:bCs/>
                <w:color w:val="000000"/>
                <w:sz w:val="19"/>
                <w:lang w:eastAsia="en-AU"/>
              </w:rPr>
            </w:pPr>
            <w:r w:rsidRPr="00E65163">
              <w:rPr>
                <w:rFonts w:eastAsiaTheme="minorEastAsia"/>
                <w:b/>
                <w:bCs/>
                <w:color w:val="000000"/>
                <w:sz w:val="19"/>
                <w:lang w:eastAsia="en-AU"/>
              </w:rPr>
              <w:t>64 618</w:t>
            </w:r>
          </w:p>
        </w:tc>
      </w:tr>
    </w:tbl>
    <w:p w:rsidR="002C39A3" w:rsidRPr="00963663" w:rsidRDefault="002C39A3" w:rsidP="00361FA9">
      <w:pPr>
        <w:pStyle w:val="Source"/>
        <w:rPr>
          <w:rFonts w:eastAsiaTheme="minorHAnsi"/>
        </w:rPr>
      </w:pPr>
      <w:r>
        <w:rPr>
          <w:rFonts w:eastAsiaTheme="minorHAnsi"/>
        </w:rPr>
        <w:t>Source: Department of Treasury and Finance</w:t>
      </w:r>
    </w:p>
    <w:p w:rsidR="002C39A3" w:rsidRPr="00C74ACE" w:rsidRDefault="002C39A3" w:rsidP="00361FA9">
      <w:pPr>
        <w:rPr>
          <w:rFonts w:eastAsiaTheme="minorHAnsi"/>
        </w:rPr>
      </w:pPr>
      <w:r w:rsidRPr="002F2CD7">
        <w:rPr>
          <w:rFonts w:eastAsiaTheme="minorHAnsi"/>
        </w:rPr>
        <w:t>State taxation revenue is forecast to be $21.6 billion in 2016</w:t>
      </w:r>
      <w:r w:rsidRPr="002F2CD7">
        <w:rPr>
          <w:rFonts w:eastAsiaTheme="minorHAnsi"/>
        </w:rPr>
        <w:noBreakHyphen/>
        <w:t xml:space="preserve">17, with growth averaging 3.9 per cent a year over the budget and forward </w:t>
      </w:r>
      <w:r w:rsidRPr="004D024F">
        <w:rPr>
          <w:rFonts w:eastAsiaTheme="minorHAnsi"/>
        </w:rPr>
        <w:t>estimates. Major contributors to growth in the budget year include la</w:t>
      </w:r>
      <w:r>
        <w:rPr>
          <w:rFonts w:eastAsiaTheme="minorHAnsi"/>
        </w:rPr>
        <w:t xml:space="preserve">nd tax and payroll tax revenue and </w:t>
      </w:r>
      <w:r w:rsidRPr="004D024F">
        <w:rPr>
          <w:rFonts w:eastAsiaTheme="minorHAnsi"/>
        </w:rPr>
        <w:t>an allowance for prepaid</w:t>
      </w:r>
      <w:r>
        <w:rPr>
          <w:rFonts w:eastAsiaTheme="minorHAnsi"/>
        </w:rPr>
        <w:t xml:space="preserve"> port licenc</w:t>
      </w:r>
      <w:r w:rsidRPr="004D024F">
        <w:rPr>
          <w:rFonts w:eastAsiaTheme="minorHAnsi"/>
        </w:rPr>
        <w:t>e fees, partially offset by an anticipated moderation in land transfer duty revenue.</w:t>
      </w:r>
    </w:p>
    <w:p w:rsidR="002C39A3" w:rsidRPr="00C74ACE" w:rsidRDefault="002C39A3" w:rsidP="00361FA9">
      <w:pPr>
        <w:rPr>
          <w:rFonts w:eastAsiaTheme="minorHAnsi"/>
        </w:rPr>
      </w:pPr>
      <w:r w:rsidRPr="00C74ACE">
        <w:rPr>
          <w:rFonts w:eastAsiaTheme="minorHAnsi"/>
        </w:rPr>
        <w:t xml:space="preserve">GST revenue, which makes up around </w:t>
      </w:r>
      <w:r>
        <w:rPr>
          <w:rFonts w:eastAsiaTheme="minorHAnsi"/>
        </w:rPr>
        <w:t>half</w:t>
      </w:r>
      <w:r w:rsidRPr="00C74ACE">
        <w:rPr>
          <w:rFonts w:eastAsiaTheme="minorHAnsi"/>
        </w:rPr>
        <w:t xml:space="preserve"> of Victoria</w:t>
      </w:r>
      <w:r w:rsidR="0097550F">
        <w:rPr>
          <w:rFonts w:eastAsiaTheme="minorHAnsi"/>
        </w:rPr>
        <w:t>’</w:t>
      </w:r>
      <w:r w:rsidRPr="00C74ACE">
        <w:rPr>
          <w:rFonts w:eastAsiaTheme="minorHAnsi"/>
        </w:rPr>
        <w:t xml:space="preserve">s grants revenue, is forecast </w:t>
      </w:r>
      <w:r w:rsidRPr="00C94FC6">
        <w:rPr>
          <w:rFonts w:eastAsiaTheme="minorHAnsi"/>
        </w:rPr>
        <w:t>to grow by 6.5 per cent to $13.9 billion in 2016</w:t>
      </w:r>
      <w:r w:rsidRPr="00C94FC6">
        <w:rPr>
          <w:rFonts w:eastAsiaTheme="minorHAnsi"/>
        </w:rPr>
        <w:noBreakHyphen/>
        <w:t xml:space="preserve">17. This is driven by </w:t>
      </w:r>
      <w:r>
        <w:rPr>
          <w:rFonts w:eastAsiaTheme="minorHAnsi"/>
        </w:rPr>
        <w:t xml:space="preserve">increases in </w:t>
      </w:r>
      <w:r w:rsidRPr="00C94FC6">
        <w:rPr>
          <w:rFonts w:eastAsiaTheme="minorHAnsi"/>
        </w:rPr>
        <w:t>the national GST pool and Victoria</w:t>
      </w:r>
      <w:r w:rsidR="0097550F">
        <w:rPr>
          <w:rFonts w:eastAsiaTheme="minorHAnsi"/>
        </w:rPr>
        <w:t>’</w:t>
      </w:r>
      <w:r w:rsidRPr="00C94FC6">
        <w:rPr>
          <w:rFonts w:eastAsiaTheme="minorHAnsi"/>
        </w:rPr>
        <w:t xml:space="preserve">s GST relativity, </w:t>
      </w:r>
      <w:r>
        <w:rPr>
          <w:rFonts w:eastAsiaTheme="minorHAnsi"/>
        </w:rPr>
        <w:t xml:space="preserve">the latter </w:t>
      </w:r>
      <w:r w:rsidRPr="00C94FC6">
        <w:rPr>
          <w:rFonts w:eastAsiaTheme="minorHAnsi"/>
        </w:rPr>
        <w:t>in part r</w:t>
      </w:r>
      <w:r>
        <w:rPr>
          <w:rFonts w:eastAsiaTheme="minorHAnsi"/>
        </w:rPr>
        <w:t>eflecting</w:t>
      </w:r>
      <w:r w:rsidRPr="00C94FC6">
        <w:rPr>
          <w:rFonts w:eastAsiaTheme="minorHAnsi"/>
        </w:rPr>
        <w:t xml:space="preserve"> Victoria</w:t>
      </w:r>
      <w:r w:rsidR="0097550F">
        <w:rPr>
          <w:rFonts w:eastAsiaTheme="minorHAnsi"/>
        </w:rPr>
        <w:t>’</w:t>
      </w:r>
      <w:r w:rsidRPr="00C94FC6">
        <w:rPr>
          <w:rFonts w:eastAsiaTheme="minorHAnsi"/>
        </w:rPr>
        <w:t xml:space="preserve">s </w:t>
      </w:r>
      <w:r>
        <w:rPr>
          <w:rFonts w:eastAsiaTheme="minorHAnsi"/>
        </w:rPr>
        <w:t xml:space="preserve">rising </w:t>
      </w:r>
      <w:r w:rsidRPr="00C94FC6">
        <w:rPr>
          <w:rFonts w:eastAsiaTheme="minorHAnsi"/>
        </w:rPr>
        <w:t>share of national population growth.</w:t>
      </w:r>
    </w:p>
    <w:p w:rsidR="002C39A3" w:rsidRPr="009C4481" w:rsidRDefault="002C39A3" w:rsidP="00361FA9">
      <w:pPr>
        <w:rPr>
          <w:rFonts w:eastAsiaTheme="minorHAnsi"/>
          <w:highlight w:val="yellow"/>
        </w:rPr>
      </w:pPr>
      <w:r w:rsidRPr="00C74ACE">
        <w:rPr>
          <w:rFonts w:eastAsiaTheme="minorHAnsi"/>
        </w:rPr>
        <w:t>Commonwealth grants for specific purpose</w:t>
      </w:r>
      <w:r>
        <w:rPr>
          <w:rFonts w:eastAsiaTheme="minorHAnsi"/>
        </w:rPr>
        <w:t>s</w:t>
      </w:r>
      <w:r w:rsidRPr="00C74ACE">
        <w:rPr>
          <w:rFonts w:eastAsiaTheme="minorHAnsi"/>
        </w:rPr>
        <w:t xml:space="preserve"> are </w:t>
      </w:r>
      <w:r>
        <w:rPr>
          <w:rFonts w:eastAsiaTheme="minorHAnsi"/>
        </w:rPr>
        <w:t>expected to total $13.3 billion in 2016</w:t>
      </w:r>
      <w:r>
        <w:rPr>
          <w:rFonts w:eastAsiaTheme="minorHAnsi"/>
        </w:rPr>
        <w:noBreakHyphen/>
        <w:t>17 and average $13.1 billion over the forward estimates.</w:t>
      </w:r>
    </w:p>
    <w:p w:rsidR="002C39A3" w:rsidRDefault="002C39A3" w:rsidP="00361FA9">
      <w:pPr>
        <w:pStyle w:val="Heading1"/>
        <w:rPr>
          <w:rFonts w:eastAsiaTheme="minorHAnsi"/>
        </w:rPr>
      </w:pPr>
      <w:bookmarkStart w:id="48" w:name="_Toc449116206"/>
      <w:r>
        <w:rPr>
          <w:rFonts w:eastAsiaTheme="minorHAnsi"/>
        </w:rPr>
        <w:t>Taxation</w:t>
      </w:r>
      <w:bookmarkEnd w:id="48"/>
    </w:p>
    <w:p w:rsidR="002C39A3" w:rsidRDefault="002C39A3" w:rsidP="00361FA9">
      <w:pPr>
        <w:rPr>
          <w:rFonts w:eastAsiaTheme="minorHAnsi"/>
        </w:rPr>
      </w:pPr>
      <w:r w:rsidRPr="002F2CD7">
        <w:rPr>
          <w:rFonts w:eastAsiaTheme="minorHAnsi"/>
        </w:rPr>
        <w:t>Tax revenue is forecast to be $21.6 billion in 2016</w:t>
      </w:r>
      <w:r w:rsidRPr="002F2CD7">
        <w:rPr>
          <w:rFonts w:eastAsiaTheme="minorHAnsi"/>
        </w:rPr>
        <w:noBreakHyphen/>
        <w:t>17, with growth averaging 3.9 per cent a year over the budget and forward estimates. This growth rate is below the annual average of 6.3 per cent over the decade to 2015-16.</w:t>
      </w:r>
    </w:p>
    <w:p w:rsidR="002C39A3" w:rsidRDefault="002C39A3" w:rsidP="00361FA9">
      <w:pPr>
        <w:rPr>
          <w:rFonts w:eastAsiaTheme="minorHAnsi"/>
        </w:rPr>
      </w:pPr>
      <w:r w:rsidRPr="00D5249D">
        <w:rPr>
          <w:rFonts w:eastAsiaTheme="minorHAnsi"/>
        </w:rPr>
        <w:t xml:space="preserve">Robust population growth and low </w:t>
      </w:r>
      <w:r>
        <w:rPr>
          <w:rFonts w:eastAsiaTheme="minorHAnsi"/>
        </w:rPr>
        <w:t xml:space="preserve">interest </w:t>
      </w:r>
      <w:r w:rsidRPr="00D5249D">
        <w:rPr>
          <w:rFonts w:eastAsiaTheme="minorHAnsi"/>
        </w:rPr>
        <w:t xml:space="preserve">rates have underpinned a large upswing in the property market. </w:t>
      </w:r>
      <w:r>
        <w:rPr>
          <w:rFonts w:eastAsiaTheme="minorHAnsi"/>
        </w:rPr>
        <w:t xml:space="preserve">The surge in prices and transaction volumes has generated very strong growth in land transfer duty revenue over the past few years. </w:t>
      </w:r>
      <w:r w:rsidRPr="00D5249D">
        <w:rPr>
          <w:rFonts w:eastAsiaTheme="minorHAnsi"/>
        </w:rPr>
        <w:t>However, leading indicators of housing market conditions have eased</w:t>
      </w:r>
      <w:r>
        <w:rPr>
          <w:rFonts w:eastAsiaTheme="minorHAnsi"/>
        </w:rPr>
        <w:t>,</w:t>
      </w:r>
      <w:r w:rsidRPr="00D5249D">
        <w:rPr>
          <w:rFonts w:eastAsiaTheme="minorHAnsi"/>
        </w:rPr>
        <w:t xml:space="preserve"> suggesting the property cycle is </w:t>
      </w:r>
      <w:r>
        <w:rPr>
          <w:rFonts w:eastAsiaTheme="minorHAnsi"/>
        </w:rPr>
        <w:t>maturing</w:t>
      </w:r>
      <w:r w:rsidRPr="00D5249D">
        <w:rPr>
          <w:rFonts w:eastAsiaTheme="minorHAnsi"/>
        </w:rPr>
        <w:t xml:space="preserve">. </w:t>
      </w:r>
      <w:r>
        <w:rPr>
          <w:rFonts w:eastAsiaTheme="minorHAnsi"/>
        </w:rPr>
        <w:t>The budget forecast incorporates a modest correction in 2016</w:t>
      </w:r>
      <w:r>
        <w:rPr>
          <w:rFonts w:eastAsiaTheme="minorHAnsi"/>
        </w:rPr>
        <w:noBreakHyphen/>
        <w:t xml:space="preserve">17. </w:t>
      </w:r>
      <w:r w:rsidRPr="00D5249D">
        <w:rPr>
          <w:rFonts w:eastAsiaTheme="minorHAnsi"/>
        </w:rPr>
        <w:t xml:space="preserve">Solid </w:t>
      </w:r>
      <w:r>
        <w:rPr>
          <w:rFonts w:eastAsiaTheme="minorHAnsi"/>
        </w:rPr>
        <w:t xml:space="preserve">economic growth, </w:t>
      </w:r>
      <w:r w:rsidRPr="00D5249D">
        <w:rPr>
          <w:rFonts w:eastAsiaTheme="minorHAnsi"/>
        </w:rPr>
        <w:t>a strengthening labour market</w:t>
      </w:r>
      <w:r>
        <w:rPr>
          <w:rFonts w:eastAsiaTheme="minorHAnsi"/>
        </w:rPr>
        <w:t>, and ongoing low interest rates</w:t>
      </w:r>
      <w:r w:rsidRPr="00D5249D">
        <w:rPr>
          <w:rFonts w:eastAsiaTheme="minorHAnsi"/>
        </w:rPr>
        <w:t xml:space="preserve"> should </w:t>
      </w:r>
      <w:r>
        <w:rPr>
          <w:rFonts w:eastAsiaTheme="minorHAnsi"/>
        </w:rPr>
        <w:t>facilitate</w:t>
      </w:r>
      <w:r w:rsidRPr="00D5249D">
        <w:rPr>
          <w:rFonts w:eastAsiaTheme="minorHAnsi"/>
        </w:rPr>
        <w:t xml:space="preserve"> a </w:t>
      </w:r>
      <w:r>
        <w:rPr>
          <w:rFonts w:eastAsiaTheme="minorHAnsi"/>
        </w:rPr>
        <w:t>gradual return to trend over the forward estimates.</w:t>
      </w:r>
    </w:p>
    <w:p w:rsidR="002C39A3" w:rsidRPr="00D5249D" w:rsidRDefault="002C39A3" w:rsidP="00361FA9">
      <w:pPr>
        <w:rPr>
          <w:rFonts w:eastAsiaTheme="minorHAnsi"/>
        </w:rPr>
      </w:pPr>
      <w:r>
        <w:rPr>
          <w:rFonts w:eastAsiaTheme="minorHAnsi"/>
        </w:rPr>
        <w:t>The strength in the property market over recent years will have a lagged impact on l</w:t>
      </w:r>
      <w:r w:rsidRPr="00D5249D">
        <w:rPr>
          <w:rFonts w:eastAsiaTheme="minorHAnsi"/>
        </w:rPr>
        <w:t>and tax revenue</w:t>
      </w:r>
      <w:r>
        <w:rPr>
          <w:rFonts w:eastAsiaTheme="minorHAnsi"/>
        </w:rPr>
        <w:t xml:space="preserve">, which </w:t>
      </w:r>
      <w:r w:rsidRPr="00D5249D">
        <w:rPr>
          <w:rFonts w:eastAsiaTheme="minorHAnsi"/>
        </w:rPr>
        <w:t>is based on the</w:t>
      </w:r>
      <w:r>
        <w:rPr>
          <w:rFonts w:eastAsiaTheme="minorHAnsi"/>
        </w:rPr>
        <w:t xml:space="preserve"> site</w:t>
      </w:r>
      <w:r w:rsidRPr="00D5249D">
        <w:rPr>
          <w:rFonts w:eastAsiaTheme="minorHAnsi"/>
        </w:rPr>
        <w:t xml:space="preserve"> </w:t>
      </w:r>
      <w:r>
        <w:rPr>
          <w:rFonts w:eastAsiaTheme="minorHAnsi"/>
        </w:rPr>
        <w:t xml:space="preserve">value of the stock of land rather than property transactions. Revenue </w:t>
      </w:r>
      <w:r w:rsidRPr="00D5249D">
        <w:rPr>
          <w:rFonts w:eastAsiaTheme="minorHAnsi"/>
        </w:rPr>
        <w:t xml:space="preserve">is forecast to rise </w:t>
      </w:r>
      <w:r>
        <w:rPr>
          <w:rFonts w:eastAsiaTheme="minorHAnsi"/>
        </w:rPr>
        <w:t>strongly</w:t>
      </w:r>
      <w:r w:rsidRPr="00D5249D">
        <w:rPr>
          <w:rFonts w:eastAsiaTheme="minorHAnsi"/>
        </w:rPr>
        <w:t xml:space="preserve"> as a result of the current land revaluation process</w:t>
      </w:r>
      <w:r>
        <w:rPr>
          <w:rFonts w:eastAsiaTheme="minorHAnsi"/>
        </w:rPr>
        <w:t xml:space="preserve"> because property values have increased rapidly over </w:t>
      </w:r>
      <w:r w:rsidRPr="00D5249D">
        <w:rPr>
          <w:rFonts w:eastAsiaTheme="minorHAnsi"/>
        </w:rPr>
        <w:t xml:space="preserve">the two years since the </w:t>
      </w:r>
      <w:r>
        <w:rPr>
          <w:rFonts w:eastAsiaTheme="minorHAnsi"/>
        </w:rPr>
        <w:t xml:space="preserve">previous </w:t>
      </w:r>
      <w:r w:rsidRPr="00D5249D">
        <w:rPr>
          <w:rFonts w:eastAsiaTheme="minorHAnsi"/>
        </w:rPr>
        <w:t>revaluation</w:t>
      </w:r>
      <w:r>
        <w:rPr>
          <w:rFonts w:eastAsiaTheme="minorHAnsi"/>
        </w:rPr>
        <w:t>. Initial estimates</w:t>
      </w:r>
      <w:r w:rsidRPr="00D5249D">
        <w:rPr>
          <w:rFonts w:eastAsiaTheme="minorHAnsi"/>
        </w:rPr>
        <w:t xml:space="preserve"> suggest </w:t>
      </w:r>
      <w:r>
        <w:rPr>
          <w:rFonts w:eastAsiaTheme="minorHAnsi"/>
        </w:rPr>
        <w:t xml:space="preserve">the 2016 general valuation will see a </w:t>
      </w:r>
      <w:r w:rsidRPr="00D5249D">
        <w:rPr>
          <w:rFonts w:eastAsiaTheme="minorHAnsi"/>
        </w:rPr>
        <w:t>significant</w:t>
      </w:r>
      <w:r>
        <w:rPr>
          <w:rFonts w:eastAsiaTheme="minorHAnsi"/>
        </w:rPr>
        <w:t xml:space="preserve"> increase in land tax revenue.</w:t>
      </w:r>
    </w:p>
    <w:p w:rsidR="002C39A3" w:rsidRPr="000D2897" w:rsidRDefault="002C39A3" w:rsidP="00361FA9">
      <w:r>
        <w:rPr>
          <w:rFonts w:eastAsiaTheme="minorHAnsi"/>
        </w:rPr>
        <w:t xml:space="preserve">Solid activity in the real economy has supported </w:t>
      </w:r>
      <w:r w:rsidRPr="00D5249D">
        <w:rPr>
          <w:rFonts w:eastAsiaTheme="minorHAnsi"/>
        </w:rPr>
        <w:t>Vi</w:t>
      </w:r>
      <w:r>
        <w:rPr>
          <w:rFonts w:eastAsiaTheme="minorHAnsi"/>
        </w:rPr>
        <w:t>ctoria</w:t>
      </w:r>
      <w:r w:rsidR="0097550F">
        <w:rPr>
          <w:rFonts w:eastAsiaTheme="minorHAnsi"/>
        </w:rPr>
        <w:t>’</w:t>
      </w:r>
      <w:r>
        <w:rPr>
          <w:rFonts w:eastAsiaTheme="minorHAnsi"/>
        </w:rPr>
        <w:t>s consumption and income</w:t>
      </w:r>
      <w:r>
        <w:rPr>
          <w:rFonts w:eastAsiaTheme="minorHAnsi"/>
        </w:rPr>
        <w:noBreakHyphen/>
      </w:r>
      <w:r w:rsidRPr="00D5249D">
        <w:rPr>
          <w:rFonts w:eastAsiaTheme="minorHAnsi"/>
        </w:rPr>
        <w:t>based taxes</w:t>
      </w:r>
      <w:r>
        <w:rPr>
          <w:rFonts w:eastAsiaTheme="minorHAnsi"/>
        </w:rPr>
        <w:t xml:space="preserve">. Consumer spending has benefited from </w:t>
      </w:r>
      <w:r w:rsidRPr="00D5249D">
        <w:rPr>
          <w:rFonts w:eastAsiaTheme="minorHAnsi"/>
        </w:rPr>
        <w:t>reduced interest payments</w:t>
      </w:r>
      <w:r>
        <w:rPr>
          <w:rFonts w:eastAsiaTheme="minorHAnsi"/>
        </w:rPr>
        <w:t xml:space="preserve"> and</w:t>
      </w:r>
      <w:r w:rsidRPr="00D5249D">
        <w:rPr>
          <w:rFonts w:eastAsiaTheme="minorHAnsi"/>
        </w:rPr>
        <w:t xml:space="preserve"> rising household wealth.</w:t>
      </w:r>
      <w:r>
        <w:t xml:space="preserve"> </w:t>
      </w:r>
      <w:r w:rsidRPr="00E40AA3">
        <w:t>R</w:t>
      </w:r>
      <w:r>
        <w:t>ising demand, combined with l</w:t>
      </w:r>
      <w:r w:rsidRPr="00D5249D">
        <w:rPr>
          <w:rFonts w:eastAsiaTheme="minorHAnsi"/>
        </w:rPr>
        <w:t xml:space="preserve">ower borrowing costs </w:t>
      </w:r>
      <w:r>
        <w:rPr>
          <w:rFonts w:eastAsiaTheme="minorHAnsi"/>
        </w:rPr>
        <w:t>and the</w:t>
      </w:r>
      <w:r w:rsidRPr="00D5249D">
        <w:rPr>
          <w:rFonts w:eastAsiaTheme="minorHAnsi"/>
        </w:rPr>
        <w:t xml:space="preserve"> exchange rate</w:t>
      </w:r>
      <w:r>
        <w:rPr>
          <w:rFonts w:eastAsiaTheme="minorHAnsi"/>
        </w:rPr>
        <w:t xml:space="preserve"> </w:t>
      </w:r>
      <w:r w:rsidRPr="00D5249D">
        <w:rPr>
          <w:rFonts w:eastAsiaTheme="minorHAnsi"/>
        </w:rPr>
        <w:t xml:space="preserve">depreciation </w:t>
      </w:r>
      <w:r>
        <w:rPr>
          <w:rFonts w:eastAsiaTheme="minorHAnsi"/>
        </w:rPr>
        <w:t>over recent years, have boosted business investment. Stronger activity has seen e</w:t>
      </w:r>
      <w:r w:rsidRPr="00D5249D">
        <w:rPr>
          <w:rFonts w:eastAsiaTheme="minorHAnsi"/>
        </w:rPr>
        <w:t xml:space="preserve">mployment growth </w:t>
      </w:r>
      <w:r>
        <w:rPr>
          <w:rFonts w:eastAsiaTheme="minorHAnsi"/>
        </w:rPr>
        <w:t>lift to an above-trend pace. However, muted consumer price and wage inflation have weighed on nominal incomes, in turn dampening growth in revenue from taxes on consumption and income.</w:t>
      </w:r>
    </w:p>
    <w:p w:rsidR="002C39A3" w:rsidRPr="00D5249D" w:rsidRDefault="002C39A3" w:rsidP="00361FA9">
      <w:pPr>
        <w:rPr>
          <w:rFonts w:eastAsiaTheme="minorHAnsi"/>
        </w:rPr>
      </w:pPr>
      <w:r w:rsidRPr="00D5249D">
        <w:rPr>
          <w:rFonts w:eastAsiaTheme="minorHAnsi"/>
        </w:rPr>
        <w:t xml:space="preserve">The depreciation </w:t>
      </w:r>
      <w:r>
        <w:rPr>
          <w:rFonts w:eastAsiaTheme="minorHAnsi"/>
        </w:rPr>
        <w:t xml:space="preserve">of the Australian dollar </w:t>
      </w:r>
      <w:r w:rsidRPr="00D5249D">
        <w:rPr>
          <w:rFonts w:eastAsiaTheme="minorHAnsi"/>
        </w:rPr>
        <w:t>over the past few years</w:t>
      </w:r>
      <w:r>
        <w:rPr>
          <w:rFonts w:eastAsiaTheme="minorHAnsi"/>
        </w:rPr>
        <w:t xml:space="preserve">, combined with lower interest rates, should continue to </w:t>
      </w:r>
      <w:r w:rsidRPr="00D5249D">
        <w:rPr>
          <w:rFonts w:eastAsiaTheme="minorHAnsi"/>
        </w:rPr>
        <w:t xml:space="preserve">support </w:t>
      </w:r>
      <w:r>
        <w:rPr>
          <w:rFonts w:eastAsiaTheme="minorHAnsi"/>
        </w:rPr>
        <w:t>the State</w:t>
      </w:r>
      <w:r w:rsidR="0097550F">
        <w:rPr>
          <w:rFonts w:eastAsiaTheme="minorHAnsi"/>
        </w:rPr>
        <w:t>’</w:t>
      </w:r>
      <w:r w:rsidRPr="00D5249D">
        <w:rPr>
          <w:rFonts w:eastAsiaTheme="minorHAnsi"/>
        </w:rPr>
        <w:t xml:space="preserve">s </w:t>
      </w:r>
      <w:r>
        <w:rPr>
          <w:rFonts w:eastAsiaTheme="minorHAnsi"/>
        </w:rPr>
        <w:t xml:space="preserve">economy </w:t>
      </w:r>
      <w:r w:rsidRPr="00D5249D">
        <w:rPr>
          <w:rFonts w:eastAsiaTheme="minorHAnsi"/>
        </w:rPr>
        <w:t xml:space="preserve">over the medium term. </w:t>
      </w:r>
      <w:r>
        <w:rPr>
          <w:rFonts w:eastAsiaTheme="minorHAnsi"/>
        </w:rPr>
        <w:t>R</w:t>
      </w:r>
      <w:r w:rsidRPr="00D5249D">
        <w:rPr>
          <w:rFonts w:eastAsiaTheme="minorHAnsi"/>
        </w:rPr>
        <w:t xml:space="preserve">ising </w:t>
      </w:r>
      <w:r>
        <w:rPr>
          <w:rFonts w:eastAsiaTheme="minorHAnsi"/>
        </w:rPr>
        <w:t>consumer demand from</w:t>
      </w:r>
      <w:r w:rsidRPr="00D5249D">
        <w:rPr>
          <w:rFonts w:eastAsiaTheme="minorHAnsi"/>
        </w:rPr>
        <w:t xml:space="preserve"> China </w:t>
      </w:r>
      <w:r>
        <w:rPr>
          <w:rFonts w:eastAsiaTheme="minorHAnsi"/>
        </w:rPr>
        <w:t xml:space="preserve">should also benefit </w:t>
      </w:r>
      <w:r w:rsidRPr="00D5249D">
        <w:rPr>
          <w:rFonts w:eastAsiaTheme="minorHAnsi"/>
        </w:rPr>
        <w:t>Victoria</w:t>
      </w:r>
      <w:r w:rsidR="0097550F">
        <w:rPr>
          <w:rFonts w:eastAsiaTheme="minorHAnsi"/>
        </w:rPr>
        <w:t>’</w:t>
      </w:r>
      <w:r w:rsidRPr="00D5249D">
        <w:rPr>
          <w:rFonts w:eastAsiaTheme="minorHAnsi"/>
        </w:rPr>
        <w:t xml:space="preserve">s export sector as </w:t>
      </w:r>
      <w:r>
        <w:rPr>
          <w:rFonts w:eastAsiaTheme="minorHAnsi"/>
        </w:rPr>
        <w:t>China</w:t>
      </w:r>
      <w:r w:rsidR="0097550F">
        <w:rPr>
          <w:rFonts w:eastAsiaTheme="minorHAnsi"/>
        </w:rPr>
        <w:t>’</w:t>
      </w:r>
      <w:r>
        <w:rPr>
          <w:rFonts w:eastAsiaTheme="minorHAnsi"/>
        </w:rPr>
        <w:t>s</w:t>
      </w:r>
      <w:r w:rsidRPr="00D5249D">
        <w:rPr>
          <w:rFonts w:eastAsiaTheme="minorHAnsi"/>
        </w:rPr>
        <w:t xml:space="preserve"> economy transitions towards more </w:t>
      </w:r>
      <w:r>
        <w:rPr>
          <w:rFonts w:eastAsiaTheme="minorHAnsi"/>
        </w:rPr>
        <w:t>consumption</w:t>
      </w:r>
      <w:r w:rsidRPr="00D5249D">
        <w:rPr>
          <w:rFonts w:eastAsiaTheme="minorHAnsi"/>
        </w:rPr>
        <w:t xml:space="preserve">-led growth. </w:t>
      </w:r>
      <w:r>
        <w:rPr>
          <w:rFonts w:eastAsiaTheme="minorHAnsi"/>
        </w:rPr>
        <w:t xml:space="preserve">Victoria </w:t>
      </w:r>
      <w:r w:rsidRPr="00D5249D">
        <w:rPr>
          <w:rFonts w:eastAsiaTheme="minorHAnsi"/>
        </w:rPr>
        <w:t>is well placed to take advantage of these changes with</w:t>
      </w:r>
      <w:r>
        <w:rPr>
          <w:rFonts w:eastAsiaTheme="minorHAnsi"/>
        </w:rPr>
        <w:t xml:space="preserve"> its diverse economy and highly </w:t>
      </w:r>
      <w:r w:rsidRPr="00D5249D">
        <w:rPr>
          <w:rFonts w:eastAsiaTheme="minorHAnsi"/>
        </w:rPr>
        <w:t>skilled workforce. The positive economic outlook will support growth</w:t>
      </w:r>
      <w:r>
        <w:rPr>
          <w:rFonts w:eastAsiaTheme="minorHAnsi"/>
        </w:rPr>
        <w:t xml:space="preserve"> in the State</w:t>
      </w:r>
      <w:r w:rsidR="0097550F">
        <w:rPr>
          <w:rFonts w:eastAsiaTheme="minorHAnsi"/>
        </w:rPr>
        <w:t>’</w:t>
      </w:r>
      <w:r>
        <w:rPr>
          <w:rFonts w:eastAsiaTheme="minorHAnsi"/>
        </w:rPr>
        <w:t>s tax base</w:t>
      </w:r>
      <w:r w:rsidRPr="00D5249D">
        <w:rPr>
          <w:rFonts w:eastAsiaTheme="minorHAnsi"/>
        </w:rPr>
        <w:t>.</w:t>
      </w:r>
    </w:p>
    <w:p w:rsidR="002C39A3" w:rsidRDefault="002C39A3" w:rsidP="00361FA9">
      <w:pPr>
        <w:rPr>
          <w:rFonts w:eastAsiaTheme="minorHAnsi"/>
        </w:rPr>
      </w:pPr>
    </w:p>
    <w:p w:rsidR="002C39A3" w:rsidRDefault="002C39A3">
      <w:pPr>
        <w:spacing w:after="0"/>
        <w:rPr>
          <w:rFonts w:ascii="Calibri" w:eastAsiaTheme="minorHAnsi" w:hAnsi="Calibri"/>
          <w:b/>
        </w:rPr>
      </w:pPr>
      <w:r>
        <w:rPr>
          <w:rFonts w:eastAsiaTheme="minorHAnsi"/>
        </w:rPr>
        <w:br w:type="page"/>
      </w:r>
    </w:p>
    <w:p w:rsidR="002C39A3" w:rsidRPr="00375893" w:rsidRDefault="002C39A3" w:rsidP="00361FA9">
      <w:pPr>
        <w:pStyle w:val="Tableheading"/>
        <w:rPr>
          <w:rFonts w:eastAsiaTheme="minorHAnsi"/>
        </w:rPr>
      </w:pPr>
      <w:r>
        <w:rPr>
          <w:rFonts w:eastAsiaTheme="minorHAnsi"/>
        </w:rPr>
        <w:t xml:space="preserve">Table 4.2: </w:t>
      </w:r>
      <w:r>
        <w:rPr>
          <w:rFonts w:eastAsiaTheme="minorHAnsi"/>
        </w:rPr>
        <w:tab/>
        <w:t xml:space="preserve">Taxation estimates </w:t>
      </w:r>
      <w:r>
        <w:rPr>
          <w:rFonts w:eastAsiaTheme="minorHAnsi"/>
          <w:vertAlign w:val="superscript"/>
        </w:rPr>
        <w:t>(a)</w:t>
      </w:r>
    </w:p>
    <w:p w:rsidR="002C39A3" w:rsidRPr="004D024F" w:rsidRDefault="002C39A3" w:rsidP="00361FA9">
      <w:pPr>
        <w:pStyle w:val="million"/>
        <w:rPr>
          <w:rFonts w:ascii="Times New Roman" w:hAnsi="Times New Roman"/>
          <w:sz w:val="20"/>
          <w:lang w:eastAsia="en-AU"/>
        </w:rPr>
      </w:pPr>
      <w:r>
        <w:rPr>
          <w:rFonts w:eastAsiaTheme="minorHAnsi"/>
        </w:rPr>
        <w:t>($ million)</w:t>
      </w:r>
    </w:p>
    <w:tbl>
      <w:tblPr>
        <w:tblW w:w="7767" w:type="dxa"/>
        <w:tblInd w:w="45" w:type="dxa"/>
        <w:tblLayout w:type="fixed"/>
        <w:tblCellMar>
          <w:left w:w="45" w:type="dxa"/>
          <w:right w:w="45" w:type="dxa"/>
        </w:tblCellMar>
        <w:tblLook w:val="0000" w:firstRow="0" w:lastRow="0" w:firstColumn="0" w:lastColumn="0" w:noHBand="0" w:noVBand="0"/>
      </w:tblPr>
      <w:tblGrid>
        <w:gridCol w:w="3517"/>
        <w:gridCol w:w="850"/>
        <w:gridCol w:w="850"/>
        <w:gridCol w:w="850"/>
        <w:gridCol w:w="850"/>
        <w:gridCol w:w="850"/>
      </w:tblGrid>
      <w:tr w:rsidR="00C558E9" w:rsidRPr="004D024F" w:rsidTr="00C558E9">
        <w:trPr>
          <w:trHeight w:val="464"/>
        </w:trPr>
        <w:tc>
          <w:tcPr>
            <w:tcW w:w="3517" w:type="dxa"/>
            <w:tcBorders>
              <w:right w:val="nil"/>
            </w:tcBorders>
            <w:shd w:val="solid" w:color="000000" w:fill="auto"/>
          </w:tcPr>
          <w:p w:rsidR="00C558E9" w:rsidRPr="004D024F" w:rsidRDefault="00C558E9" w:rsidP="00C558E9">
            <w:pPr>
              <w:pStyle w:val="Tabletext"/>
              <w:rPr>
                <w:rFonts w:eastAsiaTheme="minorEastAsia"/>
                <w:color w:val="FFFFFF"/>
                <w:lang w:eastAsia="en-AU"/>
              </w:rPr>
            </w:pPr>
          </w:p>
        </w:tc>
        <w:tc>
          <w:tcPr>
            <w:tcW w:w="850" w:type="dxa"/>
            <w:tcBorders>
              <w:left w:val="nil"/>
              <w:right w:val="nil"/>
            </w:tcBorders>
            <w:shd w:val="solid" w:color="000000" w:fill="auto"/>
          </w:tcPr>
          <w:p w:rsidR="00C558E9" w:rsidRPr="004D024F" w:rsidRDefault="00C558E9" w:rsidP="00361FA9">
            <w:pPr>
              <w:pStyle w:val="Tabletextheading"/>
              <w:rPr>
                <w:rFonts w:eastAsiaTheme="minorEastAsia"/>
                <w:color w:val="FFFFFF"/>
                <w:sz w:val="19"/>
                <w:lang w:eastAsia="en-AU"/>
              </w:rPr>
            </w:pPr>
            <w:r w:rsidRPr="004D024F">
              <w:rPr>
                <w:rFonts w:eastAsiaTheme="minorEastAsia"/>
                <w:color w:val="FFFFFF"/>
                <w:sz w:val="19"/>
                <w:lang w:eastAsia="en-AU"/>
              </w:rPr>
              <w:t>2015-16</w:t>
            </w:r>
          </w:p>
          <w:p w:rsidR="00C558E9" w:rsidRPr="004D024F" w:rsidRDefault="00C558E9" w:rsidP="00361FA9">
            <w:pPr>
              <w:pStyle w:val="Tabletextheading"/>
              <w:rPr>
                <w:rFonts w:eastAsiaTheme="minorEastAsia"/>
                <w:color w:val="FFFFFF"/>
                <w:sz w:val="19"/>
                <w:lang w:eastAsia="en-AU"/>
              </w:rPr>
            </w:pPr>
            <w:r w:rsidRPr="004D024F">
              <w:rPr>
                <w:rFonts w:eastAsiaTheme="minorEastAsia"/>
                <w:color w:val="FFFFFF"/>
                <w:sz w:val="19"/>
                <w:lang w:eastAsia="en-AU"/>
              </w:rPr>
              <w:t>revised</w:t>
            </w:r>
          </w:p>
        </w:tc>
        <w:tc>
          <w:tcPr>
            <w:tcW w:w="850" w:type="dxa"/>
            <w:tcBorders>
              <w:left w:val="nil"/>
              <w:right w:val="nil"/>
            </w:tcBorders>
            <w:shd w:val="solid" w:color="000000" w:fill="auto"/>
          </w:tcPr>
          <w:p w:rsidR="00C558E9" w:rsidRPr="004D024F" w:rsidRDefault="00C558E9" w:rsidP="00361FA9">
            <w:pPr>
              <w:pStyle w:val="Tabletextheading"/>
              <w:rPr>
                <w:rFonts w:eastAsiaTheme="minorEastAsia"/>
                <w:color w:val="FFFFFF"/>
                <w:sz w:val="19"/>
                <w:lang w:eastAsia="en-AU"/>
              </w:rPr>
            </w:pPr>
            <w:r w:rsidRPr="004D024F">
              <w:rPr>
                <w:rFonts w:eastAsiaTheme="minorEastAsia"/>
                <w:color w:val="FFFFFF"/>
                <w:sz w:val="19"/>
                <w:lang w:eastAsia="en-AU"/>
              </w:rPr>
              <w:t>2016-17</w:t>
            </w:r>
          </w:p>
          <w:p w:rsidR="00C558E9" w:rsidRPr="004D024F" w:rsidRDefault="00C558E9" w:rsidP="00361FA9">
            <w:pPr>
              <w:pStyle w:val="Tabletextheading"/>
              <w:rPr>
                <w:rFonts w:eastAsiaTheme="minorEastAsia"/>
                <w:color w:val="FFFFFF"/>
                <w:sz w:val="19"/>
                <w:lang w:eastAsia="en-AU"/>
              </w:rPr>
            </w:pPr>
            <w:r w:rsidRPr="004D024F">
              <w:rPr>
                <w:rFonts w:eastAsiaTheme="minorEastAsia"/>
                <w:color w:val="FFFFFF"/>
                <w:sz w:val="19"/>
                <w:lang w:eastAsia="en-AU"/>
              </w:rPr>
              <w:t>budget</w:t>
            </w:r>
          </w:p>
        </w:tc>
        <w:tc>
          <w:tcPr>
            <w:tcW w:w="850" w:type="dxa"/>
            <w:tcBorders>
              <w:left w:val="nil"/>
              <w:right w:val="nil"/>
            </w:tcBorders>
            <w:shd w:val="solid" w:color="000000" w:fill="auto"/>
          </w:tcPr>
          <w:p w:rsidR="00C558E9" w:rsidRPr="004D024F" w:rsidRDefault="00C558E9" w:rsidP="00361FA9">
            <w:pPr>
              <w:pStyle w:val="Tabletextheading"/>
              <w:rPr>
                <w:rFonts w:eastAsiaTheme="minorEastAsia"/>
                <w:color w:val="FFFFFF"/>
                <w:sz w:val="19"/>
                <w:lang w:eastAsia="en-AU"/>
              </w:rPr>
            </w:pPr>
            <w:r w:rsidRPr="004D024F">
              <w:rPr>
                <w:rFonts w:eastAsiaTheme="minorEastAsia"/>
                <w:color w:val="FFFFFF"/>
                <w:sz w:val="19"/>
                <w:lang w:eastAsia="en-AU"/>
              </w:rPr>
              <w:t>2017-18</w:t>
            </w:r>
          </w:p>
          <w:p w:rsidR="00C558E9" w:rsidRPr="004D024F" w:rsidRDefault="00C558E9" w:rsidP="00361FA9">
            <w:pPr>
              <w:pStyle w:val="Tabletextheading"/>
              <w:rPr>
                <w:rFonts w:eastAsiaTheme="minorEastAsia"/>
                <w:color w:val="FFFFFF"/>
                <w:sz w:val="19"/>
                <w:lang w:eastAsia="en-AU"/>
              </w:rPr>
            </w:pPr>
            <w:r w:rsidRPr="004D024F">
              <w:rPr>
                <w:rFonts w:eastAsiaTheme="minorEastAsia"/>
                <w:color w:val="FFFFFF"/>
                <w:sz w:val="19"/>
                <w:lang w:eastAsia="en-AU"/>
              </w:rPr>
              <w:t>estimate</w:t>
            </w:r>
          </w:p>
        </w:tc>
        <w:tc>
          <w:tcPr>
            <w:tcW w:w="850" w:type="dxa"/>
            <w:tcBorders>
              <w:left w:val="nil"/>
              <w:right w:val="nil"/>
            </w:tcBorders>
            <w:shd w:val="solid" w:color="000000" w:fill="auto"/>
          </w:tcPr>
          <w:p w:rsidR="00C558E9" w:rsidRPr="004D024F" w:rsidRDefault="00C558E9" w:rsidP="00361FA9">
            <w:pPr>
              <w:pStyle w:val="Tabletextheading"/>
              <w:rPr>
                <w:rFonts w:eastAsiaTheme="minorEastAsia"/>
                <w:color w:val="FFFFFF"/>
                <w:sz w:val="19"/>
                <w:lang w:eastAsia="en-AU"/>
              </w:rPr>
            </w:pPr>
            <w:r w:rsidRPr="004D024F">
              <w:rPr>
                <w:rFonts w:eastAsiaTheme="minorEastAsia"/>
                <w:color w:val="FFFFFF"/>
                <w:sz w:val="19"/>
                <w:lang w:eastAsia="en-AU"/>
              </w:rPr>
              <w:t>2018-19</w:t>
            </w:r>
          </w:p>
          <w:p w:rsidR="00C558E9" w:rsidRPr="004D024F" w:rsidRDefault="00C558E9" w:rsidP="00361FA9">
            <w:pPr>
              <w:pStyle w:val="Tabletextheading"/>
              <w:rPr>
                <w:rFonts w:eastAsiaTheme="minorEastAsia"/>
                <w:color w:val="FFFFFF"/>
                <w:sz w:val="19"/>
                <w:lang w:eastAsia="en-AU"/>
              </w:rPr>
            </w:pPr>
            <w:r w:rsidRPr="004D024F">
              <w:rPr>
                <w:rFonts w:eastAsiaTheme="minorEastAsia"/>
                <w:color w:val="FFFFFF"/>
                <w:sz w:val="19"/>
                <w:lang w:eastAsia="en-AU"/>
              </w:rPr>
              <w:t>estimate</w:t>
            </w:r>
          </w:p>
        </w:tc>
        <w:tc>
          <w:tcPr>
            <w:tcW w:w="850" w:type="dxa"/>
            <w:tcBorders>
              <w:left w:val="nil"/>
            </w:tcBorders>
            <w:shd w:val="solid" w:color="000000" w:fill="auto"/>
          </w:tcPr>
          <w:p w:rsidR="00C558E9" w:rsidRPr="004D024F" w:rsidRDefault="00C558E9" w:rsidP="00361FA9">
            <w:pPr>
              <w:pStyle w:val="Tabletextheading"/>
              <w:rPr>
                <w:rFonts w:eastAsiaTheme="minorEastAsia"/>
                <w:color w:val="FFFFFF"/>
                <w:sz w:val="19"/>
                <w:lang w:eastAsia="en-AU"/>
              </w:rPr>
            </w:pPr>
            <w:r w:rsidRPr="004D024F">
              <w:rPr>
                <w:rFonts w:eastAsiaTheme="minorEastAsia"/>
                <w:color w:val="FFFFFF"/>
                <w:sz w:val="19"/>
                <w:lang w:eastAsia="en-AU"/>
              </w:rPr>
              <w:t>2019-20</w:t>
            </w:r>
          </w:p>
          <w:p w:rsidR="00C558E9" w:rsidRPr="004D024F" w:rsidRDefault="00C558E9" w:rsidP="00361FA9">
            <w:pPr>
              <w:pStyle w:val="Tabletextheading"/>
              <w:rPr>
                <w:rFonts w:eastAsiaTheme="minorEastAsia"/>
                <w:color w:val="FFFFFF"/>
                <w:sz w:val="19"/>
                <w:lang w:eastAsia="en-AU"/>
              </w:rPr>
            </w:pPr>
            <w:r w:rsidRPr="004D024F">
              <w:rPr>
                <w:rFonts w:eastAsiaTheme="minorEastAsia"/>
                <w:color w:val="FFFFFF"/>
                <w:sz w:val="19"/>
                <w:lang w:eastAsia="en-AU"/>
              </w:rPr>
              <w:t>estimate</w:t>
            </w:r>
          </w:p>
        </w:tc>
      </w:tr>
      <w:tr w:rsidR="002C39A3" w:rsidRPr="004D024F" w:rsidTr="00C558E9">
        <w:tc>
          <w:tcPr>
            <w:tcW w:w="3517" w:type="dxa"/>
            <w:tcBorders>
              <w:top w:val="single" w:sz="6" w:space="0" w:color="auto"/>
              <w:left w:val="nil"/>
              <w:right w:val="nil"/>
            </w:tcBorders>
            <w:shd w:val="clear" w:color="auto" w:fill="FFFFFF"/>
          </w:tcPr>
          <w:p w:rsidR="002C39A3" w:rsidRPr="004D024F" w:rsidRDefault="002C39A3" w:rsidP="00361FA9">
            <w:pPr>
              <w:pStyle w:val="Tabletext"/>
              <w:ind w:left="227" w:hanging="227"/>
              <w:rPr>
                <w:rFonts w:eastAsiaTheme="minorEastAsia"/>
                <w:b/>
                <w:bCs/>
                <w:color w:val="000000"/>
                <w:lang w:eastAsia="en-AU"/>
              </w:rPr>
            </w:pPr>
            <w:r w:rsidRPr="004D024F">
              <w:rPr>
                <w:rFonts w:eastAsiaTheme="minorEastAsia"/>
                <w:b/>
                <w:bCs/>
                <w:color w:val="000000"/>
                <w:lang w:eastAsia="en-AU"/>
              </w:rPr>
              <w:t>Taxes o</w:t>
            </w:r>
            <w:r w:rsidR="00C558E9">
              <w:rPr>
                <w:rFonts w:eastAsiaTheme="minorEastAsia"/>
                <w:b/>
                <w:bCs/>
                <w:color w:val="000000"/>
                <w:lang w:eastAsia="en-AU"/>
              </w:rPr>
              <w:t>n employers</w:t>
            </w:r>
            <w:r w:rsidR="0097550F">
              <w:rPr>
                <w:rFonts w:eastAsiaTheme="minorEastAsia"/>
                <w:b/>
                <w:bCs/>
                <w:color w:val="000000"/>
                <w:lang w:eastAsia="en-AU"/>
              </w:rPr>
              <w:t>’</w:t>
            </w:r>
            <w:r w:rsidR="00C558E9">
              <w:rPr>
                <w:rFonts w:eastAsiaTheme="minorEastAsia"/>
                <w:b/>
                <w:bCs/>
                <w:color w:val="000000"/>
                <w:lang w:eastAsia="en-AU"/>
              </w:rPr>
              <w:t xml:space="preserve"> payroll and labour </w:t>
            </w:r>
            <w:r w:rsidRPr="004D024F">
              <w:rPr>
                <w:rFonts w:eastAsiaTheme="minorEastAsia"/>
                <w:b/>
                <w:bCs/>
                <w:color w:val="000000"/>
                <w:lang w:eastAsia="en-AU"/>
              </w:rPr>
              <w:t>force</w:t>
            </w:r>
          </w:p>
        </w:tc>
        <w:tc>
          <w:tcPr>
            <w:tcW w:w="850" w:type="dxa"/>
            <w:tcBorders>
              <w:top w:val="single" w:sz="6"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5 386</w:t>
            </w:r>
          </w:p>
        </w:tc>
        <w:tc>
          <w:tcPr>
            <w:tcW w:w="850" w:type="dxa"/>
            <w:tcBorders>
              <w:top w:val="single" w:sz="6"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5 671</w:t>
            </w:r>
          </w:p>
        </w:tc>
        <w:tc>
          <w:tcPr>
            <w:tcW w:w="850" w:type="dxa"/>
            <w:tcBorders>
              <w:top w:val="single" w:sz="6"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5 933</w:t>
            </w:r>
          </w:p>
        </w:tc>
        <w:tc>
          <w:tcPr>
            <w:tcW w:w="850" w:type="dxa"/>
            <w:tcBorders>
              <w:top w:val="single" w:sz="6"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6 212</w:t>
            </w:r>
          </w:p>
        </w:tc>
        <w:tc>
          <w:tcPr>
            <w:tcW w:w="850" w:type="dxa"/>
            <w:tcBorders>
              <w:top w:val="single" w:sz="6"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6 507</w:t>
            </w:r>
          </w:p>
        </w:tc>
      </w:tr>
      <w:tr w:rsidR="00C558E9" w:rsidRPr="004D024F" w:rsidTr="00C558E9">
        <w:tc>
          <w:tcPr>
            <w:tcW w:w="7767" w:type="dxa"/>
            <w:gridSpan w:val="6"/>
            <w:tcBorders>
              <w:top w:val="nil"/>
              <w:left w:val="nil"/>
              <w:right w:val="nil"/>
            </w:tcBorders>
            <w:shd w:val="clear" w:color="auto" w:fill="FFFFFF"/>
          </w:tcPr>
          <w:p w:rsidR="00C558E9" w:rsidRPr="004D024F" w:rsidRDefault="00C558E9" w:rsidP="00C558E9">
            <w:pPr>
              <w:pStyle w:val="Tabletext"/>
              <w:ind w:left="227" w:hanging="227"/>
              <w:rPr>
                <w:rFonts w:eastAsiaTheme="minorEastAsia" w:cs="Calibri"/>
                <w:color w:val="000000"/>
                <w:szCs w:val="19"/>
                <w:lang w:eastAsia="en-AU"/>
              </w:rPr>
            </w:pPr>
            <w:r w:rsidRPr="004D024F">
              <w:rPr>
                <w:rFonts w:eastAsiaTheme="minorEastAsia"/>
                <w:b/>
                <w:bCs/>
                <w:color w:val="000000"/>
                <w:lang w:eastAsia="en-AU"/>
              </w:rPr>
              <w:t>Taxes on property</w:t>
            </w:r>
          </w:p>
        </w:tc>
      </w:tr>
      <w:tr w:rsidR="002C39A3" w:rsidRPr="004D024F" w:rsidTr="00C558E9">
        <w:tc>
          <w:tcPr>
            <w:tcW w:w="3517" w:type="dxa"/>
            <w:tcBorders>
              <w:top w:val="nil"/>
              <w:left w:val="nil"/>
              <w:right w:val="nil"/>
            </w:tcBorders>
            <w:shd w:val="clear" w:color="auto" w:fill="FFFFFF"/>
          </w:tcPr>
          <w:p w:rsidR="002C39A3" w:rsidRPr="004D024F" w:rsidRDefault="002C39A3" w:rsidP="00361FA9">
            <w:pPr>
              <w:pStyle w:val="Tabletext"/>
              <w:ind w:left="227" w:hanging="227"/>
              <w:rPr>
                <w:rFonts w:eastAsiaTheme="minorEastAsia"/>
                <w:color w:val="000000"/>
                <w:lang w:eastAsia="en-AU"/>
              </w:rPr>
            </w:pPr>
            <w:r w:rsidRPr="004D024F">
              <w:rPr>
                <w:rFonts w:eastAsiaTheme="minorEastAsia"/>
                <w:color w:val="000000"/>
                <w:lang w:eastAsia="en-AU"/>
              </w:rPr>
              <w:t xml:space="preserve">  Land tax</w:t>
            </w:r>
          </w:p>
        </w:tc>
        <w:tc>
          <w:tcPr>
            <w:tcW w:w="850" w:type="dxa"/>
            <w:tcBorders>
              <w:top w:val="nil"/>
              <w:left w:val="nil"/>
              <w:right w:val="nil"/>
            </w:tcBorders>
            <w:shd w:val="clear" w:color="auto" w:fill="FFFFFF"/>
          </w:tcPr>
          <w:p w:rsidR="002C39A3" w:rsidRPr="004D024F" w:rsidRDefault="002C39A3" w:rsidP="00361FA9">
            <w:pPr>
              <w:pStyle w:val="TableofFigures"/>
              <w:rPr>
                <w:rFonts w:eastAsiaTheme="minorEastAsia"/>
                <w:color w:val="000000"/>
                <w:sz w:val="19"/>
                <w:lang w:eastAsia="en-AU"/>
              </w:rPr>
            </w:pPr>
            <w:r w:rsidRPr="004D024F">
              <w:rPr>
                <w:rFonts w:eastAsiaTheme="minorEastAsia"/>
                <w:color w:val="000000"/>
                <w:sz w:val="19"/>
                <w:lang w:eastAsia="en-AU"/>
              </w:rPr>
              <w:t>1 734</w:t>
            </w:r>
          </w:p>
        </w:tc>
        <w:tc>
          <w:tcPr>
            <w:tcW w:w="850" w:type="dxa"/>
            <w:tcBorders>
              <w:top w:val="nil"/>
              <w:left w:val="nil"/>
              <w:right w:val="nil"/>
            </w:tcBorders>
            <w:shd w:val="clear" w:color="auto" w:fill="FFFFFF"/>
          </w:tcPr>
          <w:p w:rsidR="002C39A3" w:rsidRPr="004D024F" w:rsidRDefault="002C39A3" w:rsidP="00361FA9">
            <w:pPr>
              <w:pStyle w:val="TableofFigures"/>
              <w:rPr>
                <w:rFonts w:eastAsiaTheme="minorEastAsia"/>
                <w:color w:val="000000"/>
                <w:sz w:val="19"/>
                <w:lang w:eastAsia="en-AU"/>
              </w:rPr>
            </w:pPr>
            <w:r w:rsidRPr="004D024F">
              <w:rPr>
                <w:rFonts w:eastAsiaTheme="minorEastAsia"/>
                <w:color w:val="000000"/>
                <w:sz w:val="19"/>
                <w:lang w:eastAsia="en-AU"/>
              </w:rPr>
              <w:t>2 225</w:t>
            </w:r>
          </w:p>
        </w:tc>
        <w:tc>
          <w:tcPr>
            <w:tcW w:w="850" w:type="dxa"/>
            <w:tcBorders>
              <w:top w:val="nil"/>
              <w:left w:val="nil"/>
              <w:right w:val="nil"/>
            </w:tcBorders>
            <w:shd w:val="clear" w:color="auto" w:fill="FFFFFF"/>
          </w:tcPr>
          <w:p w:rsidR="002C39A3" w:rsidRPr="004D024F" w:rsidRDefault="002C39A3" w:rsidP="00361FA9">
            <w:pPr>
              <w:pStyle w:val="TableofFigures"/>
              <w:rPr>
                <w:rFonts w:eastAsiaTheme="minorEastAsia"/>
                <w:color w:val="000000"/>
                <w:sz w:val="19"/>
                <w:lang w:eastAsia="en-AU"/>
              </w:rPr>
            </w:pPr>
            <w:r w:rsidRPr="004D024F">
              <w:rPr>
                <w:rFonts w:eastAsiaTheme="minorEastAsia"/>
                <w:color w:val="000000"/>
                <w:sz w:val="19"/>
                <w:lang w:eastAsia="en-AU"/>
              </w:rPr>
              <w:t>2 174</w:t>
            </w:r>
          </w:p>
        </w:tc>
        <w:tc>
          <w:tcPr>
            <w:tcW w:w="850" w:type="dxa"/>
            <w:tcBorders>
              <w:top w:val="nil"/>
              <w:left w:val="nil"/>
              <w:right w:val="nil"/>
            </w:tcBorders>
            <w:shd w:val="clear" w:color="auto" w:fill="FFFFFF"/>
          </w:tcPr>
          <w:p w:rsidR="002C39A3" w:rsidRPr="004D024F" w:rsidRDefault="002C39A3" w:rsidP="00361FA9">
            <w:pPr>
              <w:pStyle w:val="TableofFigures"/>
              <w:rPr>
                <w:rFonts w:eastAsiaTheme="minorEastAsia"/>
                <w:color w:val="000000"/>
                <w:sz w:val="19"/>
                <w:lang w:eastAsia="en-AU"/>
              </w:rPr>
            </w:pPr>
            <w:r w:rsidRPr="004D024F">
              <w:rPr>
                <w:rFonts w:eastAsiaTheme="minorEastAsia"/>
                <w:color w:val="000000"/>
                <w:sz w:val="19"/>
                <w:lang w:eastAsia="en-AU"/>
              </w:rPr>
              <w:t>2 459</w:t>
            </w:r>
          </w:p>
        </w:tc>
        <w:tc>
          <w:tcPr>
            <w:tcW w:w="850" w:type="dxa"/>
            <w:tcBorders>
              <w:top w:val="nil"/>
              <w:left w:val="nil"/>
              <w:right w:val="nil"/>
            </w:tcBorders>
            <w:shd w:val="clear" w:color="auto" w:fill="FFFFFF"/>
          </w:tcPr>
          <w:p w:rsidR="002C39A3" w:rsidRPr="004D024F" w:rsidRDefault="002C39A3" w:rsidP="00361FA9">
            <w:pPr>
              <w:pStyle w:val="TableofFigures"/>
              <w:rPr>
                <w:rFonts w:eastAsiaTheme="minorEastAsia"/>
                <w:color w:val="000000"/>
                <w:sz w:val="19"/>
                <w:lang w:eastAsia="en-AU"/>
              </w:rPr>
            </w:pPr>
            <w:r w:rsidRPr="004D024F">
              <w:rPr>
                <w:rFonts w:eastAsiaTheme="minorEastAsia"/>
                <w:color w:val="000000"/>
                <w:sz w:val="19"/>
                <w:lang w:eastAsia="en-AU"/>
              </w:rPr>
              <w:t>2 398</w:t>
            </w:r>
          </w:p>
        </w:tc>
      </w:tr>
      <w:tr w:rsidR="002C39A3" w:rsidRPr="004D024F" w:rsidTr="00C558E9">
        <w:tc>
          <w:tcPr>
            <w:tcW w:w="3517" w:type="dxa"/>
            <w:tcBorders>
              <w:top w:val="nil"/>
              <w:left w:val="nil"/>
              <w:right w:val="nil"/>
            </w:tcBorders>
            <w:shd w:val="clear" w:color="auto" w:fill="FFFFFF"/>
          </w:tcPr>
          <w:p w:rsidR="002C39A3" w:rsidRPr="004D024F" w:rsidRDefault="002C39A3" w:rsidP="00361FA9">
            <w:pPr>
              <w:pStyle w:val="Tabletext"/>
              <w:ind w:left="227" w:hanging="227"/>
              <w:rPr>
                <w:rFonts w:eastAsiaTheme="minorEastAsia"/>
                <w:color w:val="000000"/>
                <w:lang w:eastAsia="en-AU"/>
              </w:rPr>
            </w:pPr>
            <w:r w:rsidRPr="004D024F">
              <w:rPr>
                <w:rFonts w:eastAsiaTheme="minorEastAsia"/>
                <w:color w:val="000000"/>
                <w:lang w:eastAsia="en-AU"/>
              </w:rPr>
              <w:t xml:space="preserve">  Congestion levy</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112</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115</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118</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121</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124</w:t>
            </w:r>
          </w:p>
        </w:tc>
      </w:tr>
      <w:tr w:rsidR="002C39A3" w:rsidRPr="004D024F" w:rsidTr="00C558E9">
        <w:tc>
          <w:tcPr>
            <w:tcW w:w="3517" w:type="dxa"/>
            <w:tcBorders>
              <w:top w:val="nil"/>
              <w:left w:val="nil"/>
              <w:right w:val="nil"/>
            </w:tcBorders>
            <w:shd w:val="clear" w:color="auto" w:fill="FFFFFF"/>
          </w:tcPr>
          <w:p w:rsidR="002C39A3" w:rsidRPr="004D024F" w:rsidRDefault="002C39A3" w:rsidP="00361FA9">
            <w:pPr>
              <w:pStyle w:val="Tabletext"/>
              <w:ind w:left="227" w:hanging="227"/>
              <w:rPr>
                <w:rFonts w:eastAsiaTheme="minorEastAsia"/>
                <w:color w:val="000000"/>
                <w:lang w:eastAsia="en-AU"/>
              </w:rPr>
            </w:pPr>
            <w:r w:rsidRPr="004D024F">
              <w:rPr>
                <w:rFonts w:eastAsiaTheme="minorEastAsia"/>
                <w:color w:val="000000"/>
                <w:lang w:eastAsia="en-AU"/>
              </w:rPr>
              <w:t xml:space="preserve">  Land transfer duty</w:t>
            </w:r>
          </w:p>
        </w:tc>
        <w:tc>
          <w:tcPr>
            <w:tcW w:w="850" w:type="dxa"/>
            <w:tcBorders>
              <w:top w:val="nil"/>
              <w:left w:val="nil"/>
              <w:right w:val="nil"/>
            </w:tcBorders>
            <w:shd w:val="clear" w:color="auto" w:fill="FFFFFF"/>
          </w:tcPr>
          <w:p w:rsidR="002C39A3" w:rsidRPr="004D024F" w:rsidRDefault="002C39A3" w:rsidP="00361FA9">
            <w:pPr>
              <w:pStyle w:val="TableofFigures"/>
              <w:rPr>
                <w:rFonts w:eastAsiaTheme="minorEastAsia"/>
                <w:color w:val="000000"/>
                <w:sz w:val="19"/>
                <w:lang w:eastAsia="en-AU"/>
              </w:rPr>
            </w:pPr>
            <w:r w:rsidRPr="004D024F">
              <w:rPr>
                <w:rFonts w:eastAsiaTheme="minorEastAsia"/>
                <w:color w:val="000000"/>
                <w:sz w:val="19"/>
                <w:lang w:eastAsia="en-AU"/>
              </w:rPr>
              <w:t>6 064</w:t>
            </w:r>
          </w:p>
        </w:tc>
        <w:tc>
          <w:tcPr>
            <w:tcW w:w="850" w:type="dxa"/>
            <w:tcBorders>
              <w:top w:val="nil"/>
              <w:left w:val="nil"/>
              <w:right w:val="nil"/>
            </w:tcBorders>
            <w:shd w:val="clear" w:color="auto" w:fill="FFFFFF"/>
          </w:tcPr>
          <w:p w:rsidR="002C39A3" w:rsidRPr="004D024F" w:rsidRDefault="002C39A3" w:rsidP="00361FA9">
            <w:pPr>
              <w:pStyle w:val="TableofFigures"/>
              <w:rPr>
                <w:rFonts w:eastAsiaTheme="minorEastAsia"/>
                <w:color w:val="000000"/>
                <w:sz w:val="19"/>
                <w:lang w:eastAsia="en-AU"/>
              </w:rPr>
            </w:pPr>
            <w:r w:rsidRPr="004D024F">
              <w:rPr>
                <w:rFonts w:eastAsiaTheme="minorEastAsia"/>
                <w:color w:val="000000"/>
                <w:sz w:val="19"/>
                <w:lang w:eastAsia="en-AU"/>
              </w:rPr>
              <w:t>5 677</w:t>
            </w:r>
          </w:p>
        </w:tc>
        <w:tc>
          <w:tcPr>
            <w:tcW w:w="850" w:type="dxa"/>
            <w:tcBorders>
              <w:top w:val="nil"/>
              <w:left w:val="nil"/>
              <w:right w:val="nil"/>
            </w:tcBorders>
            <w:shd w:val="clear" w:color="auto" w:fill="FFFFFF"/>
          </w:tcPr>
          <w:p w:rsidR="002C39A3" w:rsidRPr="004D024F" w:rsidRDefault="002C39A3" w:rsidP="00361FA9">
            <w:pPr>
              <w:pStyle w:val="TableofFigures"/>
              <w:rPr>
                <w:rFonts w:eastAsiaTheme="minorEastAsia"/>
                <w:color w:val="000000"/>
                <w:sz w:val="19"/>
                <w:lang w:eastAsia="en-AU"/>
              </w:rPr>
            </w:pPr>
            <w:r w:rsidRPr="004D024F">
              <w:rPr>
                <w:rFonts w:eastAsiaTheme="minorEastAsia"/>
                <w:color w:val="000000"/>
                <w:sz w:val="19"/>
                <w:lang w:eastAsia="en-AU"/>
              </w:rPr>
              <w:t>5 856</w:t>
            </w:r>
          </w:p>
        </w:tc>
        <w:tc>
          <w:tcPr>
            <w:tcW w:w="850" w:type="dxa"/>
            <w:tcBorders>
              <w:top w:val="nil"/>
              <w:left w:val="nil"/>
              <w:right w:val="nil"/>
            </w:tcBorders>
            <w:shd w:val="clear" w:color="auto" w:fill="FFFFFF"/>
          </w:tcPr>
          <w:p w:rsidR="002C39A3" w:rsidRPr="004D024F" w:rsidRDefault="002C39A3" w:rsidP="00361FA9">
            <w:pPr>
              <w:pStyle w:val="TableofFigures"/>
              <w:rPr>
                <w:rFonts w:eastAsiaTheme="minorEastAsia"/>
                <w:color w:val="000000"/>
                <w:sz w:val="19"/>
                <w:lang w:eastAsia="en-AU"/>
              </w:rPr>
            </w:pPr>
            <w:r w:rsidRPr="004D024F">
              <w:rPr>
                <w:rFonts w:eastAsiaTheme="minorEastAsia"/>
                <w:color w:val="000000"/>
                <w:sz w:val="19"/>
                <w:lang w:eastAsia="en-AU"/>
              </w:rPr>
              <w:t>6 135</w:t>
            </w:r>
          </w:p>
        </w:tc>
        <w:tc>
          <w:tcPr>
            <w:tcW w:w="850" w:type="dxa"/>
            <w:tcBorders>
              <w:top w:val="nil"/>
              <w:left w:val="nil"/>
              <w:right w:val="nil"/>
            </w:tcBorders>
            <w:shd w:val="clear" w:color="auto" w:fill="FFFFFF"/>
          </w:tcPr>
          <w:p w:rsidR="002C39A3" w:rsidRPr="004D024F" w:rsidRDefault="002C39A3" w:rsidP="00361FA9">
            <w:pPr>
              <w:pStyle w:val="TableofFigures"/>
              <w:rPr>
                <w:rFonts w:eastAsiaTheme="minorEastAsia"/>
                <w:color w:val="000000"/>
                <w:sz w:val="19"/>
                <w:lang w:eastAsia="en-AU"/>
              </w:rPr>
            </w:pPr>
            <w:r w:rsidRPr="004D024F">
              <w:rPr>
                <w:rFonts w:eastAsiaTheme="minorEastAsia"/>
                <w:color w:val="000000"/>
                <w:sz w:val="19"/>
                <w:lang w:eastAsia="en-AU"/>
              </w:rPr>
              <w:t>6 508</w:t>
            </w:r>
          </w:p>
        </w:tc>
      </w:tr>
      <w:tr w:rsidR="002C39A3" w:rsidRPr="004D024F" w:rsidTr="00C558E9">
        <w:tc>
          <w:tcPr>
            <w:tcW w:w="3517" w:type="dxa"/>
            <w:tcBorders>
              <w:top w:val="nil"/>
              <w:left w:val="nil"/>
              <w:right w:val="nil"/>
            </w:tcBorders>
            <w:shd w:val="clear" w:color="auto" w:fill="FFFFFF"/>
          </w:tcPr>
          <w:p w:rsidR="002C39A3" w:rsidRPr="004D024F" w:rsidRDefault="002C39A3" w:rsidP="00361FA9">
            <w:pPr>
              <w:pStyle w:val="Tabletext"/>
              <w:ind w:left="227" w:hanging="227"/>
              <w:rPr>
                <w:rFonts w:eastAsiaTheme="minorEastAsia"/>
                <w:color w:val="000000"/>
                <w:lang w:eastAsia="en-AU"/>
              </w:rPr>
            </w:pPr>
            <w:r w:rsidRPr="004D024F">
              <w:rPr>
                <w:rFonts w:eastAsiaTheme="minorEastAsia"/>
                <w:color w:val="000000"/>
                <w:lang w:eastAsia="en-AU"/>
              </w:rPr>
              <w:t xml:space="preserve">  Other property duties</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3</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3</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3</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3</w:t>
            </w:r>
          </w:p>
        </w:tc>
      </w:tr>
      <w:tr w:rsidR="002C39A3" w:rsidRPr="004D024F" w:rsidTr="00C558E9">
        <w:tc>
          <w:tcPr>
            <w:tcW w:w="3517" w:type="dxa"/>
            <w:tcBorders>
              <w:top w:val="nil"/>
              <w:left w:val="nil"/>
              <w:right w:val="nil"/>
            </w:tcBorders>
            <w:shd w:val="clear" w:color="auto" w:fill="FFFFFF"/>
          </w:tcPr>
          <w:p w:rsidR="002C39A3" w:rsidRPr="004D024F" w:rsidRDefault="002C39A3" w:rsidP="00361FA9">
            <w:pPr>
              <w:pStyle w:val="Tabletext"/>
              <w:ind w:left="227" w:hanging="227"/>
              <w:rPr>
                <w:rFonts w:eastAsiaTheme="minorEastAsia"/>
                <w:color w:val="000000"/>
                <w:lang w:eastAsia="en-AU"/>
              </w:rPr>
            </w:pPr>
            <w:r w:rsidRPr="004D024F">
              <w:rPr>
                <w:rFonts w:eastAsiaTheme="minorEastAsia"/>
                <w:color w:val="000000"/>
                <w:lang w:eastAsia="en-AU"/>
              </w:rPr>
              <w:t xml:space="preserve">  Metropolitan improvement levy</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159</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157</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158</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158</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158</w:t>
            </w:r>
          </w:p>
        </w:tc>
      </w:tr>
      <w:tr w:rsidR="002C39A3" w:rsidRPr="004D024F" w:rsidTr="00C558E9">
        <w:tc>
          <w:tcPr>
            <w:tcW w:w="3517" w:type="dxa"/>
            <w:tcBorders>
              <w:top w:val="nil"/>
              <w:left w:val="nil"/>
              <w:right w:val="nil"/>
            </w:tcBorders>
            <w:shd w:val="clear" w:color="auto" w:fill="FFFFFF"/>
          </w:tcPr>
          <w:p w:rsidR="002C39A3" w:rsidRPr="004D024F" w:rsidRDefault="002C39A3" w:rsidP="00361FA9">
            <w:pPr>
              <w:pStyle w:val="Tabletext"/>
              <w:ind w:left="227" w:hanging="227"/>
              <w:rPr>
                <w:rFonts w:eastAsiaTheme="minorEastAsia"/>
                <w:color w:val="000000"/>
                <w:lang w:eastAsia="en-AU"/>
              </w:rPr>
            </w:pPr>
            <w:r w:rsidRPr="004D024F">
              <w:rPr>
                <w:rFonts w:eastAsiaTheme="minorEastAsia"/>
                <w:color w:val="000000"/>
                <w:lang w:eastAsia="en-AU"/>
              </w:rPr>
              <w:t xml:space="preserve">  Metropolitan planning levy</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17</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17</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17</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17</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17</w:t>
            </w:r>
          </w:p>
        </w:tc>
      </w:tr>
      <w:tr w:rsidR="002C39A3" w:rsidRPr="004D024F" w:rsidTr="00C558E9">
        <w:tc>
          <w:tcPr>
            <w:tcW w:w="3517" w:type="dxa"/>
            <w:tcBorders>
              <w:top w:val="nil"/>
              <w:left w:val="nil"/>
              <w:right w:val="nil"/>
            </w:tcBorders>
            <w:shd w:val="clear" w:color="auto" w:fill="FFFFFF"/>
          </w:tcPr>
          <w:p w:rsidR="002C39A3" w:rsidRPr="004D024F" w:rsidRDefault="002C39A3" w:rsidP="00361FA9">
            <w:pPr>
              <w:pStyle w:val="Tabletext"/>
              <w:ind w:left="227" w:hanging="227"/>
              <w:rPr>
                <w:rFonts w:eastAsiaTheme="minorEastAsia"/>
                <w:color w:val="000000"/>
                <w:lang w:eastAsia="en-AU"/>
              </w:rPr>
            </w:pPr>
            <w:r w:rsidRPr="004D024F">
              <w:rPr>
                <w:rFonts w:eastAsiaTheme="minorEastAsia"/>
                <w:color w:val="000000"/>
                <w:lang w:eastAsia="en-AU"/>
              </w:rPr>
              <w:t xml:space="preserve">  Fire services property levy</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661</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674</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684</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678</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687</w:t>
            </w:r>
          </w:p>
        </w:tc>
      </w:tr>
      <w:tr w:rsidR="002C39A3" w:rsidRPr="004D024F" w:rsidTr="00C558E9">
        <w:tc>
          <w:tcPr>
            <w:tcW w:w="3517" w:type="dxa"/>
            <w:tcBorders>
              <w:top w:val="nil"/>
              <w:left w:val="nil"/>
              <w:right w:val="nil"/>
            </w:tcBorders>
            <w:shd w:val="clear" w:color="auto" w:fill="FFFFFF"/>
          </w:tcPr>
          <w:p w:rsidR="002C39A3" w:rsidRPr="004D024F" w:rsidRDefault="002C39A3" w:rsidP="00361FA9">
            <w:pPr>
              <w:pStyle w:val="Tabletext"/>
              <w:ind w:left="227" w:hanging="227"/>
              <w:rPr>
                <w:rFonts w:eastAsiaTheme="minorEastAsia"/>
                <w:color w:val="000000"/>
                <w:lang w:eastAsia="en-AU"/>
              </w:rPr>
            </w:pPr>
            <w:r w:rsidRPr="004D024F">
              <w:rPr>
                <w:rFonts w:eastAsiaTheme="minorEastAsia"/>
                <w:color w:val="000000"/>
                <w:lang w:eastAsia="en-AU"/>
              </w:rPr>
              <w:t xml:space="preserve">  Financial accommodation levy</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127</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149</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163</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176</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188</w:t>
            </w:r>
          </w:p>
        </w:tc>
      </w:tr>
      <w:tr w:rsidR="002C39A3" w:rsidRPr="004D024F" w:rsidTr="00C558E9">
        <w:tc>
          <w:tcPr>
            <w:tcW w:w="3517" w:type="dxa"/>
            <w:tcBorders>
              <w:top w:val="nil"/>
              <w:left w:val="nil"/>
              <w:bottom w:val="single" w:sz="6" w:space="0" w:color="auto"/>
              <w:right w:val="nil"/>
            </w:tcBorders>
            <w:shd w:val="clear" w:color="auto" w:fill="FFFFFF"/>
          </w:tcPr>
          <w:p w:rsidR="002C39A3" w:rsidRPr="004D024F" w:rsidRDefault="002C39A3" w:rsidP="00361FA9">
            <w:pPr>
              <w:pStyle w:val="Tabletext"/>
              <w:ind w:left="227" w:hanging="227"/>
              <w:rPr>
                <w:rFonts w:eastAsiaTheme="minorEastAsia"/>
                <w:color w:val="000000"/>
                <w:lang w:eastAsia="en-AU"/>
              </w:rPr>
            </w:pPr>
            <w:r w:rsidRPr="004D024F">
              <w:rPr>
                <w:rFonts w:eastAsiaTheme="minorEastAsia"/>
                <w:color w:val="000000"/>
                <w:lang w:eastAsia="en-AU"/>
              </w:rPr>
              <w:t xml:space="preserve">  Growth areas infrastructure contribution</w:t>
            </w:r>
          </w:p>
        </w:tc>
        <w:tc>
          <w:tcPr>
            <w:tcW w:w="850" w:type="dxa"/>
            <w:tcBorders>
              <w:top w:val="nil"/>
              <w:left w:val="nil"/>
              <w:bottom w:val="single" w:sz="6"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138</w:t>
            </w:r>
          </w:p>
        </w:tc>
        <w:tc>
          <w:tcPr>
            <w:tcW w:w="850" w:type="dxa"/>
            <w:tcBorders>
              <w:top w:val="nil"/>
              <w:left w:val="nil"/>
              <w:bottom w:val="single" w:sz="6"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146</w:t>
            </w:r>
          </w:p>
        </w:tc>
        <w:tc>
          <w:tcPr>
            <w:tcW w:w="850" w:type="dxa"/>
            <w:tcBorders>
              <w:top w:val="nil"/>
              <w:left w:val="nil"/>
              <w:bottom w:val="single" w:sz="6"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154</w:t>
            </w:r>
          </w:p>
        </w:tc>
        <w:tc>
          <w:tcPr>
            <w:tcW w:w="850" w:type="dxa"/>
            <w:tcBorders>
              <w:top w:val="nil"/>
              <w:left w:val="nil"/>
              <w:bottom w:val="single" w:sz="6"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162</w:t>
            </w:r>
          </w:p>
        </w:tc>
        <w:tc>
          <w:tcPr>
            <w:tcW w:w="850" w:type="dxa"/>
            <w:tcBorders>
              <w:top w:val="nil"/>
              <w:left w:val="nil"/>
              <w:bottom w:val="single" w:sz="6"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171</w:t>
            </w:r>
          </w:p>
        </w:tc>
      </w:tr>
      <w:tr w:rsidR="002C39A3" w:rsidRPr="004D024F" w:rsidTr="00C558E9">
        <w:tc>
          <w:tcPr>
            <w:tcW w:w="3517" w:type="dxa"/>
            <w:tcBorders>
              <w:top w:val="single" w:sz="6" w:space="0" w:color="auto"/>
              <w:left w:val="nil"/>
              <w:right w:val="nil"/>
            </w:tcBorders>
            <w:shd w:val="clear" w:color="auto" w:fill="FFFFFF"/>
          </w:tcPr>
          <w:p w:rsidR="002C39A3" w:rsidRPr="004D024F" w:rsidRDefault="002C39A3" w:rsidP="00361FA9">
            <w:pPr>
              <w:pStyle w:val="Tabletext"/>
              <w:ind w:left="227" w:hanging="227"/>
              <w:rPr>
                <w:rFonts w:eastAsiaTheme="minorEastAsia" w:cs="Calibri"/>
                <w:color w:val="000000"/>
                <w:szCs w:val="19"/>
                <w:lang w:eastAsia="en-AU"/>
              </w:rPr>
            </w:pPr>
            <w:r w:rsidRPr="004D024F">
              <w:rPr>
                <w:rFonts w:eastAsiaTheme="minorEastAsia"/>
                <w:color w:val="000000"/>
                <w:lang w:eastAsia="en-AU"/>
              </w:rPr>
              <w:t xml:space="preserve"> </w:t>
            </w:r>
          </w:p>
        </w:tc>
        <w:tc>
          <w:tcPr>
            <w:tcW w:w="850" w:type="dxa"/>
            <w:tcBorders>
              <w:top w:val="single" w:sz="6"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9 015</w:t>
            </w:r>
          </w:p>
        </w:tc>
        <w:tc>
          <w:tcPr>
            <w:tcW w:w="850" w:type="dxa"/>
            <w:tcBorders>
              <w:top w:val="single" w:sz="6"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9 162</w:t>
            </w:r>
          </w:p>
        </w:tc>
        <w:tc>
          <w:tcPr>
            <w:tcW w:w="850" w:type="dxa"/>
            <w:tcBorders>
              <w:top w:val="single" w:sz="6"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9 326</w:t>
            </w:r>
          </w:p>
        </w:tc>
        <w:tc>
          <w:tcPr>
            <w:tcW w:w="850" w:type="dxa"/>
            <w:tcBorders>
              <w:top w:val="single" w:sz="6"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9 909</w:t>
            </w:r>
          </w:p>
        </w:tc>
        <w:tc>
          <w:tcPr>
            <w:tcW w:w="850" w:type="dxa"/>
            <w:tcBorders>
              <w:top w:val="single" w:sz="6"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10 254</w:t>
            </w:r>
          </w:p>
        </w:tc>
      </w:tr>
      <w:tr w:rsidR="00C558E9" w:rsidRPr="004D024F" w:rsidTr="00C558E9">
        <w:tc>
          <w:tcPr>
            <w:tcW w:w="7767" w:type="dxa"/>
            <w:gridSpan w:val="6"/>
            <w:tcBorders>
              <w:top w:val="nil"/>
              <w:left w:val="nil"/>
              <w:right w:val="nil"/>
            </w:tcBorders>
            <w:shd w:val="clear" w:color="auto" w:fill="FFFFFF"/>
          </w:tcPr>
          <w:p w:rsidR="00C558E9" w:rsidRPr="004D024F" w:rsidRDefault="00C558E9" w:rsidP="00C558E9">
            <w:pPr>
              <w:pStyle w:val="Tabletext"/>
              <w:ind w:left="227" w:hanging="227"/>
              <w:rPr>
                <w:rFonts w:eastAsiaTheme="minorEastAsia" w:cs="Calibri"/>
                <w:color w:val="000000"/>
                <w:szCs w:val="19"/>
                <w:lang w:eastAsia="en-AU"/>
              </w:rPr>
            </w:pPr>
            <w:r w:rsidRPr="004D024F">
              <w:rPr>
                <w:rFonts w:eastAsiaTheme="minorEastAsia"/>
                <w:b/>
                <w:bCs/>
                <w:color w:val="000000"/>
                <w:lang w:eastAsia="en-AU"/>
              </w:rPr>
              <w:t>Gambling taxes</w:t>
            </w:r>
          </w:p>
        </w:tc>
      </w:tr>
      <w:tr w:rsidR="002C39A3" w:rsidRPr="004D024F" w:rsidTr="00C558E9">
        <w:tc>
          <w:tcPr>
            <w:tcW w:w="3517" w:type="dxa"/>
            <w:tcBorders>
              <w:top w:val="nil"/>
              <w:left w:val="nil"/>
              <w:right w:val="nil"/>
            </w:tcBorders>
            <w:shd w:val="clear" w:color="auto" w:fill="FFFFFF"/>
          </w:tcPr>
          <w:p w:rsidR="002C39A3" w:rsidRPr="004D024F" w:rsidRDefault="002C39A3" w:rsidP="00361FA9">
            <w:pPr>
              <w:pStyle w:val="Tabletext"/>
              <w:ind w:left="227" w:hanging="227"/>
              <w:rPr>
                <w:rFonts w:eastAsiaTheme="minorEastAsia"/>
                <w:color w:val="000000"/>
                <w:lang w:eastAsia="en-AU"/>
              </w:rPr>
            </w:pPr>
            <w:r w:rsidRPr="004D024F">
              <w:rPr>
                <w:rFonts w:eastAsiaTheme="minorEastAsia"/>
                <w:color w:val="000000"/>
                <w:lang w:eastAsia="en-AU"/>
              </w:rPr>
              <w:t xml:space="preserve">  Public lotteries</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437</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446</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463</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480</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498</w:t>
            </w:r>
          </w:p>
        </w:tc>
      </w:tr>
      <w:tr w:rsidR="002C39A3" w:rsidRPr="004D024F" w:rsidTr="00C558E9">
        <w:tc>
          <w:tcPr>
            <w:tcW w:w="3517" w:type="dxa"/>
            <w:tcBorders>
              <w:top w:val="nil"/>
              <w:left w:val="nil"/>
              <w:right w:val="nil"/>
            </w:tcBorders>
            <w:shd w:val="clear" w:color="auto" w:fill="FFFFFF"/>
          </w:tcPr>
          <w:p w:rsidR="002C39A3" w:rsidRPr="004D024F" w:rsidRDefault="002C39A3" w:rsidP="00361FA9">
            <w:pPr>
              <w:pStyle w:val="Tabletext"/>
              <w:ind w:left="227" w:hanging="227"/>
              <w:rPr>
                <w:rFonts w:eastAsiaTheme="minorEastAsia"/>
                <w:color w:val="000000"/>
                <w:lang w:eastAsia="en-AU"/>
              </w:rPr>
            </w:pPr>
            <w:r w:rsidRPr="004D024F">
              <w:rPr>
                <w:rFonts w:eastAsiaTheme="minorEastAsia"/>
                <w:color w:val="000000"/>
                <w:lang w:eastAsia="en-AU"/>
              </w:rPr>
              <w:t xml:space="preserve">  Electronic gaming machines</w:t>
            </w:r>
          </w:p>
        </w:tc>
        <w:tc>
          <w:tcPr>
            <w:tcW w:w="850" w:type="dxa"/>
            <w:tcBorders>
              <w:top w:val="nil"/>
              <w:left w:val="nil"/>
              <w:right w:val="nil"/>
            </w:tcBorders>
            <w:shd w:val="clear" w:color="auto" w:fill="FFFFFF"/>
          </w:tcPr>
          <w:p w:rsidR="002C39A3" w:rsidRPr="004D024F" w:rsidRDefault="002C39A3" w:rsidP="00361FA9">
            <w:pPr>
              <w:pStyle w:val="TableofFigures"/>
              <w:rPr>
                <w:rFonts w:eastAsiaTheme="minorEastAsia"/>
                <w:color w:val="000000"/>
                <w:sz w:val="19"/>
                <w:lang w:eastAsia="en-AU"/>
              </w:rPr>
            </w:pPr>
            <w:r w:rsidRPr="004D024F">
              <w:rPr>
                <w:rFonts w:eastAsiaTheme="minorEastAsia"/>
                <w:color w:val="000000"/>
                <w:sz w:val="19"/>
                <w:lang w:eastAsia="en-AU"/>
              </w:rPr>
              <w:t>1 080</w:t>
            </w:r>
          </w:p>
        </w:tc>
        <w:tc>
          <w:tcPr>
            <w:tcW w:w="850" w:type="dxa"/>
            <w:tcBorders>
              <w:top w:val="nil"/>
              <w:left w:val="nil"/>
              <w:right w:val="nil"/>
            </w:tcBorders>
            <w:shd w:val="clear" w:color="auto" w:fill="FFFFFF"/>
          </w:tcPr>
          <w:p w:rsidR="002C39A3" w:rsidRPr="004D024F" w:rsidRDefault="002C39A3" w:rsidP="00361FA9">
            <w:pPr>
              <w:pStyle w:val="TableofFigures"/>
              <w:rPr>
                <w:rFonts w:eastAsiaTheme="minorEastAsia"/>
                <w:color w:val="000000"/>
                <w:sz w:val="19"/>
                <w:lang w:eastAsia="en-AU"/>
              </w:rPr>
            </w:pPr>
            <w:r w:rsidRPr="004D024F">
              <w:rPr>
                <w:rFonts w:eastAsiaTheme="minorEastAsia"/>
                <w:color w:val="000000"/>
                <w:sz w:val="19"/>
                <w:lang w:eastAsia="en-AU"/>
              </w:rPr>
              <w:t>1 107</w:t>
            </w:r>
          </w:p>
        </w:tc>
        <w:tc>
          <w:tcPr>
            <w:tcW w:w="850" w:type="dxa"/>
            <w:tcBorders>
              <w:top w:val="nil"/>
              <w:left w:val="nil"/>
              <w:right w:val="nil"/>
            </w:tcBorders>
            <w:shd w:val="clear" w:color="auto" w:fill="FFFFFF"/>
          </w:tcPr>
          <w:p w:rsidR="002C39A3" w:rsidRPr="004D024F" w:rsidRDefault="002C39A3" w:rsidP="00361FA9">
            <w:pPr>
              <w:pStyle w:val="TableofFigures"/>
              <w:rPr>
                <w:rFonts w:eastAsiaTheme="minorEastAsia"/>
                <w:color w:val="000000"/>
                <w:sz w:val="19"/>
                <w:lang w:eastAsia="en-AU"/>
              </w:rPr>
            </w:pPr>
            <w:r w:rsidRPr="004D024F">
              <w:rPr>
                <w:rFonts w:eastAsiaTheme="minorEastAsia"/>
                <w:color w:val="000000"/>
                <w:sz w:val="19"/>
                <w:lang w:eastAsia="en-AU"/>
              </w:rPr>
              <w:t>1 135</w:t>
            </w:r>
          </w:p>
        </w:tc>
        <w:tc>
          <w:tcPr>
            <w:tcW w:w="850" w:type="dxa"/>
            <w:tcBorders>
              <w:top w:val="nil"/>
              <w:left w:val="nil"/>
              <w:right w:val="nil"/>
            </w:tcBorders>
            <w:shd w:val="clear" w:color="auto" w:fill="FFFFFF"/>
          </w:tcPr>
          <w:p w:rsidR="002C39A3" w:rsidRPr="004D024F" w:rsidRDefault="002C39A3" w:rsidP="00361FA9">
            <w:pPr>
              <w:pStyle w:val="TableofFigures"/>
              <w:rPr>
                <w:rFonts w:eastAsiaTheme="minorEastAsia"/>
                <w:color w:val="000000"/>
                <w:sz w:val="19"/>
                <w:lang w:eastAsia="en-AU"/>
              </w:rPr>
            </w:pPr>
            <w:r w:rsidRPr="004D024F">
              <w:rPr>
                <w:rFonts w:eastAsiaTheme="minorEastAsia"/>
                <w:color w:val="000000"/>
                <w:sz w:val="19"/>
                <w:lang w:eastAsia="en-AU"/>
              </w:rPr>
              <w:t>1 163</w:t>
            </w:r>
          </w:p>
        </w:tc>
        <w:tc>
          <w:tcPr>
            <w:tcW w:w="850" w:type="dxa"/>
            <w:tcBorders>
              <w:top w:val="nil"/>
              <w:left w:val="nil"/>
              <w:right w:val="nil"/>
            </w:tcBorders>
            <w:shd w:val="clear" w:color="auto" w:fill="FFFFFF"/>
          </w:tcPr>
          <w:p w:rsidR="002C39A3" w:rsidRPr="004D024F" w:rsidRDefault="002C39A3" w:rsidP="00361FA9">
            <w:pPr>
              <w:pStyle w:val="TableofFigures"/>
              <w:rPr>
                <w:rFonts w:eastAsiaTheme="minorEastAsia"/>
                <w:color w:val="000000"/>
                <w:sz w:val="19"/>
                <w:lang w:eastAsia="en-AU"/>
              </w:rPr>
            </w:pPr>
            <w:r w:rsidRPr="004D024F">
              <w:rPr>
                <w:rFonts w:eastAsiaTheme="minorEastAsia"/>
                <w:color w:val="000000"/>
                <w:sz w:val="19"/>
                <w:lang w:eastAsia="en-AU"/>
              </w:rPr>
              <w:t>1 192</w:t>
            </w:r>
          </w:p>
        </w:tc>
      </w:tr>
      <w:tr w:rsidR="002C39A3" w:rsidRPr="004D024F" w:rsidTr="00C558E9">
        <w:tc>
          <w:tcPr>
            <w:tcW w:w="3517" w:type="dxa"/>
            <w:tcBorders>
              <w:top w:val="nil"/>
              <w:left w:val="nil"/>
              <w:right w:val="nil"/>
            </w:tcBorders>
            <w:shd w:val="clear" w:color="auto" w:fill="FFFFFF"/>
          </w:tcPr>
          <w:p w:rsidR="002C39A3" w:rsidRPr="004D024F" w:rsidRDefault="002C39A3" w:rsidP="00361FA9">
            <w:pPr>
              <w:pStyle w:val="Tabletext"/>
              <w:ind w:left="227" w:hanging="227"/>
              <w:rPr>
                <w:rFonts w:eastAsiaTheme="minorEastAsia"/>
                <w:color w:val="000000"/>
                <w:lang w:eastAsia="en-AU"/>
              </w:rPr>
            </w:pPr>
            <w:r w:rsidRPr="004D024F">
              <w:rPr>
                <w:rFonts w:eastAsiaTheme="minorEastAsia"/>
                <w:color w:val="000000"/>
                <w:lang w:eastAsia="en-AU"/>
              </w:rPr>
              <w:t xml:space="preserve">  Casino</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240</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251</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259</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268</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276</w:t>
            </w:r>
          </w:p>
        </w:tc>
      </w:tr>
      <w:tr w:rsidR="002C39A3" w:rsidRPr="004D024F" w:rsidTr="00C558E9">
        <w:tc>
          <w:tcPr>
            <w:tcW w:w="3517" w:type="dxa"/>
            <w:tcBorders>
              <w:top w:val="nil"/>
              <w:left w:val="nil"/>
              <w:right w:val="nil"/>
            </w:tcBorders>
            <w:shd w:val="clear" w:color="auto" w:fill="FFFFFF"/>
          </w:tcPr>
          <w:p w:rsidR="002C39A3" w:rsidRPr="004D024F" w:rsidRDefault="002C39A3" w:rsidP="00361FA9">
            <w:pPr>
              <w:pStyle w:val="Tabletext"/>
              <w:ind w:left="227" w:hanging="227"/>
              <w:rPr>
                <w:rFonts w:eastAsiaTheme="minorEastAsia"/>
                <w:color w:val="000000"/>
                <w:lang w:eastAsia="en-AU"/>
              </w:rPr>
            </w:pPr>
            <w:r w:rsidRPr="004D024F">
              <w:rPr>
                <w:rFonts w:eastAsiaTheme="minorEastAsia"/>
                <w:color w:val="000000"/>
                <w:lang w:eastAsia="en-AU"/>
              </w:rPr>
              <w:t xml:space="preserve">  Racing</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79</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79</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78</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76</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74</w:t>
            </w:r>
          </w:p>
        </w:tc>
      </w:tr>
      <w:tr w:rsidR="002C39A3" w:rsidRPr="004D024F" w:rsidTr="00C558E9">
        <w:tc>
          <w:tcPr>
            <w:tcW w:w="3517" w:type="dxa"/>
            <w:tcBorders>
              <w:top w:val="nil"/>
              <w:left w:val="nil"/>
              <w:bottom w:val="single" w:sz="6" w:space="0" w:color="auto"/>
              <w:right w:val="nil"/>
            </w:tcBorders>
            <w:shd w:val="clear" w:color="auto" w:fill="FFFFFF"/>
          </w:tcPr>
          <w:p w:rsidR="002C39A3" w:rsidRPr="004D024F" w:rsidRDefault="002C39A3" w:rsidP="00361FA9">
            <w:pPr>
              <w:pStyle w:val="Tabletext"/>
              <w:ind w:left="227" w:hanging="227"/>
              <w:rPr>
                <w:rFonts w:eastAsiaTheme="minorEastAsia"/>
                <w:color w:val="000000"/>
                <w:lang w:eastAsia="en-AU"/>
              </w:rPr>
            </w:pPr>
            <w:r w:rsidRPr="004D024F">
              <w:rPr>
                <w:rFonts w:eastAsiaTheme="minorEastAsia"/>
                <w:color w:val="000000"/>
                <w:lang w:eastAsia="en-AU"/>
              </w:rPr>
              <w:t xml:space="preserve">  Other</w:t>
            </w:r>
          </w:p>
        </w:tc>
        <w:tc>
          <w:tcPr>
            <w:tcW w:w="850" w:type="dxa"/>
            <w:tcBorders>
              <w:top w:val="nil"/>
              <w:left w:val="nil"/>
              <w:bottom w:val="single" w:sz="6"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24</w:t>
            </w:r>
          </w:p>
        </w:tc>
        <w:tc>
          <w:tcPr>
            <w:tcW w:w="850" w:type="dxa"/>
            <w:tcBorders>
              <w:top w:val="nil"/>
              <w:left w:val="nil"/>
              <w:bottom w:val="single" w:sz="6"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28</w:t>
            </w:r>
          </w:p>
        </w:tc>
        <w:tc>
          <w:tcPr>
            <w:tcW w:w="850" w:type="dxa"/>
            <w:tcBorders>
              <w:top w:val="nil"/>
              <w:left w:val="nil"/>
              <w:bottom w:val="single" w:sz="6"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31</w:t>
            </w:r>
          </w:p>
        </w:tc>
        <w:tc>
          <w:tcPr>
            <w:tcW w:w="850" w:type="dxa"/>
            <w:tcBorders>
              <w:top w:val="nil"/>
              <w:left w:val="nil"/>
              <w:bottom w:val="single" w:sz="6"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36</w:t>
            </w:r>
          </w:p>
        </w:tc>
        <w:tc>
          <w:tcPr>
            <w:tcW w:w="850" w:type="dxa"/>
            <w:tcBorders>
              <w:top w:val="nil"/>
              <w:left w:val="nil"/>
              <w:bottom w:val="single" w:sz="6"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40</w:t>
            </w:r>
          </w:p>
        </w:tc>
      </w:tr>
      <w:tr w:rsidR="002C39A3" w:rsidRPr="004D024F" w:rsidTr="00C558E9">
        <w:tc>
          <w:tcPr>
            <w:tcW w:w="3517" w:type="dxa"/>
            <w:tcBorders>
              <w:top w:val="single" w:sz="6" w:space="0" w:color="auto"/>
              <w:left w:val="nil"/>
              <w:right w:val="nil"/>
            </w:tcBorders>
            <w:shd w:val="clear" w:color="auto" w:fill="FFFFFF"/>
          </w:tcPr>
          <w:p w:rsidR="002C39A3" w:rsidRPr="004D024F" w:rsidRDefault="002C39A3" w:rsidP="00361FA9">
            <w:pPr>
              <w:pStyle w:val="Tabletext"/>
              <w:ind w:left="227" w:hanging="227"/>
              <w:rPr>
                <w:rFonts w:eastAsiaTheme="minorEastAsia" w:cs="Calibri"/>
                <w:color w:val="000000"/>
                <w:szCs w:val="19"/>
                <w:lang w:eastAsia="en-AU"/>
              </w:rPr>
            </w:pPr>
            <w:r w:rsidRPr="004D024F">
              <w:rPr>
                <w:rFonts w:eastAsiaTheme="minorEastAsia"/>
                <w:color w:val="000000"/>
                <w:lang w:eastAsia="en-AU"/>
              </w:rPr>
              <w:t xml:space="preserve"> </w:t>
            </w:r>
          </w:p>
        </w:tc>
        <w:tc>
          <w:tcPr>
            <w:tcW w:w="850" w:type="dxa"/>
            <w:tcBorders>
              <w:top w:val="single" w:sz="6"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1 860</w:t>
            </w:r>
          </w:p>
        </w:tc>
        <w:tc>
          <w:tcPr>
            <w:tcW w:w="850" w:type="dxa"/>
            <w:tcBorders>
              <w:top w:val="single" w:sz="6"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1 911</w:t>
            </w:r>
          </w:p>
        </w:tc>
        <w:tc>
          <w:tcPr>
            <w:tcW w:w="850" w:type="dxa"/>
            <w:tcBorders>
              <w:top w:val="single" w:sz="6"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1 966</w:t>
            </w:r>
          </w:p>
        </w:tc>
        <w:tc>
          <w:tcPr>
            <w:tcW w:w="850" w:type="dxa"/>
            <w:tcBorders>
              <w:top w:val="single" w:sz="6"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2 022</w:t>
            </w:r>
          </w:p>
        </w:tc>
        <w:tc>
          <w:tcPr>
            <w:tcW w:w="850" w:type="dxa"/>
            <w:tcBorders>
              <w:top w:val="single" w:sz="6"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2 079</w:t>
            </w:r>
          </w:p>
        </w:tc>
      </w:tr>
      <w:tr w:rsidR="002C39A3" w:rsidRPr="004D024F" w:rsidTr="00C558E9">
        <w:tc>
          <w:tcPr>
            <w:tcW w:w="3517" w:type="dxa"/>
            <w:tcBorders>
              <w:top w:val="nil"/>
              <w:left w:val="nil"/>
              <w:right w:val="nil"/>
            </w:tcBorders>
            <w:shd w:val="clear" w:color="auto" w:fill="FFFFFF"/>
          </w:tcPr>
          <w:p w:rsidR="002C39A3" w:rsidRPr="004D024F" w:rsidRDefault="002C39A3" w:rsidP="00361FA9">
            <w:pPr>
              <w:pStyle w:val="Tabletext"/>
              <w:ind w:left="227" w:hanging="227"/>
              <w:rPr>
                <w:rFonts w:eastAsiaTheme="minorEastAsia"/>
                <w:b/>
                <w:bCs/>
                <w:color w:val="000000"/>
                <w:lang w:eastAsia="en-AU"/>
              </w:rPr>
            </w:pPr>
            <w:r w:rsidRPr="004D024F">
              <w:rPr>
                <w:rFonts w:eastAsiaTheme="minorEastAsia"/>
                <w:b/>
                <w:bCs/>
                <w:color w:val="000000"/>
                <w:lang w:eastAsia="en-AU"/>
              </w:rPr>
              <w:t>Levies on statutory corporations</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b/>
                <w:bCs/>
                <w:color w:val="000000"/>
                <w:sz w:val="19"/>
                <w:szCs w:val="19"/>
                <w:lang w:eastAsia="en-AU"/>
              </w:rPr>
            </w:pPr>
            <w:r>
              <w:rPr>
                <w:rFonts w:eastAsiaTheme="minorEastAsia"/>
                <w:b/>
                <w:color w:val="000000"/>
                <w:sz w:val="19"/>
                <w:lang w:eastAsia="en-AU"/>
              </w:rPr>
              <w:t>112</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b/>
                <w:bCs/>
                <w:color w:val="000000"/>
                <w:sz w:val="19"/>
                <w:szCs w:val="19"/>
                <w:lang w:eastAsia="en-AU"/>
              </w:rPr>
            </w:pPr>
            <w:r>
              <w:rPr>
                <w:rFonts w:eastAsiaTheme="minorEastAsia"/>
                <w:b/>
                <w:color w:val="000000"/>
                <w:sz w:val="19"/>
                <w:lang w:eastAsia="en-AU"/>
              </w:rPr>
              <w:t>112</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b/>
                <w:bCs/>
                <w:color w:val="000000"/>
                <w:sz w:val="19"/>
                <w:szCs w:val="19"/>
                <w:lang w:eastAsia="en-AU"/>
              </w:rPr>
            </w:pPr>
            <w:r>
              <w:rPr>
                <w:rFonts w:eastAsiaTheme="minorEastAsia"/>
                <w:b/>
                <w:color w:val="000000"/>
                <w:sz w:val="19"/>
                <w:lang w:eastAsia="en-AU"/>
              </w:rPr>
              <w:t>112</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b/>
                <w:bCs/>
                <w:color w:val="000000"/>
                <w:sz w:val="19"/>
                <w:szCs w:val="19"/>
                <w:lang w:eastAsia="en-AU"/>
              </w:rPr>
            </w:pPr>
            <w:r>
              <w:rPr>
                <w:rFonts w:eastAsiaTheme="minorEastAsia"/>
                <w:b/>
                <w:color w:val="000000"/>
                <w:sz w:val="19"/>
                <w:lang w:eastAsia="en-AU"/>
              </w:rPr>
              <w:t>158</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b/>
                <w:bCs/>
                <w:color w:val="000000"/>
                <w:sz w:val="19"/>
                <w:szCs w:val="19"/>
                <w:lang w:eastAsia="en-AU"/>
              </w:rPr>
            </w:pPr>
            <w:r>
              <w:rPr>
                <w:rFonts w:eastAsiaTheme="minorEastAsia"/>
                <w:b/>
                <w:color w:val="000000"/>
                <w:sz w:val="19"/>
                <w:lang w:eastAsia="en-AU"/>
              </w:rPr>
              <w:t>158</w:t>
            </w:r>
          </w:p>
        </w:tc>
      </w:tr>
      <w:tr w:rsidR="00C558E9" w:rsidRPr="004D024F" w:rsidTr="00C558E9">
        <w:tc>
          <w:tcPr>
            <w:tcW w:w="7767" w:type="dxa"/>
            <w:gridSpan w:val="6"/>
            <w:tcBorders>
              <w:top w:val="nil"/>
              <w:left w:val="nil"/>
              <w:right w:val="nil"/>
            </w:tcBorders>
            <w:shd w:val="clear" w:color="auto" w:fill="FFFFFF"/>
          </w:tcPr>
          <w:p w:rsidR="00C558E9" w:rsidRPr="004D024F" w:rsidRDefault="00C558E9" w:rsidP="00C558E9">
            <w:pPr>
              <w:pStyle w:val="Tabletext"/>
              <w:ind w:left="227" w:hanging="227"/>
              <w:rPr>
                <w:rFonts w:eastAsiaTheme="minorEastAsia" w:cs="Calibri"/>
                <w:color w:val="000000"/>
                <w:szCs w:val="19"/>
                <w:lang w:eastAsia="en-AU"/>
              </w:rPr>
            </w:pPr>
            <w:r w:rsidRPr="004D024F">
              <w:rPr>
                <w:rFonts w:eastAsiaTheme="minorEastAsia"/>
                <w:b/>
                <w:bCs/>
                <w:color w:val="000000"/>
                <w:lang w:eastAsia="en-AU"/>
              </w:rPr>
              <w:t>Taxes on insurance</w:t>
            </w:r>
          </w:p>
        </w:tc>
      </w:tr>
      <w:tr w:rsidR="002C39A3" w:rsidRPr="004D024F" w:rsidTr="00C558E9">
        <w:tc>
          <w:tcPr>
            <w:tcW w:w="3517" w:type="dxa"/>
            <w:tcBorders>
              <w:top w:val="nil"/>
              <w:left w:val="nil"/>
              <w:right w:val="nil"/>
            </w:tcBorders>
            <w:shd w:val="clear" w:color="auto" w:fill="FFFFFF"/>
          </w:tcPr>
          <w:p w:rsidR="002C39A3" w:rsidRPr="004D024F" w:rsidRDefault="002C39A3" w:rsidP="00361FA9">
            <w:pPr>
              <w:pStyle w:val="Tabletext"/>
              <w:ind w:left="227" w:hanging="227"/>
              <w:rPr>
                <w:rFonts w:eastAsiaTheme="minorEastAsia"/>
                <w:color w:val="000000"/>
                <w:lang w:eastAsia="en-AU"/>
              </w:rPr>
            </w:pPr>
            <w:r w:rsidRPr="004D024F">
              <w:rPr>
                <w:rFonts w:eastAsiaTheme="minorEastAsia"/>
                <w:color w:val="000000"/>
                <w:lang w:eastAsia="en-AU"/>
              </w:rPr>
              <w:t xml:space="preserve">  Non-life insurance</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964</w:t>
            </w:r>
          </w:p>
        </w:tc>
        <w:tc>
          <w:tcPr>
            <w:tcW w:w="850" w:type="dxa"/>
            <w:tcBorders>
              <w:top w:val="nil"/>
              <w:left w:val="nil"/>
              <w:right w:val="nil"/>
            </w:tcBorders>
            <w:shd w:val="clear" w:color="auto" w:fill="FFFFFF"/>
          </w:tcPr>
          <w:p w:rsidR="002C39A3" w:rsidRPr="004D024F" w:rsidRDefault="002C39A3" w:rsidP="00361FA9">
            <w:pPr>
              <w:pStyle w:val="TableofFigures"/>
              <w:rPr>
                <w:rFonts w:eastAsiaTheme="minorEastAsia"/>
                <w:color w:val="000000"/>
                <w:sz w:val="19"/>
                <w:lang w:eastAsia="en-AU"/>
              </w:rPr>
            </w:pPr>
            <w:r w:rsidRPr="004D024F">
              <w:rPr>
                <w:rFonts w:eastAsiaTheme="minorEastAsia"/>
                <w:color w:val="000000"/>
                <w:sz w:val="19"/>
                <w:lang w:eastAsia="en-AU"/>
              </w:rPr>
              <w:t>1 027</w:t>
            </w:r>
          </w:p>
        </w:tc>
        <w:tc>
          <w:tcPr>
            <w:tcW w:w="850" w:type="dxa"/>
            <w:tcBorders>
              <w:top w:val="nil"/>
              <w:left w:val="nil"/>
              <w:right w:val="nil"/>
            </w:tcBorders>
            <w:shd w:val="clear" w:color="auto" w:fill="FFFFFF"/>
          </w:tcPr>
          <w:p w:rsidR="002C39A3" w:rsidRPr="004D024F" w:rsidRDefault="002C39A3" w:rsidP="00361FA9">
            <w:pPr>
              <w:pStyle w:val="TableofFigures"/>
              <w:rPr>
                <w:rFonts w:eastAsiaTheme="minorEastAsia"/>
                <w:color w:val="000000"/>
                <w:sz w:val="19"/>
                <w:lang w:eastAsia="en-AU"/>
              </w:rPr>
            </w:pPr>
            <w:r w:rsidRPr="004D024F">
              <w:rPr>
                <w:rFonts w:eastAsiaTheme="minorEastAsia"/>
                <w:color w:val="000000"/>
                <w:sz w:val="19"/>
                <w:lang w:eastAsia="en-AU"/>
              </w:rPr>
              <w:t>1 101</w:t>
            </w:r>
          </w:p>
        </w:tc>
        <w:tc>
          <w:tcPr>
            <w:tcW w:w="850" w:type="dxa"/>
            <w:tcBorders>
              <w:top w:val="nil"/>
              <w:left w:val="nil"/>
              <w:right w:val="nil"/>
            </w:tcBorders>
            <w:shd w:val="clear" w:color="auto" w:fill="FFFFFF"/>
          </w:tcPr>
          <w:p w:rsidR="002C39A3" w:rsidRPr="004D024F" w:rsidRDefault="002C39A3" w:rsidP="00361FA9">
            <w:pPr>
              <w:pStyle w:val="TableofFigures"/>
              <w:rPr>
                <w:rFonts w:eastAsiaTheme="minorEastAsia"/>
                <w:color w:val="000000"/>
                <w:sz w:val="19"/>
                <w:lang w:eastAsia="en-AU"/>
              </w:rPr>
            </w:pPr>
            <w:r w:rsidRPr="004D024F">
              <w:rPr>
                <w:rFonts w:eastAsiaTheme="minorEastAsia"/>
                <w:color w:val="000000"/>
                <w:sz w:val="19"/>
                <w:lang w:eastAsia="en-AU"/>
              </w:rPr>
              <w:t>1 181</w:t>
            </w:r>
          </w:p>
        </w:tc>
        <w:tc>
          <w:tcPr>
            <w:tcW w:w="850" w:type="dxa"/>
            <w:tcBorders>
              <w:top w:val="nil"/>
              <w:left w:val="nil"/>
              <w:right w:val="nil"/>
            </w:tcBorders>
            <w:shd w:val="clear" w:color="auto" w:fill="FFFFFF"/>
          </w:tcPr>
          <w:p w:rsidR="002C39A3" w:rsidRPr="004D024F" w:rsidRDefault="002C39A3" w:rsidP="00361FA9">
            <w:pPr>
              <w:pStyle w:val="TableofFigures"/>
              <w:rPr>
                <w:rFonts w:eastAsiaTheme="minorEastAsia"/>
                <w:color w:val="000000"/>
                <w:sz w:val="19"/>
                <w:lang w:eastAsia="en-AU"/>
              </w:rPr>
            </w:pPr>
            <w:r w:rsidRPr="004D024F">
              <w:rPr>
                <w:rFonts w:eastAsiaTheme="minorEastAsia"/>
                <w:color w:val="000000"/>
                <w:sz w:val="19"/>
                <w:lang w:eastAsia="en-AU"/>
              </w:rPr>
              <w:t>1 266</w:t>
            </w:r>
          </w:p>
        </w:tc>
      </w:tr>
      <w:tr w:rsidR="002C39A3" w:rsidRPr="004D024F" w:rsidTr="00C558E9">
        <w:tc>
          <w:tcPr>
            <w:tcW w:w="3517" w:type="dxa"/>
            <w:tcBorders>
              <w:top w:val="nil"/>
              <w:left w:val="nil"/>
              <w:bottom w:val="single" w:sz="4" w:space="0" w:color="auto"/>
              <w:right w:val="nil"/>
            </w:tcBorders>
            <w:shd w:val="clear" w:color="auto" w:fill="FFFFFF"/>
          </w:tcPr>
          <w:p w:rsidR="002C39A3" w:rsidRPr="004D024F" w:rsidRDefault="002C39A3" w:rsidP="00361FA9">
            <w:pPr>
              <w:pStyle w:val="Tabletext"/>
              <w:ind w:left="227" w:hanging="227"/>
              <w:rPr>
                <w:rFonts w:eastAsiaTheme="minorEastAsia"/>
                <w:color w:val="000000"/>
                <w:lang w:eastAsia="en-AU"/>
              </w:rPr>
            </w:pPr>
            <w:r w:rsidRPr="004D024F">
              <w:rPr>
                <w:rFonts w:eastAsiaTheme="minorEastAsia"/>
                <w:color w:val="000000"/>
                <w:lang w:eastAsia="en-AU"/>
              </w:rPr>
              <w:t xml:space="preserve">  Duty on compulsory third party premiums</w:t>
            </w:r>
          </w:p>
        </w:tc>
        <w:tc>
          <w:tcPr>
            <w:tcW w:w="850" w:type="dxa"/>
            <w:tcBorders>
              <w:top w:val="nil"/>
              <w:left w:val="nil"/>
              <w:bottom w:val="single" w:sz="4"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184</w:t>
            </w:r>
          </w:p>
        </w:tc>
        <w:tc>
          <w:tcPr>
            <w:tcW w:w="850" w:type="dxa"/>
            <w:tcBorders>
              <w:top w:val="nil"/>
              <w:left w:val="nil"/>
              <w:bottom w:val="single" w:sz="4"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193</w:t>
            </w:r>
          </w:p>
        </w:tc>
        <w:tc>
          <w:tcPr>
            <w:tcW w:w="850" w:type="dxa"/>
            <w:tcBorders>
              <w:top w:val="nil"/>
              <w:left w:val="nil"/>
              <w:bottom w:val="single" w:sz="4"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201</w:t>
            </w:r>
          </w:p>
        </w:tc>
        <w:tc>
          <w:tcPr>
            <w:tcW w:w="850" w:type="dxa"/>
            <w:tcBorders>
              <w:top w:val="nil"/>
              <w:left w:val="nil"/>
              <w:bottom w:val="single" w:sz="4"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210</w:t>
            </w:r>
          </w:p>
        </w:tc>
        <w:tc>
          <w:tcPr>
            <w:tcW w:w="850" w:type="dxa"/>
            <w:tcBorders>
              <w:top w:val="nil"/>
              <w:left w:val="nil"/>
              <w:bottom w:val="single" w:sz="4"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220</w:t>
            </w:r>
          </w:p>
        </w:tc>
      </w:tr>
      <w:tr w:rsidR="002C39A3" w:rsidRPr="004D024F" w:rsidTr="00C558E9">
        <w:tc>
          <w:tcPr>
            <w:tcW w:w="3517" w:type="dxa"/>
            <w:tcBorders>
              <w:top w:val="single" w:sz="4" w:space="0" w:color="auto"/>
              <w:left w:val="nil"/>
              <w:right w:val="nil"/>
            </w:tcBorders>
            <w:shd w:val="clear" w:color="auto" w:fill="FFFFFF"/>
          </w:tcPr>
          <w:p w:rsidR="002C39A3" w:rsidRPr="004D024F" w:rsidRDefault="002C39A3" w:rsidP="00361FA9">
            <w:pPr>
              <w:pStyle w:val="Tabletext"/>
              <w:ind w:left="227" w:hanging="227"/>
              <w:rPr>
                <w:rFonts w:eastAsiaTheme="minorEastAsia" w:cs="Calibri"/>
                <w:color w:val="000000"/>
                <w:szCs w:val="19"/>
                <w:lang w:eastAsia="en-AU"/>
              </w:rPr>
            </w:pPr>
            <w:r w:rsidRPr="004D024F">
              <w:rPr>
                <w:rFonts w:eastAsiaTheme="minorEastAsia"/>
                <w:color w:val="000000"/>
                <w:lang w:eastAsia="en-AU"/>
              </w:rPr>
              <w:t xml:space="preserve"> </w:t>
            </w:r>
          </w:p>
        </w:tc>
        <w:tc>
          <w:tcPr>
            <w:tcW w:w="850" w:type="dxa"/>
            <w:tcBorders>
              <w:top w:val="single" w:sz="4"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1 148</w:t>
            </w:r>
          </w:p>
        </w:tc>
        <w:tc>
          <w:tcPr>
            <w:tcW w:w="850" w:type="dxa"/>
            <w:tcBorders>
              <w:top w:val="single" w:sz="4"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1 220</w:t>
            </w:r>
          </w:p>
        </w:tc>
        <w:tc>
          <w:tcPr>
            <w:tcW w:w="850" w:type="dxa"/>
            <w:tcBorders>
              <w:top w:val="single" w:sz="4"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1 302</w:t>
            </w:r>
          </w:p>
        </w:tc>
        <w:tc>
          <w:tcPr>
            <w:tcW w:w="850" w:type="dxa"/>
            <w:tcBorders>
              <w:top w:val="single" w:sz="4"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1 391</w:t>
            </w:r>
          </w:p>
        </w:tc>
        <w:tc>
          <w:tcPr>
            <w:tcW w:w="850" w:type="dxa"/>
            <w:tcBorders>
              <w:top w:val="single" w:sz="4"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1 485</w:t>
            </w:r>
          </w:p>
        </w:tc>
      </w:tr>
      <w:tr w:rsidR="00C558E9" w:rsidRPr="004D024F" w:rsidTr="00C558E9">
        <w:tc>
          <w:tcPr>
            <w:tcW w:w="7767" w:type="dxa"/>
            <w:gridSpan w:val="6"/>
            <w:tcBorders>
              <w:top w:val="nil"/>
              <w:left w:val="nil"/>
              <w:right w:val="nil"/>
            </w:tcBorders>
            <w:shd w:val="clear" w:color="auto" w:fill="FFFFFF"/>
          </w:tcPr>
          <w:p w:rsidR="00C558E9" w:rsidRPr="004D024F" w:rsidRDefault="00C558E9" w:rsidP="00C558E9">
            <w:pPr>
              <w:pStyle w:val="Tabletext"/>
              <w:ind w:left="227" w:hanging="227"/>
              <w:rPr>
                <w:rFonts w:eastAsiaTheme="minorEastAsia" w:cs="Calibri"/>
                <w:color w:val="000000"/>
                <w:szCs w:val="19"/>
                <w:lang w:eastAsia="en-AU"/>
              </w:rPr>
            </w:pPr>
            <w:r w:rsidRPr="004D024F">
              <w:rPr>
                <w:rFonts w:eastAsiaTheme="minorEastAsia"/>
                <w:b/>
                <w:bCs/>
                <w:color w:val="000000"/>
                <w:lang w:eastAsia="en-AU"/>
              </w:rPr>
              <w:t>Motor vehicle taxes</w:t>
            </w:r>
            <w:r w:rsidRPr="004D024F">
              <w:rPr>
                <w:rFonts w:eastAsiaTheme="minorEastAsia"/>
                <w:color w:val="000000"/>
                <w:lang w:eastAsia="en-AU"/>
              </w:rPr>
              <w:t xml:space="preserve"> </w:t>
            </w:r>
          </w:p>
        </w:tc>
      </w:tr>
      <w:tr w:rsidR="002C39A3" w:rsidRPr="004D024F" w:rsidTr="00C558E9">
        <w:tc>
          <w:tcPr>
            <w:tcW w:w="3517" w:type="dxa"/>
            <w:tcBorders>
              <w:top w:val="nil"/>
              <w:left w:val="nil"/>
              <w:right w:val="nil"/>
            </w:tcBorders>
            <w:shd w:val="clear" w:color="auto" w:fill="FFFFFF"/>
          </w:tcPr>
          <w:p w:rsidR="002C39A3" w:rsidRPr="004D024F" w:rsidRDefault="002C39A3" w:rsidP="00361FA9">
            <w:pPr>
              <w:pStyle w:val="Tabletext"/>
              <w:ind w:left="227" w:hanging="227"/>
              <w:rPr>
                <w:rFonts w:eastAsiaTheme="minorEastAsia"/>
                <w:color w:val="000000"/>
                <w:lang w:eastAsia="en-AU"/>
              </w:rPr>
            </w:pPr>
            <w:r w:rsidRPr="004D024F">
              <w:rPr>
                <w:rFonts w:eastAsiaTheme="minorEastAsia"/>
                <w:color w:val="000000"/>
                <w:lang w:eastAsia="en-AU"/>
              </w:rPr>
              <w:t xml:space="preserve">  Vehicle registration fees</w:t>
            </w:r>
          </w:p>
        </w:tc>
        <w:tc>
          <w:tcPr>
            <w:tcW w:w="850" w:type="dxa"/>
            <w:tcBorders>
              <w:top w:val="nil"/>
              <w:left w:val="nil"/>
              <w:right w:val="nil"/>
            </w:tcBorders>
            <w:shd w:val="clear" w:color="auto" w:fill="FFFFFF"/>
          </w:tcPr>
          <w:p w:rsidR="002C39A3" w:rsidRPr="004D024F" w:rsidRDefault="002C39A3" w:rsidP="00361FA9">
            <w:pPr>
              <w:pStyle w:val="TableofFigures"/>
              <w:rPr>
                <w:rFonts w:eastAsiaTheme="minorEastAsia"/>
                <w:color w:val="000000"/>
                <w:sz w:val="19"/>
                <w:lang w:eastAsia="en-AU"/>
              </w:rPr>
            </w:pPr>
            <w:r w:rsidRPr="004D024F">
              <w:rPr>
                <w:rFonts w:eastAsiaTheme="minorEastAsia"/>
                <w:color w:val="000000"/>
                <w:sz w:val="19"/>
                <w:lang w:eastAsia="en-AU"/>
              </w:rPr>
              <w:t>1 456</w:t>
            </w:r>
          </w:p>
        </w:tc>
        <w:tc>
          <w:tcPr>
            <w:tcW w:w="850" w:type="dxa"/>
            <w:tcBorders>
              <w:top w:val="nil"/>
              <w:left w:val="nil"/>
              <w:right w:val="nil"/>
            </w:tcBorders>
            <w:shd w:val="clear" w:color="auto" w:fill="FFFFFF"/>
          </w:tcPr>
          <w:p w:rsidR="002C39A3" w:rsidRPr="004D024F" w:rsidRDefault="002C39A3" w:rsidP="00361FA9">
            <w:pPr>
              <w:pStyle w:val="TableofFigures"/>
              <w:rPr>
                <w:rFonts w:eastAsiaTheme="minorEastAsia"/>
                <w:color w:val="000000"/>
                <w:sz w:val="19"/>
                <w:lang w:eastAsia="en-AU"/>
              </w:rPr>
            </w:pPr>
            <w:r w:rsidRPr="004D024F">
              <w:rPr>
                <w:rFonts w:eastAsiaTheme="minorEastAsia"/>
                <w:color w:val="000000"/>
                <w:sz w:val="19"/>
                <w:lang w:eastAsia="en-AU"/>
              </w:rPr>
              <w:t>1 532</w:t>
            </w:r>
          </w:p>
        </w:tc>
        <w:tc>
          <w:tcPr>
            <w:tcW w:w="850" w:type="dxa"/>
            <w:tcBorders>
              <w:top w:val="nil"/>
              <w:left w:val="nil"/>
              <w:right w:val="nil"/>
            </w:tcBorders>
            <w:shd w:val="clear" w:color="auto" w:fill="FFFFFF"/>
          </w:tcPr>
          <w:p w:rsidR="002C39A3" w:rsidRPr="004D024F" w:rsidRDefault="002C39A3" w:rsidP="00361FA9">
            <w:pPr>
              <w:pStyle w:val="TableofFigures"/>
              <w:rPr>
                <w:rFonts w:eastAsiaTheme="minorEastAsia"/>
                <w:color w:val="000000"/>
                <w:sz w:val="19"/>
                <w:lang w:eastAsia="en-AU"/>
              </w:rPr>
            </w:pPr>
            <w:r w:rsidRPr="004D024F">
              <w:rPr>
                <w:rFonts w:eastAsiaTheme="minorEastAsia"/>
                <w:color w:val="000000"/>
                <w:sz w:val="19"/>
                <w:lang w:eastAsia="en-AU"/>
              </w:rPr>
              <w:t>1 594</w:t>
            </w:r>
          </w:p>
        </w:tc>
        <w:tc>
          <w:tcPr>
            <w:tcW w:w="850" w:type="dxa"/>
            <w:tcBorders>
              <w:top w:val="nil"/>
              <w:left w:val="nil"/>
              <w:right w:val="nil"/>
            </w:tcBorders>
            <w:shd w:val="clear" w:color="auto" w:fill="FFFFFF"/>
          </w:tcPr>
          <w:p w:rsidR="002C39A3" w:rsidRPr="004D024F" w:rsidRDefault="002C39A3" w:rsidP="00361FA9">
            <w:pPr>
              <w:pStyle w:val="TableofFigures"/>
              <w:rPr>
                <w:rFonts w:eastAsiaTheme="minorEastAsia"/>
                <w:color w:val="000000"/>
                <w:sz w:val="19"/>
                <w:lang w:eastAsia="en-AU"/>
              </w:rPr>
            </w:pPr>
            <w:r w:rsidRPr="004D024F">
              <w:rPr>
                <w:rFonts w:eastAsiaTheme="minorEastAsia"/>
                <w:color w:val="000000"/>
                <w:sz w:val="19"/>
                <w:lang w:eastAsia="en-AU"/>
              </w:rPr>
              <w:t>1 658</w:t>
            </w:r>
          </w:p>
        </w:tc>
        <w:tc>
          <w:tcPr>
            <w:tcW w:w="850" w:type="dxa"/>
            <w:tcBorders>
              <w:top w:val="nil"/>
              <w:left w:val="nil"/>
              <w:right w:val="nil"/>
            </w:tcBorders>
            <w:shd w:val="clear" w:color="auto" w:fill="FFFFFF"/>
          </w:tcPr>
          <w:p w:rsidR="002C39A3" w:rsidRPr="004D024F" w:rsidRDefault="002C39A3" w:rsidP="00361FA9">
            <w:pPr>
              <w:pStyle w:val="TableofFigures"/>
              <w:rPr>
                <w:rFonts w:eastAsiaTheme="minorEastAsia"/>
                <w:color w:val="000000"/>
                <w:sz w:val="19"/>
                <w:lang w:eastAsia="en-AU"/>
              </w:rPr>
            </w:pPr>
            <w:r w:rsidRPr="004D024F">
              <w:rPr>
                <w:rFonts w:eastAsiaTheme="minorEastAsia"/>
                <w:color w:val="000000"/>
                <w:sz w:val="19"/>
                <w:lang w:eastAsia="en-AU"/>
              </w:rPr>
              <w:t>1 726</w:t>
            </w:r>
          </w:p>
        </w:tc>
      </w:tr>
      <w:tr w:rsidR="002C39A3" w:rsidRPr="004D024F" w:rsidTr="00C558E9">
        <w:tc>
          <w:tcPr>
            <w:tcW w:w="3517" w:type="dxa"/>
            <w:tcBorders>
              <w:top w:val="nil"/>
              <w:left w:val="nil"/>
              <w:bottom w:val="single" w:sz="6" w:space="0" w:color="auto"/>
              <w:right w:val="nil"/>
            </w:tcBorders>
            <w:shd w:val="clear" w:color="auto" w:fill="FFFFFF"/>
          </w:tcPr>
          <w:p w:rsidR="002C39A3" w:rsidRPr="004D024F" w:rsidRDefault="002C39A3" w:rsidP="00361FA9">
            <w:pPr>
              <w:pStyle w:val="Tabletext"/>
              <w:ind w:left="227" w:hanging="227"/>
              <w:rPr>
                <w:rFonts w:eastAsiaTheme="minorEastAsia"/>
                <w:color w:val="000000"/>
                <w:lang w:eastAsia="en-AU"/>
              </w:rPr>
            </w:pPr>
            <w:r w:rsidRPr="004D024F">
              <w:rPr>
                <w:rFonts w:eastAsiaTheme="minorEastAsia"/>
                <w:color w:val="000000"/>
                <w:lang w:eastAsia="en-AU"/>
              </w:rPr>
              <w:t xml:space="preserve">  Duty on vehicle registrations and transfers</w:t>
            </w:r>
          </w:p>
        </w:tc>
        <w:tc>
          <w:tcPr>
            <w:tcW w:w="850" w:type="dxa"/>
            <w:tcBorders>
              <w:top w:val="nil"/>
              <w:left w:val="nil"/>
              <w:bottom w:val="single" w:sz="6"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775</w:t>
            </w:r>
          </w:p>
        </w:tc>
        <w:tc>
          <w:tcPr>
            <w:tcW w:w="850" w:type="dxa"/>
            <w:tcBorders>
              <w:top w:val="nil"/>
              <w:left w:val="nil"/>
              <w:bottom w:val="single" w:sz="6"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802</w:t>
            </w:r>
          </w:p>
        </w:tc>
        <w:tc>
          <w:tcPr>
            <w:tcW w:w="850" w:type="dxa"/>
            <w:tcBorders>
              <w:top w:val="nil"/>
              <w:left w:val="nil"/>
              <w:bottom w:val="single" w:sz="6"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826</w:t>
            </w:r>
          </w:p>
        </w:tc>
        <w:tc>
          <w:tcPr>
            <w:tcW w:w="850" w:type="dxa"/>
            <w:tcBorders>
              <w:top w:val="nil"/>
              <w:left w:val="nil"/>
              <w:bottom w:val="single" w:sz="6"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851</w:t>
            </w:r>
          </w:p>
        </w:tc>
        <w:tc>
          <w:tcPr>
            <w:tcW w:w="850" w:type="dxa"/>
            <w:tcBorders>
              <w:top w:val="nil"/>
              <w:left w:val="nil"/>
              <w:bottom w:val="single" w:sz="6"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877</w:t>
            </w:r>
          </w:p>
        </w:tc>
      </w:tr>
      <w:tr w:rsidR="002C39A3" w:rsidRPr="004D024F" w:rsidTr="00C558E9">
        <w:tc>
          <w:tcPr>
            <w:tcW w:w="3517" w:type="dxa"/>
            <w:tcBorders>
              <w:top w:val="single" w:sz="6" w:space="0" w:color="auto"/>
              <w:left w:val="nil"/>
              <w:right w:val="nil"/>
            </w:tcBorders>
            <w:shd w:val="clear" w:color="auto" w:fill="FFFFFF"/>
          </w:tcPr>
          <w:p w:rsidR="002C39A3" w:rsidRPr="004D024F" w:rsidRDefault="002C39A3" w:rsidP="00361FA9">
            <w:pPr>
              <w:pStyle w:val="Tabletext"/>
              <w:ind w:left="227" w:hanging="227"/>
              <w:rPr>
                <w:rFonts w:eastAsiaTheme="minorEastAsia" w:cs="Calibri"/>
                <w:color w:val="000000"/>
                <w:szCs w:val="19"/>
                <w:lang w:eastAsia="en-AU"/>
              </w:rPr>
            </w:pPr>
            <w:r w:rsidRPr="004D024F">
              <w:rPr>
                <w:rFonts w:eastAsiaTheme="minorEastAsia"/>
                <w:color w:val="000000"/>
                <w:lang w:eastAsia="en-AU"/>
              </w:rPr>
              <w:t xml:space="preserve"> </w:t>
            </w:r>
          </w:p>
        </w:tc>
        <w:tc>
          <w:tcPr>
            <w:tcW w:w="850" w:type="dxa"/>
            <w:tcBorders>
              <w:top w:val="single" w:sz="6"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2 231</w:t>
            </w:r>
          </w:p>
        </w:tc>
        <w:tc>
          <w:tcPr>
            <w:tcW w:w="850" w:type="dxa"/>
            <w:tcBorders>
              <w:top w:val="single" w:sz="6"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2 334</w:t>
            </w:r>
          </w:p>
        </w:tc>
        <w:tc>
          <w:tcPr>
            <w:tcW w:w="850" w:type="dxa"/>
            <w:tcBorders>
              <w:top w:val="single" w:sz="6"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2 420</w:t>
            </w:r>
          </w:p>
        </w:tc>
        <w:tc>
          <w:tcPr>
            <w:tcW w:w="850" w:type="dxa"/>
            <w:tcBorders>
              <w:top w:val="single" w:sz="6"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2 509</w:t>
            </w:r>
          </w:p>
        </w:tc>
        <w:tc>
          <w:tcPr>
            <w:tcW w:w="850" w:type="dxa"/>
            <w:tcBorders>
              <w:top w:val="single" w:sz="6" w:space="0" w:color="auto"/>
              <w:left w:val="nil"/>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2 603</w:t>
            </w:r>
          </w:p>
        </w:tc>
      </w:tr>
      <w:tr w:rsidR="00C558E9" w:rsidRPr="004D024F" w:rsidTr="00C558E9">
        <w:tc>
          <w:tcPr>
            <w:tcW w:w="7767" w:type="dxa"/>
            <w:gridSpan w:val="6"/>
            <w:tcBorders>
              <w:top w:val="nil"/>
              <w:left w:val="nil"/>
              <w:right w:val="nil"/>
            </w:tcBorders>
            <w:shd w:val="clear" w:color="auto" w:fill="FFFFFF"/>
          </w:tcPr>
          <w:p w:rsidR="00C558E9" w:rsidRPr="004D024F" w:rsidRDefault="00C558E9" w:rsidP="00C558E9">
            <w:pPr>
              <w:pStyle w:val="Tabletext"/>
              <w:ind w:left="227" w:hanging="227"/>
              <w:rPr>
                <w:rFonts w:eastAsiaTheme="minorEastAsia" w:cs="Calibri"/>
                <w:color w:val="000000"/>
                <w:szCs w:val="19"/>
                <w:lang w:eastAsia="en-AU"/>
              </w:rPr>
            </w:pPr>
            <w:r w:rsidRPr="004D024F">
              <w:rPr>
                <w:rFonts w:eastAsiaTheme="minorEastAsia"/>
                <w:b/>
                <w:bCs/>
                <w:color w:val="000000"/>
                <w:lang w:eastAsia="en-AU"/>
              </w:rPr>
              <w:t>Other taxes</w:t>
            </w:r>
          </w:p>
        </w:tc>
      </w:tr>
      <w:tr w:rsidR="002C39A3" w:rsidRPr="004D024F" w:rsidTr="00C558E9">
        <w:tc>
          <w:tcPr>
            <w:tcW w:w="3517" w:type="dxa"/>
            <w:tcBorders>
              <w:top w:val="nil"/>
              <w:left w:val="nil"/>
              <w:right w:val="nil"/>
            </w:tcBorders>
            <w:shd w:val="clear" w:color="auto" w:fill="FFFFFF"/>
          </w:tcPr>
          <w:p w:rsidR="002C39A3" w:rsidRPr="004D024F" w:rsidRDefault="002C39A3" w:rsidP="00361FA9">
            <w:pPr>
              <w:pStyle w:val="Tabletext"/>
              <w:ind w:left="227" w:hanging="227"/>
              <w:rPr>
                <w:rFonts w:eastAsiaTheme="minorEastAsia"/>
                <w:color w:val="000000"/>
                <w:lang w:eastAsia="en-AU"/>
              </w:rPr>
            </w:pPr>
            <w:r w:rsidRPr="004D024F">
              <w:rPr>
                <w:rFonts w:eastAsiaTheme="minorEastAsia"/>
                <w:color w:val="000000"/>
                <w:lang w:eastAsia="en-AU"/>
              </w:rPr>
              <w:t xml:space="preserve">  Liquor licence fees</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22</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22</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23</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24</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24</w:t>
            </w:r>
          </w:p>
        </w:tc>
      </w:tr>
      <w:tr w:rsidR="002C39A3" w:rsidRPr="004D024F" w:rsidTr="00C558E9">
        <w:tc>
          <w:tcPr>
            <w:tcW w:w="3517" w:type="dxa"/>
            <w:tcBorders>
              <w:top w:val="nil"/>
              <w:left w:val="nil"/>
              <w:right w:val="nil"/>
            </w:tcBorders>
            <w:shd w:val="clear" w:color="auto" w:fill="FFFFFF"/>
          </w:tcPr>
          <w:p w:rsidR="002C39A3" w:rsidRPr="004D024F" w:rsidRDefault="002C39A3" w:rsidP="00361FA9">
            <w:pPr>
              <w:pStyle w:val="Tabletext"/>
              <w:ind w:left="227" w:hanging="227"/>
              <w:rPr>
                <w:rFonts w:eastAsiaTheme="minorEastAsia"/>
                <w:color w:val="000000"/>
                <w:lang w:eastAsia="en-AU"/>
              </w:rPr>
            </w:pPr>
            <w:r w:rsidRPr="004D024F">
              <w:rPr>
                <w:rFonts w:eastAsiaTheme="minorEastAsia"/>
                <w:color w:val="000000"/>
                <w:lang w:eastAsia="en-AU"/>
              </w:rPr>
              <w:t xml:space="preserve">  Landfill levy</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191</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200</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175</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177</w:t>
            </w:r>
          </w:p>
        </w:tc>
        <w:tc>
          <w:tcPr>
            <w:tcW w:w="850" w:type="dxa"/>
            <w:tcBorders>
              <w:top w:val="nil"/>
              <w:left w:val="nil"/>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177</w:t>
            </w:r>
          </w:p>
        </w:tc>
      </w:tr>
      <w:tr w:rsidR="002C39A3" w:rsidRPr="004D024F" w:rsidTr="00C558E9">
        <w:tc>
          <w:tcPr>
            <w:tcW w:w="3517" w:type="dxa"/>
            <w:tcBorders>
              <w:top w:val="nil"/>
              <w:left w:val="nil"/>
              <w:bottom w:val="single" w:sz="6" w:space="0" w:color="auto"/>
              <w:right w:val="nil"/>
            </w:tcBorders>
            <w:shd w:val="clear" w:color="auto" w:fill="FFFFFF"/>
          </w:tcPr>
          <w:p w:rsidR="002C39A3" w:rsidRPr="004D024F" w:rsidRDefault="002C39A3" w:rsidP="00361FA9">
            <w:pPr>
              <w:pStyle w:val="Tabletext"/>
              <w:ind w:left="227" w:hanging="227"/>
              <w:rPr>
                <w:rFonts w:eastAsiaTheme="minorEastAsia" w:cs="Calibri"/>
                <w:color w:val="000000"/>
                <w:szCs w:val="19"/>
                <w:vertAlign w:val="superscript"/>
                <w:lang w:eastAsia="en-AU"/>
              </w:rPr>
            </w:pPr>
            <w:r w:rsidRPr="004D024F">
              <w:rPr>
                <w:rFonts w:eastAsiaTheme="minorEastAsia"/>
                <w:color w:val="000000"/>
                <w:lang w:eastAsia="en-AU"/>
              </w:rPr>
              <w:t xml:space="preserve">  Transport fees </w:t>
            </w:r>
            <w:r w:rsidRPr="004D024F">
              <w:rPr>
                <w:rFonts w:eastAsiaTheme="minorEastAsia" w:cs="Calibri"/>
                <w:color w:val="000000"/>
                <w:szCs w:val="19"/>
                <w:vertAlign w:val="superscript"/>
                <w:lang w:eastAsia="en-AU"/>
              </w:rPr>
              <w:t>(b)</w:t>
            </w:r>
          </w:p>
        </w:tc>
        <w:tc>
          <w:tcPr>
            <w:tcW w:w="850" w:type="dxa"/>
            <w:tcBorders>
              <w:top w:val="nil"/>
              <w:left w:val="nil"/>
              <w:bottom w:val="single" w:sz="6"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114</w:t>
            </w:r>
          </w:p>
        </w:tc>
        <w:tc>
          <w:tcPr>
            <w:tcW w:w="850" w:type="dxa"/>
            <w:tcBorders>
              <w:top w:val="nil"/>
              <w:left w:val="nil"/>
              <w:bottom w:val="single" w:sz="6"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962</w:t>
            </w:r>
          </w:p>
        </w:tc>
        <w:tc>
          <w:tcPr>
            <w:tcW w:w="850" w:type="dxa"/>
            <w:tcBorders>
              <w:top w:val="nil"/>
              <w:left w:val="nil"/>
              <w:bottom w:val="single" w:sz="6"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35</w:t>
            </w:r>
          </w:p>
        </w:tc>
        <w:tc>
          <w:tcPr>
            <w:tcW w:w="850" w:type="dxa"/>
            <w:tcBorders>
              <w:top w:val="nil"/>
              <w:left w:val="nil"/>
              <w:bottom w:val="single" w:sz="6"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67</w:t>
            </w:r>
          </w:p>
        </w:tc>
        <w:tc>
          <w:tcPr>
            <w:tcW w:w="850" w:type="dxa"/>
            <w:tcBorders>
              <w:top w:val="nil"/>
              <w:left w:val="nil"/>
              <w:bottom w:val="single" w:sz="6" w:space="0" w:color="auto"/>
              <w:right w:val="nil"/>
            </w:tcBorders>
            <w:shd w:val="clear" w:color="auto" w:fill="FFFFFF"/>
          </w:tcPr>
          <w:p w:rsidR="002C39A3" w:rsidRPr="004D024F"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67</w:t>
            </w:r>
          </w:p>
        </w:tc>
      </w:tr>
      <w:tr w:rsidR="002C39A3" w:rsidRPr="004D024F" w:rsidTr="00C558E9">
        <w:tc>
          <w:tcPr>
            <w:tcW w:w="3517" w:type="dxa"/>
            <w:tcBorders>
              <w:top w:val="single" w:sz="6" w:space="0" w:color="auto"/>
              <w:left w:val="nil"/>
              <w:bottom w:val="single" w:sz="6" w:space="0" w:color="auto"/>
              <w:right w:val="nil"/>
            </w:tcBorders>
            <w:shd w:val="clear" w:color="auto" w:fill="FFFFFF"/>
          </w:tcPr>
          <w:p w:rsidR="002C39A3" w:rsidRPr="004D024F" w:rsidRDefault="002C39A3" w:rsidP="00361FA9">
            <w:pPr>
              <w:pStyle w:val="Tabletext"/>
              <w:ind w:left="227" w:hanging="227"/>
              <w:rPr>
                <w:rFonts w:eastAsiaTheme="minorEastAsia"/>
                <w:b/>
                <w:bCs/>
                <w:color w:val="000000"/>
                <w:lang w:eastAsia="en-AU"/>
              </w:rPr>
            </w:pPr>
            <w:r w:rsidRPr="004D024F">
              <w:rPr>
                <w:rFonts w:eastAsiaTheme="minorEastAsia"/>
                <w:b/>
                <w:bCs/>
                <w:color w:val="000000"/>
                <w:lang w:eastAsia="en-AU"/>
              </w:rPr>
              <w:t xml:space="preserve"> </w:t>
            </w:r>
          </w:p>
        </w:tc>
        <w:tc>
          <w:tcPr>
            <w:tcW w:w="850" w:type="dxa"/>
            <w:tcBorders>
              <w:top w:val="single" w:sz="6" w:space="0" w:color="auto"/>
              <w:left w:val="nil"/>
              <w:bottom w:val="single" w:sz="6" w:space="0" w:color="auto"/>
              <w:right w:val="nil"/>
            </w:tcBorders>
            <w:shd w:val="clear" w:color="auto" w:fill="FFFFFF"/>
          </w:tcPr>
          <w:p w:rsidR="002C39A3" w:rsidRPr="004D024F" w:rsidRDefault="00AF5DDD" w:rsidP="00361FA9">
            <w:pPr>
              <w:pStyle w:val="TableofFigures"/>
              <w:rPr>
                <w:rFonts w:eastAsiaTheme="minorEastAsia" w:cs="Calibri"/>
                <w:b/>
                <w:bCs/>
                <w:color w:val="000000"/>
                <w:sz w:val="19"/>
                <w:szCs w:val="19"/>
                <w:lang w:eastAsia="en-AU"/>
              </w:rPr>
            </w:pPr>
            <w:r>
              <w:rPr>
                <w:rFonts w:eastAsiaTheme="minorEastAsia"/>
                <w:b/>
                <w:color w:val="000000"/>
                <w:sz w:val="19"/>
                <w:lang w:eastAsia="en-AU"/>
              </w:rPr>
              <w:t>327</w:t>
            </w:r>
          </w:p>
        </w:tc>
        <w:tc>
          <w:tcPr>
            <w:tcW w:w="850" w:type="dxa"/>
            <w:tcBorders>
              <w:top w:val="single" w:sz="6" w:space="0" w:color="auto"/>
              <w:left w:val="nil"/>
              <w:bottom w:val="single" w:sz="6" w:space="0" w:color="auto"/>
              <w:right w:val="nil"/>
            </w:tcBorders>
            <w:shd w:val="clear" w:color="auto" w:fill="FFFFFF"/>
          </w:tcPr>
          <w:p w:rsidR="002C39A3" w:rsidRPr="004D024F" w:rsidRDefault="002C39A3" w:rsidP="00361FA9">
            <w:pPr>
              <w:pStyle w:val="TableofFigures"/>
              <w:rPr>
                <w:rFonts w:eastAsiaTheme="minorEastAsia" w:cs="Calibri"/>
                <w:b/>
                <w:bCs/>
                <w:color w:val="000000"/>
                <w:sz w:val="19"/>
                <w:szCs w:val="19"/>
                <w:lang w:eastAsia="en-AU"/>
              </w:rPr>
            </w:pPr>
            <w:r w:rsidRPr="004D024F">
              <w:rPr>
                <w:rFonts w:eastAsiaTheme="minorEastAsia"/>
                <w:b/>
                <w:color w:val="000000"/>
                <w:sz w:val="19"/>
                <w:lang w:eastAsia="en-AU"/>
              </w:rPr>
              <w:t>1</w:t>
            </w:r>
            <w:r w:rsidRPr="004D024F">
              <w:rPr>
                <w:rFonts w:eastAsiaTheme="minorEastAsia" w:cs="Calibri"/>
                <w:b/>
                <w:bCs/>
                <w:color w:val="000000"/>
                <w:sz w:val="19"/>
                <w:lang w:eastAsia="en-AU"/>
              </w:rPr>
              <w:t xml:space="preserve"> </w:t>
            </w:r>
            <w:r w:rsidRPr="004D024F">
              <w:rPr>
                <w:rFonts w:eastAsiaTheme="minorEastAsia" w:cs="Calibri"/>
                <w:b/>
                <w:bCs/>
                <w:color w:val="000000"/>
                <w:sz w:val="19"/>
                <w:szCs w:val="19"/>
                <w:lang w:eastAsia="en-AU"/>
              </w:rPr>
              <w:t>183</w:t>
            </w:r>
          </w:p>
        </w:tc>
        <w:tc>
          <w:tcPr>
            <w:tcW w:w="850" w:type="dxa"/>
            <w:tcBorders>
              <w:top w:val="single" w:sz="6" w:space="0" w:color="auto"/>
              <w:left w:val="nil"/>
              <w:bottom w:val="single" w:sz="6" w:space="0" w:color="auto"/>
              <w:right w:val="nil"/>
            </w:tcBorders>
            <w:shd w:val="clear" w:color="auto" w:fill="FFFFFF"/>
          </w:tcPr>
          <w:p w:rsidR="002C39A3" w:rsidRPr="004D024F" w:rsidRDefault="00AF5DDD" w:rsidP="00361FA9">
            <w:pPr>
              <w:pStyle w:val="TableofFigures"/>
              <w:rPr>
                <w:rFonts w:eastAsiaTheme="minorEastAsia" w:cs="Calibri"/>
                <w:b/>
                <w:bCs/>
                <w:color w:val="000000"/>
                <w:sz w:val="19"/>
                <w:szCs w:val="19"/>
                <w:lang w:eastAsia="en-AU"/>
              </w:rPr>
            </w:pPr>
            <w:r>
              <w:rPr>
                <w:rFonts w:eastAsiaTheme="minorEastAsia"/>
                <w:b/>
                <w:color w:val="000000"/>
                <w:sz w:val="19"/>
                <w:lang w:eastAsia="en-AU"/>
              </w:rPr>
              <w:t>233</w:t>
            </w:r>
          </w:p>
        </w:tc>
        <w:tc>
          <w:tcPr>
            <w:tcW w:w="850" w:type="dxa"/>
            <w:tcBorders>
              <w:top w:val="single" w:sz="6" w:space="0" w:color="auto"/>
              <w:left w:val="nil"/>
              <w:bottom w:val="single" w:sz="6" w:space="0" w:color="auto"/>
              <w:right w:val="nil"/>
            </w:tcBorders>
            <w:shd w:val="clear" w:color="auto" w:fill="FFFFFF"/>
          </w:tcPr>
          <w:p w:rsidR="002C39A3" w:rsidRPr="004D024F" w:rsidRDefault="00AF5DDD" w:rsidP="00361FA9">
            <w:pPr>
              <w:pStyle w:val="TableofFigures"/>
              <w:rPr>
                <w:rFonts w:eastAsiaTheme="minorEastAsia" w:cs="Calibri"/>
                <w:b/>
                <w:bCs/>
                <w:color w:val="000000"/>
                <w:sz w:val="19"/>
                <w:szCs w:val="19"/>
                <w:lang w:eastAsia="en-AU"/>
              </w:rPr>
            </w:pPr>
            <w:r>
              <w:rPr>
                <w:rFonts w:eastAsiaTheme="minorEastAsia"/>
                <w:b/>
                <w:color w:val="000000"/>
                <w:sz w:val="19"/>
                <w:lang w:eastAsia="en-AU"/>
              </w:rPr>
              <w:t>268</w:t>
            </w:r>
          </w:p>
        </w:tc>
        <w:tc>
          <w:tcPr>
            <w:tcW w:w="850" w:type="dxa"/>
            <w:tcBorders>
              <w:top w:val="single" w:sz="6" w:space="0" w:color="auto"/>
              <w:left w:val="nil"/>
              <w:bottom w:val="single" w:sz="6" w:space="0" w:color="auto"/>
              <w:right w:val="nil"/>
            </w:tcBorders>
            <w:shd w:val="clear" w:color="auto" w:fill="FFFFFF"/>
          </w:tcPr>
          <w:p w:rsidR="002C39A3" w:rsidRPr="004D024F" w:rsidRDefault="00AF5DDD" w:rsidP="00361FA9">
            <w:pPr>
              <w:pStyle w:val="TableofFigures"/>
              <w:rPr>
                <w:rFonts w:eastAsiaTheme="minorEastAsia" w:cs="Calibri"/>
                <w:b/>
                <w:bCs/>
                <w:color w:val="000000"/>
                <w:sz w:val="19"/>
                <w:szCs w:val="19"/>
                <w:lang w:eastAsia="en-AU"/>
              </w:rPr>
            </w:pPr>
            <w:r>
              <w:rPr>
                <w:rFonts w:eastAsiaTheme="minorEastAsia"/>
                <w:b/>
                <w:color w:val="000000"/>
                <w:sz w:val="19"/>
                <w:lang w:eastAsia="en-AU"/>
              </w:rPr>
              <w:t>269</w:t>
            </w:r>
          </w:p>
        </w:tc>
      </w:tr>
      <w:tr w:rsidR="002C39A3" w:rsidRPr="004D024F" w:rsidTr="00C558E9">
        <w:tc>
          <w:tcPr>
            <w:tcW w:w="3517" w:type="dxa"/>
            <w:tcBorders>
              <w:top w:val="single" w:sz="6" w:space="0" w:color="auto"/>
              <w:left w:val="nil"/>
              <w:bottom w:val="single" w:sz="12" w:space="0" w:color="auto"/>
              <w:right w:val="nil"/>
            </w:tcBorders>
            <w:shd w:val="clear" w:color="auto" w:fill="FFFFFF"/>
          </w:tcPr>
          <w:p w:rsidR="002C39A3" w:rsidRPr="004D024F" w:rsidRDefault="002C39A3" w:rsidP="00361FA9">
            <w:pPr>
              <w:pStyle w:val="Tabletext"/>
              <w:ind w:left="227" w:hanging="227"/>
              <w:rPr>
                <w:rFonts w:eastAsiaTheme="minorEastAsia"/>
                <w:b/>
                <w:bCs/>
                <w:color w:val="000000"/>
                <w:lang w:eastAsia="en-AU"/>
              </w:rPr>
            </w:pPr>
            <w:r w:rsidRPr="004D024F">
              <w:rPr>
                <w:rFonts w:eastAsiaTheme="minorEastAsia"/>
                <w:b/>
                <w:bCs/>
                <w:color w:val="000000"/>
                <w:lang w:eastAsia="en-AU"/>
              </w:rPr>
              <w:t>Total taxation</w:t>
            </w:r>
          </w:p>
        </w:tc>
        <w:tc>
          <w:tcPr>
            <w:tcW w:w="850" w:type="dxa"/>
            <w:tcBorders>
              <w:top w:val="single" w:sz="6" w:space="0" w:color="auto"/>
              <w:left w:val="nil"/>
              <w:bottom w:val="single" w:sz="12" w:space="0" w:color="auto"/>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20 079</w:t>
            </w:r>
          </w:p>
        </w:tc>
        <w:tc>
          <w:tcPr>
            <w:tcW w:w="850" w:type="dxa"/>
            <w:tcBorders>
              <w:top w:val="single" w:sz="6" w:space="0" w:color="auto"/>
              <w:left w:val="nil"/>
              <w:bottom w:val="single" w:sz="12" w:space="0" w:color="auto"/>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21 594</w:t>
            </w:r>
          </w:p>
        </w:tc>
        <w:tc>
          <w:tcPr>
            <w:tcW w:w="850" w:type="dxa"/>
            <w:tcBorders>
              <w:top w:val="single" w:sz="6" w:space="0" w:color="auto"/>
              <w:left w:val="nil"/>
              <w:bottom w:val="single" w:sz="12" w:space="0" w:color="auto"/>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21 292</w:t>
            </w:r>
          </w:p>
        </w:tc>
        <w:tc>
          <w:tcPr>
            <w:tcW w:w="850" w:type="dxa"/>
            <w:tcBorders>
              <w:top w:val="single" w:sz="6" w:space="0" w:color="auto"/>
              <w:left w:val="nil"/>
              <w:bottom w:val="single" w:sz="12" w:space="0" w:color="auto"/>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22 468</w:t>
            </w:r>
          </w:p>
        </w:tc>
        <w:tc>
          <w:tcPr>
            <w:tcW w:w="850" w:type="dxa"/>
            <w:tcBorders>
              <w:top w:val="single" w:sz="6" w:space="0" w:color="auto"/>
              <w:left w:val="nil"/>
              <w:bottom w:val="single" w:sz="12" w:space="0" w:color="auto"/>
              <w:right w:val="nil"/>
            </w:tcBorders>
            <w:shd w:val="clear" w:color="auto" w:fill="FFFFFF"/>
          </w:tcPr>
          <w:p w:rsidR="002C39A3" w:rsidRPr="004D024F" w:rsidRDefault="002C39A3" w:rsidP="00361FA9">
            <w:pPr>
              <w:pStyle w:val="TableofFigures"/>
              <w:rPr>
                <w:rFonts w:eastAsiaTheme="minorEastAsia"/>
                <w:b/>
                <w:color w:val="000000"/>
                <w:sz w:val="19"/>
                <w:lang w:eastAsia="en-AU"/>
              </w:rPr>
            </w:pPr>
            <w:r w:rsidRPr="004D024F">
              <w:rPr>
                <w:rFonts w:eastAsiaTheme="minorEastAsia"/>
                <w:b/>
                <w:color w:val="000000"/>
                <w:sz w:val="19"/>
                <w:lang w:eastAsia="en-AU"/>
              </w:rPr>
              <w:t>23 354</w:t>
            </w:r>
          </w:p>
        </w:tc>
      </w:tr>
    </w:tbl>
    <w:p w:rsidR="002C39A3" w:rsidRDefault="002C39A3" w:rsidP="00361FA9">
      <w:pPr>
        <w:pStyle w:val="Source"/>
        <w:rPr>
          <w:rFonts w:eastAsiaTheme="minorHAnsi"/>
        </w:rPr>
      </w:pPr>
      <w:r>
        <w:rPr>
          <w:rFonts w:eastAsiaTheme="minorHAnsi"/>
        </w:rPr>
        <w:t>Source: Department of Treasury and Finance</w:t>
      </w:r>
    </w:p>
    <w:p w:rsidR="002C39A3" w:rsidRDefault="002C39A3" w:rsidP="00361FA9">
      <w:pPr>
        <w:pStyle w:val="Notes"/>
        <w:rPr>
          <w:rFonts w:eastAsiaTheme="minorHAnsi"/>
        </w:rPr>
      </w:pPr>
      <w:r>
        <w:rPr>
          <w:rFonts w:eastAsiaTheme="minorHAnsi"/>
        </w:rPr>
        <w:t>Note:</w:t>
      </w:r>
    </w:p>
    <w:p w:rsidR="002C39A3" w:rsidRDefault="002C39A3" w:rsidP="00361FA9">
      <w:pPr>
        <w:pStyle w:val="Notes"/>
        <w:rPr>
          <w:rFonts w:eastAsiaTheme="minorHAnsi"/>
        </w:rPr>
      </w:pPr>
      <w:r>
        <w:rPr>
          <w:rFonts w:eastAsiaTheme="minorHAnsi"/>
        </w:rPr>
        <w:t xml:space="preserve">(a) </w:t>
      </w:r>
      <w:r>
        <w:rPr>
          <w:rFonts w:eastAsiaTheme="minorHAnsi"/>
        </w:rPr>
        <w:tab/>
        <w:t>The estimates include budget revenue measures. D</w:t>
      </w:r>
      <w:r w:rsidRPr="00375893">
        <w:rPr>
          <w:rFonts w:eastAsiaTheme="minorHAnsi"/>
        </w:rPr>
        <w:t>etails of specific revenue measures are contained in Budg</w:t>
      </w:r>
      <w:r>
        <w:rPr>
          <w:rFonts w:eastAsiaTheme="minorHAnsi"/>
        </w:rPr>
        <w:t xml:space="preserve">et Paper No. 3, Chapter 1 </w:t>
      </w:r>
      <w:r w:rsidRPr="00375893">
        <w:rPr>
          <w:rFonts w:eastAsiaTheme="minorHAnsi"/>
          <w:i w:val="0"/>
        </w:rPr>
        <w:t>Output, asset investment, savings and revenue initiatives</w:t>
      </w:r>
      <w:r w:rsidRPr="00375893">
        <w:rPr>
          <w:rFonts w:eastAsiaTheme="minorHAnsi"/>
        </w:rPr>
        <w:t>.</w:t>
      </w:r>
    </w:p>
    <w:p w:rsidR="002C39A3" w:rsidRPr="00427FEA" w:rsidRDefault="002C39A3" w:rsidP="00361FA9">
      <w:pPr>
        <w:pStyle w:val="Notes"/>
        <w:rPr>
          <w:rFonts w:eastAsiaTheme="minorHAnsi"/>
          <w:i w:val="0"/>
        </w:rPr>
      </w:pPr>
      <w:r>
        <w:rPr>
          <w:rFonts w:eastAsiaTheme="minorHAnsi"/>
        </w:rPr>
        <w:t xml:space="preserve">(b) </w:t>
      </w:r>
      <w:r>
        <w:rPr>
          <w:rFonts w:eastAsiaTheme="minorHAnsi"/>
        </w:rPr>
        <w:tab/>
        <w:t xml:space="preserve">Transport fees </w:t>
      </w:r>
      <w:r w:rsidRPr="00C81B43">
        <w:rPr>
          <w:rFonts w:eastAsiaTheme="minorHAnsi"/>
        </w:rPr>
        <w:t xml:space="preserve">revenue </w:t>
      </w:r>
      <w:r>
        <w:rPr>
          <w:rFonts w:eastAsiaTheme="minorHAnsi"/>
        </w:rPr>
        <w:t xml:space="preserve">includes an allowance for prepaid port licence fees </w:t>
      </w:r>
      <w:r w:rsidRPr="00C81B43">
        <w:rPr>
          <w:rFonts w:eastAsiaTheme="minorHAnsi"/>
        </w:rPr>
        <w:t>in the budget year.</w:t>
      </w:r>
    </w:p>
    <w:p w:rsidR="002C39A3" w:rsidRDefault="002C39A3" w:rsidP="00361FA9">
      <w:pPr>
        <w:pStyle w:val="Notes"/>
        <w:rPr>
          <w:rFonts w:eastAsiaTheme="minorHAnsi"/>
        </w:rPr>
      </w:pPr>
    </w:p>
    <w:p w:rsidR="002C39A3" w:rsidRDefault="002C39A3">
      <w:pPr>
        <w:spacing w:after="0"/>
        <w:rPr>
          <w:rFonts w:ascii="Calibri" w:eastAsiaTheme="minorHAnsi" w:hAnsi="Calibri"/>
          <w:b/>
          <w:kern w:val="28"/>
          <w:sz w:val="26"/>
          <w:szCs w:val="22"/>
        </w:rPr>
      </w:pPr>
      <w:r>
        <w:rPr>
          <w:rFonts w:eastAsiaTheme="minorHAnsi"/>
        </w:rPr>
        <w:br w:type="page"/>
      </w:r>
    </w:p>
    <w:p w:rsidR="002C39A3" w:rsidRDefault="002C39A3" w:rsidP="00361FA9">
      <w:pPr>
        <w:pStyle w:val="Heading2"/>
        <w:rPr>
          <w:rFonts w:eastAsiaTheme="minorHAnsi"/>
        </w:rPr>
      </w:pPr>
      <w:r>
        <w:rPr>
          <w:rFonts w:eastAsiaTheme="minorHAnsi"/>
        </w:rPr>
        <w:t>Land transfer duty</w:t>
      </w:r>
    </w:p>
    <w:p w:rsidR="002C39A3" w:rsidRPr="0020305C" w:rsidRDefault="002C39A3" w:rsidP="00361FA9">
      <w:pPr>
        <w:rPr>
          <w:rFonts w:eastAsiaTheme="minorHAnsi"/>
        </w:rPr>
      </w:pPr>
      <w:r>
        <w:rPr>
          <w:rFonts w:eastAsiaTheme="minorHAnsi"/>
        </w:rPr>
        <w:t xml:space="preserve">Duty is payable on most transactions that result in a change of ownership of land and associated real assets. Various exemptions and concessions are available, such as for concession card holders. </w:t>
      </w:r>
      <w:r w:rsidRPr="0024269C">
        <w:rPr>
          <w:rFonts w:eastAsiaTheme="minorHAnsi"/>
        </w:rPr>
        <w:t>The surcharge on foreign purchasers of residential property will be increased from 3 per cent to 7 per cent for con</w:t>
      </w:r>
      <w:r>
        <w:rPr>
          <w:rFonts w:eastAsiaTheme="minorHAnsi"/>
        </w:rPr>
        <w:t>tracts entered into on or after 1 </w:t>
      </w:r>
      <w:r w:rsidRPr="0024269C">
        <w:rPr>
          <w:rFonts w:eastAsiaTheme="minorHAnsi"/>
        </w:rPr>
        <w:t>July</w:t>
      </w:r>
      <w:r>
        <w:rPr>
          <w:rFonts w:eastAsiaTheme="minorHAnsi"/>
        </w:rPr>
        <w:t> </w:t>
      </w:r>
      <w:r w:rsidRPr="0024269C">
        <w:rPr>
          <w:rFonts w:eastAsiaTheme="minorHAnsi"/>
        </w:rPr>
        <w:t>2016.</w:t>
      </w:r>
    </w:p>
    <w:p w:rsidR="002C39A3" w:rsidRDefault="002C39A3" w:rsidP="00361FA9">
      <w:pPr>
        <w:rPr>
          <w:rFonts w:eastAsiaTheme="minorHAnsi"/>
        </w:rPr>
      </w:pPr>
      <w:r>
        <w:rPr>
          <w:rFonts w:eastAsiaTheme="minorHAnsi"/>
        </w:rPr>
        <w:t>Land transfer duty revenue is expected to generate $5.7 </w:t>
      </w:r>
      <w:r w:rsidRPr="004A3C48">
        <w:rPr>
          <w:rFonts w:eastAsiaTheme="minorHAnsi"/>
        </w:rPr>
        <w:t>billion</w:t>
      </w:r>
      <w:r>
        <w:rPr>
          <w:rFonts w:eastAsiaTheme="minorHAnsi"/>
        </w:rPr>
        <w:t xml:space="preserve"> in 2016</w:t>
      </w:r>
      <w:r>
        <w:rPr>
          <w:rFonts w:eastAsiaTheme="minorHAnsi"/>
        </w:rPr>
        <w:noBreakHyphen/>
        <w:t>17. This implies a moderate correction to the current upswing, which has seen 23 per cent average annual growth in revenue over the three years to 2015</w:t>
      </w:r>
      <w:r>
        <w:rPr>
          <w:rFonts w:eastAsiaTheme="minorHAnsi"/>
        </w:rPr>
        <w:noBreakHyphen/>
        <w:t>16.</w:t>
      </w:r>
    </w:p>
    <w:p w:rsidR="002C39A3" w:rsidRDefault="002C39A3" w:rsidP="00361FA9">
      <w:pPr>
        <w:rPr>
          <w:rFonts w:eastAsiaTheme="minorHAnsi"/>
        </w:rPr>
      </w:pPr>
      <w:r w:rsidRPr="00F73904">
        <w:rPr>
          <w:rFonts w:eastAsiaTheme="minorHAnsi"/>
        </w:rPr>
        <w:t>The exceptionally strong growth since mid-2013 has been driven by very strong demand from owner</w:t>
      </w:r>
      <w:r w:rsidRPr="00F73904">
        <w:rPr>
          <w:rFonts w:eastAsiaTheme="minorHAnsi"/>
        </w:rPr>
        <w:noBreakHyphen/>
        <w:t>occupiers and investors in both residential and commercial markets, supported by historically low interest rates. However, leading indicators of housing conditions have eased and the likelihood of a correction is increasing. Given the backdrop of a strengthening labour market, low interest rates and solid population fundamentals, the downswing is forecast to be modest compared with previous cycles.</w:t>
      </w:r>
    </w:p>
    <w:p w:rsidR="002C39A3" w:rsidRPr="007D1CB9" w:rsidRDefault="002C39A3" w:rsidP="00361FA9">
      <w:pPr>
        <w:rPr>
          <w:rFonts w:eastAsiaTheme="minorHAnsi"/>
        </w:rPr>
      </w:pPr>
      <w:r w:rsidRPr="00832979">
        <w:rPr>
          <w:rFonts w:eastAsiaTheme="minorHAnsi"/>
        </w:rPr>
        <w:t>Historically, property markets are volatile and can exhibit large cycles, often accompanied by swings in sentiment and changes in monetary policy. This creates</w:t>
      </w:r>
      <w:r>
        <w:rPr>
          <w:rFonts w:eastAsiaTheme="minorHAnsi"/>
        </w:rPr>
        <w:t xml:space="preserve"> a high level of uncertainty in predicting both the timing of a turning point, and the extent to which revenue growth may slow or contract (see Box 4.1). The forecast profile allows for a moderate correction in 2016</w:t>
      </w:r>
      <w:r>
        <w:rPr>
          <w:rFonts w:eastAsiaTheme="minorHAnsi"/>
        </w:rPr>
        <w:noBreakHyphen/>
        <w:t>17 before a return to trend growth by 2019</w:t>
      </w:r>
      <w:r>
        <w:rPr>
          <w:rFonts w:eastAsiaTheme="minorHAnsi"/>
        </w:rPr>
        <w:noBreakHyphen/>
        <w:t>20.</w:t>
      </w:r>
    </w:p>
    <w:p w:rsidR="002C39A3" w:rsidRDefault="002C39A3" w:rsidP="00361FA9">
      <w:pPr>
        <w:pStyle w:val="HighlightBoxHeading"/>
        <w:tabs>
          <w:tab w:val="left" w:pos="993"/>
        </w:tabs>
        <w:spacing w:after="100"/>
        <w:ind w:right="45"/>
        <w:rPr>
          <w:rFonts w:eastAsiaTheme="minorHAnsi"/>
        </w:rPr>
      </w:pPr>
      <w:r>
        <w:rPr>
          <w:rFonts w:eastAsiaTheme="minorHAnsi"/>
        </w:rPr>
        <w:t>Box 4.1</w:t>
      </w:r>
      <w:r w:rsidRPr="00D7676D">
        <w:rPr>
          <w:rFonts w:eastAsiaTheme="minorHAnsi"/>
        </w:rPr>
        <w:t xml:space="preserve">: </w:t>
      </w:r>
      <w:r w:rsidRPr="00D7676D">
        <w:rPr>
          <w:rFonts w:eastAsiaTheme="minorHAnsi"/>
        </w:rPr>
        <w:tab/>
        <w:t>Risks to land transfer duty revenue forecasts</w:t>
      </w:r>
    </w:p>
    <w:p w:rsidR="002C39A3" w:rsidRPr="00903BB0" w:rsidRDefault="002C39A3" w:rsidP="00361FA9">
      <w:pPr>
        <w:pStyle w:val="HighlightBoxText"/>
        <w:spacing w:after="100"/>
        <w:ind w:right="45"/>
        <w:rPr>
          <w:rFonts w:eastAsiaTheme="minorHAnsi"/>
        </w:rPr>
      </w:pPr>
      <w:r w:rsidRPr="00903BB0">
        <w:rPr>
          <w:rFonts w:eastAsiaTheme="minorHAnsi"/>
        </w:rPr>
        <w:t>Land transfer duty is expected to be the State</w:t>
      </w:r>
      <w:r w:rsidR="0097550F">
        <w:rPr>
          <w:rFonts w:eastAsiaTheme="minorHAnsi"/>
        </w:rPr>
        <w:t>’</w:t>
      </w:r>
      <w:r w:rsidRPr="00903BB0">
        <w:rPr>
          <w:rFonts w:eastAsiaTheme="minorHAnsi"/>
        </w:rPr>
        <w:t>s largest sou</w:t>
      </w:r>
      <w:r>
        <w:rPr>
          <w:rFonts w:eastAsiaTheme="minorHAnsi"/>
        </w:rPr>
        <w:t>rce of taxation revenue in 2016</w:t>
      </w:r>
      <w:r>
        <w:rPr>
          <w:rFonts w:eastAsiaTheme="minorHAnsi"/>
        </w:rPr>
        <w:noBreakHyphen/>
      </w:r>
      <w:r w:rsidRPr="00903BB0">
        <w:rPr>
          <w:rFonts w:eastAsiaTheme="minorHAnsi"/>
        </w:rPr>
        <w:t>17 and is directly linked to developments in the property market. The volatility of the property market, and its tendency to grow strongly before adjusting, has immediate and potentially significant impacts on State revenue. This volatility elevates the likelihood of forecast error and requires a prudent approach that balances risks.</w:t>
      </w:r>
    </w:p>
    <w:p w:rsidR="002C39A3" w:rsidRPr="00903BB0" w:rsidRDefault="002C39A3" w:rsidP="00361FA9">
      <w:pPr>
        <w:pStyle w:val="HighlightBoxText"/>
        <w:spacing w:after="100"/>
        <w:ind w:right="45"/>
        <w:rPr>
          <w:rFonts w:eastAsiaTheme="minorHAnsi"/>
        </w:rPr>
      </w:pPr>
      <w:r>
        <w:rPr>
          <w:rFonts w:eastAsiaTheme="minorHAnsi"/>
        </w:rPr>
        <w:t>Since mid-</w:t>
      </w:r>
      <w:r w:rsidRPr="00903BB0">
        <w:rPr>
          <w:rFonts w:eastAsiaTheme="minorHAnsi"/>
        </w:rPr>
        <w:t>2013, revenue has grown rapidly, with annual growth expected</w:t>
      </w:r>
      <w:r>
        <w:rPr>
          <w:rFonts w:eastAsiaTheme="minorHAnsi"/>
        </w:rPr>
        <w:t xml:space="preserve"> to reach 22.8 per cent in 2015</w:t>
      </w:r>
      <w:r>
        <w:rPr>
          <w:rFonts w:eastAsiaTheme="minorHAnsi"/>
        </w:rPr>
        <w:noBreakHyphen/>
      </w:r>
      <w:r w:rsidRPr="00903BB0">
        <w:rPr>
          <w:rFonts w:eastAsiaTheme="minorHAnsi"/>
        </w:rPr>
        <w:t>16, following 18.5 a</w:t>
      </w:r>
      <w:r>
        <w:rPr>
          <w:rFonts w:eastAsiaTheme="minorHAnsi"/>
        </w:rPr>
        <w:t>nd 27.2 per cent growth in 2014</w:t>
      </w:r>
      <w:r>
        <w:rPr>
          <w:rFonts w:eastAsiaTheme="minorHAnsi"/>
        </w:rPr>
        <w:noBreakHyphen/>
        <w:t>15 and 2013</w:t>
      </w:r>
      <w:r>
        <w:rPr>
          <w:rFonts w:eastAsiaTheme="minorHAnsi"/>
        </w:rPr>
        <w:noBreakHyphen/>
      </w:r>
      <w:r w:rsidRPr="00903BB0">
        <w:rPr>
          <w:rFonts w:eastAsiaTheme="minorHAnsi"/>
        </w:rPr>
        <w:t>14, respectively. Low interest rates and Victoria</w:t>
      </w:r>
      <w:r w:rsidR="0097550F">
        <w:rPr>
          <w:rFonts w:eastAsiaTheme="minorHAnsi"/>
        </w:rPr>
        <w:t>’</w:t>
      </w:r>
      <w:r w:rsidRPr="00903BB0">
        <w:rPr>
          <w:rFonts w:eastAsiaTheme="minorHAnsi"/>
        </w:rPr>
        <w:t>s strong population growth contributed to strength in the property market by o</w:t>
      </w:r>
      <w:r>
        <w:rPr>
          <w:rFonts w:eastAsiaTheme="minorHAnsi"/>
        </w:rPr>
        <w:t>wner</w:t>
      </w:r>
      <w:r>
        <w:rPr>
          <w:rFonts w:eastAsiaTheme="minorHAnsi"/>
        </w:rPr>
        <w:noBreakHyphen/>
      </w:r>
      <w:r w:rsidRPr="00903BB0">
        <w:rPr>
          <w:rFonts w:eastAsiaTheme="minorHAnsi"/>
        </w:rPr>
        <w:t xml:space="preserve">occupiers, investors and commercial interests. </w:t>
      </w:r>
    </w:p>
    <w:p w:rsidR="002C39A3" w:rsidRPr="00903BB0" w:rsidRDefault="002C39A3" w:rsidP="00361FA9">
      <w:pPr>
        <w:pStyle w:val="HighlightBoxText"/>
        <w:spacing w:after="100"/>
        <w:ind w:right="45"/>
        <w:rPr>
          <w:rFonts w:eastAsiaTheme="minorHAnsi"/>
        </w:rPr>
      </w:pPr>
      <w:r w:rsidRPr="00903BB0">
        <w:rPr>
          <w:rFonts w:eastAsiaTheme="minorHAnsi"/>
        </w:rPr>
        <w:t>This property upturn has been</w:t>
      </w:r>
      <w:r>
        <w:rPr>
          <w:rFonts w:eastAsiaTheme="minorHAnsi"/>
        </w:rPr>
        <w:t xml:space="preserve"> exceptionally strong</w:t>
      </w:r>
      <w:r w:rsidRPr="00903BB0">
        <w:rPr>
          <w:rFonts w:eastAsiaTheme="minorHAnsi"/>
        </w:rPr>
        <w:t xml:space="preserve">. Property cycles vary in duration and strength depending on complex interactions between interest rates, sentiment, wages, household balance sheets, population growth and demand from foreign investors. </w:t>
      </w:r>
    </w:p>
    <w:p w:rsidR="002C39A3" w:rsidRDefault="002C39A3" w:rsidP="00361FA9">
      <w:pPr>
        <w:pStyle w:val="HighlightBoxText"/>
        <w:spacing w:after="100"/>
        <w:ind w:right="45"/>
        <w:rPr>
          <w:rFonts w:eastAsiaTheme="minorHAnsi"/>
        </w:rPr>
      </w:pPr>
      <w:r w:rsidRPr="00903BB0">
        <w:rPr>
          <w:rFonts w:eastAsiaTheme="minorHAnsi"/>
        </w:rPr>
        <w:t>The budget forecasts land transfer d</w:t>
      </w:r>
      <w:r>
        <w:rPr>
          <w:rFonts w:eastAsiaTheme="minorHAnsi"/>
        </w:rPr>
        <w:t>uty collections in 2016</w:t>
      </w:r>
      <w:r>
        <w:rPr>
          <w:rFonts w:eastAsiaTheme="minorHAnsi"/>
        </w:rPr>
        <w:noBreakHyphen/>
      </w:r>
      <w:r w:rsidRPr="00903BB0">
        <w:rPr>
          <w:rFonts w:eastAsiaTheme="minorHAnsi"/>
        </w:rPr>
        <w:t>1</w:t>
      </w:r>
      <w:r>
        <w:rPr>
          <w:rFonts w:eastAsiaTheme="minorHAnsi"/>
        </w:rPr>
        <w:t xml:space="preserve">7 to fall by around </w:t>
      </w:r>
      <w:r w:rsidRPr="008A1A75">
        <w:rPr>
          <w:rFonts w:eastAsiaTheme="minorHAnsi"/>
        </w:rPr>
        <w:t>6 per cent. The projected decline in revenue is driven by an anticipated fall in the number of property transactions, while the pace of price growth is expected to ease. Revenue growth is forecast to begin its return to trend growth from 2017</w:t>
      </w:r>
      <w:r w:rsidRPr="008A1A75">
        <w:rPr>
          <w:rFonts w:eastAsiaTheme="minorHAnsi"/>
        </w:rPr>
        <w:noBreakHyphen/>
        <w:t>18, growing by</w:t>
      </w:r>
      <w:r>
        <w:rPr>
          <w:rFonts w:eastAsiaTheme="minorHAnsi"/>
        </w:rPr>
        <w:t xml:space="preserve"> 3.2 </w:t>
      </w:r>
      <w:r w:rsidRPr="003E611A">
        <w:rPr>
          <w:rFonts w:eastAsiaTheme="minorHAnsi"/>
        </w:rPr>
        <w:t>per</w:t>
      </w:r>
      <w:r>
        <w:rPr>
          <w:rFonts w:eastAsiaTheme="minorHAnsi"/>
        </w:rPr>
        <w:t> </w:t>
      </w:r>
      <w:r w:rsidRPr="003E611A">
        <w:rPr>
          <w:rFonts w:eastAsiaTheme="minorHAnsi"/>
        </w:rPr>
        <w:t>cent</w:t>
      </w:r>
      <w:r>
        <w:rPr>
          <w:rFonts w:eastAsiaTheme="minorHAnsi"/>
        </w:rPr>
        <w:t xml:space="preserve"> before</w:t>
      </w:r>
      <w:r w:rsidRPr="003E611A">
        <w:rPr>
          <w:rFonts w:eastAsiaTheme="minorHAnsi"/>
        </w:rPr>
        <w:t xml:space="preserve"> eventually </w:t>
      </w:r>
      <w:r>
        <w:rPr>
          <w:rFonts w:eastAsiaTheme="minorHAnsi"/>
        </w:rPr>
        <w:t>reaching</w:t>
      </w:r>
      <w:r w:rsidRPr="003E611A">
        <w:rPr>
          <w:rFonts w:eastAsiaTheme="minorHAnsi"/>
        </w:rPr>
        <w:t xml:space="preserve"> </w:t>
      </w:r>
      <w:r>
        <w:rPr>
          <w:rFonts w:eastAsiaTheme="minorHAnsi"/>
        </w:rPr>
        <w:t>growth of 6.1 </w:t>
      </w:r>
      <w:r w:rsidRPr="003E611A">
        <w:rPr>
          <w:rFonts w:eastAsiaTheme="minorHAnsi"/>
        </w:rPr>
        <w:t>per</w:t>
      </w:r>
      <w:r>
        <w:rPr>
          <w:rFonts w:eastAsiaTheme="minorHAnsi"/>
        </w:rPr>
        <w:t> </w:t>
      </w:r>
      <w:r w:rsidRPr="003E611A">
        <w:rPr>
          <w:rFonts w:eastAsiaTheme="minorHAnsi"/>
        </w:rPr>
        <w:t>cent by 2019-20</w:t>
      </w:r>
      <w:r>
        <w:rPr>
          <w:rFonts w:eastAsiaTheme="minorHAnsi"/>
        </w:rPr>
        <w:t xml:space="preserve">. </w:t>
      </w:r>
    </w:p>
    <w:p w:rsidR="002C39A3" w:rsidRDefault="002C39A3" w:rsidP="00361FA9">
      <w:pPr>
        <w:pStyle w:val="HighlightBoxText"/>
        <w:spacing w:after="100"/>
        <w:ind w:right="45"/>
        <w:rPr>
          <w:rFonts w:eastAsiaTheme="minorHAnsi"/>
        </w:rPr>
      </w:pPr>
      <w:r>
        <w:rPr>
          <w:rFonts w:eastAsiaTheme="minorHAnsi"/>
        </w:rPr>
        <w:t xml:space="preserve">Property market cycles are </w:t>
      </w:r>
      <w:r w:rsidRPr="00832979">
        <w:rPr>
          <w:rFonts w:eastAsiaTheme="minorHAnsi"/>
        </w:rPr>
        <w:t xml:space="preserve">often accompanied by changes in </w:t>
      </w:r>
      <w:r>
        <w:rPr>
          <w:rFonts w:eastAsiaTheme="minorHAnsi"/>
        </w:rPr>
        <w:t xml:space="preserve">interest rates </w:t>
      </w:r>
      <w:r w:rsidRPr="006D3CE6">
        <w:rPr>
          <w:rFonts w:eastAsiaTheme="minorHAnsi"/>
        </w:rPr>
        <w:t>(</w:t>
      </w:r>
      <w:r>
        <w:rPr>
          <w:rFonts w:eastAsiaTheme="minorHAnsi"/>
        </w:rPr>
        <w:t xml:space="preserve">see </w:t>
      </w:r>
      <w:r w:rsidRPr="006D3CE6">
        <w:rPr>
          <w:rFonts w:eastAsiaTheme="minorHAnsi"/>
        </w:rPr>
        <w:t>Chart 4.1).</w:t>
      </w:r>
      <w:r>
        <w:rPr>
          <w:rFonts w:eastAsiaTheme="minorHAnsi"/>
        </w:rPr>
        <w:t xml:space="preserve"> The expected continuation of low interest rates as well as solid economic and population growth support the central case for a gradual return to trend over the forward estimates.</w:t>
      </w:r>
    </w:p>
    <w:p w:rsidR="002C39A3" w:rsidRPr="00677228" w:rsidRDefault="002C39A3" w:rsidP="00361FA9">
      <w:pPr>
        <w:pStyle w:val="HighlightBoxHeading"/>
        <w:spacing w:after="100"/>
        <w:ind w:right="45"/>
        <w:rPr>
          <w:rFonts w:eastAsiaTheme="minorHAnsi"/>
          <w:vertAlign w:val="superscript"/>
        </w:rPr>
      </w:pPr>
      <w:r w:rsidRPr="00677228">
        <w:rPr>
          <w:rFonts w:eastAsiaTheme="minorHAnsi"/>
        </w:rPr>
        <w:t xml:space="preserve">Chart 4.1: </w:t>
      </w:r>
      <w:r w:rsidRPr="00677228">
        <w:rPr>
          <w:rFonts w:eastAsiaTheme="minorHAnsi"/>
        </w:rPr>
        <w:tab/>
        <w:t xml:space="preserve">Land transfer duty </w:t>
      </w:r>
      <w:r>
        <w:rPr>
          <w:rFonts w:eastAsiaTheme="minorHAnsi"/>
        </w:rPr>
        <w:t xml:space="preserve">(LTD) </w:t>
      </w:r>
      <w:r w:rsidRPr="00677228">
        <w:rPr>
          <w:rFonts w:eastAsiaTheme="minorHAnsi"/>
        </w:rPr>
        <w:t>revenue over recent property market cycles</w:t>
      </w:r>
      <w:r>
        <w:rPr>
          <w:rFonts w:eastAsiaTheme="minorHAnsi"/>
        </w:rPr>
        <w:t xml:space="preserve"> </w:t>
      </w:r>
      <w:r>
        <w:rPr>
          <w:rFonts w:eastAsiaTheme="minorHAnsi"/>
          <w:vertAlign w:val="superscript"/>
        </w:rPr>
        <w:t>(a)</w:t>
      </w:r>
    </w:p>
    <w:p w:rsidR="002C39A3" w:rsidRDefault="00A854D5" w:rsidP="00361FA9">
      <w:pPr>
        <w:pStyle w:val="HighlightBoxHeading"/>
        <w:spacing w:after="100"/>
        <w:ind w:right="45"/>
        <w:jc w:val="center"/>
        <w:rPr>
          <w:rFonts w:eastAsiaTheme="minorHAnsi"/>
        </w:rPr>
      </w:pPr>
      <w:r>
        <w:rPr>
          <w:rFonts w:eastAsia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85pt;height:210.25pt">
            <v:imagedata r:id="rId56" o:title=""/>
          </v:shape>
        </w:pict>
      </w:r>
    </w:p>
    <w:p w:rsidR="002C39A3" w:rsidRPr="0021195A" w:rsidRDefault="002C39A3" w:rsidP="00361FA9">
      <w:pPr>
        <w:pStyle w:val="HighlightBoxText"/>
        <w:spacing w:after="100"/>
        <w:ind w:right="45"/>
        <w:rPr>
          <w:rFonts w:asciiTheme="minorHAnsi" w:eastAsiaTheme="minorHAnsi" w:hAnsiTheme="minorHAnsi"/>
          <w:i/>
          <w:sz w:val="15"/>
          <w:szCs w:val="16"/>
        </w:rPr>
      </w:pPr>
      <w:r w:rsidRPr="0021195A">
        <w:rPr>
          <w:rFonts w:asciiTheme="minorHAnsi" w:eastAsiaTheme="minorHAnsi" w:hAnsiTheme="minorHAnsi"/>
          <w:i/>
          <w:sz w:val="15"/>
          <w:szCs w:val="16"/>
        </w:rPr>
        <w:t xml:space="preserve">Source: Department of Treasury and Finance; Reserve Bank of Australia </w:t>
      </w:r>
    </w:p>
    <w:p w:rsidR="002C39A3" w:rsidRDefault="002C39A3" w:rsidP="00361FA9">
      <w:pPr>
        <w:pStyle w:val="HighlightBoxText"/>
        <w:tabs>
          <w:tab w:val="left" w:pos="426"/>
        </w:tabs>
        <w:spacing w:after="100"/>
        <w:ind w:right="45"/>
        <w:rPr>
          <w:rFonts w:asciiTheme="minorHAnsi" w:hAnsiTheme="minorHAnsi"/>
          <w:i/>
          <w:sz w:val="15"/>
          <w:szCs w:val="16"/>
        </w:rPr>
      </w:pPr>
      <w:r w:rsidRPr="0021195A">
        <w:rPr>
          <w:rFonts w:asciiTheme="minorHAnsi" w:eastAsiaTheme="minorHAnsi" w:hAnsiTheme="minorHAnsi"/>
          <w:i/>
          <w:sz w:val="15"/>
          <w:szCs w:val="16"/>
        </w:rPr>
        <w:t>Note:</w:t>
      </w:r>
      <w:r w:rsidRPr="0021195A">
        <w:rPr>
          <w:rFonts w:asciiTheme="minorHAnsi" w:eastAsiaTheme="minorHAnsi" w:hAnsiTheme="minorHAnsi"/>
          <w:i/>
          <w:sz w:val="15"/>
          <w:szCs w:val="16"/>
        </w:rPr>
        <w:br/>
      </w:r>
      <w:r w:rsidRPr="0021195A">
        <w:rPr>
          <w:rFonts w:asciiTheme="minorHAnsi" w:hAnsiTheme="minorHAnsi"/>
          <w:i/>
          <w:sz w:val="15"/>
          <w:szCs w:val="16"/>
        </w:rPr>
        <w:t>(a)</w:t>
      </w:r>
      <w:r w:rsidRPr="0021195A">
        <w:rPr>
          <w:rFonts w:asciiTheme="minorHAnsi" w:hAnsiTheme="minorHAnsi"/>
          <w:i/>
          <w:sz w:val="15"/>
          <w:szCs w:val="16"/>
        </w:rPr>
        <w:tab/>
        <w:t>Shaded areas represent recent property market cycles</w:t>
      </w:r>
    </w:p>
    <w:p w:rsidR="002C39A3" w:rsidRDefault="002C39A3" w:rsidP="00361FA9">
      <w:pPr>
        <w:pStyle w:val="HighlightBoxText"/>
        <w:tabs>
          <w:tab w:val="left" w:pos="426"/>
        </w:tabs>
        <w:spacing w:after="100"/>
        <w:ind w:right="45"/>
        <w:rPr>
          <w:rFonts w:eastAsiaTheme="minorHAnsi"/>
        </w:rPr>
      </w:pPr>
      <w:r w:rsidRPr="00104FE4">
        <w:rPr>
          <w:rFonts w:eastAsiaTheme="minorHAnsi"/>
        </w:rPr>
        <w:t xml:space="preserve">There are risks to </w:t>
      </w:r>
      <w:r w:rsidRPr="008A1A75">
        <w:rPr>
          <w:rFonts w:eastAsiaTheme="minorHAnsi"/>
        </w:rPr>
        <w:t>these forecasts</w:t>
      </w:r>
      <w:r w:rsidRPr="008A1A75">
        <w:rPr>
          <w:rFonts w:eastAsiaTheme="minorHAnsi"/>
          <w:i/>
        </w:rPr>
        <w:t>.</w:t>
      </w:r>
      <w:r w:rsidRPr="008A1A75">
        <w:rPr>
          <w:rFonts w:eastAsiaTheme="minorHAnsi"/>
        </w:rPr>
        <w:t xml:space="preserve"> On the upside, current interest rates remain accommodative and underlying demand remains robust, reflecting strong population growth. If the Victorian economy outperforms relative to expectations and, for example, the Reserve Bank of Australia cuts interest rates due to weaker demand</w:t>
      </w:r>
      <w:r w:rsidRPr="000E0DC2">
        <w:rPr>
          <w:rFonts w:eastAsiaTheme="minorHAnsi"/>
        </w:rPr>
        <w:t xml:space="preserve"> and investment nationally, the property market could retain momentum relative to t</w:t>
      </w:r>
      <w:r>
        <w:rPr>
          <w:rFonts w:eastAsiaTheme="minorHAnsi"/>
        </w:rPr>
        <w:t>he central case forecasts.</w:t>
      </w:r>
      <w:r w:rsidRPr="000E0DC2">
        <w:rPr>
          <w:rFonts w:eastAsiaTheme="minorHAnsi"/>
        </w:rPr>
        <w:t xml:space="preserve"> </w:t>
      </w:r>
    </w:p>
    <w:p w:rsidR="002C39A3" w:rsidRPr="000E0DC2" w:rsidRDefault="002C39A3" w:rsidP="00361FA9">
      <w:pPr>
        <w:pStyle w:val="HighlightBoxText"/>
        <w:tabs>
          <w:tab w:val="left" w:pos="426"/>
        </w:tabs>
        <w:spacing w:after="100"/>
        <w:ind w:right="45"/>
        <w:rPr>
          <w:rFonts w:eastAsiaTheme="minorHAnsi"/>
        </w:rPr>
      </w:pPr>
      <w:r w:rsidRPr="000E0DC2">
        <w:rPr>
          <w:rFonts w:eastAsiaTheme="minorHAnsi"/>
        </w:rPr>
        <w:t xml:space="preserve">On the </w:t>
      </w:r>
      <w:r w:rsidRPr="008A1A75">
        <w:rPr>
          <w:rFonts w:eastAsiaTheme="minorHAnsi"/>
        </w:rPr>
        <w:t>downside, Melbourne house price growth could slow more than anticipated. Domestically, there is a risk that further out-of-cycle increases in interest rates (reflecting</w:t>
      </w:r>
      <w:r w:rsidRPr="004E177A">
        <w:rPr>
          <w:rFonts w:eastAsiaTheme="minorHAnsi"/>
        </w:rPr>
        <w:t xml:space="preserve"> hi</w:t>
      </w:r>
      <w:r w:rsidRPr="000E0DC2">
        <w:rPr>
          <w:rFonts w:eastAsiaTheme="minorHAnsi"/>
        </w:rPr>
        <w:t>gher costs of capital), combined with ongoing impacts from macro</w:t>
      </w:r>
      <w:r>
        <w:rPr>
          <w:rFonts w:eastAsiaTheme="minorHAnsi"/>
        </w:rPr>
        <w:noBreakHyphen/>
      </w:r>
      <w:r w:rsidRPr="000E0DC2">
        <w:rPr>
          <w:rFonts w:eastAsiaTheme="minorHAnsi"/>
        </w:rPr>
        <w:t xml:space="preserve">prudential measures to curb investor demand, </w:t>
      </w:r>
      <w:r w:rsidRPr="00BE213A">
        <w:rPr>
          <w:rFonts w:eastAsiaTheme="minorHAnsi"/>
        </w:rPr>
        <w:t>could see sentiment fall</w:t>
      </w:r>
      <w:r>
        <w:rPr>
          <w:rFonts w:eastAsiaTheme="minorHAnsi"/>
        </w:rPr>
        <w:t xml:space="preserve"> relative to expectations</w:t>
      </w:r>
      <w:r w:rsidRPr="00BE213A">
        <w:rPr>
          <w:rFonts w:eastAsiaTheme="minorHAnsi"/>
        </w:rPr>
        <w:t>.</w:t>
      </w:r>
      <w:r w:rsidRPr="000E0DC2">
        <w:rPr>
          <w:rFonts w:eastAsiaTheme="minorHAnsi"/>
        </w:rPr>
        <w:t xml:space="preserve"> Internationally, a sharp slowdown in the Chinese or </w:t>
      </w:r>
      <w:r>
        <w:rPr>
          <w:rFonts w:eastAsiaTheme="minorHAnsi"/>
        </w:rPr>
        <w:t xml:space="preserve">other </w:t>
      </w:r>
      <w:r w:rsidRPr="000E0DC2">
        <w:rPr>
          <w:rFonts w:eastAsiaTheme="minorHAnsi"/>
        </w:rPr>
        <w:t xml:space="preserve">global economies could see a return of increased financial market volatility and lower equity prices in Australia. Shocks of this nature impact on sentiment and expectations </w:t>
      </w:r>
      <w:r>
        <w:rPr>
          <w:rFonts w:eastAsiaTheme="minorHAnsi"/>
        </w:rPr>
        <w:t>of</w:t>
      </w:r>
      <w:r w:rsidRPr="000E0DC2">
        <w:rPr>
          <w:rFonts w:eastAsiaTheme="minorHAnsi"/>
        </w:rPr>
        <w:t xml:space="preserve"> asset price growth and could see land transfer duty reven</w:t>
      </w:r>
      <w:r>
        <w:rPr>
          <w:rFonts w:eastAsiaTheme="minorHAnsi"/>
        </w:rPr>
        <w:t>ue forecasts underperform</w:t>
      </w:r>
      <w:r w:rsidRPr="000E0DC2">
        <w:rPr>
          <w:rFonts w:eastAsiaTheme="minorHAnsi"/>
        </w:rPr>
        <w:t xml:space="preserve">. </w:t>
      </w:r>
    </w:p>
    <w:p w:rsidR="002C39A3" w:rsidRDefault="002C39A3" w:rsidP="00361FA9">
      <w:pPr>
        <w:pStyle w:val="Heading2"/>
        <w:rPr>
          <w:rFonts w:eastAsiaTheme="minorHAnsi"/>
        </w:rPr>
      </w:pPr>
      <w:r>
        <w:rPr>
          <w:rFonts w:eastAsiaTheme="minorHAnsi"/>
        </w:rPr>
        <w:t>Land tax</w:t>
      </w:r>
    </w:p>
    <w:p w:rsidR="002C39A3" w:rsidRPr="008A1A75" w:rsidRDefault="002C39A3" w:rsidP="00361FA9">
      <w:pPr>
        <w:rPr>
          <w:rFonts w:eastAsiaTheme="minorHAnsi"/>
        </w:rPr>
      </w:pPr>
      <w:r w:rsidRPr="007706E0">
        <w:rPr>
          <w:rFonts w:eastAsiaTheme="minorHAnsi"/>
        </w:rPr>
        <w:t>Land tax is an annual tax assessed on the unimproved</w:t>
      </w:r>
      <w:r>
        <w:rPr>
          <w:rFonts w:eastAsiaTheme="minorHAnsi"/>
        </w:rPr>
        <w:t xml:space="preserve"> </w:t>
      </w:r>
      <w:r w:rsidRPr="007706E0">
        <w:rPr>
          <w:rFonts w:eastAsiaTheme="minorHAnsi"/>
        </w:rPr>
        <w:t>value of land</w:t>
      </w:r>
      <w:r>
        <w:rPr>
          <w:rFonts w:eastAsiaTheme="minorHAnsi"/>
        </w:rPr>
        <w:t xml:space="preserve"> (site value)</w:t>
      </w:r>
      <w:r w:rsidRPr="007706E0">
        <w:rPr>
          <w:rFonts w:eastAsiaTheme="minorHAnsi"/>
        </w:rPr>
        <w:t xml:space="preserve">. </w:t>
      </w:r>
      <w:r>
        <w:rPr>
          <w:rFonts w:eastAsiaTheme="minorHAnsi"/>
        </w:rPr>
        <w:t>C</w:t>
      </w:r>
      <w:r w:rsidRPr="007706E0">
        <w:rPr>
          <w:rFonts w:eastAsiaTheme="minorHAnsi"/>
        </w:rPr>
        <w:t xml:space="preserve">ategories </w:t>
      </w:r>
      <w:r>
        <w:rPr>
          <w:rFonts w:eastAsiaTheme="minorHAnsi"/>
        </w:rPr>
        <w:t xml:space="preserve">of land such as principal places of residence and primary production </w:t>
      </w:r>
      <w:r w:rsidRPr="007706E0">
        <w:rPr>
          <w:rFonts w:eastAsiaTheme="minorHAnsi"/>
        </w:rPr>
        <w:t xml:space="preserve">land are exempt under the </w:t>
      </w:r>
      <w:r w:rsidRPr="008A1A75">
        <w:rPr>
          <w:rFonts w:eastAsiaTheme="minorHAnsi"/>
          <w:i/>
        </w:rPr>
        <w:t>Land Tax Act 2005</w:t>
      </w:r>
      <w:r w:rsidRPr="008A1A75">
        <w:rPr>
          <w:rFonts w:eastAsiaTheme="minorHAnsi"/>
        </w:rPr>
        <w:t xml:space="preserve">. </w:t>
      </w:r>
    </w:p>
    <w:p w:rsidR="002C39A3" w:rsidRPr="007706E0" w:rsidRDefault="002C39A3" w:rsidP="00361FA9">
      <w:pPr>
        <w:rPr>
          <w:rFonts w:eastAsiaTheme="minorHAnsi"/>
        </w:rPr>
      </w:pPr>
      <w:r w:rsidRPr="008A1A75">
        <w:rPr>
          <w:rFonts w:eastAsiaTheme="minorHAnsi"/>
        </w:rPr>
        <w:t>The absentee landowner surcharge will rise to 1.5 per cent from the 2017 land tax year. Further, the State Revenue Office (SRO) will undertake compliance programs to ensure property taxes and duties are correctly paid.</w:t>
      </w:r>
      <w:r>
        <w:rPr>
          <w:rFonts w:eastAsiaTheme="minorHAnsi"/>
        </w:rPr>
        <w:t xml:space="preserve"> </w:t>
      </w:r>
    </w:p>
    <w:p w:rsidR="00CC22BA" w:rsidRDefault="00CC22BA">
      <w:pPr>
        <w:spacing w:after="0"/>
        <w:rPr>
          <w:rFonts w:eastAsiaTheme="minorHAnsi"/>
        </w:rPr>
      </w:pPr>
      <w:r>
        <w:rPr>
          <w:rFonts w:eastAsiaTheme="minorHAnsi"/>
        </w:rPr>
        <w:br w:type="page"/>
      </w:r>
    </w:p>
    <w:p w:rsidR="002C39A3" w:rsidRPr="008A1A75" w:rsidRDefault="002C39A3" w:rsidP="00361FA9">
      <w:pPr>
        <w:rPr>
          <w:rFonts w:eastAsiaTheme="minorHAnsi"/>
        </w:rPr>
      </w:pPr>
      <w:r>
        <w:rPr>
          <w:rFonts w:eastAsiaTheme="minorHAnsi"/>
        </w:rPr>
        <w:t xml:space="preserve">The value of unimproved land is based on an individual assessment of </w:t>
      </w:r>
      <w:r w:rsidRPr="00E53E75">
        <w:rPr>
          <w:rFonts w:eastAsiaTheme="minorHAnsi"/>
        </w:rPr>
        <w:t>each site</w:t>
      </w:r>
      <w:r>
        <w:rPr>
          <w:rFonts w:eastAsiaTheme="minorHAnsi"/>
        </w:rPr>
        <w:t xml:space="preserve"> across Victoria</w:t>
      </w:r>
      <w:r w:rsidRPr="00E53E75">
        <w:rPr>
          <w:rFonts w:eastAsiaTheme="minorHAnsi"/>
        </w:rPr>
        <w:t xml:space="preserve">. Factors that are considered in determining the value of land include recent land sales, development potential of the site, location, </w:t>
      </w:r>
      <w:r>
        <w:rPr>
          <w:rFonts w:eastAsiaTheme="minorHAnsi"/>
        </w:rPr>
        <w:t xml:space="preserve">and </w:t>
      </w:r>
      <w:r w:rsidRPr="00E53E75">
        <w:rPr>
          <w:rFonts w:eastAsiaTheme="minorHAnsi"/>
        </w:rPr>
        <w:t>planning guidelines as they relate to new redevel</w:t>
      </w:r>
      <w:r>
        <w:rPr>
          <w:rFonts w:eastAsiaTheme="minorHAnsi"/>
        </w:rPr>
        <w:t>opments or allowances for mixed</w:t>
      </w:r>
      <w:r>
        <w:rPr>
          <w:rFonts w:eastAsiaTheme="minorHAnsi"/>
        </w:rPr>
        <w:noBreakHyphen/>
      </w:r>
      <w:r w:rsidRPr="00E53E75">
        <w:rPr>
          <w:rFonts w:eastAsiaTheme="minorHAnsi"/>
        </w:rPr>
        <w:t>use properties. Assessing each of these factors can be complex</w:t>
      </w:r>
      <w:r>
        <w:rPr>
          <w:rFonts w:eastAsiaTheme="minorHAnsi"/>
        </w:rPr>
        <w:t>,</w:t>
      </w:r>
      <w:r w:rsidRPr="00E53E75">
        <w:rPr>
          <w:rFonts w:eastAsiaTheme="minorHAnsi"/>
        </w:rPr>
        <w:t xml:space="preserve"> especially in </w:t>
      </w:r>
      <w:r w:rsidRPr="008A1A75">
        <w:rPr>
          <w:rFonts w:eastAsiaTheme="minorHAnsi"/>
        </w:rPr>
        <w:t>handling valuations for mixed-use properties or finding sufficient land sales data for metropolitan areas.</w:t>
      </w:r>
    </w:p>
    <w:p w:rsidR="002C39A3" w:rsidRPr="007706E0" w:rsidRDefault="002C39A3" w:rsidP="00361FA9">
      <w:pPr>
        <w:rPr>
          <w:rFonts w:eastAsiaTheme="minorHAnsi"/>
        </w:rPr>
      </w:pPr>
      <w:r w:rsidRPr="008A1A75">
        <w:rPr>
          <w:rFonts w:eastAsiaTheme="minorHAnsi"/>
        </w:rPr>
        <w:t>Land tax revenue is forecast to increase in 2016</w:t>
      </w:r>
      <w:r w:rsidRPr="008A1A75">
        <w:rPr>
          <w:rFonts w:eastAsiaTheme="minorHAnsi"/>
        </w:rPr>
        <w:noBreakHyphen/>
        <w:t>17 by 28.3 per cent largely as a result of the biennial land revaluation which is currently underway. This latest revaluation cycle covers the period from 1 January 2014 to 1 January 2016. The most recent valuation</w:t>
      </w:r>
      <w:r w:rsidRPr="007706E0">
        <w:rPr>
          <w:rFonts w:eastAsiaTheme="minorHAnsi"/>
        </w:rPr>
        <w:t xml:space="preserve"> data suggest that the strength in the property market over this period will translate into significant increases in the value of residential, commercial and industrial land.</w:t>
      </w:r>
    </w:p>
    <w:p w:rsidR="002C39A3" w:rsidRDefault="002C39A3" w:rsidP="00361FA9">
      <w:pPr>
        <w:rPr>
          <w:rFonts w:eastAsiaTheme="minorHAnsi"/>
        </w:rPr>
      </w:pPr>
      <w:r w:rsidRPr="007706E0">
        <w:rPr>
          <w:rFonts w:eastAsiaTheme="minorHAnsi"/>
        </w:rPr>
        <w:t>The revaluation process, from planning to the issuance of the new land tax assessments, takes approximately two years</w:t>
      </w:r>
      <w:r>
        <w:rPr>
          <w:rFonts w:eastAsiaTheme="minorHAnsi"/>
        </w:rPr>
        <w:t xml:space="preserve"> (Figure 4.1)</w:t>
      </w:r>
      <w:r w:rsidRPr="007706E0">
        <w:rPr>
          <w:rFonts w:eastAsiaTheme="minorHAnsi"/>
        </w:rPr>
        <w:t xml:space="preserve">. While municipal councils are responsible for carrying out valuations, the Valuer-General Victoria (VGV) has oversight of the process and coordinates the completed valuations. Individual submissions by the municipal valuers are audited by the VGV for consistency in line with the </w:t>
      </w:r>
      <w:r w:rsidRPr="00A477CB">
        <w:rPr>
          <w:rFonts w:eastAsiaTheme="minorHAnsi"/>
          <w:i/>
        </w:rPr>
        <w:t>2016 Valuation Best Practice Specifications Guidelines</w:t>
      </w:r>
      <w:r w:rsidRPr="007706E0">
        <w:rPr>
          <w:rFonts w:eastAsiaTheme="minorHAnsi"/>
        </w:rPr>
        <w:t>.</w:t>
      </w:r>
    </w:p>
    <w:p w:rsidR="002C39A3" w:rsidRPr="00631B51" w:rsidRDefault="002C39A3" w:rsidP="00361FA9">
      <w:pPr>
        <w:pStyle w:val="Chartheading"/>
        <w:rPr>
          <w:vertAlign w:val="superscript"/>
        </w:rPr>
      </w:pPr>
      <w:r>
        <w:t>Figure 4.1</w:t>
      </w:r>
      <w:r w:rsidRPr="00653B52">
        <w:t>:</w:t>
      </w:r>
      <w:r>
        <w:tab/>
        <w:t xml:space="preserve">Land revaluation process </w:t>
      </w:r>
      <w:r>
        <w:rPr>
          <w:vertAlign w:val="superscript"/>
        </w:rPr>
        <w:t>(a)</w:t>
      </w:r>
    </w:p>
    <w:p w:rsidR="002C39A3" w:rsidRPr="00C97C62" w:rsidRDefault="002C39A3" w:rsidP="00361FA9">
      <w:pPr>
        <w:pStyle w:val="Chartpara"/>
        <w:rPr>
          <w:rFonts w:eastAsiaTheme="minorHAnsi"/>
        </w:rPr>
      </w:pPr>
      <w:r w:rsidRPr="00C02C32">
        <w:rPr>
          <w:rFonts w:eastAsiaTheme="minorHAnsi"/>
          <w:noProof/>
          <w:lang w:eastAsia="en-AU"/>
        </w:rPr>
        <w:drawing>
          <wp:inline distT="0" distB="0" distL="0" distR="0" wp14:anchorId="20D5E8D3" wp14:editId="49519E8C">
            <wp:extent cx="4888865" cy="176093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88865" cy="1760936"/>
                    </a:xfrm>
                    <a:prstGeom prst="rect">
                      <a:avLst/>
                    </a:prstGeom>
                    <a:noFill/>
                    <a:ln>
                      <a:noFill/>
                    </a:ln>
                  </pic:spPr>
                </pic:pic>
              </a:graphicData>
            </a:graphic>
          </wp:inline>
        </w:drawing>
      </w:r>
    </w:p>
    <w:p w:rsidR="002C39A3" w:rsidRDefault="002C39A3" w:rsidP="00361FA9">
      <w:pPr>
        <w:pStyle w:val="HighlightBoxText"/>
        <w:shd w:val="clear" w:color="auto" w:fill="auto"/>
        <w:rPr>
          <w:rFonts w:asciiTheme="minorHAnsi" w:hAnsiTheme="minorHAnsi" w:cstheme="minorHAnsi"/>
          <w:i/>
          <w:sz w:val="15"/>
          <w:szCs w:val="15"/>
        </w:rPr>
      </w:pPr>
      <w:r w:rsidRPr="007D79F9">
        <w:rPr>
          <w:rFonts w:asciiTheme="minorHAnsi" w:hAnsiTheme="minorHAnsi" w:cstheme="minorHAnsi"/>
          <w:i/>
          <w:sz w:val="15"/>
          <w:szCs w:val="15"/>
        </w:rPr>
        <w:t>Source: Department of Treasury and Finance</w:t>
      </w:r>
    </w:p>
    <w:p w:rsidR="002C39A3" w:rsidRDefault="002C39A3" w:rsidP="00361FA9">
      <w:pPr>
        <w:pStyle w:val="Notes"/>
      </w:pPr>
      <w:r>
        <w:t>Note:</w:t>
      </w:r>
    </w:p>
    <w:p w:rsidR="002C39A3" w:rsidRPr="00D11F12" w:rsidRDefault="002C39A3" w:rsidP="00361FA9">
      <w:pPr>
        <w:pStyle w:val="Notes"/>
      </w:pPr>
      <w:r w:rsidRPr="00D11F12">
        <w:t xml:space="preserve">(a) </w:t>
      </w:r>
      <w:r>
        <w:tab/>
      </w:r>
      <w:r w:rsidRPr="00D11F12">
        <w:t xml:space="preserve">The outcomes of the revaluation process </w:t>
      </w:r>
      <w:r>
        <w:t xml:space="preserve">also include </w:t>
      </w:r>
      <w:r w:rsidRPr="00D11F12">
        <w:t xml:space="preserve">capital improved values and net annual values which </w:t>
      </w:r>
      <w:r>
        <w:t xml:space="preserve">are </w:t>
      </w:r>
      <w:r w:rsidRPr="00D11F12">
        <w:t>used to calculate the fire service property levy and municipal rates, respectively.</w:t>
      </w:r>
    </w:p>
    <w:p w:rsidR="002C39A3" w:rsidRDefault="002C39A3" w:rsidP="00361FA9">
      <w:pPr>
        <w:pStyle w:val="Notes"/>
      </w:pPr>
    </w:p>
    <w:p w:rsidR="002C39A3" w:rsidRPr="007706E0" w:rsidRDefault="002C39A3" w:rsidP="00361FA9">
      <w:pPr>
        <w:rPr>
          <w:rFonts w:eastAsiaTheme="minorHAnsi"/>
        </w:rPr>
      </w:pPr>
      <w:r w:rsidRPr="007706E0">
        <w:rPr>
          <w:rFonts w:eastAsiaTheme="minorHAnsi"/>
        </w:rPr>
        <w:t xml:space="preserve">Although the valuations are submitted and reviewed by the end of April, valuation figures are </w:t>
      </w:r>
      <w:r>
        <w:rPr>
          <w:rFonts w:eastAsiaTheme="minorHAnsi"/>
        </w:rPr>
        <w:t xml:space="preserve">only </w:t>
      </w:r>
      <w:r w:rsidRPr="007706E0">
        <w:rPr>
          <w:rFonts w:eastAsiaTheme="minorHAnsi"/>
        </w:rPr>
        <w:t xml:space="preserve">finalised in June of the revaluation year, after the release of the </w:t>
      </w:r>
      <w:r w:rsidRPr="0046625A">
        <w:rPr>
          <w:rFonts w:eastAsiaTheme="minorHAnsi"/>
          <w:i/>
        </w:rPr>
        <w:t>2016-17 Budget</w:t>
      </w:r>
      <w:r w:rsidRPr="007706E0">
        <w:rPr>
          <w:rFonts w:eastAsiaTheme="minorHAnsi"/>
        </w:rPr>
        <w:t>.</w:t>
      </w:r>
      <w:r>
        <w:rPr>
          <w:rFonts w:eastAsiaTheme="minorHAnsi"/>
        </w:rPr>
        <w:t xml:space="preserve"> </w:t>
      </w:r>
      <w:r w:rsidRPr="007706E0">
        <w:rPr>
          <w:rFonts w:eastAsiaTheme="minorHAnsi"/>
        </w:rPr>
        <w:t>Therefore, the uncertainty around final revaluation figures poses some risk to the revenue forecasts, although liaison with the VGV helps to minimise this risk.</w:t>
      </w:r>
    </w:p>
    <w:p w:rsidR="002C39A3" w:rsidRPr="007706E0" w:rsidRDefault="002C39A3" w:rsidP="00361FA9">
      <w:pPr>
        <w:rPr>
          <w:rFonts w:eastAsiaTheme="minorHAnsi"/>
        </w:rPr>
      </w:pPr>
      <w:r w:rsidRPr="007706E0">
        <w:rPr>
          <w:rFonts w:eastAsiaTheme="minorHAnsi"/>
        </w:rPr>
        <w:t xml:space="preserve">The SRO uses final revaluation results from the VGV to issue </w:t>
      </w:r>
      <w:r>
        <w:rPr>
          <w:rFonts w:eastAsiaTheme="minorHAnsi"/>
        </w:rPr>
        <w:t xml:space="preserve">land </w:t>
      </w:r>
      <w:r w:rsidRPr="007706E0">
        <w:rPr>
          <w:rFonts w:eastAsiaTheme="minorHAnsi"/>
        </w:rPr>
        <w:t>tax assessments for taxable land for the next two years. This gives rise to the biennial land tax forecast profile. The outcome of the 2016 revaluation will be reflected in land tax assessments issued in the 2017 and 2018 calendar y</w:t>
      </w:r>
      <w:r>
        <w:rPr>
          <w:rFonts w:eastAsiaTheme="minorHAnsi"/>
        </w:rPr>
        <w:t>ears which will form the accrued</w:t>
      </w:r>
      <w:r w:rsidRPr="007706E0">
        <w:rPr>
          <w:rFonts w:eastAsiaTheme="minorHAnsi"/>
        </w:rPr>
        <w:t xml:space="preserve"> land t</w:t>
      </w:r>
      <w:r>
        <w:rPr>
          <w:rFonts w:eastAsiaTheme="minorHAnsi"/>
        </w:rPr>
        <w:t>ax revenue for 2016</w:t>
      </w:r>
      <w:r>
        <w:rPr>
          <w:rFonts w:eastAsiaTheme="minorHAnsi"/>
        </w:rPr>
        <w:noBreakHyphen/>
        <w:t>17 and 2017</w:t>
      </w:r>
      <w:r>
        <w:rPr>
          <w:rFonts w:eastAsiaTheme="minorHAnsi"/>
        </w:rPr>
        <w:noBreakHyphen/>
      </w:r>
      <w:r w:rsidRPr="007706E0">
        <w:rPr>
          <w:rFonts w:eastAsiaTheme="minorHAnsi"/>
        </w:rPr>
        <w:t>18.</w:t>
      </w:r>
    </w:p>
    <w:p w:rsidR="002C39A3" w:rsidRDefault="002C39A3" w:rsidP="00361FA9">
      <w:pPr>
        <w:rPr>
          <w:rFonts w:eastAsiaTheme="minorHAnsi"/>
        </w:rPr>
      </w:pPr>
      <w:r w:rsidRPr="007706E0">
        <w:rPr>
          <w:rFonts w:eastAsiaTheme="minorHAnsi"/>
        </w:rPr>
        <w:t>Over the forward estimates, land tax revenue growth is expected to increase only every two years following the revaluation cycle, with declines in non-revaluation years due to the disaggregation of holdings of taxable land.</w:t>
      </w:r>
    </w:p>
    <w:p w:rsidR="002C39A3" w:rsidRDefault="002C39A3" w:rsidP="00361FA9">
      <w:pPr>
        <w:pStyle w:val="Heading2"/>
        <w:rPr>
          <w:rFonts w:eastAsiaTheme="minorHAnsi"/>
        </w:rPr>
      </w:pPr>
      <w:r>
        <w:rPr>
          <w:rFonts w:eastAsiaTheme="minorHAnsi"/>
        </w:rPr>
        <w:t>Growth areas infrastructure contribution</w:t>
      </w:r>
    </w:p>
    <w:p w:rsidR="002C39A3" w:rsidRDefault="002C39A3" w:rsidP="00361FA9">
      <w:pPr>
        <w:rPr>
          <w:rFonts w:eastAsiaTheme="minorHAnsi"/>
        </w:rPr>
      </w:pPr>
      <w:r>
        <w:rPr>
          <w:rFonts w:eastAsiaTheme="minorHAnsi"/>
        </w:rPr>
        <w:t>The growth areas infrastructure contribution (GAIC) applies to certain types of land in Melbourne</w:t>
      </w:r>
      <w:r w:rsidR="0097550F">
        <w:rPr>
          <w:rFonts w:eastAsiaTheme="minorHAnsi"/>
        </w:rPr>
        <w:t>’</w:t>
      </w:r>
      <w:r>
        <w:rPr>
          <w:rFonts w:eastAsiaTheme="minorHAnsi"/>
        </w:rPr>
        <w:t>s growth areas. The revenue is used to provide community infrastructure in these areas.</w:t>
      </w:r>
    </w:p>
    <w:p w:rsidR="002C39A3" w:rsidRPr="00637C16" w:rsidRDefault="002C39A3" w:rsidP="00361FA9">
      <w:pPr>
        <w:rPr>
          <w:rFonts w:eastAsiaTheme="minorHAnsi"/>
        </w:rPr>
      </w:pPr>
      <w:r>
        <w:rPr>
          <w:rFonts w:eastAsiaTheme="minorHAnsi"/>
        </w:rPr>
        <w:t xml:space="preserve">GAIC revenue </w:t>
      </w:r>
      <w:r w:rsidRPr="00637C16">
        <w:rPr>
          <w:rFonts w:eastAsiaTheme="minorHAnsi"/>
        </w:rPr>
        <w:t>is expected to be $</w:t>
      </w:r>
      <w:r>
        <w:rPr>
          <w:rFonts w:eastAsiaTheme="minorHAnsi"/>
        </w:rPr>
        <w:t>146 million in 2016</w:t>
      </w:r>
      <w:r>
        <w:rPr>
          <w:rFonts w:eastAsiaTheme="minorHAnsi"/>
        </w:rPr>
        <w:noBreakHyphen/>
      </w:r>
      <w:r w:rsidRPr="00637C16">
        <w:rPr>
          <w:rFonts w:eastAsiaTheme="minorHAnsi"/>
        </w:rPr>
        <w:t xml:space="preserve">17, and is assumed to grow by an </w:t>
      </w:r>
      <w:r>
        <w:rPr>
          <w:rFonts w:eastAsiaTheme="minorHAnsi"/>
        </w:rPr>
        <w:t xml:space="preserve">annual </w:t>
      </w:r>
      <w:r w:rsidRPr="00637C16">
        <w:rPr>
          <w:rFonts w:eastAsiaTheme="minorHAnsi"/>
        </w:rPr>
        <w:t>average of 5.5 per cent over the forward estimates, broadly in line with projected nominal economic growth. Development in the urban growth areas has gathered pace. In part, this reflects property prices increasing in Melbourne</w:t>
      </w:r>
      <w:r w:rsidR="0097550F">
        <w:rPr>
          <w:rFonts w:eastAsiaTheme="minorHAnsi"/>
        </w:rPr>
        <w:t>’</w:t>
      </w:r>
      <w:r w:rsidRPr="00637C16">
        <w:rPr>
          <w:rFonts w:eastAsiaTheme="minorHAnsi"/>
        </w:rPr>
        <w:t xml:space="preserve">s inner areas, with buyers turning </w:t>
      </w:r>
      <w:r>
        <w:rPr>
          <w:rFonts w:eastAsiaTheme="minorHAnsi"/>
        </w:rPr>
        <w:t xml:space="preserve">to </w:t>
      </w:r>
      <w:r w:rsidRPr="00637C16">
        <w:rPr>
          <w:rFonts w:eastAsiaTheme="minorHAnsi"/>
        </w:rPr>
        <w:t>more affordable housing in the growth areas.</w:t>
      </w:r>
    </w:p>
    <w:p w:rsidR="002C39A3" w:rsidRDefault="002C39A3" w:rsidP="00361FA9">
      <w:pPr>
        <w:pStyle w:val="Heading2"/>
        <w:rPr>
          <w:rFonts w:eastAsiaTheme="minorHAnsi"/>
        </w:rPr>
      </w:pPr>
      <w:r>
        <w:rPr>
          <w:rFonts w:eastAsiaTheme="minorHAnsi"/>
        </w:rPr>
        <w:t>Payroll tax</w:t>
      </w:r>
    </w:p>
    <w:p w:rsidR="002C39A3" w:rsidRDefault="002C39A3" w:rsidP="00361FA9">
      <w:pPr>
        <w:rPr>
          <w:rFonts w:eastAsiaTheme="minorHAnsi"/>
        </w:rPr>
      </w:pPr>
      <w:r w:rsidRPr="00432F45">
        <w:rPr>
          <w:rFonts w:eastAsiaTheme="minorHAnsi"/>
        </w:rPr>
        <w:t xml:space="preserve">Payroll tax is levied on taxable Victorian wages, defined to include salaries, wages, commissions, bonuses, taxable fringe benefits and payments to some contractors. Since July 2014, </w:t>
      </w:r>
      <w:r>
        <w:rPr>
          <w:rFonts w:eastAsiaTheme="minorHAnsi"/>
        </w:rPr>
        <w:t xml:space="preserve">a </w:t>
      </w:r>
      <w:r w:rsidRPr="00432F45">
        <w:rPr>
          <w:rFonts w:eastAsiaTheme="minorHAnsi"/>
        </w:rPr>
        <w:t xml:space="preserve">payroll tax </w:t>
      </w:r>
      <w:r>
        <w:rPr>
          <w:rFonts w:eastAsiaTheme="minorHAnsi"/>
        </w:rPr>
        <w:t xml:space="preserve">rate </w:t>
      </w:r>
      <w:r w:rsidRPr="00432F45">
        <w:rPr>
          <w:rFonts w:eastAsiaTheme="minorHAnsi"/>
        </w:rPr>
        <w:t>of 4.85 per cent has been levied on businesses with a total taxable Australian wage bill abo</w:t>
      </w:r>
      <w:r>
        <w:rPr>
          <w:rFonts w:eastAsiaTheme="minorHAnsi"/>
        </w:rPr>
        <w:t>ve an annual tax-free threshold.</w:t>
      </w:r>
    </w:p>
    <w:p w:rsidR="002C39A3" w:rsidRDefault="002C39A3" w:rsidP="00361FA9">
      <w:pPr>
        <w:rPr>
          <w:rFonts w:eastAsiaTheme="minorHAnsi"/>
        </w:rPr>
      </w:pPr>
      <w:r>
        <w:rPr>
          <w:rFonts w:eastAsiaTheme="minorHAnsi"/>
        </w:rPr>
        <w:t>The payroll tax-free threshold will be increased to $650 000 over four years (see Box 4.2).</w:t>
      </w:r>
      <w:r w:rsidRPr="005B0E75">
        <w:rPr>
          <w:rFonts w:eastAsiaTheme="minorHAnsi"/>
        </w:rPr>
        <w:t xml:space="preserve"> </w:t>
      </w:r>
      <w:r w:rsidRPr="00DC255A">
        <w:rPr>
          <w:rFonts w:eastAsiaTheme="minorHAnsi"/>
        </w:rPr>
        <w:t>Further</w:t>
      </w:r>
      <w:r>
        <w:rPr>
          <w:rFonts w:eastAsiaTheme="minorHAnsi"/>
        </w:rPr>
        <w:t>, a payroll tax exemption will be introduced for the wages paid or payable by an employer to a displaced apprentice or trainee from 1 July 2016.</w:t>
      </w:r>
      <w:r w:rsidRPr="00815241">
        <w:rPr>
          <w:rFonts w:eastAsiaTheme="minorHAnsi"/>
        </w:rPr>
        <w:t xml:space="preserve"> </w:t>
      </w:r>
    </w:p>
    <w:p w:rsidR="002C39A3" w:rsidRDefault="00CC22BA" w:rsidP="00CC22BA">
      <w:pPr>
        <w:pStyle w:val="HighlightBoxHeading"/>
        <w:tabs>
          <w:tab w:val="left" w:pos="992"/>
        </w:tabs>
        <w:ind w:right="45"/>
        <w:rPr>
          <w:rFonts w:eastAsiaTheme="minorHAnsi"/>
        </w:rPr>
      </w:pPr>
      <w:r>
        <w:rPr>
          <w:rFonts w:eastAsiaTheme="minorHAnsi"/>
        </w:rPr>
        <w:t xml:space="preserve">Box 4.2: </w:t>
      </w:r>
      <w:r>
        <w:rPr>
          <w:rFonts w:eastAsiaTheme="minorHAnsi"/>
        </w:rPr>
        <w:tab/>
      </w:r>
      <w:r w:rsidR="002C39A3">
        <w:rPr>
          <w:rFonts w:eastAsiaTheme="minorHAnsi"/>
        </w:rPr>
        <w:t>Increase to the payroll tax-free threshold</w:t>
      </w:r>
    </w:p>
    <w:p w:rsidR="002C39A3" w:rsidRDefault="002C39A3" w:rsidP="00CC22BA">
      <w:pPr>
        <w:pStyle w:val="HighlightBoxText"/>
        <w:tabs>
          <w:tab w:val="left" w:pos="992"/>
        </w:tabs>
        <w:ind w:right="45"/>
        <w:rPr>
          <w:rFonts w:eastAsiaTheme="minorHAnsi"/>
        </w:rPr>
      </w:pPr>
      <w:r>
        <w:rPr>
          <w:rFonts w:eastAsiaTheme="minorHAnsi"/>
        </w:rPr>
        <w:t xml:space="preserve">The payroll tax-free threshold will be increased </w:t>
      </w:r>
      <w:r w:rsidRPr="00DC255A">
        <w:rPr>
          <w:rFonts w:eastAsiaTheme="minorHAnsi"/>
        </w:rPr>
        <w:t xml:space="preserve">from $550 000 to $650 000 </w:t>
      </w:r>
      <w:r>
        <w:rPr>
          <w:rFonts w:eastAsiaTheme="minorHAnsi"/>
        </w:rPr>
        <w:t xml:space="preserve">in $25 000 increments </w:t>
      </w:r>
      <w:r w:rsidRPr="00DC255A">
        <w:rPr>
          <w:rFonts w:eastAsiaTheme="minorHAnsi"/>
        </w:rPr>
        <w:t>over four years,</w:t>
      </w:r>
      <w:r w:rsidRPr="00E0269E">
        <w:rPr>
          <w:rFonts w:eastAsiaTheme="minorHAnsi"/>
        </w:rPr>
        <w:t xml:space="preserve"> </w:t>
      </w:r>
      <w:r w:rsidRPr="00DC255A">
        <w:rPr>
          <w:rFonts w:eastAsiaTheme="minorHAnsi"/>
        </w:rPr>
        <w:t xml:space="preserve">starting with an increase to $575 000 from </w:t>
      </w:r>
      <w:r>
        <w:rPr>
          <w:rFonts w:eastAsiaTheme="minorHAnsi"/>
        </w:rPr>
        <w:t>1 </w:t>
      </w:r>
      <w:r w:rsidRPr="00DC255A">
        <w:rPr>
          <w:rFonts w:eastAsiaTheme="minorHAnsi"/>
        </w:rPr>
        <w:t xml:space="preserve">July 2016. </w:t>
      </w:r>
      <w:r w:rsidRPr="00E0269E">
        <w:rPr>
          <w:rFonts w:eastAsiaTheme="minorHAnsi"/>
        </w:rPr>
        <w:t>Increasing the tax</w:t>
      </w:r>
      <w:r w:rsidRPr="00E0269E">
        <w:rPr>
          <w:rFonts w:eastAsiaTheme="minorHAnsi"/>
        </w:rPr>
        <w:noBreakHyphen/>
        <w:t>free threshold reduces the payroll tax burden on businesses</w:t>
      </w:r>
      <w:r>
        <w:rPr>
          <w:rFonts w:eastAsiaTheme="minorHAnsi"/>
        </w:rPr>
        <w:t>, and</w:t>
      </w:r>
      <w:r>
        <w:t xml:space="preserve"> enables them to explore opportunities to expand and hire more staff, boosting employment and investment.</w:t>
      </w:r>
      <w:r w:rsidRPr="00E0269E">
        <w:rPr>
          <w:rFonts w:eastAsiaTheme="minorHAnsi"/>
        </w:rPr>
        <w:t xml:space="preserve"> </w:t>
      </w:r>
    </w:p>
    <w:p w:rsidR="002C39A3" w:rsidRPr="00E0269E" w:rsidRDefault="002C39A3" w:rsidP="00CC22BA">
      <w:pPr>
        <w:pStyle w:val="HighlightBoxText"/>
        <w:tabs>
          <w:tab w:val="left" w:pos="992"/>
        </w:tabs>
        <w:ind w:right="45"/>
        <w:rPr>
          <w:rFonts w:eastAsiaTheme="minorHAnsi"/>
        </w:rPr>
      </w:pPr>
      <w:r w:rsidRPr="00E0269E">
        <w:rPr>
          <w:rFonts w:eastAsiaTheme="minorHAnsi"/>
        </w:rPr>
        <w:t xml:space="preserve">There were </w:t>
      </w:r>
      <w:r w:rsidRPr="00A01FE8">
        <w:rPr>
          <w:rFonts w:eastAsiaTheme="minorHAnsi"/>
        </w:rPr>
        <w:t>approximately 36 600 individual businesses</w:t>
      </w:r>
      <w:r w:rsidRPr="00E0269E">
        <w:rPr>
          <w:rFonts w:eastAsiaTheme="minorHAnsi"/>
        </w:rPr>
        <w:t xml:space="preserve"> liable for payroll tax in 2014</w:t>
      </w:r>
      <w:r>
        <w:rPr>
          <w:rFonts w:eastAsiaTheme="minorHAnsi"/>
        </w:rPr>
        <w:noBreakHyphen/>
      </w:r>
      <w:r w:rsidRPr="00E0269E">
        <w:rPr>
          <w:rFonts w:eastAsiaTheme="minorHAnsi"/>
        </w:rPr>
        <w:t xml:space="preserve">15. It is estimated that 2 800 </w:t>
      </w:r>
      <w:r>
        <w:rPr>
          <w:rFonts w:eastAsiaTheme="minorHAnsi"/>
        </w:rPr>
        <w:t xml:space="preserve">grouped businesses </w:t>
      </w:r>
      <w:r w:rsidRPr="00E0269E">
        <w:rPr>
          <w:rFonts w:eastAsiaTheme="minorHAnsi"/>
        </w:rPr>
        <w:t>had payrolls below $650 000 and would no longer be liable for payroll tax with a $650 000 tax</w:t>
      </w:r>
      <w:r w:rsidRPr="00E0269E">
        <w:rPr>
          <w:rFonts w:eastAsiaTheme="minorHAnsi"/>
        </w:rPr>
        <w:noBreakHyphen/>
        <w:t xml:space="preserve">free threshold. The remaining businesses still liable for payroll tax </w:t>
      </w:r>
      <w:r>
        <w:rPr>
          <w:rFonts w:eastAsiaTheme="minorHAnsi"/>
        </w:rPr>
        <w:t xml:space="preserve">will benefit, due to having a </w:t>
      </w:r>
      <w:r w:rsidRPr="00E0269E">
        <w:rPr>
          <w:rFonts w:eastAsiaTheme="minorHAnsi"/>
        </w:rPr>
        <w:t xml:space="preserve">reduced </w:t>
      </w:r>
      <w:r>
        <w:rPr>
          <w:rFonts w:eastAsiaTheme="minorHAnsi"/>
        </w:rPr>
        <w:t xml:space="preserve">liability </w:t>
      </w:r>
      <w:r w:rsidRPr="00E0269E">
        <w:rPr>
          <w:rFonts w:eastAsiaTheme="minorHAnsi"/>
        </w:rPr>
        <w:t>with the increased threshold.</w:t>
      </w:r>
    </w:p>
    <w:p w:rsidR="002C39A3" w:rsidRDefault="002C39A3" w:rsidP="00CC22BA">
      <w:pPr>
        <w:pStyle w:val="HighlightBoxText"/>
        <w:tabs>
          <w:tab w:val="left" w:pos="992"/>
        </w:tabs>
        <w:ind w:right="45"/>
        <w:rPr>
          <w:rFonts w:eastAsiaTheme="minorHAnsi"/>
        </w:rPr>
      </w:pPr>
      <w:r>
        <w:rPr>
          <w:rFonts w:eastAsiaTheme="minorHAnsi"/>
        </w:rPr>
        <w:t>This initiative improves the competitiveness of Victoria</w:t>
      </w:r>
      <w:r w:rsidR="0097550F">
        <w:rPr>
          <w:rFonts w:eastAsiaTheme="minorHAnsi"/>
        </w:rPr>
        <w:t>’</w:t>
      </w:r>
      <w:r>
        <w:rPr>
          <w:rFonts w:eastAsiaTheme="minorHAnsi"/>
        </w:rPr>
        <w:t>s payroll tax structure across the states and territories. By the time the initiative is fully implemented in 2019-20, b</w:t>
      </w:r>
      <w:r w:rsidRPr="00DC255A">
        <w:rPr>
          <w:rFonts w:eastAsiaTheme="minorHAnsi"/>
        </w:rPr>
        <w:t>usinesses in Victoria with payrolls between $4</w:t>
      </w:r>
      <w:r>
        <w:rPr>
          <w:rFonts w:eastAsiaTheme="minorHAnsi"/>
        </w:rPr>
        <w:t>.8</w:t>
      </w:r>
      <w:r w:rsidRPr="00DC255A">
        <w:rPr>
          <w:rFonts w:eastAsiaTheme="minorHAnsi"/>
        </w:rPr>
        <w:t xml:space="preserve"> million and $</w:t>
      </w:r>
      <w:r>
        <w:rPr>
          <w:rFonts w:eastAsiaTheme="minorHAnsi"/>
        </w:rPr>
        <w:t>31.5</w:t>
      </w:r>
      <w:r w:rsidRPr="00DC255A">
        <w:rPr>
          <w:rFonts w:eastAsiaTheme="minorHAnsi"/>
        </w:rPr>
        <w:t xml:space="preserve"> million will incur the </w:t>
      </w:r>
      <w:r>
        <w:rPr>
          <w:rFonts w:eastAsiaTheme="minorHAnsi"/>
        </w:rPr>
        <w:t>lowest payroll tax in Australia.</w:t>
      </w:r>
    </w:p>
    <w:p w:rsidR="002C39A3" w:rsidRPr="00432F45" w:rsidRDefault="002C39A3" w:rsidP="00361FA9">
      <w:pPr>
        <w:rPr>
          <w:rFonts w:eastAsiaTheme="minorHAnsi"/>
        </w:rPr>
      </w:pPr>
      <w:r w:rsidRPr="00432F45">
        <w:rPr>
          <w:rFonts w:eastAsiaTheme="minorHAnsi"/>
        </w:rPr>
        <w:t>Payroll tax revenue is expe</w:t>
      </w:r>
      <w:r>
        <w:rPr>
          <w:rFonts w:eastAsiaTheme="minorHAnsi"/>
        </w:rPr>
        <w:t>cted to be $5.7 billion in 2016</w:t>
      </w:r>
      <w:r>
        <w:rPr>
          <w:rFonts w:eastAsiaTheme="minorHAnsi"/>
        </w:rPr>
        <w:noBreakHyphen/>
      </w:r>
      <w:r w:rsidRPr="00432F45">
        <w:rPr>
          <w:rFonts w:eastAsiaTheme="minorHAnsi"/>
        </w:rPr>
        <w:t xml:space="preserve">17. Strong part-time employment growth and a pick-up in full-time employment have led to a recovery in aggregate hours worked. This has supported growth in </w:t>
      </w:r>
      <w:r>
        <w:rPr>
          <w:rFonts w:eastAsiaTheme="minorHAnsi"/>
        </w:rPr>
        <w:t>payroll tax revenue</w:t>
      </w:r>
      <w:r w:rsidRPr="00432F45">
        <w:rPr>
          <w:rFonts w:eastAsiaTheme="minorHAnsi"/>
        </w:rPr>
        <w:t xml:space="preserve">. Full-time employment is projected </w:t>
      </w:r>
      <w:r>
        <w:rPr>
          <w:rFonts w:eastAsiaTheme="minorHAnsi"/>
        </w:rPr>
        <w:t xml:space="preserve">to </w:t>
      </w:r>
      <w:r w:rsidRPr="00432F45">
        <w:rPr>
          <w:rFonts w:eastAsiaTheme="minorHAnsi"/>
        </w:rPr>
        <w:t>grow steadily as robust conditions in the broader economy continue and overall employment</w:t>
      </w:r>
      <w:r>
        <w:rPr>
          <w:rFonts w:eastAsiaTheme="minorHAnsi"/>
        </w:rPr>
        <w:t xml:space="preserve"> grows</w:t>
      </w:r>
      <w:r w:rsidRPr="00432F45">
        <w:rPr>
          <w:rFonts w:eastAsiaTheme="minorHAnsi"/>
        </w:rPr>
        <w:t xml:space="preserve"> above trend in the budget year.</w:t>
      </w:r>
    </w:p>
    <w:p w:rsidR="002C39A3" w:rsidRDefault="002C39A3" w:rsidP="00361FA9">
      <w:pPr>
        <w:rPr>
          <w:rFonts w:eastAsiaTheme="minorHAnsi"/>
        </w:rPr>
      </w:pPr>
      <w:r w:rsidRPr="00432F45">
        <w:rPr>
          <w:rFonts w:eastAsiaTheme="minorHAnsi"/>
        </w:rPr>
        <w:t xml:space="preserve">In contrast, wages growth remains historically low. As Budget Paper No. 2, Chapter 2 </w:t>
      </w:r>
      <w:r w:rsidRPr="00432F45">
        <w:rPr>
          <w:rFonts w:eastAsiaTheme="minorHAnsi"/>
          <w:i/>
        </w:rPr>
        <w:t>Economic context</w:t>
      </w:r>
      <w:r w:rsidRPr="00432F45">
        <w:rPr>
          <w:rFonts w:eastAsiaTheme="minorHAnsi"/>
        </w:rPr>
        <w:t xml:space="preserve"> discusses, the unemployment rate has moderated over the past 18 months but broader measures of spare capacity</w:t>
      </w:r>
      <w:r>
        <w:rPr>
          <w:rFonts w:eastAsiaTheme="minorHAnsi"/>
        </w:rPr>
        <w:t xml:space="preserve"> in the labour market</w:t>
      </w:r>
      <w:r w:rsidRPr="00432F45">
        <w:rPr>
          <w:rFonts w:eastAsiaTheme="minorHAnsi"/>
        </w:rPr>
        <w:t xml:space="preserve"> remain elevated. As a result, wage</w:t>
      </w:r>
      <w:r>
        <w:rPr>
          <w:rFonts w:eastAsiaTheme="minorHAnsi"/>
        </w:rPr>
        <w:t>s</w:t>
      </w:r>
      <w:r w:rsidRPr="00432F45">
        <w:rPr>
          <w:rFonts w:eastAsiaTheme="minorHAnsi"/>
        </w:rPr>
        <w:t xml:space="preserve"> growth is forecast to improve more gradually than in the </w:t>
      </w:r>
      <w:r w:rsidRPr="00432F45">
        <w:rPr>
          <w:rFonts w:eastAsiaTheme="minorHAnsi"/>
          <w:i/>
        </w:rPr>
        <w:t>2015</w:t>
      </w:r>
      <w:r>
        <w:rPr>
          <w:rFonts w:eastAsiaTheme="minorHAnsi"/>
          <w:i/>
        </w:rPr>
        <w:noBreakHyphen/>
      </w:r>
      <w:r w:rsidRPr="00432F45">
        <w:rPr>
          <w:rFonts w:eastAsiaTheme="minorHAnsi"/>
          <w:i/>
        </w:rPr>
        <w:t>16 Budget Update</w:t>
      </w:r>
      <w:r w:rsidRPr="00432F45">
        <w:rPr>
          <w:rFonts w:eastAsiaTheme="minorHAnsi"/>
        </w:rPr>
        <w:t>.</w:t>
      </w:r>
      <w:r>
        <w:rPr>
          <w:rFonts w:eastAsiaTheme="minorHAnsi"/>
        </w:rPr>
        <w:t xml:space="preserve"> </w:t>
      </w:r>
    </w:p>
    <w:p w:rsidR="002C39A3" w:rsidRDefault="002C39A3" w:rsidP="00361FA9">
      <w:pPr>
        <w:pStyle w:val="Heading2"/>
        <w:rPr>
          <w:rFonts w:eastAsiaTheme="minorHAnsi"/>
        </w:rPr>
      </w:pPr>
      <w:r>
        <w:rPr>
          <w:rFonts w:eastAsiaTheme="minorHAnsi"/>
        </w:rPr>
        <w:t>Gambling taxes</w:t>
      </w:r>
    </w:p>
    <w:p w:rsidR="002C39A3" w:rsidRDefault="002C39A3" w:rsidP="00361FA9">
      <w:pPr>
        <w:rPr>
          <w:rFonts w:eastAsiaTheme="minorHAnsi"/>
        </w:rPr>
      </w:pPr>
      <w:r>
        <w:rPr>
          <w:rFonts w:eastAsiaTheme="minorHAnsi"/>
        </w:rPr>
        <w:t xml:space="preserve">Gambling taxes are imposed on public lotteries, electronic gaming machines (EGMs), the casino operator, racing and other forms of gambling. The taxes are typically in the form of a percentage of net expenditure, with the tax rate varying according to the category of gambling. Net expenditure is equal to the amount gambled less prizes or refunds to players. Gambling taxes include revenue associated with the relevant licence premiums. </w:t>
      </w:r>
    </w:p>
    <w:p w:rsidR="002C39A3" w:rsidRPr="002F47A3" w:rsidRDefault="002C39A3" w:rsidP="00361FA9">
      <w:pPr>
        <w:rPr>
          <w:rFonts w:eastAsiaTheme="minorHAnsi"/>
        </w:rPr>
      </w:pPr>
      <w:r w:rsidRPr="002F47A3">
        <w:rPr>
          <w:rFonts w:eastAsiaTheme="minorHAnsi"/>
        </w:rPr>
        <w:t>Gambling tax revenue is forecast to be $1.9 billion in 201</w:t>
      </w:r>
      <w:r>
        <w:rPr>
          <w:rFonts w:eastAsiaTheme="minorHAnsi"/>
        </w:rPr>
        <w:t>6</w:t>
      </w:r>
      <w:r>
        <w:rPr>
          <w:rFonts w:eastAsiaTheme="minorHAnsi"/>
        </w:rPr>
        <w:noBreakHyphen/>
      </w:r>
      <w:r w:rsidRPr="002F47A3">
        <w:rPr>
          <w:rFonts w:eastAsiaTheme="minorHAnsi"/>
        </w:rPr>
        <w:t>1</w:t>
      </w:r>
      <w:r>
        <w:rPr>
          <w:rFonts w:eastAsiaTheme="minorHAnsi"/>
        </w:rPr>
        <w:t>7 and grow by an average of 2.9 per </w:t>
      </w:r>
      <w:r w:rsidRPr="002F47A3">
        <w:rPr>
          <w:rFonts w:eastAsiaTheme="minorHAnsi"/>
        </w:rPr>
        <w:t>cent a</w:t>
      </w:r>
      <w:r>
        <w:rPr>
          <w:rFonts w:eastAsiaTheme="minorHAnsi"/>
        </w:rPr>
        <w:t xml:space="preserve"> year over the forward estimates.</w:t>
      </w:r>
      <w:r w:rsidRPr="002F47A3">
        <w:rPr>
          <w:rFonts w:eastAsiaTheme="minorHAnsi"/>
        </w:rPr>
        <w:t xml:space="preserve"> </w:t>
      </w:r>
      <w:r>
        <w:rPr>
          <w:rFonts w:eastAsiaTheme="minorHAnsi"/>
        </w:rPr>
        <w:t xml:space="preserve">The </w:t>
      </w:r>
      <w:r w:rsidRPr="002F47A3">
        <w:rPr>
          <w:rFonts w:eastAsiaTheme="minorHAnsi"/>
        </w:rPr>
        <w:t xml:space="preserve">revenue </w:t>
      </w:r>
      <w:r>
        <w:rPr>
          <w:rFonts w:eastAsiaTheme="minorHAnsi"/>
        </w:rPr>
        <w:t xml:space="preserve">profile </w:t>
      </w:r>
      <w:r w:rsidRPr="002F47A3">
        <w:rPr>
          <w:rFonts w:eastAsiaTheme="minorHAnsi"/>
        </w:rPr>
        <w:t xml:space="preserve">is </w:t>
      </w:r>
      <w:r>
        <w:rPr>
          <w:rFonts w:eastAsiaTheme="minorHAnsi"/>
        </w:rPr>
        <w:t xml:space="preserve">slightly </w:t>
      </w:r>
      <w:r w:rsidRPr="002F47A3">
        <w:rPr>
          <w:rFonts w:eastAsiaTheme="minorHAnsi"/>
        </w:rPr>
        <w:t>weaker than previously f</w:t>
      </w:r>
      <w:r>
        <w:rPr>
          <w:rFonts w:eastAsiaTheme="minorHAnsi"/>
        </w:rPr>
        <w:t>orecast, especially in the out</w:t>
      </w:r>
      <w:r w:rsidRPr="002F47A3">
        <w:rPr>
          <w:rFonts w:eastAsiaTheme="minorHAnsi"/>
        </w:rPr>
        <w:t xml:space="preserve"> years</w:t>
      </w:r>
      <w:r>
        <w:rPr>
          <w:rFonts w:eastAsiaTheme="minorHAnsi"/>
        </w:rPr>
        <w:t>, reflecting</w:t>
      </w:r>
      <w:r w:rsidRPr="002F47A3">
        <w:rPr>
          <w:rFonts w:eastAsiaTheme="minorHAnsi"/>
        </w:rPr>
        <w:t xml:space="preserve"> a downgrade to growth in minor gambling lines from lower than expected</w:t>
      </w:r>
      <w:r>
        <w:rPr>
          <w:rFonts w:eastAsiaTheme="minorHAnsi"/>
        </w:rPr>
        <w:t xml:space="preserve"> activity</w:t>
      </w:r>
      <w:r w:rsidRPr="002F47A3">
        <w:rPr>
          <w:rFonts w:eastAsiaTheme="minorHAnsi"/>
        </w:rPr>
        <w:t xml:space="preserve"> in Sportsbet and Keno. In addition, gambling expenditure as a share o</w:t>
      </w:r>
      <w:r>
        <w:rPr>
          <w:rFonts w:eastAsiaTheme="minorHAnsi"/>
        </w:rPr>
        <w:t>f total household consumption continues</w:t>
      </w:r>
      <w:r w:rsidRPr="002F47A3">
        <w:rPr>
          <w:rFonts w:eastAsiaTheme="minorHAnsi"/>
        </w:rPr>
        <w:t xml:space="preserve"> to decline</w:t>
      </w:r>
      <w:r>
        <w:rPr>
          <w:rFonts w:eastAsiaTheme="minorHAnsi"/>
        </w:rPr>
        <w:t>. This</w:t>
      </w:r>
      <w:r w:rsidRPr="002F47A3">
        <w:rPr>
          <w:rFonts w:eastAsiaTheme="minorHAnsi"/>
        </w:rPr>
        <w:t xml:space="preserve"> </w:t>
      </w:r>
      <w:r>
        <w:rPr>
          <w:rFonts w:eastAsiaTheme="minorHAnsi"/>
        </w:rPr>
        <w:t xml:space="preserve">will impact negatively on </w:t>
      </w:r>
      <w:r w:rsidRPr="002F47A3">
        <w:rPr>
          <w:rFonts w:eastAsiaTheme="minorHAnsi"/>
        </w:rPr>
        <w:t>revenue growth over the forward estimates.</w:t>
      </w:r>
    </w:p>
    <w:p w:rsidR="002C39A3" w:rsidRDefault="002C39A3" w:rsidP="00361FA9">
      <w:pPr>
        <w:rPr>
          <w:rFonts w:eastAsiaTheme="minorHAnsi"/>
        </w:rPr>
      </w:pPr>
      <w:r w:rsidRPr="002F47A3">
        <w:rPr>
          <w:rFonts w:eastAsiaTheme="minorHAnsi"/>
        </w:rPr>
        <w:t>In 2016</w:t>
      </w:r>
      <w:r>
        <w:rPr>
          <w:rFonts w:eastAsiaTheme="minorHAnsi"/>
        </w:rPr>
        <w:noBreakHyphen/>
      </w:r>
      <w:r w:rsidRPr="002F47A3">
        <w:rPr>
          <w:rFonts w:eastAsiaTheme="minorHAnsi"/>
        </w:rPr>
        <w:t>17, approximately 80 per cent of total gambling</w:t>
      </w:r>
      <w:r>
        <w:rPr>
          <w:rFonts w:eastAsiaTheme="minorHAnsi"/>
        </w:rPr>
        <w:t xml:space="preserve"> taxation</w:t>
      </w:r>
      <w:r w:rsidRPr="002F47A3">
        <w:rPr>
          <w:rFonts w:eastAsiaTheme="minorHAnsi"/>
        </w:rPr>
        <w:t xml:space="preserve"> revenue will be transferred to the Hospitals and Charities Fund, the Mental Health Fund and the </w:t>
      </w:r>
      <w:r w:rsidRPr="008A1A75">
        <w:rPr>
          <w:rFonts w:eastAsiaTheme="minorHAnsi"/>
        </w:rPr>
        <w:t>Community Support Fund. These funds</w:t>
      </w:r>
      <w:r w:rsidRPr="00AD4D81">
        <w:rPr>
          <w:rFonts w:eastAsiaTheme="minorHAnsi"/>
        </w:rPr>
        <w:t xml:space="preserve"> direct gambling revenues back into the community by pr</w:t>
      </w:r>
      <w:r>
        <w:rPr>
          <w:rFonts w:eastAsiaTheme="minorHAnsi"/>
        </w:rPr>
        <w:t>oviding funding for</w:t>
      </w:r>
      <w:r w:rsidRPr="00AD4D81">
        <w:rPr>
          <w:rFonts w:eastAsiaTheme="minorHAnsi"/>
        </w:rPr>
        <w:t xml:space="preserve"> programs to tackle problem gambling, including funding for the Victorian Responsible Gambling Foundatio</w:t>
      </w:r>
      <w:r>
        <w:rPr>
          <w:rFonts w:eastAsiaTheme="minorHAnsi"/>
        </w:rPr>
        <w:t>n; mental health services; drug </w:t>
      </w:r>
      <w:r w:rsidRPr="00AD4D81">
        <w:rPr>
          <w:rFonts w:eastAsiaTheme="minorHAnsi"/>
        </w:rPr>
        <w:t>education, treatment and rehabilitation; and hospitals and community organisations. The remaining gambling revenue is available for general government purposes.</w:t>
      </w:r>
    </w:p>
    <w:p w:rsidR="002C39A3" w:rsidRDefault="002C39A3" w:rsidP="00361FA9">
      <w:pPr>
        <w:pStyle w:val="Heading2"/>
        <w:rPr>
          <w:rFonts w:eastAsiaTheme="minorHAnsi"/>
        </w:rPr>
      </w:pPr>
      <w:r>
        <w:rPr>
          <w:rFonts w:eastAsiaTheme="minorHAnsi"/>
        </w:rPr>
        <w:t>Levies on statutory corporations</w:t>
      </w:r>
    </w:p>
    <w:p w:rsidR="002C39A3" w:rsidRDefault="002C39A3" w:rsidP="00361FA9">
      <w:pPr>
        <w:rPr>
          <w:rFonts w:eastAsiaTheme="minorHAnsi"/>
        </w:rPr>
      </w:pPr>
      <w:r w:rsidRPr="00026561">
        <w:rPr>
          <w:rFonts w:eastAsiaTheme="minorHAnsi"/>
        </w:rPr>
        <w:t xml:space="preserve">The </w:t>
      </w:r>
      <w:r w:rsidRPr="00AF01F2">
        <w:rPr>
          <w:rFonts w:eastAsiaTheme="minorHAnsi"/>
        </w:rPr>
        <w:t>Environmental Contribution</w:t>
      </w:r>
      <w:r w:rsidRPr="00026561">
        <w:rPr>
          <w:rFonts w:eastAsiaTheme="minorHAnsi"/>
        </w:rPr>
        <w:t xml:space="preserve"> </w:t>
      </w:r>
      <w:r>
        <w:rPr>
          <w:rFonts w:eastAsiaTheme="minorHAnsi"/>
        </w:rPr>
        <w:t xml:space="preserve">Levy </w:t>
      </w:r>
      <w:r w:rsidRPr="00856B07">
        <w:rPr>
          <w:rFonts w:eastAsiaTheme="minorHAnsi"/>
        </w:rPr>
        <w:t>continues</w:t>
      </w:r>
      <w:r>
        <w:rPr>
          <w:rFonts w:eastAsiaTheme="minorHAnsi"/>
        </w:rPr>
        <w:t xml:space="preserve"> </w:t>
      </w:r>
      <w:r w:rsidRPr="00026561">
        <w:rPr>
          <w:rFonts w:eastAsiaTheme="minorHAnsi"/>
        </w:rPr>
        <w:t xml:space="preserve">for </w:t>
      </w:r>
      <w:r w:rsidRPr="00856B07">
        <w:rPr>
          <w:rFonts w:eastAsiaTheme="minorHAnsi"/>
        </w:rPr>
        <w:t>another</w:t>
      </w:r>
      <w:r>
        <w:rPr>
          <w:rFonts w:eastAsiaTheme="minorHAnsi"/>
        </w:rPr>
        <w:t xml:space="preserve"> </w:t>
      </w:r>
      <w:r w:rsidRPr="00026561">
        <w:rPr>
          <w:rFonts w:eastAsiaTheme="minorHAnsi"/>
        </w:rPr>
        <w:t>four years from 2016-17. The levy will fund initiatives that seek to promote the sustainable management of water or address the environmental impacts associated with water use, supporting delivery of strategic priorities in the Government</w:t>
      </w:r>
      <w:r w:rsidR="0097550F">
        <w:rPr>
          <w:rFonts w:eastAsiaTheme="minorHAnsi"/>
        </w:rPr>
        <w:t>’</w:t>
      </w:r>
      <w:r w:rsidRPr="00026561">
        <w:rPr>
          <w:rFonts w:eastAsiaTheme="minorHAnsi"/>
        </w:rPr>
        <w:t>s proposed new water plan.</w:t>
      </w:r>
    </w:p>
    <w:p w:rsidR="002C39A3" w:rsidRDefault="002C39A3" w:rsidP="00361FA9">
      <w:pPr>
        <w:pStyle w:val="Heading2"/>
        <w:rPr>
          <w:rFonts w:eastAsiaTheme="minorHAnsi"/>
        </w:rPr>
      </w:pPr>
      <w:r>
        <w:rPr>
          <w:rFonts w:eastAsiaTheme="minorHAnsi"/>
        </w:rPr>
        <w:t>Insurance taxes</w:t>
      </w:r>
    </w:p>
    <w:p w:rsidR="002C39A3" w:rsidRPr="00F613EC" w:rsidRDefault="002C39A3" w:rsidP="00361FA9">
      <w:pPr>
        <w:rPr>
          <w:rFonts w:eastAsiaTheme="minorHAnsi"/>
        </w:rPr>
      </w:pPr>
      <w:r w:rsidRPr="00F613EC">
        <w:rPr>
          <w:rFonts w:eastAsiaTheme="minorHAnsi"/>
        </w:rPr>
        <w:t xml:space="preserve">Duty is payable on </w:t>
      </w:r>
      <w:r>
        <w:rPr>
          <w:rFonts w:eastAsiaTheme="minorHAnsi"/>
        </w:rPr>
        <w:t>general</w:t>
      </w:r>
      <w:r w:rsidRPr="00F613EC">
        <w:rPr>
          <w:rFonts w:eastAsiaTheme="minorHAnsi"/>
        </w:rPr>
        <w:t xml:space="preserve"> insurance premiums</w:t>
      </w:r>
      <w:r>
        <w:rPr>
          <w:rFonts w:eastAsiaTheme="minorHAnsi"/>
        </w:rPr>
        <w:t>, excluding life insurance,</w:t>
      </w:r>
      <w:r w:rsidRPr="00F613EC">
        <w:rPr>
          <w:rFonts w:eastAsiaTheme="minorHAnsi"/>
        </w:rPr>
        <w:t xml:space="preserve"> at a rate of 10 per cent. Examples include insurance against damage to, or loss of, motor vehicles and household contents.</w:t>
      </w:r>
    </w:p>
    <w:p w:rsidR="002C39A3" w:rsidRPr="00AD3706" w:rsidRDefault="002C39A3" w:rsidP="00361FA9">
      <w:pPr>
        <w:rPr>
          <w:rFonts w:eastAsiaTheme="minorHAnsi"/>
        </w:rPr>
      </w:pPr>
      <w:r w:rsidRPr="00585672">
        <w:rPr>
          <w:rFonts w:eastAsiaTheme="minorHAnsi"/>
        </w:rPr>
        <w:t>Insurance taxes are expected to generate $1.2 billion in revenue in 2016</w:t>
      </w:r>
      <w:r w:rsidRPr="00585672">
        <w:rPr>
          <w:rFonts w:eastAsiaTheme="minorHAnsi"/>
        </w:rPr>
        <w:noBreakHyphen/>
        <w:t>17</w:t>
      </w:r>
      <w:r>
        <w:rPr>
          <w:rFonts w:eastAsiaTheme="minorHAnsi"/>
        </w:rPr>
        <w:t>, up 6.3 per cent from 2015</w:t>
      </w:r>
      <w:r>
        <w:rPr>
          <w:rFonts w:eastAsiaTheme="minorHAnsi"/>
        </w:rPr>
        <w:noBreakHyphen/>
        <w:t>16</w:t>
      </w:r>
      <w:r w:rsidRPr="00585672">
        <w:rPr>
          <w:rFonts w:eastAsiaTheme="minorHAnsi"/>
        </w:rPr>
        <w:t xml:space="preserve">. </w:t>
      </w:r>
    </w:p>
    <w:p w:rsidR="00CC22BA" w:rsidRDefault="00CC22BA">
      <w:pPr>
        <w:spacing w:after="0"/>
        <w:rPr>
          <w:rFonts w:ascii="Calibri" w:eastAsiaTheme="minorHAnsi" w:hAnsi="Calibri"/>
          <w:b/>
          <w:kern w:val="28"/>
          <w:sz w:val="26"/>
          <w:szCs w:val="22"/>
        </w:rPr>
      </w:pPr>
      <w:r>
        <w:rPr>
          <w:rFonts w:eastAsiaTheme="minorHAnsi"/>
        </w:rPr>
        <w:br w:type="page"/>
      </w:r>
    </w:p>
    <w:p w:rsidR="002C39A3" w:rsidRDefault="002C39A3" w:rsidP="00361FA9">
      <w:pPr>
        <w:pStyle w:val="Heading2"/>
        <w:rPr>
          <w:rFonts w:eastAsiaTheme="minorHAnsi"/>
        </w:rPr>
      </w:pPr>
      <w:r>
        <w:rPr>
          <w:rFonts w:eastAsiaTheme="minorHAnsi"/>
        </w:rPr>
        <w:t>Motor vehicle taxes</w:t>
      </w:r>
    </w:p>
    <w:p w:rsidR="002C39A3" w:rsidRPr="007341AD" w:rsidRDefault="002C39A3" w:rsidP="00361FA9">
      <w:pPr>
        <w:rPr>
          <w:rFonts w:eastAsiaTheme="minorHAnsi"/>
        </w:rPr>
      </w:pPr>
      <w:r w:rsidRPr="007341AD">
        <w:rPr>
          <w:rFonts w:eastAsiaTheme="minorHAnsi"/>
        </w:rPr>
        <w:t xml:space="preserve">Motor vehicle taxes include vehicle registration fees and </w:t>
      </w:r>
      <w:r w:rsidRPr="006A7B25">
        <w:rPr>
          <w:rFonts w:eastAsiaTheme="minorHAnsi"/>
        </w:rPr>
        <w:t>duty on transfer and registration of vehicles</w:t>
      </w:r>
      <w:r w:rsidRPr="007341AD">
        <w:rPr>
          <w:rFonts w:eastAsiaTheme="minorHAnsi"/>
        </w:rPr>
        <w:t>. Motor vehicle registration fees vary according to vehicle type and use, while duty is calculated on the market value or the purchase price of the vehicle (whichever is greater).</w:t>
      </w:r>
    </w:p>
    <w:p w:rsidR="002C39A3" w:rsidRPr="008A1A75" w:rsidRDefault="002C39A3" w:rsidP="00361FA9">
      <w:pPr>
        <w:rPr>
          <w:rFonts w:eastAsiaTheme="minorHAnsi"/>
        </w:rPr>
      </w:pPr>
      <w:r w:rsidRPr="007341AD">
        <w:rPr>
          <w:rFonts w:eastAsiaTheme="minorHAnsi"/>
        </w:rPr>
        <w:t xml:space="preserve">Motor vehicle taxes are </w:t>
      </w:r>
      <w:r w:rsidRPr="008A1A75">
        <w:rPr>
          <w:rFonts w:eastAsiaTheme="minorHAnsi"/>
        </w:rPr>
        <w:t>expected to generate $2.3 billion in revenue in 2016</w:t>
      </w:r>
      <w:r w:rsidRPr="008A1A75">
        <w:rPr>
          <w:rFonts w:eastAsiaTheme="minorHAnsi"/>
        </w:rPr>
        <w:noBreakHyphen/>
        <w:t>17 and grow by an average of 3.7 per cent a year over the forward estimates. Growth of 4.</w:t>
      </w:r>
      <w:r>
        <w:rPr>
          <w:rFonts w:eastAsiaTheme="minorHAnsi"/>
        </w:rPr>
        <w:t>6</w:t>
      </w:r>
      <w:r w:rsidRPr="008A1A75">
        <w:rPr>
          <w:rFonts w:eastAsiaTheme="minorHAnsi"/>
        </w:rPr>
        <w:t xml:space="preserve"> per cent in the budget year is driven by registration fees revenue, with a more modest increase in stamp duty revenue.</w:t>
      </w:r>
    </w:p>
    <w:p w:rsidR="002C39A3" w:rsidRPr="008A1A75" w:rsidRDefault="002C39A3" w:rsidP="00361FA9">
      <w:pPr>
        <w:rPr>
          <w:rFonts w:eastAsiaTheme="minorHAnsi"/>
        </w:rPr>
      </w:pPr>
      <w:r w:rsidRPr="008A1A75">
        <w:rPr>
          <w:rFonts w:eastAsiaTheme="minorHAnsi"/>
        </w:rPr>
        <w:t>Recent growth in registration fees reflects growth in the vehicle population from the sales of new motor vehicles in 2015</w:t>
      </w:r>
      <w:r w:rsidRPr="008A1A75">
        <w:rPr>
          <w:rFonts w:eastAsiaTheme="minorHAnsi"/>
        </w:rPr>
        <w:noBreakHyphen/>
        <w:t>16. This has been supported by improving consumer sentiment, falling oil prices, a growing population and lower vehicle prices. Revenue growth from light vehicles is expected to rise in 2016</w:t>
      </w:r>
      <w:r w:rsidRPr="008A1A75">
        <w:rPr>
          <w:rFonts w:eastAsiaTheme="minorHAnsi"/>
        </w:rPr>
        <w:noBreakHyphen/>
        <w:t>17 towards its long</w:t>
      </w:r>
      <w:r w:rsidRPr="008A1A75">
        <w:rPr>
          <w:rFonts w:eastAsiaTheme="minorHAnsi"/>
        </w:rPr>
        <w:noBreakHyphen/>
        <w:t>run trend of 5 per cent.</w:t>
      </w:r>
    </w:p>
    <w:p w:rsidR="002C39A3" w:rsidRPr="008A1A75" w:rsidRDefault="002C39A3" w:rsidP="00361FA9">
      <w:pPr>
        <w:rPr>
          <w:rFonts w:eastAsiaTheme="minorHAnsi"/>
        </w:rPr>
      </w:pPr>
      <w:r w:rsidRPr="008A1A75">
        <w:rPr>
          <w:rFonts w:eastAsiaTheme="minorHAnsi"/>
        </w:rPr>
        <w:t>The number of new motor vehicle sales has also driven above-trend growth in duties revenue in 2015</w:t>
      </w:r>
      <w:r w:rsidRPr="008A1A75">
        <w:rPr>
          <w:rFonts w:eastAsiaTheme="minorHAnsi"/>
        </w:rPr>
        <w:noBreakHyphen/>
        <w:t>16. This is expected to moderate in the budget year towards long</w:t>
      </w:r>
      <w:r w:rsidRPr="008A1A75">
        <w:rPr>
          <w:rFonts w:eastAsiaTheme="minorHAnsi"/>
        </w:rPr>
        <w:noBreakHyphen/>
        <w:t xml:space="preserve">run trend </w:t>
      </w:r>
      <w:r>
        <w:rPr>
          <w:rFonts w:eastAsiaTheme="minorHAnsi"/>
        </w:rPr>
        <w:t xml:space="preserve">growth </w:t>
      </w:r>
      <w:r w:rsidRPr="008A1A75">
        <w:rPr>
          <w:rFonts w:eastAsiaTheme="minorHAnsi"/>
        </w:rPr>
        <w:t>of 3 per cent.</w:t>
      </w:r>
    </w:p>
    <w:p w:rsidR="002C39A3" w:rsidRDefault="002C39A3" w:rsidP="00361FA9">
      <w:pPr>
        <w:rPr>
          <w:rFonts w:eastAsiaTheme="minorHAnsi"/>
        </w:rPr>
      </w:pPr>
      <w:r w:rsidRPr="008A1A75">
        <w:rPr>
          <w:rFonts w:eastAsiaTheme="minorHAnsi"/>
        </w:rPr>
        <w:t>In response to proposed changes to heavy vehicle registration charges, the Transport and Infrastructure Committee (comprising state, territory and Commonwealth transport, infrastructure and planning ministers) decided to freeze nominal registration revenue for heavy motor vehicles at 2015</w:t>
      </w:r>
      <w:r w:rsidRPr="008A1A75">
        <w:rPr>
          <w:rFonts w:eastAsiaTheme="minorHAnsi"/>
        </w:rPr>
        <w:noBreakHyphen/>
        <w:t>16 levels for two years. This will constrain</w:t>
      </w:r>
      <w:r w:rsidRPr="007341AD">
        <w:rPr>
          <w:rFonts w:eastAsiaTheme="minorHAnsi"/>
        </w:rPr>
        <w:t xml:space="preserve"> growth in total mot</w:t>
      </w:r>
      <w:r>
        <w:rPr>
          <w:rFonts w:eastAsiaTheme="minorHAnsi"/>
        </w:rPr>
        <w:t>or vehicle tax revenue for 2016</w:t>
      </w:r>
      <w:r>
        <w:rPr>
          <w:rFonts w:eastAsiaTheme="minorHAnsi"/>
        </w:rPr>
        <w:noBreakHyphen/>
      </w:r>
      <w:r w:rsidRPr="007341AD">
        <w:rPr>
          <w:rFonts w:eastAsiaTheme="minorHAnsi"/>
        </w:rPr>
        <w:t>1</w:t>
      </w:r>
      <w:r>
        <w:rPr>
          <w:rFonts w:eastAsiaTheme="minorHAnsi"/>
        </w:rPr>
        <w:t>7 and 2017</w:t>
      </w:r>
      <w:r>
        <w:rPr>
          <w:rFonts w:eastAsiaTheme="minorHAnsi"/>
        </w:rPr>
        <w:noBreakHyphen/>
      </w:r>
      <w:r w:rsidRPr="007341AD">
        <w:rPr>
          <w:rFonts w:eastAsiaTheme="minorHAnsi"/>
        </w:rPr>
        <w:t>18.</w:t>
      </w:r>
    </w:p>
    <w:p w:rsidR="002C39A3" w:rsidRDefault="002C39A3">
      <w:pPr>
        <w:spacing w:after="0"/>
        <w:rPr>
          <w:rFonts w:ascii="Calibri" w:eastAsiaTheme="minorHAnsi" w:hAnsi="Calibri"/>
          <w:b/>
          <w:caps/>
          <w:sz w:val="26"/>
          <w:szCs w:val="22"/>
        </w:rPr>
      </w:pPr>
      <w:r>
        <w:rPr>
          <w:rFonts w:eastAsiaTheme="minorHAnsi"/>
        </w:rPr>
        <w:br w:type="page"/>
      </w:r>
    </w:p>
    <w:p w:rsidR="002C39A3" w:rsidRDefault="002C39A3" w:rsidP="00361FA9">
      <w:pPr>
        <w:pStyle w:val="Heading1"/>
        <w:rPr>
          <w:rFonts w:eastAsiaTheme="minorHAnsi"/>
        </w:rPr>
      </w:pPr>
      <w:bookmarkStart w:id="49" w:name="_Toc449116207"/>
      <w:r>
        <w:rPr>
          <w:rFonts w:eastAsiaTheme="minorHAnsi"/>
        </w:rPr>
        <w:t>Grants</w:t>
      </w:r>
      <w:bookmarkEnd w:id="49"/>
    </w:p>
    <w:p w:rsidR="002C39A3" w:rsidRDefault="002C39A3" w:rsidP="00361FA9">
      <w:pPr>
        <w:rPr>
          <w:rFonts w:eastAsiaTheme="minorHAnsi"/>
        </w:rPr>
      </w:pPr>
      <w:r>
        <w:rPr>
          <w:rFonts w:eastAsiaTheme="minorHAnsi"/>
        </w:rPr>
        <w:t>Total grants revenue is expected to be $27.4 billion in 2016</w:t>
      </w:r>
      <w:r>
        <w:rPr>
          <w:rFonts w:eastAsiaTheme="minorHAnsi"/>
        </w:rPr>
        <w:noBreakHyphen/>
        <w:t>17, an increase of 8.1 per cent from 2015</w:t>
      </w:r>
      <w:r>
        <w:rPr>
          <w:rFonts w:eastAsiaTheme="minorHAnsi"/>
        </w:rPr>
        <w:noBreakHyphen/>
        <w:t>16. Growth in total grants revenue across the budget and forward estimates is largely driven by GST revenue.</w:t>
      </w:r>
    </w:p>
    <w:p w:rsidR="002C39A3" w:rsidRDefault="002C39A3" w:rsidP="00361FA9">
      <w:pPr>
        <w:pStyle w:val="Tableheading"/>
        <w:rPr>
          <w:rFonts w:eastAsiaTheme="minorHAnsi"/>
        </w:rPr>
      </w:pPr>
      <w:r>
        <w:rPr>
          <w:rFonts w:eastAsiaTheme="minorHAnsi"/>
        </w:rPr>
        <w:t xml:space="preserve">Table 4.3: </w:t>
      </w:r>
      <w:r>
        <w:rPr>
          <w:rFonts w:eastAsiaTheme="minorHAnsi"/>
        </w:rPr>
        <w:tab/>
        <w:t>Grants</w:t>
      </w:r>
    </w:p>
    <w:p w:rsidR="002C39A3" w:rsidRPr="00746C29" w:rsidRDefault="002C39A3" w:rsidP="00361FA9">
      <w:pPr>
        <w:pStyle w:val="million"/>
        <w:rPr>
          <w:rFonts w:eastAsiaTheme="minorHAnsi"/>
          <w:i w:val="0"/>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CC22BA" w:rsidRPr="00746C29" w:rsidTr="00EA058F">
        <w:trPr>
          <w:trHeight w:val="464"/>
        </w:trPr>
        <w:tc>
          <w:tcPr>
            <w:tcW w:w="3515" w:type="dxa"/>
            <w:tcBorders>
              <w:right w:val="nil"/>
            </w:tcBorders>
            <w:shd w:val="solid" w:color="000000" w:fill="auto"/>
          </w:tcPr>
          <w:p w:rsidR="00CC22BA" w:rsidRPr="00746C29" w:rsidRDefault="00CC22BA" w:rsidP="00CC22BA">
            <w:pPr>
              <w:pStyle w:val="Tabletextheading"/>
              <w:jc w:val="left"/>
              <w:rPr>
                <w:rFonts w:eastAsiaTheme="minorEastAsia"/>
                <w:color w:val="FFFFFF"/>
                <w:sz w:val="19"/>
                <w:lang w:eastAsia="en-AU"/>
              </w:rPr>
            </w:pPr>
          </w:p>
        </w:tc>
        <w:tc>
          <w:tcPr>
            <w:tcW w:w="850" w:type="dxa"/>
            <w:tcBorders>
              <w:left w:val="nil"/>
              <w:right w:val="nil"/>
            </w:tcBorders>
            <w:shd w:val="solid" w:color="000000" w:fill="auto"/>
          </w:tcPr>
          <w:p w:rsidR="00CC22BA" w:rsidRPr="00746C29" w:rsidRDefault="00CC22BA" w:rsidP="00361FA9">
            <w:pPr>
              <w:pStyle w:val="Tabletextheading"/>
              <w:rPr>
                <w:rFonts w:eastAsiaTheme="minorEastAsia"/>
                <w:color w:val="FFFFFF"/>
                <w:sz w:val="19"/>
                <w:lang w:eastAsia="en-AU"/>
              </w:rPr>
            </w:pPr>
            <w:r w:rsidRPr="00746C29">
              <w:rPr>
                <w:rFonts w:eastAsiaTheme="minorEastAsia"/>
                <w:color w:val="FFFFFF"/>
                <w:sz w:val="19"/>
                <w:lang w:eastAsia="en-AU"/>
              </w:rPr>
              <w:t>2015-16</w:t>
            </w:r>
          </w:p>
          <w:p w:rsidR="00CC22BA" w:rsidRPr="00746C29" w:rsidRDefault="00CC22BA" w:rsidP="00361FA9">
            <w:pPr>
              <w:pStyle w:val="Tabletextheading"/>
              <w:rPr>
                <w:rFonts w:eastAsiaTheme="minorEastAsia"/>
                <w:color w:val="FFFFFF"/>
                <w:sz w:val="19"/>
                <w:lang w:eastAsia="en-AU"/>
              </w:rPr>
            </w:pPr>
            <w:r w:rsidRPr="00746C29">
              <w:rPr>
                <w:rFonts w:eastAsiaTheme="minorEastAsia"/>
                <w:color w:val="FFFFFF"/>
                <w:sz w:val="19"/>
                <w:lang w:eastAsia="en-AU"/>
              </w:rPr>
              <w:t>revised</w:t>
            </w:r>
          </w:p>
        </w:tc>
        <w:tc>
          <w:tcPr>
            <w:tcW w:w="850" w:type="dxa"/>
            <w:tcBorders>
              <w:left w:val="nil"/>
              <w:right w:val="nil"/>
            </w:tcBorders>
            <w:shd w:val="solid" w:color="000000" w:fill="auto"/>
          </w:tcPr>
          <w:p w:rsidR="00CC22BA" w:rsidRPr="00746C29" w:rsidRDefault="00CC22BA" w:rsidP="00361FA9">
            <w:pPr>
              <w:pStyle w:val="Tabletextheading"/>
              <w:rPr>
                <w:rFonts w:eastAsiaTheme="minorEastAsia" w:cs="Calibri"/>
                <w:iCs/>
                <w:color w:val="FFFFFF"/>
                <w:sz w:val="19"/>
                <w:lang w:eastAsia="en-AU"/>
              </w:rPr>
            </w:pPr>
            <w:r w:rsidRPr="00746C29">
              <w:rPr>
                <w:rFonts w:eastAsiaTheme="minorEastAsia"/>
                <w:color w:val="FFFFFF"/>
                <w:sz w:val="19"/>
                <w:lang w:eastAsia="en-AU"/>
              </w:rPr>
              <w:t xml:space="preserve">2016-17 </w:t>
            </w:r>
          </w:p>
          <w:p w:rsidR="00CC22BA" w:rsidRPr="00746C29" w:rsidRDefault="00CC22BA" w:rsidP="00361FA9">
            <w:pPr>
              <w:pStyle w:val="Tabletextheading"/>
              <w:rPr>
                <w:rFonts w:eastAsiaTheme="minorEastAsia" w:cs="Calibri"/>
                <w:iCs/>
                <w:color w:val="FFFFFF"/>
                <w:sz w:val="19"/>
                <w:lang w:eastAsia="en-AU"/>
              </w:rPr>
            </w:pPr>
            <w:r w:rsidRPr="00746C29">
              <w:rPr>
                <w:rFonts w:eastAsiaTheme="minorEastAsia"/>
                <w:color w:val="FFFFFF"/>
                <w:sz w:val="19"/>
                <w:lang w:eastAsia="en-AU"/>
              </w:rPr>
              <w:t>budget</w:t>
            </w:r>
          </w:p>
        </w:tc>
        <w:tc>
          <w:tcPr>
            <w:tcW w:w="850" w:type="dxa"/>
            <w:tcBorders>
              <w:left w:val="nil"/>
              <w:right w:val="nil"/>
            </w:tcBorders>
            <w:shd w:val="solid" w:color="000000" w:fill="auto"/>
          </w:tcPr>
          <w:p w:rsidR="00CC22BA" w:rsidRPr="00746C29" w:rsidRDefault="00CC22BA" w:rsidP="00361FA9">
            <w:pPr>
              <w:pStyle w:val="Tabletextheading"/>
              <w:rPr>
                <w:rFonts w:eastAsiaTheme="minorEastAsia" w:cs="Calibri"/>
                <w:iCs/>
                <w:color w:val="FFFFFF"/>
                <w:sz w:val="19"/>
                <w:lang w:eastAsia="en-AU"/>
              </w:rPr>
            </w:pPr>
            <w:r w:rsidRPr="00746C29">
              <w:rPr>
                <w:rFonts w:eastAsiaTheme="minorEastAsia"/>
                <w:color w:val="FFFFFF"/>
                <w:sz w:val="19"/>
                <w:lang w:eastAsia="en-AU"/>
              </w:rPr>
              <w:t xml:space="preserve">2017-18 </w:t>
            </w:r>
          </w:p>
          <w:p w:rsidR="00CC22BA" w:rsidRPr="00746C29" w:rsidRDefault="00CC22BA" w:rsidP="00361FA9">
            <w:pPr>
              <w:pStyle w:val="Tabletextheading"/>
              <w:rPr>
                <w:rFonts w:eastAsiaTheme="minorEastAsia" w:cs="Calibri"/>
                <w:iCs/>
                <w:color w:val="FFFFFF"/>
                <w:sz w:val="19"/>
                <w:lang w:eastAsia="en-AU"/>
              </w:rPr>
            </w:pPr>
            <w:r w:rsidRPr="00746C29">
              <w:rPr>
                <w:rFonts w:eastAsiaTheme="minorEastAsia"/>
                <w:color w:val="FFFFFF"/>
                <w:sz w:val="19"/>
                <w:lang w:eastAsia="en-AU"/>
              </w:rPr>
              <w:t>estimate</w:t>
            </w:r>
          </w:p>
        </w:tc>
        <w:tc>
          <w:tcPr>
            <w:tcW w:w="850" w:type="dxa"/>
            <w:tcBorders>
              <w:left w:val="nil"/>
              <w:right w:val="nil"/>
            </w:tcBorders>
            <w:shd w:val="solid" w:color="000000" w:fill="auto"/>
          </w:tcPr>
          <w:p w:rsidR="00CC22BA" w:rsidRPr="00746C29" w:rsidRDefault="00CC22BA" w:rsidP="00361FA9">
            <w:pPr>
              <w:pStyle w:val="Tabletextheading"/>
              <w:rPr>
                <w:rFonts w:eastAsiaTheme="minorEastAsia" w:cs="Calibri"/>
                <w:iCs/>
                <w:color w:val="FFFFFF"/>
                <w:sz w:val="19"/>
                <w:lang w:eastAsia="en-AU"/>
              </w:rPr>
            </w:pPr>
            <w:r w:rsidRPr="00746C29">
              <w:rPr>
                <w:rFonts w:eastAsiaTheme="minorEastAsia"/>
                <w:color w:val="FFFFFF"/>
                <w:sz w:val="19"/>
                <w:lang w:eastAsia="en-AU"/>
              </w:rPr>
              <w:t xml:space="preserve">2018-19 </w:t>
            </w:r>
          </w:p>
          <w:p w:rsidR="00CC22BA" w:rsidRPr="00746C29" w:rsidRDefault="00CC22BA" w:rsidP="00361FA9">
            <w:pPr>
              <w:pStyle w:val="Tabletextheading"/>
              <w:rPr>
                <w:rFonts w:eastAsiaTheme="minorEastAsia" w:cs="Calibri"/>
                <w:iCs/>
                <w:color w:val="FFFFFF"/>
                <w:sz w:val="19"/>
                <w:lang w:eastAsia="en-AU"/>
              </w:rPr>
            </w:pPr>
            <w:r w:rsidRPr="00746C29">
              <w:rPr>
                <w:rFonts w:eastAsiaTheme="minorEastAsia"/>
                <w:color w:val="FFFFFF"/>
                <w:sz w:val="19"/>
                <w:lang w:eastAsia="en-AU"/>
              </w:rPr>
              <w:t>estimate</w:t>
            </w:r>
          </w:p>
        </w:tc>
        <w:tc>
          <w:tcPr>
            <w:tcW w:w="850" w:type="dxa"/>
            <w:tcBorders>
              <w:left w:val="nil"/>
            </w:tcBorders>
            <w:shd w:val="solid" w:color="000000" w:fill="auto"/>
          </w:tcPr>
          <w:p w:rsidR="00CC22BA" w:rsidRPr="00746C29" w:rsidRDefault="00CC22BA" w:rsidP="00361FA9">
            <w:pPr>
              <w:pStyle w:val="Tabletextheading"/>
              <w:rPr>
                <w:rFonts w:eastAsiaTheme="minorEastAsia" w:cs="Calibri"/>
                <w:iCs/>
                <w:color w:val="FFFFFF"/>
                <w:sz w:val="19"/>
                <w:lang w:eastAsia="en-AU"/>
              </w:rPr>
            </w:pPr>
            <w:r w:rsidRPr="00746C29">
              <w:rPr>
                <w:rFonts w:eastAsiaTheme="minorEastAsia"/>
                <w:color w:val="FFFFFF"/>
                <w:sz w:val="19"/>
                <w:lang w:eastAsia="en-AU"/>
              </w:rPr>
              <w:t xml:space="preserve">2019-20 </w:t>
            </w:r>
          </w:p>
          <w:p w:rsidR="00CC22BA" w:rsidRPr="00746C29" w:rsidRDefault="00CC22BA" w:rsidP="00361FA9">
            <w:pPr>
              <w:pStyle w:val="Tabletextheading"/>
              <w:rPr>
                <w:rFonts w:eastAsiaTheme="minorEastAsia" w:cs="Calibri"/>
                <w:iCs/>
                <w:color w:val="FFFFFF"/>
                <w:sz w:val="19"/>
                <w:lang w:eastAsia="en-AU"/>
              </w:rPr>
            </w:pPr>
            <w:r w:rsidRPr="00746C29">
              <w:rPr>
                <w:rFonts w:eastAsiaTheme="minorEastAsia"/>
                <w:color w:val="FFFFFF"/>
                <w:sz w:val="19"/>
                <w:lang w:eastAsia="en-AU"/>
              </w:rPr>
              <w:t>estimate</w:t>
            </w:r>
          </w:p>
        </w:tc>
      </w:tr>
      <w:tr w:rsidR="002C39A3" w:rsidRPr="00746C29" w:rsidTr="00361FA9">
        <w:tc>
          <w:tcPr>
            <w:tcW w:w="3515" w:type="dxa"/>
            <w:tcBorders>
              <w:top w:val="single" w:sz="6" w:space="0" w:color="auto"/>
              <w:left w:val="nil"/>
              <w:right w:val="nil"/>
            </w:tcBorders>
            <w:shd w:val="clear" w:color="auto" w:fill="FFFFFF"/>
          </w:tcPr>
          <w:p w:rsidR="002C39A3" w:rsidRPr="00746C29" w:rsidRDefault="002C39A3" w:rsidP="00361FA9">
            <w:pPr>
              <w:pStyle w:val="Tabletext"/>
              <w:ind w:left="227" w:hanging="227"/>
              <w:rPr>
                <w:rFonts w:eastAsiaTheme="minorEastAsia" w:cs="Calibri"/>
                <w:color w:val="000000"/>
                <w:lang w:eastAsia="en-AU"/>
              </w:rPr>
            </w:pPr>
            <w:r w:rsidRPr="00746C29">
              <w:rPr>
                <w:rFonts w:eastAsiaTheme="minorEastAsia"/>
                <w:color w:val="000000"/>
                <w:lang w:eastAsia="en-AU"/>
              </w:rPr>
              <w:t>General purpose</w:t>
            </w:r>
            <w:r w:rsidR="00CC22BA">
              <w:rPr>
                <w:rFonts w:eastAsiaTheme="minorEastAsia" w:cs="Calibri"/>
                <w:color w:val="000000"/>
                <w:lang w:eastAsia="en-AU"/>
              </w:rPr>
              <w:t xml:space="preserve"> grants –</w:t>
            </w:r>
            <w:r w:rsidRPr="00746C29">
              <w:rPr>
                <w:rFonts w:eastAsiaTheme="minorEastAsia" w:cs="Calibri"/>
                <w:color w:val="000000"/>
                <w:lang w:eastAsia="en-AU"/>
              </w:rPr>
              <w:t xml:space="preserve"> </w:t>
            </w:r>
            <w:r w:rsidR="00CC22BA">
              <w:rPr>
                <w:rFonts w:eastAsiaTheme="minorEastAsia" w:cs="Calibri"/>
                <w:color w:val="000000"/>
                <w:lang w:eastAsia="en-AU"/>
              </w:rPr>
              <w:br/>
            </w:r>
            <w:r w:rsidRPr="00746C29">
              <w:rPr>
                <w:rFonts w:eastAsiaTheme="minorEastAsia" w:cs="Calibri"/>
                <w:color w:val="000000"/>
                <w:lang w:eastAsia="en-AU"/>
              </w:rPr>
              <w:t>goods and services tax</w:t>
            </w:r>
          </w:p>
        </w:tc>
        <w:tc>
          <w:tcPr>
            <w:tcW w:w="850" w:type="dxa"/>
            <w:tcBorders>
              <w:top w:val="single" w:sz="6" w:space="0" w:color="auto"/>
              <w:left w:val="nil"/>
              <w:right w:val="nil"/>
            </w:tcBorders>
            <w:shd w:val="clear" w:color="auto" w:fill="FFFFFF"/>
          </w:tcPr>
          <w:p w:rsidR="002C39A3" w:rsidRPr="00746C29" w:rsidRDefault="002C39A3" w:rsidP="00361FA9">
            <w:pPr>
              <w:pStyle w:val="TableofFigures"/>
              <w:rPr>
                <w:rFonts w:eastAsiaTheme="minorEastAsia" w:cs="Calibri"/>
                <w:color w:val="000000"/>
                <w:sz w:val="19"/>
                <w:lang w:eastAsia="en-AU"/>
              </w:rPr>
            </w:pPr>
            <w:r w:rsidRPr="00746C29">
              <w:rPr>
                <w:rFonts w:eastAsiaTheme="minorEastAsia"/>
                <w:color w:val="000000"/>
                <w:sz w:val="19"/>
                <w:lang w:eastAsia="en-AU"/>
              </w:rPr>
              <w:t>13 032</w:t>
            </w:r>
          </w:p>
        </w:tc>
        <w:tc>
          <w:tcPr>
            <w:tcW w:w="850" w:type="dxa"/>
            <w:tcBorders>
              <w:top w:val="single" w:sz="6" w:space="0" w:color="auto"/>
              <w:left w:val="nil"/>
              <w:right w:val="nil"/>
            </w:tcBorders>
            <w:shd w:val="clear" w:color="auto" w:fill="FFFFFF"/>
          </w:tcPr>
          <w:p w:rsidR="002C39A3" w:rsidRPr="00746C29" w:rsidRDefault="002C39A3" w:rsidP="00361FA9">
            <w:pPr>
              <w:pStyle w:val="TableofFigures"/>
              <w:rPr>
                <w:rFonts w:eastAsiaTheme="minorEastAsia" w:cs="Calibri"/>
                <w:color w:val="000000"/>
                <w:sz w:val="19"/>
                <w:lang w:eastAsia="en-AU"/>
              </w:rPr>
            </w:pPr>
            <w:r w:rsidRPr="00746C29">
              <w:rPr>
                <w:rFonts w:eastAsiaTheme="minorEastAsia"/>
                <w:color w:val="000000"/>
                <w:sz w:val="19"/>
                <w:lang w:eastAsia="en-AU"/>
              </w:rPr>
              <w:t>13</w:t>
            </w:r>
            <w:r w:rsidRPr="00746C29">
              <w:rPr>
                <w:rFonts w:eastAsiaTheme="minorEastAsia" w:cs="Calibri"/>
                <w:color w:val="000000"/>
                <w:sz w:val="19"/>
                <w:lang w:eastAsia="en-AU"/>
              </w:rPr>
              <w:t xml:space="preserve"> 885</w:t>
            </w:r>
          </w:p>
        </w:tc>
        <w:tc>
          <w:tcPr>
            <w:tcW w:w="850" w:type="dxa"/>
            <w:tcBorders>
              <w:top w:val="single" w:sz="6" w:space="0" w:color="auto"/>
              <w:left w:val="nil"/>
              <w:right w:val="nil"/>
            </w:tcBorders>
            <w:shd w:val="clear" w:color="auto" w:fill="FFFFFF"/>
          </w:tcPr>
          <w:p w:rsidR="002C39A3" w:rsidRPr="00746C29" w:rsidRDefault="002C39A3" w:rsidP="00361FA9">
            <w:pPr>
              <w:pStyle w:val="TableofFigures"/>
              <w:rPr>
                <w:rFonts w:eastAsiaTheme="minorEastAsia" w:cs="Calibri"/>
                <w:color w:val="000000"/>
                <w:sz w:val="19"/>
                <w:lang w:eastAsia="en-AU"/>
              </w:rPr>
            </w:pPr>
            <w:r w:rsidRPr="00746C29">
              <w:rPr>
                <w:rFonts w:eastAsiaTheme="minorEastAsia"/>
                <w:color w:val="000000"/>
                <w:sz w:val="19"/>
                <w:lang w:eastAsia="en-AU"/>
              </w:rPr>
              <w:t>14</w:t>
            </w:r>
            <w:r w:rsidRPr="00746C29">
              <w:rPr>
                <w:rFonts w:eastAsiaTheme="minorEastAsia" w:cs="Calibri"/>
                <w:color w:val="000000"/>
                <w:sz w:val="19"/>
                <w:lang w:eastAsia="en-AU"/>
              </w:rPr>
              <w:t xml:space="preserve"> 609</w:t>
            </w:r>
          </w:p>
        </w:tc>
        <w:tc>
          <w:tcPr>
            <w:tcW w:w="850" w:type="dxa"/>
            <w:tcBorders>
              <w:top w:val="single" w:sz="6" w:space="0" w:color="auto"/>
              <w:left w:val="nil"/>
              <w:right w:val="nil"/>
            </w:tcBorders>
            <w:shd w:val="clear" w:color="auto" w:fill="FFFFFF"/>
          </w:tcPr>
          <w:p w:rsidR="002C39A3" w:rsidRPr="00746C29" w:rsidRDefault="002C39A3" w:rsidP="00361FA9">
            <w:pPr>
              <w:pStyle w:val="TableofFigures"/>
              <w:rPr>
                <w:rFonts w:eastAsiaTheme="minorEastAsia" w:cs="Calibri"/>
                <w:color w:val="000000"/>
                <w:sz w:val="19"/>
                <w:lang w:eastAsia="en-AU"/>
              </w:rPr>
            </w:pPr>
            <w:r w:rsidRPr="00746C29">
              <w:rPr>
                <w:rFonts w:eastAsiaTheme="minorEastAsia"/>
                <w:color w:val="000000"/>
                <w:sz w:val="19"/>
                <w:lang w:eastAsia="en-AU"/>
              </w:rPr>
              <w:t>15</w:t>
            </w:r>
            <w:r w:rsidRPr="00746C29">
              <w:rPr>
                <w:rFonts w:eastAsiaTheme="minorEastAsia" w:cs="Calibri"/>
                <w:color w:val="000000"/>
                <w:sz w:val="19"/>
                <w:lang w:eastAsia="en-AU"/>
              </w:rPr>
              <w:t xml:space="preserve"> 770</w:t>
            </w:r>
          </w:p>
        </w:tc>
        <w:tc>
          <w:tcPr>
            <w:tcW w:w="850" w:type="dxa"/>
            <w:tcBorders>
              <w:top w:val="single" w:sz="6" w:space="0" w:color="auto"/>
              <w:left w:val="nil"/>
              <w:right w:val="nil"/>
            </w:tcBorders>
            <w:shd w:val="clear" w:color="auto" w:fill="FFFFFF"/>
          </w:tcPr>
          <w:p w:rsidR="002C39A3" w:rsidRPr="00746C29" w:rsidRDefault="002C39A3" w:rsidP="00361FA9">
            <w:pPr>
              <w:pStyle w:val="TableofFigures"/>
              <w:rPr>
                <w:rFonts w:eastAsiaTheme="minorEastAsia" w:cs="Calibri"/>
                <w:color w:val="000000"/>
                <w:sz w:val="19"/>
                <w:lang w:eastAsia="en-AU"/>
              </w:rPr>
            </w:pPr>
            <w:r w:rsidRPr="00746C29">
              <w:rPr>
                <w:rFonts w:eastAsiaTheme="minorEastAsia"/>
                <w:color w:val="000000"/>
                <w:sz w:val="19"/>
                <w:lang w:eastAsia="en-AU"/>
              </w:rPr>
              <w:t>16</w:t>
            </w:r>
            <w:r w:rsidRPr="00746C29">
              <w:rPr>
                <w:rFonts w:eastAsiaTheme="minorEastAsia" w:cs="Calibri"/>
                <w:color w:val="000000"/>
                <w:sz w:val="19"/>
                <w:lang w:eastAsia="en-AU"/>
              </w:rPr>
              <w:t xml:space="preserve"> 534</w:t>
            </w:r>
          </w:p>
        </w:tc>
      </w:tr>
      <w:tr w:rsidR="002C39A3" w:rsidRPr="00746C29" w:rsidTr="00361FA9">
        <w:tc>
          <w:tcPr>
            <w:tcW w:w="3515" w:type="dxa"/>
            <w:tcBorders>
              <w:top w:val="nil"/>
              <w:left w:val="nil"/>
              <w:right w:val="nil"/>
            </w:tcBorders>
            <w:shd w:val="clear" w:color="auto" w:fill="FFFFFF"/>
          </w:tcPr>
          <w:p w:rsidR="002C39A3" w:rsidRPr="00746C29" w:rsidRDefault="002C39A3" w:rsidP="00361FA9">
            <w:pPr>
              <w:pStyle w:val="Tabletext"/>
              <w:ind w:left="227" w:hanging="227"/>
              <w:rPr>
                <w:rFonts w:eastAsiaTheme="minorEastAsia"/>
                <w:color w:val="000000"/>
                <w:lang w:eastAsia="en-AU"/>
              </w:rPr>
            </w:pPr>
            <w:r w:rsidRPr="00746C29">
              <w:rPr>
                <w:rFonts w:eastAsiaTheme="minorEastAsia"/>
                <w:color w:val="000000"/>
                <w:lang w:eastAsia="en-AU"/>
              </w:rPr>
              <w:t>Specific purpose grants for on-passing</w:t>
            </w:r>
          </w:p>
        </w:tc>
        <w:tc>
          <w:tcPr>
            <w:tcW w:w="850" w:type="dxa"/>
            <w:tcBorders>
              <w:top w:val="nil"/>
              <w:left w:val="nil"/>
              <w:right w:val="nil"/>
            </w:tcBorders>
            <w:shd w:val="clear" w:color="auto" w:fill="FFFFFF"/>
          </w:tcPr>
          <w:p w:rsidR="002C39A3" w:rsidRPr="00746C29" w:rsidRDefault="002C39A3" w:rsidP="00361FA9">
            <w:pPr>
              <w:pStyle w:val="TableofFigures"/>
              <w:rPr>
                <w:rFonts w:eastAsiaTheme="minorEastAsia" w:cs="Calibri"/>
                <w:color w:val="000000"/>
                <w:sz w:val="19"/>
                <w:lang w:eastAsia="en-AU"/>
              </w:rPr>
            </w:pPr>
            <w:r w:rsidRPr="00746C29">
              <w:rPr>
                <w:rFonts w:eastAsiaTheme="minorEastAsia"/>
                <w:color w:val="000000"/>
                <w:sz w:val="19"/>
                <w:lang w:eastAsia="en-AU"/>
              </w:rPr>
              <w:t>3</w:t>
            </w:r>
            <w:r w:rsidRPr="00746C29">
              <w:rPr>
                <w:rFonts w:eastAsiaTheme="minorEastAsia" w:cs="Calibri"/>
                <w:color w:val="000000"/>
                <w:sz w:val="19"/>
                <w:lang w:eastAsia="en-AU"/>
              </w:rPr>
              <w:t xml:space="preserve"> 095</w:t>
            </w:r>
          </w:p>
        </w:tc>
        <w:tc>
          <w:tcPr>
            <w:tcW w:w="850" w:type="dxa"/>
            <w:tcBorders>
              <w:top w:val="nil"/>
              <w:left w:val="nil"/>
              <w:right w:val="nil"/>
            </w:tcBorders>
            <w:shd w:val="clear" w:color="auto" w:fill="FFFFFF"/>
          </w:tcPr>
          <w:p w:rsidR="002C39A3" w:rsidRPr="00746C29" w:rsidRDefault="002C39A3" w:rsidP="00361FA9">
            <w:pPr>
              <w:pStyle w:val="TableofFigures"/>
              <w:rPr>
                <w:rFonts w:eastAsiaTheme="minorEastAsia" w:cs="Calibri"/>
                <w:color w:val="000000"/>
                <w:sz w:val="19"/>
                <w:lang w:eastAsia="en-AU"/>
              </w:rPr>
            </w:pPr>
            <w:r w:rsidRPr="00746C29">
              <w:rPr>
                <w:rFonts w:eastAsiaTheme="minorEastAsia"/>
                <w:color w:val="000000"/>
                <w:sz w:val="19"/>
                <w:lang w:eastAsia="en-AU"/>
              </w:rPr>
              <w:t>3</w:t>
            </w:r>
            <w:r w:rsidRPr="00746C29">
              <w:rPr>
                <w:rFonts w:eastAsiaTheme="minorEastAsia" w:cs="Calibri"/>
                <w:color w:val="000000"/>
                <w:sz w:val="19"/>
                <w:lang w:eastAsia="en-AU"/>
              </w:rPr>
              <w:t xml:space="preserve"> 576</w:t>
            </w:r>
          </w:p>
        </w:tc>
        <w:tc>
          <w:tcPr>
            <w:tcW w:w="850" w:type="dxa"/>
            <w:tcBorders>
              <w:top w:val="nil"/>
              <w:left w:val="nil"/>
              <w:right w:val="nil"/>
            </w:tcBorders>
            <w:shd w:val="clear" w:color="auto" w:fill="FFFFFF"/>
          </w:tcPr>
          <w:p w:rsidR="002C39A3" w:rsidRPr="00746C29" w:rsidRDefault="002C39A3" w:rsidP="00361FA9">
            <w:pPr>
              <w:pStyle w:val="TableofFigures"/>
              <w:rPr>
                <w:rFonts w:eastAsiaTheme="minorEastAsia" w:cs="Calibri"/>
                <w:color w:val="000000"/>
                <w:sz w:val="19"/>
                <w:lang w:eastAsia="en-AU"/>
              </w:rPr>
            </w:pPr>
            <w:r w:rsidRPr="00746C29">
              <w:rPr>
                <w:rFonts w:eastAsiaTheme="minorEastAsia"/>
                <w:color w:val="000000"/>
                <w:sz w:val="19"/>
                <w:lang w:eastAsia="en-AU"/>
              </w:rPr>
              <w:t>3</w:t>
            </w:r>
            <w:r w:rsidRPr="00746C29">
              <w:rPr>
                <w:rFonts w:eastAsiaTheme="minorEastAsia" w:cs="Calibri"/>
                <w:color w:val="000000"/>
                <w:sz w:val="19"/>
                <w:lang w:eastAsia="en-AU"/>
              </w:rPr>
              <w:t xml:space="preserve"> 767</w:t>
            </w:r>
          </w:p>
        </w:tc>
        <w:tc>
          <w:tcPr>
            <w:tcW w:w="850" w:type="dxa"/>
            <w:tcBorders>
              <w:top w:val="nil"/>
              <w:left w:val="nil"/>
              <w:right w:val="nil"/>
            </w:tcBorders>
            <w:shd w:val="clear" w:color="auto" w:fill="FFFFFF"/>
          </w:tcPr>
          <w:p w:rsidR="002C39A3" w:rsidRPr="00746C29" w:rsidRDefault="002C39A3" w:rsidP="00361FA9">
            <w:pPr>
              <w:pStyle w:val="TableofFigures"/>
              <w:rPr>
                <w:rFonts w:eastAsiaTheme="minorEastAsia" w:cs="Calibri"/>
                <w:color w:val="000000"/>
                <w:sz w:val="19"/>
                <w:lang w:eastAsia="en-AU"/>
              </w:rPr>
            </w:pPr>
            <w:r w:rsidRPr="00746C29">
              <w:rPr>
                <w:rFonts w:eastAsiaTheme="minorEastAsia"/>
                <w:color w:val="000000"/>
                <w:sz w:val="19"/>
                <w:lang w:eastAsia="en-AU"/>
              </w:rPr>
              <w:t>3</w:t>
            </w:r>
            <w:r w:rsidRPr="00746C29">
              <w:rPr>
                <w:rFonts w:eastAsiaTheme="minorEastAsia" w:cs="Calibri"/>
                <w:color w:val="000000"/>
                <w:sz w:val="19"/>
                <w:lang w:eastAsia="en-AU"/>
              </w:rPr>
              <w:t xml:space="preserve"> 936</w:t>
            </w:r>
          </w:p>
        </w:tc>
        <w:tc>
          <w:tcPr>
            <w:tcW w:w="850" w:type="dxa"/>
            <w:tcBorders>
              <w:top w:val="nil"/>
              <w:left w:val="nil"/>
              <w:right w:val="nil"/>
            </w:tcBorders>
            <w:shd w:val="clear" w:color="auto" w:fill="FFFFFF"/>
          </w:tcPr>
          <w:p w:rsidR="002C39A3" w:rsidRPr="00746C29" w:rsidRDefault="002C39A3" w:rsidP="00361FA9">
            <w:pPr>
              <w:pStyle w:val="TableofFigures"/>
              <w:rPr>
                <w:rFonts w:eastAsiaTheme="minorEastAsia" w:cs="Calibri"/>
                <w:color w:val="000000"/>
                <w:sz w:val="19"/>
                <w:lang w:eastAsia="en-AU"/>
              </w:rPr>
            </w:pPr>
            <w:r w:rsidRPr="00746C29">
              <w:rPr>
                <w:rFonts w:eastAsiaTheme="minorEastAsia"/>
                <w:color w:val="000000"/>
                <w:sz w:val="19"/>
                <w:lang w:eastAsia="en-AU"/>
              </w:rPr>
              <w:t>4</w:t>
            </w:r>
            <w:r w:rsidRPr="00746C29">
              <w:rPr>
                <w:rFonts w:eastAsiaTheme="minorEastAsia" w:cs="Calibri"/>
                <w:color w:val="000000"/>
                <w:sz w:val="19"/>
                <w:lang w:eastAsia="en-AU"/>
              </w:rPr>
              <w:t xml:space="preserve"> 096</w:t>
            </w:r>
          </w:p>
        </w:tc>
      </w:tr>
      <w:tr w:rsidR="002C39A3" w:rsidRPr="00746C29" w:rsidTr="00361FA9">
        <w:tc>
          <w:tcPr>
            <w:tcW w:w="3515" w:type="dxa"/>
            <w:tcBorders>
              <w:top w:val="nil"/>
              <w:left w:val="nil"/>
              <w:bottom w:val="single" w:sz="6" w:space="0" w:color="auto"/>
              <w:right w:val="nil"/>
            </w:tcBorders>
            <w:shd w:val="clear" w:color="auto" w:fill="FFFFFF"/>
          </w:tcPr>
          <w:p w:rsidR="002C39A3" w:rsidRPr="00746C29" w:rsidRDefault="002C39A3" w:rsidP="00361FA9">
            <w:pPr>
              <w:pStyle w:val="Tabletext"/>
              <w:ind w:left="227" w:hanging="227"/>
              <w:rPr>
                <w:rFonts w:eastAsiaTheme="minorEastAsia"/>
                <w:color w:val="000000"/>
                <w:lang w:eastAsia="en-AU"/>
              </w:rPr>
            </w:pPr>
            <w:r w:rsidRPr="00746C29">
              <w:rPr>
                <w:rFonts w:eastAsiaTheme="minorEastAsia"/>
                <w:color w:val="000000"/>
                <w:lang w:eastAsia="en-AU"/>
              </w:rPr>
              <w:t>Other grants for specific purposes</w:t>
            </w:r>
          </w:p>
        </w:tc>
        <w:tc>
          <w:tcPr>
            <w:tcW w:w="850" w:type="dxa"/>
            <w:tcBorders>
              <w:top w:val="nil"/>
              <w:left w:val="nil"/>
              <w:bottom w:val="single" w:sz="6" w:space="0" w:color="auto"/>
              <w:right w:val="nil"/>
            </w:tcBorders>
            <w:shd w:val="clear" w:color="auto" w:fill="FFFFFF"/>
          </w:tcPr>
          <w:p w:rsidR="002C39A3" w:rsidRPr="00746C29" w:rsidRDefault="002C39A3" w:rsidP="00361FA9">
            <w:pPr>
              <w:pStyle w:val="TableofFigures"/>
              <w:rPr>
                <w:rFonts w:eastAsiaTheme="minorEastAsia" w:cs="Calibri"/>
                <w:color w:val="000000"/>
                <w:sz w:val="19"/>
                <w:lang w:eastAsia="en-AU"/>
              </w:rPr>
            </w:pPr>
            <w:r w:rsidRPr="00746C29">
              <w:rPr>
                <w:rFonts w:eastAsiaTheme="minorEastAsia"/>
                <w:color w:val="000000"/>
                <w:sz w:val="19"/>
                <w:lang w:eastAsia="en-AU"/>
              </w:rPr>
              <w:t>9</w:t>
            </w:r>
            <w:r w:rsidRPr="00746C29">
              <w:rPr>
                <w:rFonts w:eastAsiaTheme="minorEastAsia" w:cs="Calibri"/>
                <w:color w:val="000000"/>
                <w:sz w:val="19"/>
                <w:lang w:eastAsia="en-AU"/>
              </w:rPr>
              <w:t xml:space="preserve"> 114</w:t>
            </w:r>
          </w:p>
        </w:tc>
        <w:tc>
          <w:tcPr>
            <w:tcW w:w="850" w:type="dxa"/>
            <w:tcBorders>
              <w:top w:val="nil"/>
              <w:left w:val="nil"/>
              <w:bottom w:val="single" w:sz="6" w:space="0" w:color="auto"/>
              <w:right w:val="nil"/>
            </w:tcBorders>
            <w:shd w:val="clear" w:color="auto" w:fill="FFFFFF"/>
          </w:tcPr>
          <w:p w:rsidR="002C39A3" w:rsidRPr="00746C29" w:rsidRDefault="002C39A3" w:rsidP="00361FA9">
            <w:pPr>
              <w:pStyle w:val="TableofFigures"/>
              <w:rPr>
                <w:rFonts w:eastAsiaTheme="minorEastAsia" w:cs="Calibri"/>
                <w:color w:val="000000"/>
                <w:sz w:val="19"/>
                <w:lang w:eastAsia="en-AU"/>
              </w:rPr>
            </w:pPr>
            <w:r w:rsidRPr="00746C29">
              <w:rPr>
                <w:rFonts w:eastAsiaTheme="minorEastAsia"/>
                <w:color w:val="000000"/>
                <w:sz w:val="19"/>
                <w:lang w:eastAsia="en-AU"/>
              </w:rPr>
              <w:t>9</w:t>
            </w:r>
            <w:r w:rsidRPr="00746C29">
              <w:rPr>
                <w:rFonts w:eastAsiaTheme="minorEastAsia" w:cs="Calibri"/>
                <w:color w:val="000000"/>
                <w:sz w:val="19"/>
                <w:lang w:eastAsia="en-AU"/>
              </w:rPr>
              <w:t xml:space="preserve"> 731</w:t>
            </w:r>
          </w:p>
        </w:tc>
        <w:tc>
          <w:tcPr>
            <w:tcW w:w="850" w:type="dxa"/>
            <w:tcBorders>
              <w:top w:val="nil"/>
              <w:left w:val="nil"/>
              <w:bottom w:val="single" w:sz="6" w:space="0" w:color="auto"/>
              <w:right w:val="nil"/>
            </w:tcBorders>
            <w:shd w:val="clear" w:color="auto" w:fill="FFFFFF"/>
          </w:tcPr>
          <w:p w:rsidR="002C39A3" w:rsidRPr="00746C29" w:rsidRDefault="002C39A3" w:rsidP="00361FA9">
            <w:pPr>
              <w:pStyle w:val="TableofFigures"/>
              <w:rPr>
                <w:rFonts w:eastAsiaTheme="minorEastAsia" w:cs="Calibri"/>
                <w:color w:val="000000"/>
                <w:sz w:val="19"/>
                <w:lang w:eastAsia="en-AU"/>
              </w:rPr>
            </w:pPr>
            <w:r w:rsidRPr="00746C29">
              <w:rPr>
                <w:rFonts w:eastAsiaTheme="minorEastAsia"/>
                <w:color w:val="000000"/>
                <w:sz w:val="19"/>
                <w:lang w:eastAsia="en-AU"/>
              </w:rPr>
              <w:t>9</w:t>
            </w:r>
            <w:r w:rsidRPr="00746C29">
              <w:rPr>
                <w:rFonts w:eastAsiaTheme="minorEastAsia" w:cs="Calibri"/>
                <w:color w:val="000000"/>
                <w:sz w:val="19"/>
                <w:lang w:eastAsia="en-AU"/>
              </w:rPr>
              <w:t xml:space="preserve"> 464</w:t>
            </w:r>
          </w:p>
        </w:tc>
        <w:tc>
          <w:tcPr>
            <w:tcW w:w="850" w:type="dxa"/>
            <w:tcBorders>
              <w:top w:val="nil"/>
              <w:left w:val="nil"/>
              <w:bottom w:val="single" w:sz="6" w:space="0" w:color="auto"/>
              <w:right w:val="nil"/>
            </w:tcBorders>
            <w:shd w:val="clear" w:color="auto" w:fill="FFFFFF"/>
          </w:tcPr>
          <w:p w:rsidR="002C39A3" w:rsidRPr="00746C29" w:rsidRDefault="002C39A3" w:rsidP="00361FA9">
            <w:pPr>
              <w:pStyle w:val="TableofFigures"/>
              <w:rPr>
                <w:rFonts w:eastAsiaTheme="minorEastAsia" w:cs="Calibri"/>
                <w:color w:val="000000"/>
                <w:sz w:val="19"/>
                <w:lang w:eastAsia="en-AU"/>
              </w:rPr>
            </w:pPr>
            <w:r w:rsidRPr="00746C29">
              <w:rPr>
                <w:rFonts w:eastAsiaTheme="minorEastAsia"/>
                <w:color w:val="000000"/>
                <w:sz w:val="19"/>
                <w:lang w:eastAsia="en-AU"/>
              </w:rPr>
              <w:t>8</w:t>
            </w:r>
            <w:r w:rsidRPr="00746C29">
              <w:rPr>
                <w:rFonts w:eastAsiaTheme="minorEastAsia" w:cs="Calibri"/>
                <w:color w:val="000000"/>
                <w:sz w:val="19"/>
                <w:lang w:eastAsia="en-AU"/>
              </w:rPr>
              <w:t xml:space="preserve"> 859</w:t>
            </w:r>
          </w:p>
        </w:tc>
        <w:tc>
          <w:tcPr>
            <w:tcW w:w="850" w:type="dxa"/>
            <w:tcBorders>
              <w:top w:val="nil"/>
              <w:left w:val="nil"/>
              <w:bottom w:val="single" w:sz="6" w:space="0" w:color="auto"/>
              <w:right w:val="nil"/>
            </w:tcBorders>
            <w:shd w:val="clear" w:color="auto" w:fill="FFFFFF"/>
          </w:tcPr>
          <w:p w:rsidR="002C39A3" w:rsidRPr="00746C29" w:rsidRDefault="002C39A3" w:rsidP="00361FA9">
            <w:pPr>
              <w:pStyle w:val="TableofFigures"/>
              <w:rPr>
                <w:rFonts w:eastAsiaTheme="minorEastAsia" w:cs="Calibri"/>
                <w:color w:val="000000"/>
                <w:sz w:val="19"/>
                <w:lang w:eastAsia="en-AU"/>
              </w:rPr>
            </w:pPr>
            <w:r w:rsidRPr="00746C29">
              <w:rPr>
                <w:rFonts w:eastAsiaTheme="minorEastAsia"/>
                <w:color w:val="000000"/>
                <w:sz w:val="19"/>
                <w:lang w:eastAsia="en-AU"/>
              </w:rPr>
              <w:t>9</w:t>
            </w:r>
            <w:r w:rsidRPr="00746C29">
              <w:rPr>
                <w:rFonts w:eastAsiaTheme="minorEastAsia" w:cs="Calibri"/>
                <w:color w:val="000000"/>
                <w:sz w:val="19"/>
                <w:lang w:eastAsia="en-AU"/>
              </w:rPr>
              <w:t xml:space="preserve"> 166</w:t>
            </w:r>
          </w:p>
        </w:tc>
      </w:tr>
      <w:tr w:rsidR="002C39A3" w:rsidRPr="00746C29" w:rsidTr="00361FA9">
        <w:tc>
          <w:tcPr>
            <w:tcW w:w="3515" w:type="dxa"/>
            <w:tcBorders>
              <w:top w:val="single" w:sz="6" w:space="0" w:color="auto"/>
              <w:left w:val="nil"/>
              <w:right w:val="nil"/>
            </w:tcBorders>
            <w:shd w:val="clear" w:color="auto" w:fill="FFFFFF"/>
          </w:tcPr>
          <w:p w:rsidR="002C39A3" w:rsidRPr="00746C29" w:rsidRDefault="002C39A3" w:rsidP="00361FA9">
            <w:pPr>
              <w:pStyle w:val="Tabletext"/>
              <w:ind w:left="227" w:hanging="227"/>
              <w:rPr>
                <w:rFonts w:eastAsiaTheme="minorEastAsia"/>
                <w:b/>
                <w:bCs/>
                <w:color w:val="000000"/>
                <w:lang w:eastAsia="en-AU"/>
              </w:rPr>
            </w:pPr>
            <w:r w:rsidRPr="00746C29">
              <w:rPr>
                <w:rFonts w:eastAsiaTheme="minorEastAsia"/>
                <w:b/>
                <w:bCs/>
                <w:color w:val="000000"/>
                <w:lang w:eastAsia="en-AU"/>
              </w:rPr>
              <w:t>Total</w:t>
            </w:r>
          </w:p>
        </w:tc>
        <w:tc>
          <w:tcPr>
            <w:tcW w:w="850" w:type="dxa"/>
            <w:tcBorders>
              <w:top w:val="single" w:sz="6" w:space="0" w:color="auto"/>
              <w:left w:val="nil"/>
              <w:right w:val="nil"/>
            </w:tcBorders>
            <w:shd w:val="clear" w:color="auto" w:fill="FFFFFF"/>
          </w:tcPr>
          <w:p w:rsidR="002C39A3" w:rsidRPr="00746C29" w:rsidRDefault="002C39A3" w:rsidP="00361FA9">
            <w:pPr>
              <w:pStyle w:val="TableofFigures"/>
              <w:rPr>
                <w:rFonts w:eastAsiaTheme="minorEastAsia" w:cs="Calibri"/>
                <w:b/>
                <w:bCs/>
                <w:color w:val="000000"/>
                <w:sz w:val="19"/>
                <w:lang w:eastAsia="en-AU"/>
              </w:rPr>
            </w:pPr>
            <w:r w:rsidRPr="00746C29">
              <w:rPr>
                <w:rFonts w:eastAsiaTheme="minorEastAsia"/>
                <w:b/>
                <w:bCs/>
                <w:color w:val="000000"/>
                <w:sz w:val="19"/>
                <w:lang w:eastAsia="en-AU"/>
              </w:rPr>
              <w:t>25 240</w:t>
            </w:r>
          </w:p>
        </w:tc>
        <w:tc>
          <w:tcPr>
            <w:tcW w:w="850" w:type="dxa"/>
            <w:tcBorders>
              <w:top w:val="single" w:sz="6" w:space="0" w:color="auto"/>
              <w:left w:val="nil"/>
              <w:right w:val="nil"/>
            </w:tcBorders>
            <w:shd w:val="clear" w:color="auto" w:fill="FFFFFF"/>
          </w:tcPr>
          <w:p w:rsidR="002C39A3" w:rsidRPr="00746C29" w:rsidRDefault="002C39A3" w:rsidP="00361FA9">
            <w:pPr>
              <w:pStyle w:val="TableofFigures"/>
              <w:rPr>
                <w:rFonts w:eastAsiaTheme="minorEastAsia" w:cs="Calibri"/>
                <w:b/>
                <w:bCs/>
                <w:color w:val="000000"/>
                <w:sz w:val="19"/>
                <w:lang w:eastAsia="en-AU"/>
              </w:rPr>
            </w:pPr>
            <w:r w:rsidRPr="00746C29">
              <w:rPr>
                <w:rFonts w:eastAsiaTheme="minorEastAsia"/>
                <w:b/>
                <w:bCs/>
                <w:color w:val="000000"/>
                <w:sz w:val="19"/>
                <w:lang w:eastAsia="en-AU"/>
              </w:rPr>
              <w:t>27 192</w:t>
            </w:r>
          </w:p>
        </w:tc>
        <w:tc>
          <w:tcPr>
            <w:tcW w:w="850" w:type="dxa"/>
            <w:tcBorders>
              <w:top w:val="single" w:sz="6" w:space="0" w:color="auto"/>
              <w:left w:val="nil"/>
              <w:right w:val="nil"/>
            </w:tcBorders>
            <w:shd w:val="clear" w:color="auto" w:fill="FFFFFF"/>
          </w:tcPr>
          <w:p w:rsidR="002C39A3" w:rsidRPr="00746C29" w:rsidRDefault="002C39A3" w:rsidP="00361FA9">
            <w:pPr>
              <w:pStyle w:val="TableofFigures"/>
              <w:rPr>
                <w:rFonts w:eastAsiaTheme="minorEastAsia" w:cs="Calibri"/>
                <w:b/>
                <w:bCs/>
                <w:color w:val="000000"/>
                <w:sz w:val="19"/>
                <w:lang w:eastAsia="en-AU"/>
              </w:rPr>
            </w:pPr>
            <w:r w:rsidRPr="00746C29">
              <w:rPr>
                <w:rFonts w:eastAsiaTheme="minorEastAsia"/>
                <w:b/>
                <w:bCs/>
                <w:color w:val="000000"/>
                <w:sz w:val="19"/>
                <w:lang w:eastAsia="en-AU"/>
              </w:rPr>
              <w:t>27 839</w:t>
            </w:r>
          </w:p>
        </w:tc>
        <w:tc>
          <w:tcPr>
            <w:tcW w:w="850" w:type="dxa"/>
            <w:tcBorders>
              <w:top w:val="single" w:sz="6" w:space="0" w:color="auto"/>
              <w:left w:val="nil"/>
              <w:right w:val="nil"/>
            </w:tcBorders>
            <w:shd w:val="clear" w:color="auto" w:fill="FFFFFF"/>
          </w:tcPr>
          <w:p w:rsidR="002C39A3" w:rsidRPr="00746C29" w:rsidRDefault="002C39A3" w:rsidP="00361FA9">
            <w:pPr>
              <w:pStyle w:val="TableofFigures"/>
              <w:rPr>
                <w:rFonts w:eastAsiaTheme="minorEastAsia" w:cs="Calibri"/>
                <w:b/>
                <w:bCs/>
                <w:color w:val="000000"/>
                <w:sz w:val="19"/>
                <w:lang w:eastAsia="en-AU"/>
              </w:rPr>
            </w:pPr>
            <w:r w:rsidRPr="00746C29">
              <w:rPr>
                <w:rFonts w:eastAsiaTheme="minorEastAsia"/>
                <w:b/>
                <w:bCs/>
                <w:color w:val="000000"/>
                <w:sz w:val="19"/>
                <w:lang w:eastAsia="en-AU"/>
              </w:rPr>
              <w:t>28 565</w:t>
            </w:r>
          </w:p>
        </w:tc>
        <w:tc>
          <w:tcPr>
            <w:tcW w:w="850" w:type="dxa"/>
            <w:tcBorders>
              <w:top w:val="single" w:sz="6" w:space="0" w:color="auto"/>
              <w:left w:val="nil"/>
              <w:right w:val="nil"/>
            </w:tcBorders>
            <w:shd w:val="clear" w:color="auto" w:fill="FFFFFF"/>
          </w:tcPr>
          <w:p w:rsidR="002C39A3" w:rsidRPr="00746C29" w:rsidRDefault="002C39A3" w:rsidP="00361FA9">
            <w:pPr>
              <w:pStyle w:val="TableofFigures"/>
              <w:rPr>
                <w:rFonts w:eastAsiaTheme="minorEastAsia" w:cs="Calibri"/>
                <w:b/>
                <w:bCs/>
                <w:color w:val="000000"/>
                <w:sz w:val="19"/>
                <w:lang w:eastAsia="en-AU"/>
              </w:rPr>
            </w:pPr>
            <w:r w:rsidRPr="00746C29">
              <w:rPr>
                <w:rFonts w:eastAsiaTheme="minorEastAsia"/>
                <w:b/>
                <w:bCs/>
                <w:color w:val="000000"/>
                <w:sz w:val="19"/>
                <w:lang w:eastAsia="en-AU"/>
              </w:rPr>
              <w:t>29 796</w:t>
            </w:r>
          </w:p>
        </w:tc>
      </w:tr>
      <w:tr w:rsidR="002C39A3" w:rsidRPr="00746C29" w:rsidTr="00361FA9">
        <w:tc>
          <w:tcPr>
            <w:tcW w:w="3515" w:type="dxa"/>
            <w:tcBorders>
              <w:top w:val="nil"/>
              <w:left w:val="nil"/>
              <w:bottom w:val="single" w:sz="6" w:space="0" w:color="auto"/>
              <w:right w:val="nil"/>
            </w:tcBorders>
            <w:shd w:val="clear" w:color="auto" w:fill="FFFFFF"/>
          </w:tcPr>
          <w:p w:rsidR="002C39A3" w:rsidRPr="00746C29" w:rsidRDefault="002C39A3" w:rsidP="00361FA9">
            <w:pPr>
              <w:pStyle w:val="Tabletext"/>
              <w:ind w:left="227" w:hanging="227"/>
              <w:rPr>
                <w:rFonts w:eastAsiaTheme="minorEastAsia"/>
                <w:color w:val="000000"/>
                <w:lang w:eastAsia="en-AU"/>
              </w:rPr>
            </w:pPr>
            <w:r w:rsidRPr="00746C29">
              <w:rPr>
                <w:rFonts w:eastAsiaTheme="minorEastAsia"/>
                <w:color w:val="000000"/>
                <w:lang w:eastAsia="en-AU"/>
              </w:rPr>
              <w:t>Other contributions and grants</w:t>
            </w:r>
          </w:p>
        </w:tc>
        <w:tc>
          <w:tcPr>
            <w:tcW w:w="850" w:type="dxa"/>
            <w:tcBorders>
              <w:top w:val="nil"/>
              <w:left w:val="nil"/>
              <w:bottom w:val="single" w:sz="6" w:space="0" w:color="auto"/>
              <w:right w:val="nil"/>
            </w:tcBorders>
            <w:shd w:val="clear" w:color="auto" w:fill="FFFFFF"/>
          </w:tcPr>
          <w:p w:rsidR="002C39A3" w:rsidRPr="00746C29"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123</w:t>
            </w:r>
          </w:p>
        </w:tc>
        <w:tc>
          <w:tcPr>
            <w:tcW w:w="850" w:type="dxa"/>
            <w:tcBorders>
              <w:top w:val="nil"/>
              <w:left w:val="nil"/>
              <w:bottom w:val="single" w:sz="6" w:space="0" w:color="auto"/>
              <w:right w:val="nil"/>
            </w:tcBorders>
            <w:shd w:val="clear" w:color="auto" w:fill="FFFFFF"/>
          </w:tcPr>
          <w:p w:rsidR="002C39A3" w:rsidRPr="00746C29"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232</w:t>
            </w:r>
          </w:p>
        </w:tc>
        <w:tc>
          <w:tcPr>
            <w:tcW w:w="850" w:type="dxa"/>
            <w:tcBorders>
              <w:top w:val="nil"/>
              <w:left w:val="nil"/>
              <w:bottom w:val="single" w:sz="6" w:space="0" w:color="auto"/>
              <w:right w:val="nil"/>
            </w:tcBorders>
            <w:shd w:val="clear" w:color="auto" w:fill="FFFFFF"/>
          </w:tcPr>
          <w:p w:rsidR="002C39A3" w:rsidRPr="00746C29"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230</w:t>
            </w:r>
          </w:p>
        </w:tc>
        <w:tc>
          <w:tcPr>
            <w:tcW w:w="850" w:type="dxa"/>
            <w:tcBorders>
              <w:top w:val="nil"/>
              <w:left w:val="nil"/>
              <w:bottom w:val="single" w:sz="6" w:space="0" w:color="auto"/>
              <w:right w:val="nil"/>
            </w:tcBorders>
            <w:shd w:val="clear" w:color="auto" w:fill="FFFFFF"/>
          </w:tcPr>
          <w:p w:rsidR="002C39A3" w:rsidRPr="00746C29"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279</w:t>
            </w:r>
          </w:p>
        </w:tc>
        <w:tc>
          <w:tcPr>
            <w:tcW w:w="850" w:type="dxa"/>
            <w:tcBorders>
              <w:top w:val="nil"/>
              <w:left w:val="nil"/>
              <w:bottom w:val="single" w:sz="6" w:space="0" w:color="auto"/>
              <w:right w:val="nil"/>
            </w:tcBorders>
            <w:shd w:val="clear" w:color="auto" w:fill="FFFFFF"/>
          </w:tcPr>
          <w:p w:rsidR="002C39A3" w:rsidRPr="00746C29"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161</w:t>
            </w:r>
          </w:p>
        </w:tc>
      </w:tr>
      <w:tr w:rsidR="002C39A3" w:rsidRPr="00746C29" w:rsidTr="00361FA9">
        <w:tc>
          <w:tcPr>
            <w:tcW w:w="3515" w:type="dxa"/>
            <w:tcBorders>
              <w:top w:val="single" w:sz="6" w:space="0" w:color="auto"/>
              <w:left w:val="nil"/>
              <w:bottom w:val="single" w:sz="12" w:space="0" w:color="auto"/>
              <w:right w:val="nil"/>
            </w:tcBorders>
            <w:shd w:val="clear" w:color="auto" w:fill="FFFFFF"/>
          </w:tcPr>
          <w:p w:rsidR="002C39A3" w:rsidRPr="00746C29" w:rsidRDefault="002C39A3" w:rsidP="00361FA9">
            <w:pPr>
              <w:pStyle w:val="Tabletext"/>
              <w:ind w:left="227" w:hanging="227"/>
              <w:rPr>
                <w:rFonts w:eastAsiaTheme="minorEastAsia"/>
                <w:b/>
                <w:bCs/>
                <w:color w:val="000000"/>
                <w:lang w:eastAsia="en-AU"/>
              </w:rPr>
            </w:pPr>
            <w:r w:rsidRPr="00746C29">
              <w:rPr>
                <w:rFonts w:eastAsiaTheme="minorEastAsia"/>
                <w:b/>
                <w:bCs/>
                <w:color w:val="000000"/>
                <w:lang w:eastAsia="en-AU"/>
              </w:rPr>
              <w:t>Total grants</w:t>
            </w:r>
          </w:p>
        </w:tc>
        <w:tc>
          <w:tcPr>
            <w:tcW w:w="850" w:type="dxa"/>
            <w:tcBorders>
              <w:top w:val="single" w:sz="6" w:space="0" w:color="auto"/>
              <w:left w:val="nil"/>
              <w:bottom w:val="single" w:sz="12" w:space="0" w:color="auto"/>
              <w:right w:val="nil"/>
            </w:tcBorders>
            <w:shd w:val="clear" w:color="auto" w:fill="FFFFFF"/>
          </w:tcPr>
          <w:p w:rsidR="002C39A3" w:rsidRPr="00746C29" w:rsidRDefault="002C39A3" w:rsidP="00361FA9">
            <w:pPr>
              <w:pStyle w:val="TableofFigures"/>
              <w:rPr>
                <w:rFonts w:eastAsiaTheme="minorEastAsia" w:cs="Calibri"/>
                <w:b/>
                <w:bCs/>
                <w:color w:val="000000"/>
                <w:sz w:val="19"/>
                <w:lang w:eastAsia="en-AU"/>
              </w:rPr>
            </w:pPr>
            <w:r w:rsidRPr="00746C29">
              <w:rPr>
                <w:rFonts w:eastAsiaTheme="minorEastAsia"/>
                <w:b/>
                <w:bCs/>
                <w:color w:val="000000"/>
                <w:sz w:val="19"/>
                <w:lang w:eastAsia="en-AU"/>
              </w:rPr>
              <w:t>25 364</w:t>
            </w:r>
          </w:p>
        </w:tc>
        <w:tc>
          <w:tcPr>
            <w:tcW w:w="850" w:type="dxa"/>
            <w:tcBorders>
              <w:top w:val="single" w:sz="6" w:space="0" w:color="auto"/>
              <w:left w:val="nil"/>
              <w:bottom w:val="single" w:sz="12" w:space="0" w:color="auto"/>
              <w:right w:val="nil"/>
            </w:tcBorders>
            <w:shd w:val="clear" w:color="auto" w:fill="FFFFFF"/>
          </w:tcPr>
          <w:p w:rsidR="002C39A3" w:rsidRPr="00746C29" w:rsidRDefault="002C39A3" w:rsidP="00361FA9">
            <w:pPr>
              <w:pStyle w:val="TableofFigures"/>
              <w:rPr>
                <w:rFonts w:eastAsiaTheme="minorEastAsia" w:cs="Calibri"/>
                <w:b/>
                <w:bCs/>
                <w:color w:val="000000"/>
                <w:sz w:val="19"/>
                <w:lang w:eastAsia="en-AU"/>
              </w:rPr>
            </w:pPr>
            <w:r w:rsidRPr="00746C29">
              <w:rPr>
                <w:rFonts w:eastAsiaTheme="minorEastAsia"/>
                <w:b/>
                <w:bCs/>
                <w:color w:val="000000"/>
                <w:sz w:val="19"/>
                <w:lang w:eastAsia="en-AU"/>
              </w:rPr>
              <w:t>27 424</w:t>
            </w:r>
          </w:p>
        </w:tc>
        <w:tc>
          <w:tcPr>
            <w:tcW w:w="850" w:type="dxa"/>
            <w:tcBorders>
              <w:top w:val="single" w:sz="6" w:space="0" w:color="auto"/>
              <w:left w:val="nil"/>
              <w:bottom w:val="single" w:sz="12" w:space="0" w:color="auto"/>
              <w:right w:val="nil"/>
            </w:tcBorders>
            <w:shd w:val="clear" w:color="auto" w:fill="FFFFFF"/>
          </w:tcPr>
          <w:p w:rsidR="002C39A3" w:rsidRPr="00746C29" w:rsidRDefault="002C39A3" w:rsidP="00361FA9">
            <w:pPr>
              <w:pStyle w:val="TableofFigures"/>
              <w:rPr>
                <w:rFonts w:eastAsiaTheme="minorEastAsia" w:cs="Calibri"/>
                <w:b/>
                <w:bCs/>
                <w:color w:val="000000"/>
                <w:sz w:val="19"/>
                <w:lang w:eastAsia="en-AU"/>
              </w:rPr>
            </w:pPr>
            <w:r w:rsidRPr="00746C29">
              <w:rPr>
                <w:rFonts w:eastAsiaTheme="minorEastAsia"/>
                <w:b/>
                <w:bCs/>
                <w:color w:val="000000"/>
                <w:sz w:val="19"/>
                <w:lang w:eastAsia="en-AU"/>
              </w:rPr>
              <w:t>28 069</w:t>
            </w:r>
          </w:p>
        </w:tc>
        <w:tc>
          <w:tcPr>
            <w:tcW w:w="850" w:type="dxa"/>
            <w:tcBorders>
              <w:top w:val="single" w:sz="6" w:space="0" w:color="auto"/>
              <w:left w:val="nil"/>
              <w:bottom w:val="single" w:sz="12" w:space="0" w:color="auto"/>
              <w:right w:val="nil"/>
            </w:tcBorders>
            <w:shd w:val="clear" w:color="auto" w:fill="FFFFFF"/>
          </w:tcPr>
          <w:p w:rsidR="002C39A3" w:rsidRPr="00746C29" w:rsidRDefault="002C39A3" w:rsidP="00361FA9">
            <w:pPr>
              <w:pStyle w:val="TableofFigures"/>
              <w:rPr>
                <w:rFonts w:eastAsiaTheme="minorEastAsia" w:cs="Calibri"/>
                <w:b/>
                <w:bCs/>
                <w:color w:val="000000"/>
                <w:sz w:val="19"/>
                <w:lang w:eastAsia="en-AU"/>
              </w:rPr>
            </w:pPr>
            <w:r w:rsidRPr="00746C29">
              <w:rPr>
                <w:rFonts w:eastAsiaTheme="minorEastAsia"/>
                <w:b/>
                <w:bCs/>
                <w:color w:val="000000"/>
                <w:sz w:val="19"/>
                <w:lang w:eastAsia="en-AU"/>
              </w:rPr>
              <w:t>28 844</w:t>
            </w:r>
          </w:p>
        </w:tc>
        <w:tc>
          <w:tcPr>
            <w:tcW w:w="850" w:type="dxa"/>
            <w:tcBorders>
              <w:top w:val="single" w:sz="6" w:space="0" w:color="auto"/>
              <w:left w:val="nil"/>
              <w:bottom w:val="single" w:sz="12" w:space="0" w:color="auto"/>
              <w:right w:val="nil"/>
            </w:tcBorders>
            <w:shd w:val="clear" w:color="auto" w:fill="FFFFFF"/>
          </w:tcPr>
          <w:p w:rsidR="002C39A3" w:rsidRPr="00746C29" w:rsidRDefault="002C39A3" w:rsidP="00361FA9">
            <w:pPr>
              <w:pStyle w:val="TableofFigures"/>
              <w:rPr>
                <w:rFonts w:eastAsiaTheme="minorEastAsia" w:cs="Calibri"/>
                <w:b/>
                <w:bCs/>
                <w:color w:val="000000"/>
                <w:sz w:val="19"/>
                <w:lang w:eastAsia="en-AU"/>
              </w:rPr>
            </w:pPr>
            <w:r w:rsidRPr="00746C29">
              <w:rPr>
                <w:rFonts w:eastAsiaTheme="minorEastAsia"/>
                <w:b/>
                <w:bCs/>
                <w:color w:val="000000"/>
                <w:sz w:val="19"/>
                <w:lang w:eastAsia="en-AU"/>
              </w:rPr>
              <w:t>29 957</w:t>
            </w:r>
          </w:p>
        </w:tc>
      </w:tr>
    </w:tbl>
    <w:p w:rsidR="002C39A3" w:rsidRPr="00B16A20" w:rsidRDefault="002C39A3" w:rsidP="00361FA9">
      <w:pPr>
        <w:pStyle w:val="Source"/>
        <w:rPr>
          <w:rFonts w:eastAsiaTheme="minorHAnsi"/>
        </w:rPr>
      </w:pPr>
      <w:r>
        <w:rPr>
          <w:rFonts w:eastAsiaTheme="minorHAnsi"/>
        </w:rPr>
        <w:t>Source: Department of Treasury and Finance</w:t>
      </w:r>
    </w:p>
    <w:p w:rsidR="002C39A3" w:rsidRDefault="002C39A3" w:rsidP="00361FA9">
      <w:pPr>
        <w:pStyle w:val="Heading2"/>
        <w:rPr>
          <w:rFonts w:eastAsiaTheme="minorHAnsi"/>
        </w:rPr>
      </w:pPr>
      <w:r>
        <w:rPr>
          <w:rFonts w:eastAsiaTheme="minorHAnsi"/>
        </w:rPr>
        <w:t>General purpose grants</w:t>
      </w:r>
    </w:p>
    <w:p w:rsidR="002C39A3" w:rsidRPr="00C74ACE" w:rsidRDefault="002C39A3" w:rsidP="00361FA9">
      <w:pPr>
        <w:rPr>
          <w:rFonts w:eastAsiaTheme="minorHAnsi"/>
        </w:rPr>
      </w:pPr>
      <w:r w:rsidRPr="00C74ACE">
        <w:rPr>
          <w:rFonts w:eastAsiaTheme="minorHAnsi"/>
        </w:rPr>
        <w:t>GST revenue</w:t>
      </w:r>
      <w:r>
        <w:rPr>
          <w:rFonts w:eastAsiaTheme="minorHAnsi"/>
        </w:rPr>
        <w:t xml:space="preserve"> </w:t>
      </w:r>
      <w:r w:rsidRPr="00C74ACE">
        <w:rPr>
          <w:rFonts w:eastAsiaTheme="minorHAnsi"/>
        </w:rPr>
        <w:t xml:space="preserve">is forecast </w:t>
      </w:r>
      <w:r w:rsidRPr="00C94FC6">
        <w:rPr>
          <w:rFonts w:eastAsiaTheme="minorHAnsi"/>
        </w:rPr>
        <w:t>to grow by 6.5 per cent to $13.9 billion in 2016</w:t>
      </w:r>
      <w:r w:rsidRPr="00C94FC6">
        <w:rPr>
          <w:rFonts w:eastAsiaTheme="minorHAnsi"/>
        </w:rPr>
        <w:noBreakHyphen/>
        <w:t xml:space="preserve">17. This is driven by </w:t>
      </w:r>
      <w:r>
        <w:rPr>
          <w:rFonts w:eastAsiaTheme="minorHAnsi"/>
        </w:rPr>
        <w:t xml:space="preserve">increases in </w:t>
      </w:r>
      <w:r w:rsidRPr="00C94FC6">
        <w:rPr>
          <w:rFonts w:eastAsiaTheme="minorHAnsi"/>
        </w:rPr>
        <w:t>the national GST pool and Victoria</w:t>
      </w:r>
      <w:r w:rsidR="0097550F">
        <w:rPr>
          <w:rFonts w:eastAsiaTheme="minorHAnsi"/>
        </w:rPr>
        <w:t>’</w:t>
      </w:r>
      <w:r w:rsidRPr="00C94FC6">
        <w:rPr>
          <w:rFonts w:eastAsiaTheme="minorHAnsi"/>
        </w:rPr>
        <w:t xml:space="preserve">s GST relativity, </w:t>
      </w:r>
      <w:r>
        <w:rPr>
          <w:rFonts w:eastAsiaTheme="minorHAnsi"/>
        </w:rPr>
        <w:t xml:space="preserve">the latter </w:t>
      </w:r>
      <w:r w:rsidRPr="00C94FC6">
        <w:rPr>
          <w:rFonts w:eastAsiaTheme="minorHAnsi"/>
        </w:rPr>
        <w:t>in part r</w:t>
      </w:r>
      <w:r>
        <w:rPr>
          <w:rFonts w:eastAsiaTheme="minorHAnsi"/>
        </w:rPr>
        <w:t>eflecting</w:t>
      </w:r>
      <w:r w:rsidRPr="00C94FC6">
        <w:rPr>
          <w:rFonts w:eastAsiaTheme="minorHAnsi"/>
        </w:rPr>
        <w:t xml:space="preserve"> Victoria</w:t>
      </w:r>
      <w:r w:rsidR="0097550F">
        <w:rPr>
          <w:rFonts w:eastAsiaTheme="minorHAnsi"/>
        </w:rPr>
        <w:t>’</w:t>
      </w:r>
      <w:r w:rsidRPr="00C94FC6">
        <w:rPr>
          <w:rFonts w:eastAsiaTheme="minorHAnsi"/>
        </w:rPr>
        <w:t xml:space="preserve">s </w:t>
      </w:r>
      <w:r>
        <w:rPr>
          <w:rFonts w:eastAsiaTheme="minorHAnsi"/>
        </w:rPr>
        <w:t xml:space="preserve">rising </w:t>
      </w:r>
      <w:r w:rsidRPr="00C94FC6">
        <w:rPr>
          <w:rFonts w:eastAsiaTheme="minorHAnsi"/>
        </w:rPr>
        <w:t>share of national population growth.</w:t>
      </w:r>
    </w:p>
    <w:p w:rsidR="002C39A3" w:rsidRPr="00220AC8" w:rsidRDefault="002C39A3" w:rsidP="00361FA9">
      <w:pPr>
        <w:rPr>
          <w:rFonts w:eastAsiaTheme="minorHAnsi"/>
        </w:rPr>
      </w:pPr>
      <w:r w:rsidRPr="00220AC8">
        <w:rPr>
          <w:rFonts w:eastAsiaTheme="minorHAnsi"/>
        </w:rPr>
        <w:t>Victoria</w:t>
      </w:r>
      <w:r w:rsidR="0097550F">
        <w:rPr>
          <w:rFonts w:eastAsiaTheme="minorHAnsi"/>
        </w:rPr>
        <w:t>’</w:t>
      </w:r>
      <w:r w:rsidRPr="00220AC8">
        <w:rPr>
          <w:rFonts w:eastAsiaTheme="minorHAnsi"/>
        </w:rPr>
        <w:t>s GST revenue is determined by three factors:</w:t>
      </w:r>
    </w:p>
    <w:p w:rsidR="002C39A3" w:rsidRPr="00220AC8" w:rsidRDefault="002C39A3" w:rsidP="00361FA9">
      <w:pPr>
        <w:pStyle w:val="BulletText"/>
        <w:rPr>
          <w:rFonts w:eastAsiaTheme="minorHAnsi"/>
        </w:rPr>
      </w:pPr>
      <w:r w:rsidRPr="00220AC8">
        <w:rPr>
          <w:rFonts w:eastAsiaTheme="minorHAnsi"/>
        </w:rPr>
        <w:t>the amount of GST collected by the Commonwealth (the national GST pool);</w:t>
      </w:r>
    </w:p>
    <w:p w:rsidR="002C39A3" w:rsidRPr="00220AC8" w:rsidRDefault="002C39A3" w:rsidP="00361FA9">
      <w:pPr>
        <w:pStyle w:val="BulletText"/>
        <w:rPr>
          <w:rFonts w:eastAsiaTheme="minorHAnsi"/>
        </w:rPr>
      </w:pPr>
      <w:r>
        <w:rPr>
          <w:rFonts w:eastAsiaTheme="minorHAnsi"/>
        </w:rPr>
        <w:t>Victoria</w:t>
      </w:r>
      <w:r w:rsidR="0097550F">
        <w:rPr>
          <w:rFonts w:eastAsiaTheme="minorHAnsi"/>
        </w:rPr>
        <w:t>’</w:t>
      </w:r>
      <w:r>
        <w:rPr>
          <w:rFonts w:eastAsiaTheme="minorHAnsi"/>
        </w:rPr>
        <w:t xml:space="preserve">s </w:t>
      </w:r>
      <w:r w:rsidRPr="00220AC8">
        <w:rPr>
          <w:rFonts w:eastAsiaTheme="minorHAnsi"/>
        </w:rPr>
        <w:t>GST relativity; and</w:t>
      </w:r>
    </w:p>
    <w:p w:rsidR="002C39A3" w:rsidRPr="00220AC8" w:rsidRDefault="002C39A3" w:rsidP="00361FA9">
      <w:pPr>
        <w:pStyle w:val="BulletText"/>
        <w:rPr>
          <w:rFonts w:eastAsiaTheme="minorHAnsi"/>
        </w:rPr>
      </w:pPr>
      <w:r>
        <w:rPr>
          <w:rFonts w:eastAsiaTheme="minorHAnsi"/>
        </w:rPr>
        <w:t>Victoria</w:t>
      </w:r>
      <w:r w:rsidR="0097550F">
        <w:rPr>
          <w:rFonts w:eastAsiaTheme="minorHAnsi"/>
        </w:rPr>
        <w:t>’</w:t>
      </w:r>
      <w:r>
        <w:rPr>
          <w:rFonts w:eastAsiaTheme="minorHAnsi"/>
        </w:rPr>
        <w:t>s share of the national population.</w:t>
      </w:r>
    </w:p>
    <w:p w:rsidR="002C39A3" w:rsidRDefault="002C39A3" w:rsidP="00361FA9">
      <w:pPr>
        <w:pStyle w:val="Heading3"/>
        <w:spacing w:before="180"/>
        <w:rPr>
          <w:rFonts w:eastAsiaTheme="minorHAnsi"/>
        </w:rPr>
      </w:pPr>
      <w:r>
        <w:rPr>
          <w:rFonts w:eastAsiaTheme="minorHAnsi"/>
        </w:rPr>
        <w:t>National GST pool</w:t>
      </w:r>
    </w:p>
    <w:p w:rsidR="002C39A3" w:rsidRPr="00220AC8" w:rsidRDefault="002C39A3" w:rsidP="00361FA9">
      <w:pPr>
        <w:rPr>
          <w:rFonts w:eastAsiaTheme="minorHAnsi"/>
        </w:rPr>
      </w:pPr>
      <w:r w:rsidRPr="00220AC8">
        <w:rPr>
          <w:rFonts w:eastAsiaTheme="minorHAnsi"/>
        </w:rPr>
        <w:t xml:space="preserve">The national GST pool is expected to be $60.7 billion in </w:t>
      </w:r>
      <w:r w:rsidRPr="008A1A75">
        <w:rPr>
          <w:rFonts w:eastAsiaTheme="minorHAnsi"/>
        </w:rPr>
        <w:t>2016-17, growing by 5.0 per cent from 2015-16, in line with moderate growth in household consumption and slightly below</w:t>
      </w:r>
      <w:r w:rsidRPr="008A1A75">
        <w:rPr>
          <w:rFonts w:eastAsiaTheme="minorHAnsi"/>
        </w:rPr>
        <w:noBreakHyphen/>
        <w:t>trend growth in consumer prices. The pace of growth in GST</w:t>
      </w:r>
      <w:r w:rsidRPr="008A1A75">
        <w:rPr>
          <w:rFonts w:eastAsiaTheme="minorHAnsi"/>
        </w:rPr>
        <w:noBreakHyphen/>
        <w:t>liable consumption is below that of total consumption growth as GST</w:t>
      </w:r>
      <w:r w:rsidRPr="008A1A75">
        <w:rPr>
          <w:rFonts w:eastAsiaTheme="minorHAnsi"/>
        </w:rPr>
        <w:noBreakHyphen/>
        <w:t>exempt categories grow faster than GST</w:t>
      </w:r>
      <w:r w:rsidRPr="008A1A75">
        <w:rPr>
          <w:rFonts w:eastAsiaTheme="minorHAnsi"/>
        </w:rPr>
        <w:noBreakHyphen/>
        <w:t>liable categories.</w:t>
      </w:r>
      <w:r w:rsidRPr="00220AC8">
        <w:rPr>
          <w:rFonts w:eastAsiaTheme="minorHAnsi"/>
        </w:rPr>
        <w:t xml:space="preserve"> </w:t>
      </w:r>
    </w:p>
    <w:p w:rsidR="002C39A3" w:rsidRDefault="002C39A3" w:rsidP="00361FA9">
      <w:pPr>
        <w:rPr>
          <w:rFonts w:eastAsiaTheme="minorHAnsi"/>
        </w:rPr>
      </w:pPr>
      <w:r w:rsidRPr="00220AC8">
        <w:rPr>
          <w:rFonts w:eastAsiaTheme="minorHAnsi"/>
        </w:rPr>
        <w:t xml:space="preserve">Growth in national dwelling investment, which is also subject to GST, is expected </w:t>
      </w:r>
      <w:r>
        <w:rPr>
          <w:rFonts w:eastAsiaTheme="minorHAnsi"/>
        </w:rPr>
        <w:t xml:space="preserve">to </w:t>
      </w:r>
      <w:r w:rsidRPr="00220AC8">
        <w:rPr>
          <w:rFonts w:eastAsiaTheme="minorHAnsi"/>
        </w:rPr>
        <w:t>ease somewhat in 2016-17 following two years of strong growth in 2014-15 and 2015-16. This is in line with cooling property market indicators, including dwelling approvals and housing finance.</w:t>
      </w:r>
    </w:p>
    <w:p w:rsidR="002C39A3" w:rsidRDefault="002C39A3">
      <w:pPr>
        <w:spacing w:after="0"/>
        <w:rPr>
          <w:rFonts w:ascii="Calibri" w:eastAsiaTheme="minorHAnsi" w:hAnsi="Calibri"/>
          <w:b/>
          <w:i/>
          <w:kern w:val="28"/>
          <w:sz w:val="24"/>
          <w:szCs w:val="22"/>
        </w:rPr>
      </w:pPr>
      <w:r>
        <w:rPr>
          <w:rFonts w:eastAsiaTheme="minorHAnsi"/>
        </w:rPr>
        <w:br w:type="page"/>
      </w:r>
    </w:p>
    <w:p w:rsidR="002C39A3" w:rsidRDefault="002C39A3" w:rsidP="00361FA9">
      <w:pPr>
        <w:pStyle w:val="Heading3"/>
        <w:spacing w:before="180"/>
        <w:rPr>
          <w:rFonts w:eastAsiaTheme="minorHAnsi"/>
        </w:rPr>
      </w:pPr>
      <w:r>
        <w:rPr>
          <w:rFonts w:eastAsiaTheme="minorHAnsi"/>
        </w:rPr>
        <w:t>GST relativities</w:t>
      </w:r>
    </w:p>
    <w:p w:rsidR="002C39A3" w:rsidRDefault="002C39A3" w:rsidP="00361FA9">
      <w:pPr>
        <w:rPr>
          <w:rFonts w:eastAsiaTheme="minorHAnsi"/>
        </w:rPr>
      </w:pPr>
      <w:r w:rsidRPr="00220AC8">
        <w:rPr>
          <w:rFonts w:eastAsiaTheme="minorHAnsi"/>
        </w:rPr>
        <w:t>Victoria</w:t>
      </w:r>
      <w:r w:rsidR="0097550F">
        <w:rPr>
          <w:rFonts w:eastAsiaTheme="minorHAnsi"/>
        </w:rPr>
        <w:t>’</w:t>
      </w:r>
      <w:r w:rsidRPr="00220AC8">
        <w:rPr>
          <w:rFonts w:eastAsiaTheme="minorHAnsi"/>
        </w:rPr>
        <w:t xml:space="preserve">s GST relativity for 2016-17 </w:t>
      </w:r>
      <w:r w:rsidRPr="008A1A75">
        <w:rPr>
          <w:rFonts w:eastAsiaTheme="minorHAnsi"/>
        </w:rPr>
        <w:t>has increased, in part reflecting</w:t>
      </w:r>
      <w:r>
        <w:rPr>
          <w:rFonts w:eastAsiaTheme="minorHAnsi"/>
        </w:rPr>
        <w:t xml:space="preserve"> </w:t>
      </w:r>
      <w:r w:rsidRPr="00220AC8">
        <w:rPr>
          <w:rFonts w:eastAsiaTheme="minorHAnsi"/>
        </w:rPr>
        <w:t>a higher expenditure requirement due to an increased need to invest in new infrastruct</w:t>
      </w:r>
      <w:r>
        <w:rPr>
          <w:rFonts w:eastAsiaTheme="minorHAnsi"/>
        </w:rPr>
        <w:t>ure, driven by strong population growth</w:t>
      </w:r>
      <w:r w:rsidRPr="00220AC8">
        <w:rPr>
          <w:rFonts w:eastAsiaTheme="minorHAnsi"/>
        </w:rPr>
        <w:t>. However, Victoria</w:t>
      </w:r>
      <w:r w:rsidR="0097550F">
        <w:rPr>
          <w:rFonts w:eastAsiaTheme="minorHAnsi"/>
        </w:rPr>
        <w:t>’</w:t>
      </w:r>
      <w:r w:rsidRPr="00220AC8">
        <w:rPr>
          <w:rFonts w:eastAsiaTheme="minorHAnsi"/>
        </w:rPr>
        <w:t xml:space="preserve">s robust economic </w:t>
      </w:r>
      <w:r>
        <w:rPr>
          <w:rFonts w:eastAsiaTheme="minorHAnsi"/>
        </w:rPr>
        <w:t xml:space="preserve">and revenue </w:t>
      </w:r>
      <w:r w:rsidRPr="00220AC8">
        <w:rPr>
          <w:rFonts w:eastAsiaTheme="minorHAnsi"/>
        </w:rPr>
        <w:t>growth</w:t>
      </w:r>
      <w:r>
        <w:rPr>
          <w:rFonts w:eastAsiaTheme="minorHAnsi"/>
        </w:rPr>
        <w:t>, relative to some states,</w:t>
      </w:r>
      <w:r w:rsidRPr="00220AC8">
        <w:rPr>
          <w:rFonts w:eastAsiaTheme="minorHAnsi"/>
        </w:rPr>
        <w:t xml:space="preserve"> will place some offsetting downside pressure on </w:t>
      </w:r>
      <w:r>
        <w:rPr>
          <w:rFonts w:eastAsiaTheme="minorHAnsi"/>
        </w:rPr>
        <w:t>Victoria</w:t>
      </w:r>
      <w:r w:rsidR="0097550F">
        <w:rPr>
          <w:rFonts w:eastAsiaTheme="minorHAnsi"/>
        </w:rPr>
        <w:t>’</w:t>
      </w:r>
      <w:r>
        <w:rPr>
          <w:rFonts w:eastAsiaTheme="minorHAnsi"/>
        </w:rPr>
        <w:t>s GST relativity by the end of</w:t>
      </w:r>
      <w:r w:rsidRPr="00220AC8">
        <w:rPr>
          <w:rFonts w:eastAsiaTheme="minorHAnsi"/>
        </w:rPr>
        <w:t xml:space="preserve"> the forward estimates.</w:t>
      </w:r>
    </w:p>
    <w:p w:rsidR="002C39A3" w:rsidRPr="005D6D13" w:rsidRDefault="002C39A3" w:rsidP="00361FA9">
      <w:pPr>
        <w:pStyle w:val="Tableheading"/>
        <w:spacing w:before="180"/>
        <w:ind w:left="1151" w:hanging="1151"/>
        <w:rPr>
          <w:rFonts w:eastAsiaTheme="minorHAnsi"/>
        </w:rPr>
      </w:pPr>
      <w:r w:rsidRPr="00220AC8">
        <w:rPr>
          <w:rFonts w:eastAsiaTheme="minorHAnsi"/>
        </w:rPr>
        <w:t>Table 4.</w:t>
      </w:r>
      <w:r>
        <w:rPr>
          <w:rFonts w:eastAsiaTheme="minorHAnsi"/>
        </w:rPr>
        <w:t>4:</w:t>
      </w:r>
      <w:r w:rsidRPr="00220AC8">
        <w:rPr>
          <w:rFonts w:eastAsiaTheme="minorHAnsi"/>
        </w:rPr>
        <w:t xml:space="preserve"> </w:t>
      </w:r>
      <w:r>
        <w:rPr>
          <w:rFonts w:eastAsiaTheme="minorHAnsi"/>
        </w:rPr>
        <w:tab/>
      </w:r>
      <w:r w:rsidRPr="00220AC8">
        <w:rPr>
          <w:rFonts w:eastAsiaTheme="minorHAnsi"/>
        </w:rPr>
        <w:t>Victoria</w:t>
      </w:r>
      <w:r w:rsidR="0097550F">
        <w:rPr>
          <w:rFonts w:eastAsiaTheme="minorHAnsi"/>
        </w:rPr>
        <w:t>’</w:t>
      </w:r>
      <w:r w:rsidRPr="00220AC8">
        <w:rPr>
          <w:rFonts w:eastAsiaTheme="minorHAnsi"/>
        </w:rPr>
        <w:t>s forecast GST relativities and share</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CC22BA" w:rsidRPr="006A4224" w:rsidTr="00EA058F">
        <w:trPr>
          <w:trHeight w:val="464"/>
        </w:trPr>
        <w:tc>
          <w:tcPr>
            <w:tcW w:w="3515" w:type="dxa"/>
            <w:shd w:val="solid" w:color="000000" w:fill="auto"/>
          </w:tcPr>
          <w:p w:rsidR="00CC22BA" w:rsidRPr="006A4224" w:rsidRDefault="00CC22BA" w:rsidP="00CC22BA">
            <w:pPr>
              <w:autoSpaceDE w:val="0"/>
              <w:autoSpaceDN w:val="0"/>
              <w:adjustRightInd w:val="0"/>
              <w:spacing w:after="0"/>
              <w:rPr>
                <w:rFonts w:ascii="Calibri" w:eastAsiaTheme="minorEastAsia" w:hAnsi="Calibri" w:cs="Calibri"/>
                <w:i/>
                <w:iCs/>
                <w:color w:val="FFFFFF"/>
                <w:sz w:val="19"/>
                <w:szCs w:val="19"/>
                <w:lang w:eastAsia="en-AU"/>
              </w:rPr>
            </w:pPr>
          </w:p>
        </w:tc>
        <w:tc>
          <w:tcPr>
            <w:tcW w:w="850" w:type="dxa"/>
            <w:shd w:val="solid" w:color="000000" w:fill="auto"/>
          </w:tcPr>
          <w:p w:rsidR="00CC22BA" w:rsidRPr="006A4224" w:rsidRDefault="00CC22BA" w:rsidP="00361FA9">
            <w:pPr>
              <w:pStyle w:val="Tabletextheading"/>
              <w:rPr>
                <w:rFonts w:eastAsiaTheme="minorEastAsia"/>
                <w:color w:val="FFFFFF"/>
                <w:sz w:val="19"/>
                <w:lang w:eastAsia="en-AU"/>
              </w:rPr>
            </w:pPr>
            <w:r w:rsidRPr="006A4224">
              <w:rPr>
                <w:rFonts w:eastAsiaTheme="minorEastAsia"/>
                <w:color w:val="FFFFFF"/>
                <w:sz w:val="19"/>
                <w:lang w:eastAsia="en-AU"/>
              </w:rPr>
              <w:t>2015-16</w:t>
            </w:r>
          </w:p>
          <w:p w:rsidR="00CC22BA" w:rsidRPr="006A4224" w:rsidRDefault="00CC22BA" w:rsidP="00361FA9">
            <w:pPr>
              <w:pStyle w:val="Tabletextheading"/>
              <w:rPr>
                <w:rFonts w:eastAsiaTheme="minorEastAsia"/>
                <w:color w:val="FFFFFF"/>
                <w:sz w:val="19"/>
                <w:lang w:eastAsia="en-AU"/>
              </w:rPr>
            </w:pPr>
            <w:r w:rsidRPr="006A4224">
              <w:rPr>
                <w:rFonts w:eastAsiaTheme="minorEastAsia"/>
                <w:color w:val="FFFFFF"/>
                <w:sz w:val="19"/>
                <w:lang w:eastAsia="en-AU"/>
              </w:rPr>
              <w:t>actual</w:t>
            </w:r>
          </w:p>
        </w:tc>
        <w:tc>
          <w:tcPr>
            <w:tcW w:w="850" w:type="dxa"/>
            <w:shd w:val="solid" w:color="000000" w:fill="auto"/>
          </w:tcPr>
          <w:p w:rsidR="00CC22BA" w:rsidRPr="006A4224" w:rsidRDefault="00CC22BA" w:rsidP="00361FA9">
            <w:pPr>
              <w:pStyle w:val="Tabletextheading"/>
              <w:rPr>
                <w:rFonts w:eastAsiaTheme="minorEastAsia"/>
                <w:color w:val="FFFFFF"/>
                <w:sz w:val="19"/>
                <w:lang w:eastAsia="en-AU"/>
              </w:rPr>
            </w:pPr>
            <w:r w:rsidRPr="006A4224">
              <w:rPr>
                <w:rFonts w:eastAsiaTheme="minorEastAsia"/>
                <w:color w:val="FFFFFF"/>
                <w:sz w:val="19"/>
                <w:lang w:eastAsia="en-AU"/>
              </w:rPr>
              <w:t>2016-17</w:t>
            </w:r>
          </w:p>
          <w:p w:rsidR="00CC22BA" w:rsidRPr="006A4224" w:rsidRDefault="00CC22BA" w:rsidP="00361FA9">
            <w:pPr>
              <w:pStyle w:val="Tabletextheading"/>
              <w:rPr>
                <w:rFonts w:eastAsiaTheme="minorEastAsia"/>
                <w:color w:val="FFFFFF"/>
                <w:sz w:val="19"/>
                <w:lang w:eastAsia="en-AU"/>
              </w:rPr>
            </w:pPr>
            <w:r w:rsidRPr="006A4224">
              <w:rPr>
                <w:rFonts w:eastAsiaTheme="minorEastAsia"/>
                <w:color w:val="FFFFFF"/>
                <w:sz w:val="19"/>
                <w:lang w:eastAsia="en-AU"/>
              </w:rPr>
              <w:t>budget</w:t>
            </w:r>
          </w:p>
        </w:tc>
        <w:tc>
          <w:tcPr>
            <w:tcW w:w="850" w:type="dxa"/>
            <w:shd w:val="solid" w:color="000000" w:fill="auto"/>
          </w:tcPr>
          <w:p w:rsidR="00CC22BA" w:rsidRPr="006A4224" w:rsidRDefault="00CC22BA" w:rsidP="00361FA9">
            <w:pPr>
              <w:pStyle w:val="Tabletextheading"/>
              <w:rPr>
                <w:rFonts w:eastAsiaTheme="minorEastAsia"/>
                <w:color w:val="FFFFFF"/>
                <w:sz w:val="19"/>
                <w:lang w:eastAsia="en-AU"/>
              </w:rPr>
            </w:pPr>
            <w:r w:rsidRPr="006A4224">
              <w:rPr>
                <w:rFonts w:eastAsiaTheme="minorEastAsia"/>
                <w:color w:val="FFFFFF"/>
                <w:sz w:val="19"/>
                <w:lang w:eastAsia="en-AU"/>
              </w:rPr>
              <w:t>2017-18</w:t>
            </w:r>
          </w:p>
          <w:p w:rsidR="00CC22BA" w:rsidRPr="006A4224" w:rsidRDefault="00CC22BA" w:rsidP="00361FA9">
            <w:pPr>
              <w:pStyle w:val="Tabletextheading"/>
              <w:rPr>
                <w:rFonts w:eastAsiaTheme="minorEastAsia"/>
                <w:color w:val="FFFFFF"/>
                <w:sz w:val="19"/>
                <w:lang w:eastAsia="en-AU"/>
              </w:rPr>
            </w:pPr>
            <w:r w:rsidRPr="006A4224">
              <w:rPr>
                <w:rFonts w:eastAsiaTheme="minorEastAsia"/>
                <w:color w:val="FFFFFF"/>
                <w:sz w:val="19"/>
                <w:lang w:eastAsia="en-AU"/>
              </w:rPr>
              <w:t>estimate</w:t>
            </w:r>
          </w:p>
        </w:tc>
        <w:tc>
          <w:tcPr>
            <w:tcW w:w="850" w:type="dxa"/>
            <w:shd w:val="solid" w:color="000000" w:fill="auto"/>
          </w:tcPr>
          <w:p w:rsidR="00CC22BA" w:rsidRPr="006A4224" w:rsidRDefault="00CC22BA" w:rsidP="00361FA9">
            <w:pPr>
              <w:pStyle w:val="Tabletextheading"/>
              <w:rPr>
                <w:rFonts w:eastAsiaTheme="minorEastAsia"/>
                <w:color w:val="FFFFFF"/>
                <w:sz w:val="19"/>
                <w:lang w:eastAsia="en-AU"/>
              </w:rPr>
            </w:pPr>
            <w:r w:rsidRPr="006A4224">
              <w:rPr>
                <w:rFonts w:eastAsiaTheme="minorEastAsia"/>
                <w:color w:val="FFFFFF"/>
                <w:sz w:val="19"/>
                <w:lang w:eastAsia="en-AU"/>
              </w:rPr>
              <w:t>2018-19</w:t>
            </w:r>
          </w:p>
          <w:p w:rsidR="00CC22BA" w:rsidRPr="006A4224" w:rsidRDefault="00CC22BA" w:rsidP="00361FA9">
            <w:pPr>
              <w:pStyle w:val="Tabletextheading"/>
              <w:rPr>
                <w:rFonts w:eastAsiaTheme="minorEastAsia"/>
                <w:color w:val="FFFFFF"/>
                <w:sz w:val="19"/>
                <w:lang w:eastAsia="en-AU"/>
              </w:rPr>
            </w:pPr>
            <w:r w:rsidRPr="006A4224">
              <w:rPr>
                <w:rFonts w:eastAsiaTheme="minorEastAsia"/>
                <w:color w:val="FFFFFF"/>
                <w:sz w:val="19"/>
                <w:lang w:eastAsia="en-AU"/>
              </w:rPr>
              <w:t>estimate</w:t>
            </w:r>
          </w:p>
        </w:tc>
        <w:tc>
          <w:tcPr>
            <w:tcW w:w="850" w:type="dxa"/>
            <w:shd w:val="solid" w:color="000000" w:fill="auto"/>
          </w:tcPr>
          <w:p w:rsidR="00CC22BA" w:rsidRPr="006A4224" w:rsidRDefault="00CC22BA" w:rsidP="00361FA9">
            <w:pPr>
              <w:pStyle w:val="Tabletextheading"/>
              <w:rPr>
                <w:rFonts w:eastAsiaTheme="minorEastAsia"/>
                <w:color w:val="FFFFFF"/>
                <w:sz w:val="19"/>
                <w:lang w:eastAsia="en-AU"/>
              </w:rPr>
            </w:pPr>
            <w:r w:rsidRPr="006A4224">
              <w:rPr>
                <w:rFonts w:eastAsiaTheme="minorEastAsia"/>
                <w:color w:val="FFFFFF"/>
                <w:sz w:val="19"/>
                <w:lang w:eastAsia="en-AU"/>
              </w:rPr>
              <w:t>2019-20</w:t>
            </w:r>
          </w:p>
          <w:p w:rsidR="00CC22BA" w:rsidRPr="006A4224" w:rsidRDefault="00CC22BA" w:rsidP="00361FA9">
            <w:pPr>
              <w:pStyle w:val="Tabletextheading"/>
              <w:rPr>
                <w:rFonts w:eastAsiaTheme="minorEastAsia"/>
                <w:color w:val="FFFFFF"/>
                <w:sz w:val="19"/>
                <w:lang w:eastAsia="en-AU"/>
              </w:rPr>
            </w:pPr>
            <w:r w:rsidRPr="006A4224">
              <w:rPr>
                <w:rFonts w:eastAsiaTheme="minorEastAsia"/>
                <w:color w:val="FFFFFF"/>
                <w:sz w:val="19"/>
                <w:lang w:eastAsia="en-AU"/>
              </w:rPr>
              <w:t>estimate</w:t>
            </w:r>
          </w:p>
        </w:tc>
      </w:tr>
      <w:tr w:rsidR="002C39A3" w:rsidRPr="006A4224" w:rsidTr="00361FA9">
        <w:tc>
          <w:tcPr>
            <w:tcW w:w="3515" w:type="dxa"/>
            <w:tcBorders>
              <w:bottom w:val="nil"/>
            </w:tcBorders>
            <w:shd w:val="clear" w:color="auto" w:fill="FFFFFF"/>
          </w:tcPr>
          <w:p w:rsidR="002C39A3" w:rsidRPr="006A4224" w:rsidRDefault="002C39A3" w:rsidP="00361FA9">
            <w:pPr>
              <w:pStyle w:val="Tabletext"/>
              <w:ind w:left="227" w:hanging="227"/>
              <w:rPr>
                <w:rFonts w:eastAsiaTheme="minorEastAsia"/>
                <w:color w:val="000000"/>
                <w:vertAlign w:val="superscript"/>
                <w:lang w:eastAsia="en-AU"/>
              </w:rPr>
            </w:pPr>
            <w:r w:rsidRPr="006A4224">
              <w:rPr>
                <w:rFonts w:eastAsiaTheme="minorEastAsia"/>
                <w:color w:val="000000"/>
                <w:lang w:eastAsia="en-AU"/>
              </w:rPr>
              <w:t>Victoria</w:t>
            </w:r>
            <w:r w:rsidR="0097550F">
              <w:rPr>
                <w:rFonts w:eastAsiaTheme="minorEastAsia"/>
                <w:color w:val="000000"/>
                <w:lang w:eastAsia="en-AU"/>
              </w:rPr>
              <w:t>’</w:t>
            </w:r>
            <w:r w:rsidRPr="006A4224">
              <w:rPr>
                <w:rFonts w:eastAsiaTheme="minorEastAsia"/>
                <w:color w:val="000000"/>
                <w:lang w:eastAsia="en-AU"/>
              </w:rPr>
              <w:t xml:space="preserve">s relativity </w:t>
            </w:r>
            <w:r w:rsidRPr="006A4224">
              <w:rPr>
                <w:rFonts w:eastAsiaTheme="minorEastAsia"/>
                <w:color w:val="000000"/>
                <w:vertAlign w:val="superscript"/>
                <w:lang w:eastAsia="en-AU"/>
              </w:rPr>
              <w:t>(a)</w:t>
            </w:r>
          </w:p>
        </w:tc>
        <w:tc>
          <w:tcPr>
            <w:tcW w:w="850" w:type="dxa"/>
            <w:tcBorders>
              <w:bottom w:val="nil"/>
            </w:tcBorders>
            <w:shd w:val="clear" w:color="auto" w:fill="FFFFFF"/>
          </w:tcPr>
          <w:p w:rsidR="002C39A3" w:rsidRPr="006A4224"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0.89254</w:t>
            </w:r>
          </w:p>
        </w:tc>
        <w:tc>
          <w:tcPr>
            <w:tcW w:w="850" w:type="dxa"/>
            <w:tcBorders>
              <w:bottom w:val="nil"/>
            </w:tcBorders>
            <w:shd w:val="clear" w:color="auto" w:fill="FFFFFF"/>
          </w:tcPr>
          <w:p w:rsidR="002C39A3" w:rsidRPr="006A4224"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0.90967</w:t>
            </w:r>
          </w:p>
        </w:tc>
        <w:tc>
          <w:tcPr>
            <w:tcW w:w="850" w:type="dxa"/>
            <w:tcBorders>
              <w:bottom w:val="nil"/>
            </w:tcBorders>
            <w:shd w:val="clear" w:color="auto" w:fill="FFFFFF"/>
          </w:tcPr>
          <w:p w:rsidR="002C39A3" w:rsidRPr="006A4224"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0.91039</w:t>
            </w:r>
          </w:p>
        </w:tc>
        <w:tc>
          <w:tcPr>
            <w:tcW w:w="850" w:type="dxa"/>
            <w:tcBorders>
              <w:bottom w:val="nil"/>
            </w:tcBorders>
            <w:shd w:val="clear" w:color="auto" w:fill="FFFFFF"/>
          </w:tcPr>
          <w:p w:rsidR="002C39A3" w:rsidRPr="006A4224"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0.93711</w:t>
            </w:r>
          </w:p>
        </w:tc>
        <w:tc>
          <w:tcPr>
            <w:tcW w:w="850" w:type="dxa"/>
            <w:tcBorders>
              <w:bottom w:val="nil"/>
            </w:tcBorders>
            <w:shd w:val="clear" w:color="auto" w:fill="FFFFFF"/>
          </w:tcPr>
          <w:p w:rsidR="002C39A3" w:rsidRPr="006A4224"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0.92927</w:t>
            </w:r>
          </w:p>
        </w:tc>
      </w:tr>
      <w:tr w:rsidR="002C39A3" w:rsidRPr="006A4224" w:rsidTr="00361FA9">
        <w:tc>
          <w:tcPr>
            <w:tcW w:w="3515" w:type="dxa"/>
            <w:tcBorders>
              <w:top w:val="nil"/>
              <w:bottom w:val="nil"/>
            </w:tcBorders>
            <w:shd w:val="clear" w:color="auto" w:fill="FFFFFF"/>
          </w:tcPr>
          <w:p w:rsidR="002C39A3" w:rsidRPr="006A4224" w:rsidRDefault="002C39A3" w:rsidP="00361FA9">
            <w:pPr>
              <w:pStyle w:val="Tabletext"/>
              <w:ind w:left="227" w:hanging="227"/>
              <w:rPr>
                <w:rFonts w:eastAsiaTheme="minorEastAsia"/>
                <w:color w:val="000000"/>
                <w:vertAlign w:val="superscript"/>
                <w:lang w:eastAsia="en-AU"/>
              </w:rPr>
            </w:pPr>
            <w:r w:rsidRPr="006A4224">
              <w:rPr>
                <w:rFonts w:eastAsiaTheme="minorEastAsia"/>
                <w:color w:val="000000"/>
                <w:lang w:eastAsia="en-AU"/>
              </w:rPr>
              <w:t xml:space="preserve">GST share (%) </w:t>
            </w:r>
            <w:r w:rsidRPr="006A4224">
              <w:rPr>
                <w:rFonts w:eastAsiaTheme="minorEastAsia"/>
                <w:color w:val="000000"/>
                <w:vertAlign w:val="superscript"/>
                <w:lang w:eastAsia="en-AU"/>
              </w:rPr>
              <w:t>(b)</w:t>
            </w:r>
          </w:p>
        </w:tc>
        <w:tc>
          <w:tcPr>
            <w:tcW w:w="850" w:type="dxa"/>
            <w:tcBorders>
              <w:top w:val="nil"/>
              <w:bottom w:val="nil"/>
            </w:tcBorders>
            <w:shd w:val="clear" w:color="auto" w:fill="FFFFFF"/>
          </w:tcPr>
          <w:p w:rsidR="002C39A3" w:rsidRPr="006A4224"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22.4</w:t>
            </w:r>
          </w:p>
        </w:tc>
        <w:tc>
          <w:tcPr>
            <w:tcW w:w="850" w:type="dxa"/>
            <w:tcBorders>
              <w:top w:val="nil"/>
              <w:bottom w:val="nil"/>
            </w:tcBorders>
            <w:shd w:val="clear" w:color="auto" w:fill="FFFFFF"/>
          </w:tcPr>
          <w:p w:rsidR="002C39A3" w:rsidRPr="006A4224"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22.9</w:t>
            </w:r>
          </w:p>
        </w:tc>
        <w:tc>
          <w:tcPr>
            <w:tcW w:w="850" w:type="dxa"/>
            <w:tcBorders>
              <w:top w:val="nil"/>
              <w:bottom w:val="nil"/>
            </w:tcBorders>
            <w:shd w:val="clear" w:color="auto" w:fill="FFFFFF"/>
          </w:tcPr>
          <w:p w:rsidR="002C39A3" w:rsidRPr="006A4224"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22.9</w:t>
            </w:r>
          </w:p>
        </w:tc>
        <w:tc>
          <w:tcPr>
            <w:tcW w:w="850" w:type="dxa"/>
            <w:tcBorders>
              <w:top w:val="nil"/>
              <w:bottom w:val="nil"/>
            </w:tcBorders>
            <w:shd w:val="clear" w:color="auto" w:fill="FFFFFF"/>
          </w:tcPr>
          <w:p w:rsidR="002C39A3" w:rsidRPr="006A4224"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23.7</w:t>
            </w:r>
          </w:p>
        </w:tc>
        <w:tc>
          <w:tcPr>
            <w:tcW w:w="850" w:type="dxa"/>
            <w:tcBorders>
              <w:top w:val="nil"/>
              <w:bottom w:val="nil"/>
            </w:tcBorders>
            <w:shd w:val="clear" w:color="auto" w:fill="FFFFFF"/>
          </w:tcPr>
          <w:p w:rsidR="002C39A3" w:rsidRPr="006A4224"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23.5</w:t>
            </w:r>
          </w:p>
        </w:tc>
      </w:tr>
      <w:tr w:rsidR="002C39A3" w:rsidRPr="006A4224" w:rsidTr="00361FA9">
        <w:tc>
          <w:tcPr>
            <w:tcW w:w="3515" w:type="dxa"/>
            <w:tcBorders>
              <w:top w:val="nil"/>
              <w:bottom w:val="single" w:sz="12" w:space="0" w:color="auto"/>
            </w:tcBorders>
            <w:shd w:val="clear" w:color="auto" w:fill="FFFFFF"/>
          </w:tcPr>
          <w:p w:rsidR="002C39A3" w:rsidRPr="006A4224" w:rsidRDefault="002C39A3" w:rsidP="00361FA9">
            <w:pPr>
              <w:pStyle w:val="Tabletext"/>
              <w:ind w:left="227" w:hanging="227"/>
              <w:rPr>
                <w:rFonts w:eastAsiaTheme="minorEastAsia"/>
                <w:color w:val="000000"/>
                <w:vertAlign w:val="superscript"/>
                <w:lang w:eastAsia="en-AU"/>
              </w:rPr>
            </w:pPr>
            <w:r w:rsidRPr="006A4224">
              <w:rPr>
                <w:rFonts w:eastAsiaTheme="minorEastAsia"/>
                <w:color w:val="000000"/>
                <w:lang w:eastAsia="en-AU"/>
              </w:rPr>
              <w:t>Victoria</w:t>
            </w:r>
            <w:r w:rsidR="0097550F">
              <w:rPr>
                <w:rFonts w:eastAsiaTheme="minorEastAsia"/>
                <w:color w:val="000000"/>
                <w:lang w:eastAsia="en-AU"/>
              </w:rPr>
              <w:t>’</w:t>
            </w:r>
            <w:r w:rsidRPr="006A4224">
              <w:rPr>
                <w:rFonts w:eastAsiaTheme="minorEastAsia"/>
                <w:color w:val="000000"/>
                <w:lang w:eastAsia="en-AU"/>
              </w:rPr>
              <w:t xml:space="preserve">s population share (%) </w:t>
            </w:r>
            <w:r w:rsidRPr="006A4224">
              <w:rPr>
                <w:rFonts w:eastAsiaTheme="minorEastAsia"/>
                <w:color w:val="000000"/>
                <w:vertAlign w:val="superscript"/>
                <w:lang w:eastAsia="en-AU"/>
              </w:rPr>
              <w:t>(b)</w:t>
            </w:r>
          </w:p>
        </w:tc>
        <w:tc>
          <w:tcPr>
            <w:tcW w:w="850" w:type="dxa"/>
            <w:tcBorders>
              <w:top w:val="nil"/>
              <w:bottom w:val="single" w:sz="12" w:space="0" w:color="auto"/>
            </w:tcBorders>
            <w:shd w:val="clear" w:color="auto" w:fill="FFFFFF"/>
          </w:tcPr>
          <w:p w:rsidR="002C39A3" w:rsidRPr="006A4224"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25.0</w:t>
            </w:r>
          </w:p>
        </w:tc>
        <w:tc>
          <w:tcPr>
            <w:tcW w:w="850" w:type="dxa"/>
            <w:tcBorders>
              <w:top w:val="nil"/>
              <w:bottom w:val="single" w:sz="12" w:space="0" w:color="auto"/>
            </w:tcBorders>
            <w:shd w:val="clear" w:color="auto" w:fill="FFFFFF"/>
          </w:tcPr>
          <w:p w:rsidR="002C39A3" w:rsidRPr="006A4224"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25.1</w:t>
            </w:r>
          </w:p>
        </w:tc>
        <w:tc>
          <w:tcPr>
            <w:tcW w:w="850" w:type="dxa"/>
            <w:tcBorders>
              <w:top w:val="nil"/>
              <w:bottom w:val="single" w:sz="12" w:space="0" w:color="auto"/>
            </w:tcBorders>
            <w:shd w:val="clear" w:color="auto" w:fill="FFFFFF"/>
          </w:tcPr>
          <w:p w:rsidR="002C39A3" w:rsidRPr="006A4224"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25.1</w:t>
            </w:r>
          </w:p>
        </w:tc>
        <w:tc>
          <w:tcPr>
            <w:tcW w:w="850" w:type="dxa"/>
            <w:tcBorders>
              <w:top w:val="nil"/>
              <w:bottom w:val="single" w:sz="12" w:space="0" w:color="auto"/>
            </w:tcBorders>
            <w:shd w:val="clear" w:color="auto" w:fill="FFFFFF"/>
          </w:tcPr>
          <w:p w:rsidR="002C39A3" w:rsidRPr="006A4224"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25.2</w:t>
            </w:r>
          </w:p>
        </w:tc>
        <w:tc>
          <w:tcPr>
            <w:tcW w:w="850" w:type="dxa"/>
            <w:tcBorders>
              <w:top w:val="nil"/>
              <w:bottom w:val="single" w:sz="12" w:space="0" w:color="auto"/>
            </w:tcBorders>
            <w:shd w:val="clear" w:color="auto" w:fill="FFFFFF"/>
          </w:tcPr>
          <w:p w:rsidR="002C39A3" w:rsidRPr="006A4224"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25.3</w:t>
            </w:r>
          </w:p>
        </w:tc>
      </w:tr>
    </w:tbl>
    <w:p w:rsidR="002C39A3" w:rsidRDefault="002C39A3" w:rsidP="00361FA9">
      <w:pPr>
        <w:pStyle w:val="Source"/>
        <w:rPr>
          <w:rFonts w:eastAsiaTheme="minorHAnsi"/>
        </w:rPr>
      </w:pPr>
      <w:r>
        <w:rPr>
          <w:rFonts w:eastAsiaTheme="minorHAnsi"/>
        </w:rPr>
        <w:t>Source: Commonwealth Grants Commission (CGC); Department of Treasury and Finance</w:t>
      </w:r>
    </w:p>
    <w:p w:rsidR="002C39A3" w:rsidRPr="00B47E63" w:rsidRDefault="002C39A3" w:rsidP="00361FA9">
      <w:pPr>
        <w:pStyle w:val="Notes"/>
        <w:rPr>
          <w:rFonts w:eastAsiaTheme="minorHAnsi"/>
        </w:rPr>
      </w:pPr>
      <w:r w:rsidRPr="00B47E63">
        <w:rPr>
          <w:rFonts w:eastAsiaTheme="minorHAnsi"/>
        </w:rPr>
        <w:t xml:space="preserve">Notes: </w:t>
      </w:r>
    </w:p>
    <w:p w:rsidR="002C39A3" w:rsidRPr="00B47E63" w:rsidRDefault="002C39A3" w:rsidP="00361FA9">
      <w:pPr>
        <w:pStyle w:val="Notes"/>
        <w:rPr>
          <w:rFonts w:eastAsiaTheme="minorHAnsi"/>
        </w:rPr>
      </w:pPr>
      <w:r>
        <w:rPr>
          <w:rFonts w:eastAsiaTheme="minorHAnsi"/>
        </w:rPr>
        <w:t>(</w:t>
      </w:r>
      <w:r w:rsidRPr="00B47E63">
        <w:rPr>
          <w:rFonts w:eastAsiaTheme="minorHAnsi"/>
        </w:rPr>
        <w:t>a)</w:t>
      </w:r>
      <w:r>
        <w:rPr>
          <w:rFonts w:eastAsiaTheme="minorHAnsi"/>
        </w:rPr>
        <w:tab/>
      </w:r>
      <w:r w:rsidRPr="00B47E63">
        <w:t>Victoria</w:t>
      </w:r>
      <w:r w:rsidR="0097550F">
        <w:t>’</w:t>
      </w:r>
      <w:r w:rsidRPr="00B47E63">
        <w:t>s GST relativity for 201</w:t>
      </w:r>
      <w:r w:rsidRPr="00B47E63">
        <w:rPr>
          <w:rFonts w:eastAsiaTheme="minorHAnsi"/>
        </w:rPr>
        <w:t>6</w:t>
      </w:r>
      <w:r w:rsidRPr="00B47E63">
        <w:t>-1</w:t>
      </w:r>
      <w:r w:rsidRPr="00B47E63">
        <w:rPr>
          <w:rFonts w:eastAsiaTheme="minorHAnsi"/>
        </w:rPr>
        <w:t>7</w:t>
      </w:r>
      <w:r>
        <w:t xml:space="preserve"> has been determined by the Commonwealth Treasurer</w:t>
      </w:r>
      <w:r w:rsidRPr="00B47E63">
        <w:t>.</w:t>
      </w:r>
    </w:p>
    <w:p w:rsidR="002C39A3" w:rsidRDefault="002C39A3" w:rsidP="00361FA9">
      <w:pPr>
        <w:pStyle w:val="Notes"/>
        <w:rPr>
          <w:rFonts w:eastAsiaTheme="minorHAnsi"/>
        </w:rPr>
      </w:pPr>
      <w:r>
        <w:rPr>
          <w:rFonts w:eastAsiaTheme="minorHAnsi"/>
        </w:rPr>
        <w:t>(</w:t>
      </w:r>
      <w:r w:rsidRPr="00B47E63">
        <w:rPr>
          <w:rFonts w:eastAsiaTheme="minorHAnsi"/>
        </w:rPr>
        <w:t xml:space="preserve">b) </w:t>
      </w:r>
      <w:r>
        <w:rPr>
          <w:rFonts w:eastAsiaTheme="minorHAnsi"/>
        </w:rPr>
        <w:tab/>
      </w:r>
      <w:r w:rsidRPr="00B47E63">
        <w:rPr>
          <w:rFonts w:eastAsiaTheme="minorHAnsi"/>
        </w:rPr>
        <w:t xml:space="preserve">The </w:t>
      </w:r>
      <w:r>
        <w:rPr>
          <w:rFonts w:eastAsiaTheme="minorHAnsi"/>
        </w:rPr>
        <w:t>2015</w:t>
      </w:r>
      <w:r>
        <w:rPr>
          <w:rFonts w:eastAsiaTheme="minorHAnsi"/>
        </w:rPr>
        <w:noBreakHyphen/>
        <w:t xml:space="preserve">16 </w:t>
      </w:r>
      <w:r w:rsidRPr="00B47E63">
        <w:rPr>
          <w:rFonts w:eastAsiaTheme="minorHAnsi"/>
        </w:rPr>
        <w:t>figures for GST a</w:t>
      </w:r>
      <w:r>
        <w:rPr>
          <w:rFonts w:eastAsiaTheme="minorHAnsi"/>
        </w:rPr>
        <w:t>nd population shares</w:t>
      </w:r>
      <w:r w:rsidRPr="00B47E63">
        <w:rPr>
          <w:rFonts w:eastAsiaTheme="minorHAnsi"/>
        </w:rPr>
        <w:t xml:space="preserve"> are estimates.</w:t>
      </w:r>
    </w:p>
    <w:p w:rsidR="002C39A3" w:rsidRPr="00B47E63" w:rsidRDefault="002C39A3" w:rsidP="00361FA9">
      <w:pPr>
        <w:pStyle w:val="Notes"/>
        <w:rPr>
          <w:rFonts w:eastAsiaTheme="minorHAnsi"/>
        </w:rPr>
      </w:pPr>
    </w:p>
    <w:p w:rsidR="002C39A3" w:rsidRPr="00220AC8" w:rsidRDefault="002C39A3" w:rsidP="00361FA9">
      <w:pPr>
        <w:rPr>
          <w:rFonts w:eastAsiaTheme="minorHAnsi"/>
        </w:rPr>
      </w:pPr>
      <w:r w:rsidRPr="00220AC8">
        <w:rPr>
          <w:rFonts w:eastAsiaTheme="minorHAnsi"/>
        </w:rPr>
        <w:t>Diverging economic conditions in post-mining boom Australia are having a noticeable impact on the ability of states and terri</w:t>
      </w:r>
      <w:r>
        <w:rPr>
          <w:rFonts w:eastAsiaTheme="minorHAnsi"/>
        </w:rPr>
        <w:t>tories to raise revenue. Box 4.3</w:t>
      </w:r>
      <w:r w:rsidRPr="00220AC8">
        <w:rPr>
          <w:rFonts w:eastAsiaTheme="minorHAnsi"/>
        </w:rPr>
        <w:t xml:space="preserve"> </w:t>
      </w:r>
      <w:r>
        <w:rPr>
          <w:rFonts w:eastAsiaTheme="minorHAnsi"/>
        </w:rPr>
        <w:t xml:space="preserve">describes how differences in tax </w:t>
      </w:r>
      <w:r w:rsidRPr="000B1926">
        <w:rPr>
          <w:rFonts w:eastAsiaTheme="minorHAnsi"/>
        </w:rPr>
        <w:t>revenue gro</w:t>
      </w:r>
      <w:r>
        <w:rPr>
          <w:rFonts w:eastAsiaTheme="minorHAnsi"/>
        </w:rPr>
        <w:t>wth have</w:t>
      </w:r>
      <w:r w:rsidRPr="000B1926">
        <w:rPr>
          <w:rFonts w:eastAsiaTheme="minorHAnsi"/>
        </w:rPr>
        <w:t xml:space="preserve"> </w:t>
      </w:r>
      <w:r>
        <w:rPr>
          <w:rFonts w:eastAsiaTheme="minorHAnsi"/>
        </w:rPr>
        <w:t xml:space="preserve">influenced </w:t>
      </w:r>
      <w:r w:rsidRPr="000B1926">
        <w:rPr>
          <w:rFonts w:eastAsiaTheme="minorHAnsi"/>
        </w:rPr>
        <w:t>the relativities used to distribute the GST</w:t>
      </w:r>
      <w:r w:rsidRPr="00220AC8">
        <w:rPr>
          <w:rFonts w:eastAsiaTheme="minorHAnsi"/>
        </w:rPr>
        <w:t>.</w:t>
      </w:r>
    </w:p>
    <w:p w:rsidR="002C39A3" w:rsidRDefault="002C39A3" w:rsidP="00361FA9">
      <w:pPr>
        <w:pStyle w:val="HighlightBoxHeading"/>
        <w:rPr>
          <w:rFonts w:eastAsiaTheme="minorHAnsi"/>
        </w:rPr>
      </w:pPr>
      <w:r w:rsidRPr="00836927">
        <w:rPr>
          <w:rFonts w:eastAsiaTheme="minorHAnsi"/>
        </w:rPr>
        <w:t>Box 4.</w:t>
      </w:r>
      <w:r>
        <w:rPr>
          <w:rFonts w:eastAsiaTheme="minorHAnsi"/>
        </w:rPr>
        <w:t>3:</w:t>
      </w:r>
      <w:r>
        <w:rPr>
          <w:rFonts w:eastAsiaTheme="minorHAnsi"/>
        </w:rPr>
        <w:tab/>
        <w:t>Revenue drivers of Victoria</w:t>
      </w:r>
      <w:r w:rsidR="0097550F">
        <w:rPr>
          <w:rFonts w:eastAsiaTheme="minorHAnsi"/>
        </w:rPr>
        <w:t>’</w:t>
      </w:r>
      <w:r>
        <w:rPr>
          <w:rFonts w:eastAsiaTheme="minorHAnsi"/>
        </w:rPr>
        <w:t>s GST relativity forecast</w:t>
      </w:r>
    </w:p>
    <w:p w:rsidR="002C39A3" w:rsidRPr="000B1926" w:rsidRDefault="002C39A3" w:rsidP="00361FA9">
      <w:pPr>
        <w:pStyle w:val="HighlightBoxText"/>
        <w:rPr>
          <w:rFonts w:eastAsiaTheme="minorHAnsi"/>
        </w:rPr>
      </w:pPr>
      <w:r>
        <w:rPr>
          <w:rFonts w:eastAsiaTheme="minorHAnsi"/>
        </w:rPr>
        <w:t>Each year the Commonwealth Grants Commission (CGC) calculates GST relativities for the states and territories by assessing their fiscal capacity across the categories of revenue, expenditure, investment, net lending and Commonwealth funding.</w:t>
      </w:r>
    </w:p>
    <w:p w:rsidR="002C39A3" w:rsidRPr="000B1926" w:rsidRDefault="002C39A3" w:rsidP="00361FA9">
      <w:pPr>
        <w:pStyle w:val="HighlightBoxText"/>
        <w:rPr>
          <w:rFonts w:eastAsiaTheme="minorHAnsi"/>
        </w:rPr>
      </w:pPr>
      <w:r w:rsidRPr="000B1926">
        <w:rPr>
          <w:rFonts w:eastAsiaTheme="minorHAnsi"/>
        </w:rPr>
        <w:t>During the past decade and a half, the mining boom has been an important driver of economic conditions in Australia</w:t>
      </w:r>
      <w:r>
        <w:rPr>
          <w:rFonts w:eastAsiaTheme="minorHAnsi"/>
        </w:rPr>
        <w:t xml:space="preserve"> and t</w:t>
      </w:r>
      <w:r w:rsidRPr="000B1926">
        <w:rPr>
          <w:rFonts w:eastAsiaTheme="minorHAnsi"/>
        </w:rPr>
        <w:t>he boom has</w:t>
      </w:r>
      <w:r>
        <w:rPr>
          <w:rFonts w:eastAsiaTheme="minorHAnsi"/>
        </w:rPr>
        <w:t xml:space="preserve"> </w:t>
      </w:r>
      <w:r w:rsidRPr="000B1926">
        <w:rPr>
          <w:rFonts w:eastAsiaTheme="minorHAnsi"/>
        </w:rPr>
        <w:t>affected the GST relativities ac</w:t>
      </w:r>
      <w:r>
        <w:rPr>
          <w:rFonts w:eastAsiaTheme="minorHAnsi"/>
        </w:rPr>
        <w:t>ross the states and territories</w:t>
      </w:r>
      <w:r w:rsidRPr="000B1926">
        <w:rPr>
          <w:rFonts w:eastAsiaTheme="minorHAnsi"/>
        </w:rPr>
        <w:t xml:space="preserve"> through its impact on </w:t>
      </w:r>
      <w:r>
        <w:rPr>
          <w:rFonts w:eastAsiaTheme="minorHAnsi"/>
        </w:rPr>
        <w:t>their</w:t>
      </w:r>
      <w:r w:rsidRPr="000B1926">
        <w:rPr>
          <w:rFonts w:eastAsiaTheme="minorHAnsi"/>
        </w:rPr>
        <w:t xml:space="preserve"> fiscal capacities.</w:t>
      </w:r>
    </w:p>
    <w:p w:rsidR="002C39A3" w:rsidRDefault="002C39A3" w:rsidP="00361FA9">
      <w:pPr>
        <w:pStyle w:val="HighlightBoxText"/>
        <w:rPr>
          <w:rFonts w:eastAsiaTheme="minorHAnsi"/>
        </w:rPr>
      </w:pPr>
      <w:r w:rsidRPr="000B1926">
        <w:rPr>
          <w:rFonts w:eastAsiaTheme="minorHAnsi"/>
        </w:rPr>
        <w:t>During the investment phase of the mining boom</w:t>
      </w:r>
      <w:r>
        <w:rPr>
          <w:rFonts w:eastAsiaTheme="minorHAnsi"/>
        </w:rPr>
        <w:t>,</w:t>
      </w:r>
      <w:r w:rsidRPr="000B1926">
        <w:rPr>
          <w:rFonts w:eastAsiaTheme="minorHAnsi"/>
        </w:rPr>
        <w:t xml:space="preserve"> strong economic conditions in Western Australia and Queensland drove </w:t>
      </w:r>
      <w:r>
        <w:rPr>
          <w:rFonts w:eastAsiaTheme="minorHAnsi"/>
        </w:rPr>
        <w:t>faster revenue growth (Table 4.5)</w:t>
      </w:r>
      <w:r w:rsidRPr="000B1926">
        <w:rPr>
          <w:rFonts w:eastAsiaTheme="minorHAnsi"/>
        </w:rPr>
        <w:t xml:space="preserve">. Rising labour demand and wages increased the rate of growth in payroll tax revenue. </w:t>
      </w:r>
      <w:r>
        <w:rPr>
          <w:rFonts w:eastAsiaTheme="minorHAnsi"/>
        </w:rPr>
        <w:t>S</w:t>
      </w:r>
      <w:r w:rsidRPr="000B1926">
        <w:rPr>
          <w:rFonts w:eastAsiaTheme="minorHAnsi"/>
        </w:rPr>
        <w:t xml:space="preserve">trong population growth and </w:t>
      </w:r>
      <w:r>
        <w:rPr>
          <w:rFonts w:eastAsiaTheme="minorHAnsi"/>
        </w:rPr>
        <w:t>higher</w:t>
      </w:r>
      <w:r w:rsidRPr="000B1926">
        <w:rPr>
          <w:rFonts w:eastAsiaTheme="minorHAnsi"/>
        </w:rPr>
        <w:t xml:space="preserve"> incomes helped fuel growth in property markets, increasing land tax and stamp duty revenues. </w:t>
      </w:r>
      <w:r>
        <w:rPr>
          <w:rFonts w:eastAsiaTheme="minorHAnsi"/>
        </w:rPr>
        <w:t xml:space="preserve">Further, as mining exports increased so too did royalty revenues, particularly those from iron ore in Western Australia. </w:t>
      </w:r>
      <w:r w:rsidRPr="000B1926">
        <w:rPr>
          <w:rFonts w:eastAsiaTheme="minorHAnsi"/>
        </w:rPr>
        <w:t xml:space="preserve">All else equal, </w:t>
      </w:r>
      <w:r>
        <w:rPr>
          <w:rFonts w:eastAsiaTheme="minorHAnsi"/>
        </w:rPr>
        <w:t>above</w:t>
      </w:r>
      <w:r>
        <w:rPr>
          <w:rFonts w:eastAsiaTheme="minorHAnsi"/>
        </w:rPr>
        <w:noBreakHyphen/>
        <w:t xml:space="preserve">average </w:t>
      </w:r>
      <w:r w:rsidRPr="000B1926">
        <w:rPr>
          <w:rFonts w:eastAsiaTheme="minorHAnsi"/>
        </w:rPr>
        <w:t>revenue growth placed downward pressure on the GST relativities for Western Australia</w:t>
      </w:r>
      <w:r>
        <w:rPr>
          <w:rFonts w:eastAsiaTheme="minorHAnsi"/>
        </w:rPr>
        <w:t xml:space="preserve"> and Queensland during this period.</w:t>
      </w:r>
    </w:p>
    <w:p w:rsidR="002C39A3" w:rsidRPr="00C235A4" w:rsidRDefault="002C39A3" w:rsidP="00361FA9">
      <w:pPr>
        <w:pStyle w:val="HighlightBoxHeading"/>
        <w:rPr>
          <w:rFonts w:eastAsiaTheme="minorHAnsi"/>
        </w:rPr>
      </w:pPr>
      <w:r w:rsidRPr="00C235A4">
        <w:rPr>
          <w:rFonts w:eastAsiaTheme="minorHAnsi"/>
        </w:rPr>
        <w:t xml:space="preserve">Table 4.5: </w:t>
      </w:r>
      <w:r w:rsidRPr="00C235A4">
        <w:rPr>
          <w:rFonts w:eastAsiaTheme="minorHAnsi"/>
        </w:rPr>
        <w:tab/>
        <w:t>Average annual growth in economic parameters, 20</w:t>
      </w:r>
      <w:r>
        <w:rPr>
          <w:rFonts w:eastAsiaTheme="minorHAnsi"/>
        </w:rPr>
        <w:t>00-</w:t>
      </w:r>
      <w:r w:rsidRPr="00C235A4">
        <w:rPr>
          <w:rFonts w:eastAsiaTheme="minorHAnsi"/>
        </w:rPr>
        <w:t xml:space="preserve">01 to </w:t>
      </w:r>
      <w:r>
        <w:rPr>
          <w:rFonts w:eastAsiaTheme="minorHAnsi"/>
        </w:rPr>
        <w:t>2012-</w:t>
      </w:r>
      <w:r w:rsidRPr="00C235A4">
        <w:rPr>
          <w:rFonts w:eastAsiaTheme="minorHAnsi"/>
        </w:rPr>
        <w:t>13</w:t>
      </w:r>
    </w:p>
    <w:p w:rsidR="002C39A3" w:rsidRDefault="002C39A3" w:rsidP="00361FA9">
      <w:pPr>
        <w:pStyle w:val="HighlightBoxText"/>
        <w:rPr>
          <w:rFonts w:eastAsiaTheme="minorHAnsi"/>
        </w:rPr>
      </w:pPr>
      <w:r w:rsidRPr="00C235A4">
        <w:rPr>
          <w:rFonts w:eastAsiaTheme="minorHAnsi"/>
          <w:noProof/>
          <w:lang w:eastAsia="en-AU"/>
        </w:rPr>
        <mc:AlternateContent>
          <mc:Choice Requires="wps">
            <w:drawing>
              <wp:inline distT="0" distB="0" distL="0" distR="0" wp14:anchorId="5B3C4E07" wp14:editId="338A5556">
                <wp:extent cx="4844398" cy="908463"/>
                <wp:effectExtent l="0" t="0" r="13970" b="63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398" cy="908463"/>
                        </a:xfrm>
                        <a:prstGeom prst="rect">
                          <a:avLst/>
                        </a:prstGeom>
                        <a:noFill/>
                        <a:ln w="9525">
                          <a:noFill/>
                          <a:miter lim="800000"/>
                          <a:headEnd/>
                          <a:tailEnd/>
                        </a:ln>
                      </wps:spPr>
                      <wps:txbx>
                        <w:txbxContent>
                          <w:p w:rsidR="00502FAF" w:rsidRPr="00E70016" w:rsidRDefault="00502FAF" w:rsidP="00361FA9">
                            <w:pPr>
                              <w:pStyle w:val="million"/>
                              <w:rPr>
                                <w:rFonts w:ascii="Times New Roman" w:hAnsi="Times New Roman"/>
                                <w:sz w:val="20"/>
                                <w:lang w:eastAsia="en-AU"/>
                              </w:rPr>
                            </w:pPr>
                            <w:r>
                              <w:rPr>
                                <w:rFonts w:eastAsiaTheme="minorHAnsi"/>
                              </w:rPr>
                              <w:t>(per cent)</w:t>
                            </w:r>
                          </w:p>
                          <w:tbl>
                            <w:tblPr>
                              <w:tblW w:w="7541" w:type="dxa"/>
                              <w:jc w:val="center"/>
                              <w:tblLayout w:type="fixed"/>
                              <w:tblCellMar>
                                <w:left w:w="45" w:type="dxa"/>
                                <w:right w:w="45" w:type="dxa"/>
                              </w:tblCellMar>
                              <w:tblLook w:val="0000" w:firstRow="0" w:lastRow="0" w:firstColumn="0" w:lastColumn="0" w:noHBand="0" w:noVBand="0"/>
                            </w:tblPr>
                            <w:tblGrid>
                              <w:gridCol w:w="3407"/>
                              <w:gridCol w:w="826"/>
                              <w:gridCol w:w="827"/>
                              <w:gridCol w:w="827"/>
                              <w:gridCol w:w="827"/>
                              <w:gridCol w:w="827"/>
                            </w:tblGrid>
                            <w:tr w:rsidR="00502FAF" w:rsidRPr="00E70016" w:rsidTr="00361FA9">
                              <w:trPr>
                                <w:jc w:val="center"/>
                              </w:trPr>
                              <w:tc>
                                <w:tcPr>
                                  <w:tcW w:w="3515" w:type="dxa"/>
                                  <w:tcBorders>
                                    <w:bottom w:val="nil"/>
                                  </w:tcBorders>
                                  <w:shd w:val="solid" w:color="000000" w:fill="auto"/>
                                </w:tcPr>
                                <w:p w:rsidR="00502FAF" w:rsidRPr="00E70016" w:rsidRDefault="00502FAF" w:rsidP="00361FA9">
                                  <w:pPr>
                                    <w:autoSpaceDE w:val="0"/>
                                    <w:autoSpaceDN w:val="0"/>
                                    <w:adjustRightInd w:val="0"/>
                                    <w:spacing w:after="0"/>
                                    <w:rPr>
                                      <w:rFonts w:ascii="Calibri" w:eastAsiaTheme="minorEastAsia" w:hAnsi="Calibri" w:cs="Calibri"/>
                                      <w:i/>
                                      <w:iCs/>
                                      <w:color w:val="FFFFFF"/>
                                      <w:sz w:val="19"/>
                                      <w:szCs w:val="19"/>
                                      <w:lang w:eastAsia="en-AU"/>
                                    </w:rPr>
                                  </w:pPr>
                                  <w:r w:rsidRPr="00E70016">
                                    <w:rPr>
                                      <w:rFonts w:ascii="Calibri" w:eastAsiaTheme="minorEastAsia" w:hAnsi="Calibri" w:cs="Calibri"/>
                                      <w:i/>
                                      <w:iCs/>
                                      <w:color w:val="FFFFFF"/>
                                      <w:sz w:val="19"/>
                                      <w:szCs w:val="19"/>
                                      <w:lang w:eastAsia="en-AU"/>
                                    </w:rPr>
                                    <w:t xml:space="preserve"> </w:t>
                                  </w:r>
                                </w:p>
                              </w:tc>
                              <w:tc>
                                <w:tcPr>
                                  <w:tcW w:w="850" w:type="dxa"/>
                                  <w:tcBorders>
                                    <w:bottom w:val="nil"/>
                                  </w:tcBorders>
                                  <w:shd w:val="solid" w:color="000000" w:fill="auto"/>
                                </w:tcPr>
                                <w:p w:rsidR="00502FAF" w:rsidRPr="00E70016" w:rsidRDefault="00502FA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E70016">
                                    <w:rPr>
                                      <w:rFonts w:ascii="Calibri" w:eastAsiaTheme="minorEastAsia" w:hAnsi="Calibri" w:cs="Calibri"/>
                                      <w:i/>
                                      <w:iCs/>
                                      <w:color w:val="FFFFFF"/>
                                      <w:sz w:val="19"/>
                                      <w:szCs w:val="19"/>
                                      <w:lang w:eastAsia="en-AU"/>
                                    </w:rPr>
                                    <w:t>NSW</w:t>
                                  </w:r>
                                </w:p>
                              </w:tc>
                              <w:tc>
                                <w:tcPr>
                                  <w:tcW w:w="850" w:type="dxa"/>
                                  <w:tcBorders>
                                    <w:bottom w:val="nil"/>
                                  </w:tcBorders>
                                  <w:shd w:val="solid" w:color="000000" w:fill="auto"/>
                                </w:tcPr>
                                <w:p w:rsidR="00502FAF" w:rsidRPr="00E70016" w:rsidRDefault="00502FA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E70016">
                                    <w:rPr>
                                      <w:rFonts w:ascii="Calibri" w:eastAsiaTheme="minorEastAsia" w:hAnsi="Calibri" w:cs="Calibri"/>
                                      <w:i/>
                                      <w:iCs/>
                                      <w:color w:val="FFFFFF"/>
                                      <w:sz w:val="19"/>
                                      <w:szCs w:val="19"/>
                                      <w:lang w:eastAsia="en-AU"/>
                                    </w:rPr>
                                    <w:t>Vic</w:t>
                                  </w:r>
                                </w:p>
                              </w:tc>
                              <w:tc>
                                <w:tcPr>
                                  <w:tcW w:w="850" w:type="dxa"/>
                                  <w:tcBorders>
                                    <w:bottom w:val="nil"/>
                                  </w:tcBorders>
                                  <w:shd w:val="solid" w:color="000000" w:fill="auto"/>
                                </w:tcPr>
                                <w:p w:rsidR="00502FAF" w:rsidRPr="00E70016" w:rsidRDefault="00502FA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E70016">
                                    <w:rPr>
                                      <w:rFonts w:ascii="Calibri" w:eastAsiaTheme="minorEastAsia" w:hAnsi="Calibri" w:cs="Calibri"/>
                                      <w:i/>
                                      <w:iCs/>
                                      <w:color w:val="FFFFFF"/>
                                      <w:sz w:val="19"/>
                                      <w:szCs w:val="19"/>
                                      <w:lang w:eastAsia="en-AU"/>
                                    </w:rPr>
                                    <w:t>Qld</w:t>
                                  </w:r>
                                </w:p>
                              </w:tc>
                              <w:tc>
                                <w:tcPr>
                                  <w:tcW w:w="850" w:type="dxa"/>
                                  <w:tcBorders>
                                    <w:bottom w:val="nil"/>
                                  </w:tcBorders>
                                  <w:shd w:val="solid" w:color="000000" w:fill="auto"/>
                                </w:tcPr>
                                <w:p w:rsidR="00502FAF" w:rsidRPr="00E70016" w:rsidRDefault="00502FA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E70016">
                                    <w:rPr>
                                      <w:rFonts w:ascii="Calibri" w:eastAsiaTheme="minorEastAsia" w:hAnsi="Calibri" w:cs="Calibri"/>
                                      <w:i/>
                                      <w:iCs/>
                                      <w:color w:val="FFFFFF"/>
                                      <w:sz w:val="19"/>
                                      <w:szCs w:val="19"/>
                                      <w:lang w:eastAsia="en-AU"/>
                                    </w:rPr>
                                    <w:t>WA</w:t>
                                  </w:r>
                                </w:p>
                              </w:tc>
                              <w:tc>
                                <w:tcPr>
                                  <w:tcW w:w="850" w:type="dxa"/>
                                  <w:tcBorders>
                                    <w:bottom w:val="nil"/>
                                  </w:tcBorders>
                                  <w:shd w:val="solid" w:color="000000" w:fill="auto"/>
                                </w:tcPr>
                                <w:p w:rsidR="00502FAF" w:rsidRPr="00E70016" w:rsidRDefault="00502FA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E70016">
                                    <w:rPr>
                                      <w:rFonts w:ascii="Calibri" w:eastAsiaTheme="minorEastAsia" w:hAnsi="Calibri" w:cs="Calibri"/>
                                      <w:i/>
                                      <w:iCs/>
                                      <w:color w:val="FFFFFF"/>
                                      <w:sz w:val="19"/>
                                      <w:szCs w:val="19"/>
                                      <w:lang w:eastAsia="en-AU"/>
                                    </w:rPr>
                                    <w:t>SA</w:t>
                                  </w:r>
                                </w:p>
                              </w:tc>
                            </w:tr>
                            <w:tr w:rsidR="00502FAF" w:rsidRPr="00E70016" w:rsidTr="00361FA9">
                              <w:trPr>
                                <w:jc w:val="center"/>
                              </w:trPr>
                              <w:tc>
                                <w:tcPr>
                                  <w:tcW w:w="3515" w:type="dxa"/>
                                  <w:tcBorders>
                                    <w:bottom w:val="nil"/>
                                  </w:tcBorders>
                                  <w:shd w:val="clear" w:color="auto" w:fill="FFFFFF"/>
                                </w:tcPr>
                                <w:p w:rsidR="00502FAF" w:rsidRPr="00E70016" w:rsidRDefault="00502FAF" w:rsidP="00361FA9">
                                  <w:pPr>
                                    <w:pStyle w:val="Tabletext"/>
                                    <w:ind w:left="227" w:hanging="227"/>
                                    <w:rPr>
                                      <w:rFonts w:eastAsiaTheme="minorEastAsia"/>
                                      <w:lang w:eastAsia="en-AU"/>
                                    </w:rPr>
                                  </w:pPr>
                                  <w:r w:rsidRPr="00E70016">
                                    <w:rPr>
                                      <w:rFonts w:eastAsiaTheme="minorEastAsia"/>
                                      <w:lang w:eastAsia="en-AU"/>
                                    </w:rPr>
                                    <w:t>Wage Price Index</w:t>
                                  </w:r>
                                </w:p>
                              </w:tc>
                              <w:tc>
                                <w:tcPr>
                                  <w:tcW w:w="850" w:type="dxa"/>
                                  <w:tcBorders>
                                    <w:bottom w:val="nil"/>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3.6</w:t>
                                  </w:r>
                                </w:p>
                              </w:tc>
                              <w:tc>
                                <w:tcPr>
                                  <w:tcW w:w="850" w:type="dxa"/>
                                  <w:tcBorders>
                                    <w:bottom w:val="nil"/>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3.6</w:t>
                                  </w:r>
                                </w:p>
                              </w:tc>
                              <w:tc>
                                <w:tcPr>
                                  <w:tcW w:w="850" w:type="dxa"/>
                                  <w:tcBorders>
                                    <w:bottom w:val="nil"/>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3.7</w:t>
                                  </w:r>
                                </w:p>
                              </w:tc>
                              <w:tc>
                                <w:tcPr>
                                  <w:tcW w:w="850" w:type="dxa"/>
                                  <w:tcBorders>
                                    <w:bottom w:val="nil"/>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4.1</w:t>
                                  </w:r>
                                </w:p>
                              </w:tc>
                              <w:tc>
                                <w:tcPr>
                                  <w:tcW w:w="850" w:type="dxa"/>
                                  <w:tcBorders>
                                    <w:bottom w:val="nil"/>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3.6</w:t>
                                  </w:r>
                                </w:p>
                              </w:tc>
                            </w:tr>
                            <w:tr w:rsidR="00502FAF" w:rsidRPr="00E70016" w:rsidTr="00361FA9">
                              <w:trPr>
                                <w:jc w:val="center"/>
                              </w:trPr>
                              <w:tc>
                                <w:tcPr>
                                  <w:tcW w:w="3515" w:type="dxa"/>
                                  <w:tcBorders>
                                    <w:top w:val="nil"/>
                                    <w:bottom w:val="nil"/>
                                  </w:tcBorders>
                                  <w:shd w:val="clear" w:color="auto" w:fill="FFFFFF"/>
                                </w:tcPr>
                                <w:p w:rsidR="00502FAF" w:rsidRPr="00E70016" w:rsidRDefault="00502FAF" w:rsidP="00361FA9">
                                  <w:pPr>
                                    <w:pStyle w:val="Tabletext"/>
                                    <w:ind w:left="227" w:hanging="227"/>
                                    <w:rPr>
                                      <w:rFonts w:eastAsiaTheme="minorEastAsia"/>
                                      <w:lang w:eastAsia="en-AU"/>
                                    </w:rPr>
                                  </w:pPr>
                                  <w:r w:rsidRPr="00E70016">
                                    <w:rPr>
                                      <w:rFonts w:eastAsiaTheme="minorEastAsia"/>
                                      <w:lang w:eastAsia="en-AU"/>
                                    </w:rPr>
                                    <w:t>Employment</w:t>
                                  </w:r>
                                </w:p>
                              </w:tc>
                              <w:tc>
                                <w:tcPr>
                                  <w:tcW w:w="850" w:type="dxa"/>
                                  <w:tcBorders>
                                    <w:top w:val="nil"/>
                                    <w:bottom w:val="nil"/>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1.5</w:t>
                                  </w:r>
                                </w:p>
                              </w:tc>
                              <w:tc>
                                <w:tcPr>
                                  <w:tcW w:w="850" w:type="dxa"/>
                                  <w:tcBorders>
                                    <w:top w:val="nil"/>
                                    <w:bottom w:val="nil"/>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2.1</w:t>
                                  </w:r>
                                </w:p>
                              </w:tc>
                              <w:tc>
                                <w:tcPr>
                                  <w:tcW w:w="850" w:type="dxa"/>
                                  <w:tcBorders>
                                    <w:top w:val="nil"/>
                                    <w:bottom w:val="nil"/>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2.7</w:t>
                                  </w:r>
                                </w:p>
                              </w:tc>
                              <w:tc>
                                <w:tcPr>
                                  <w:tcW w:w="850" w:type="dxa"/>
                                  <w:tcBorders>
                                    <w:top w:val="nil"/>
                                    <w:bottom w:val="nil"/>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2.9</w:t>
                                  </w:r>
                                </w:p>
                              </w:tc>
                              <w:tc>
                                <w:tcPr>
                                  <w:tcW w:w="850" w:type="dxa"/>
                                  <w:tcBorders>
                                    <w:top w:val="nil"/>
                                    <w:bottom w:val="nil"/>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1.5</w:t>
                                  </w:r>
                                </w:p>
                              </w:tc>
                            </w:tr>
                            <w:tr w:rsidR="00502FAF" w:rsidRPr="00E70016" w:rsidTr="00361FA9">
                              <w:trPr>
                                <w:jc w:val="center"/>
                              </w:trPr>
                              <w:tc>
                                <w:tcPr>
                                  <w:tcW w:w="3515" w:type="dxa"/>
                                  <w:tcBorders>
                                    <w:top w:val="nil"/>
                                    <w:bottom w:val="single" w:sz="12" w:space="0" w:color="auto"/>
                                  </w:tcBorders>
                                  <w:shd w:val="clear" w:color="auto" w:fill="FFFFFF"/>
                                </w:tcPr>
                                <w:p w:rsidR="00502FAF" w:rsidRPr="00E70016" w:rsidRDefault="00502FAF" w:rsidP="00361FA9">
                                  <w:pPr>
                                    <w:pStyle w:val="Tabletext"/>
                                    <w:ind w:left="227" w:hanging="227"/>
                                    <w:rPr>
                                      <w:rFonts w:eastAsiaTheme="minorEastAsia"/>
                                      <w:lang w:eastAsia="en-AU"/>
                                    </w:rPr>
                                  </w:pPr>
                                  <w:r w:rsidRPr="00E70016">
                                    <w:rPr>
                                      <w:rFonts w:eastAsiaTheme="minorEastAsia"/>
                                      <w:lang w:eastAsia="en-AU"/>
                                    </w:rPr>
                                    <w:t>Population</w:t>
                                  </w:r>
                                </w:p>
                              </w:tc>
                              <w:tc>
                                <w:tcPr>
                                  <w:tcW w:w="850" w:type="dxa"/>
                                  <w:tcBorders>
                                    <w:top w:val="nil"/>
                                    <w:bottom w:val="single" w:sz="12" w:space="0" w:color="auto"/>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1.1</w:t>
                                  </w:r>
                                </w:p>
                              </w:tc>
                              <w:tc>
                                <w:tcPr>
                                  <w:tcW w:w="850" w:type="dxa"/>
                                  <w:tcBorders>
                                    <w:top w:val="nil"/>
                                    <w:bottom w:val="single" w:sz="12" w:space="0" w:color="auto"/>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1.5</w:t>
                                  </w:r>
                                </w:p>
                              </w:tc>
                              <w:tc>
                                <w:tcPr>
                                  <w:tcW w:w="850" w:type="dxa"/>
                                  <w:tcBorders>
                                    <w:top w:val="nil"/>
                                    <w:bottom w:val="single" w:sz="12" w:space="0" w:color="auto"/>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2.2</w:t>
                                  </w:r>
                                </w:p>
                              </w:tc>
                              <w:tc>
                                <w:tcPr>
                                  <w:tcW w:w="850" w:type="dxa"/>
                                  <w:tcBorders>
                                    <w:top w:val="nil"/>
                                    <w:bottom w:val="single" w:sz="12" w:space="0" w:color="auto"/>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2.2</w:t>
                                  </w:r>
                                </w:p>
                              </w:tc>
                              <w:tc>
                                <w:tcPr>
                                  <w:tcW w:w="850" w:type="dxa"/>
                                  <w:tcBorders>
                                    <w:top w:val="nil"/>
                                    <w:bottom w:val="single" w:sz="12" w:space="0" w:color="auto"/>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0.8</w:t>
                                  </w:r>
                                </w:p>
                              </w:tc>
                            </w:tr>
                          </w:tbl>
                          <w:p w:rsidR="00502FAF" w:rsidRDefault="00502FAF" w:rsidP="00361FA9">
                            <w:pPr>
                              <w:pStyle w:val="Source"/>
                              <w:ind w:left="57" w:right="57"/>
                            </w:pPr>
                            <w:r w:rsidRPr="00C235A4">
                              <w:rPr>
                                <w:rFonts w:eastAsiaTheme="minorHAnsi"/>
                              </w:rPr>
                              <w:t>Source: Australian Bureau of Statistics</w:t>
                            </w:r>
                            <w:r>
                              <w:rPr>
                                <w:rFonts w:eastAsiaTheme="minorHAnsi"/>
                              </w:rPr>
                              <w:t>;</w:t>
                            </w:r>
                            <w:r w:rsidRPr="006968A7">
                              <w:rPr>
                                <w:rFonts w:eastAsiaTheme="minorHAnsi"/>
                              </w:rPr>
                              <w:t xml:space="preserve"> </w:t>
                            </w:r>
                            <w:r>
                              <w:rPr>
                                <w:rFonts w:eastAsiaTheme="minorHAnsi"/>
                              </w:rPr>
                              <w:t>Department of Treasury and Finance</w:t>
                            </w:r>
                          </w:p>
                        </w:txbxContent>
                      </wps:txbx>
                      <wps:bodyPr rot="0" vert="horz" wrap="square" lIns="0" tIns="0" rIns="0" bIns="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81.45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" filled="f" stroked="f">
                <v:textbox inset="0,0,0,0">
                  <w:txbxContent>
                    <w:p w:rsidR="00502FAF" w:rsidRPr="00E70016" w:rsidRDefault="00502FAF" w:rsidP="00361FA9">
                      <w:pPr>
                        <w:pStyle w:val="million"/>
                        <w:rPr>
                          <w:rFonts w:ascii="Times New Roman" w:hAnsi="Times New Roman"/>
                          <w:sz w:val="20"/>
                          <w:lang w:eastAsia="en-AU"/>
                        </w:rPr>
                      </w:pPr>
                      <w:r>
                        <w:rPr>
                          <w:rFonts w:eastAsiaTheme="minorHAnsi"/>
                        </w:rPr>
                        <w:t>(per cent)</w:t>
                      </w:r>
                    </w:p>
                    <w:tbl>
                      <w:tblPr>
                        <w:tblW w:w="7541" w:type="dxa"/>
                        <w:jc w:val="center"/>
                        <w:tblLayout w:type="fixed"/>
                        <w:tblCellMar>
                          <w:left w:w="45" w:type="dxa"/>
                          <w:right w:w="45" w:type="dxa"/>
                        </w:tblCellMar>
                        <w:tblLook w:val="0000" w:firstRow="0" w:lastRow="0" w:firstColumn="0" w:lastColumn="0" w:noHBand="0" w:noVBand="0"/>
                      </w:tblPr>
                      <w:tblGrid>
                        <w:gridCol w:w="3407"/>
                        <w:gridCol w:w="826"/>
                        <w:gridCol w:w="827"/>
                        <w:gridCol w:w="827"/>
                        <w:gridCol w:w="827"/>
                        <w:gridCol w:w="827"/>
                      </w:tblGrid>
                      <w:tr w:rsidR="00502FAF" w:rsidRPr="00E70016" w:rsidTr="00361FA9">
                        <w:trPr>
                          <w:jc w:val="center"/>
                        </w:trPr>
                        <w:tc>
                          <w:tcPr>
                            <w:tcW w:w="3515" w:type="dxa"/>
                            <w:tcBorders>
                              <w:bottom w:val="nil"/>
                            </w:tcBorders>
                            <w:shd w:val="solid" w:color="000000" w:fill="auto"/>
                          </w:tcPr>
                          <w:p w:rsidR="00502FAF" w:rsidRPr="00E70016" w:rsidRDefault="00502FAF" w:rsidP="00361FA9">
                            <w:pPr>
                              <w:autoSpaceDE w:val="0"/>
                              <w:autoSpaceDN w:val="0"/>
                              <w:adjustRightInd w:val="0"/>
                              <w:spacing w:after="0"/>
                              <w:rPr>
                                <w:rFonts w:ascii="Calibri" w:eastAsiaTheme="minorEastAsia" w:hAnsi="Calibri" w:cs="Calibri"/>
                                <w:i/>
                                <w:iCs/>
                                <w:color w:val="FFFFFF"/>
                                <w:sz w:val="19"/>
                                <w:szCs w:val="19"/>
                                <w:lang w:eastAsia="en-AU"/>
                              </w:rPr>
                            </w:pPr>
                            <w:r w:rsidRPr="00E70016">
                              <w:rPr>
                                <w:rFonts w:ascii="Calibri" w:eastAsiaTheme="minorEastAsia" w:hAnsi="Calibri" w:cs="Calibri"/>
                                <w:i/>
                                <w:iCs/>
                                <w:color w:val="FFFFFF"/>
                                <w:sz w:val="19"/>
                                <w:szCs w:val="19"/>
                                <w:lang w:eastAsia="en-AU"/>
                              </w:rPr>
                              <w:t xml:space="preserve"> </w:t>
                            </w:r>
                          </w:p>
                        </w:tc>
                        <w:tc>
                          <w:tcPr>
                            <w:tcW w:w="850" w:type="dxa"/>
                            <w:tcBorders>
                              <w:bottom w:val="nil"/>
                            </w:tcBorders>
                            <w:shd w:val="solid" w:color="000000" w:fill="auto"/>
                          </w:tcPr>
                          <w:p w:rsidR="00502FAF" w:rsidRPr="00E70016" w:rsidRDefault="00502FA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E70016">
                              <w:rPr>
                                <w:rFonts w:ascii="Calibri" w:eastAsiaTheme="minorEastAsia" w:hAnsi="Calibri" w:cs="Calibri"/>
                                <w:i/>
                                <w:iCs/>
                                <w:color w:val="FFFFFF"/>
                                <w:sz w:val="19"/>
                                <w:szCs w:val="19"/>
                                <w:lang w:eastAsia="en-AU"/>
                              </w:rPr>
                              <w:t>NSW</w:t>
                            </w:r>
                          </w:p>
                        </w:tc>
                        <w:tc>
                          <w:tcPr>
                            <w:tcW w:w="850" w:type="dxa"/>
                            <w:tcBorders>
                              <w:bottom w:val="nil"/>
                            </w:tcBorders>
                            <w:shd w:val="solid" w:color="000000" w:fill="auto"/>
                          </w:tcPr>
                          <w:p w:rsidR="00502FAF" w:rsidRPr="00E70016" w:rsidRDefault="00502FA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E70016">
                              <w:rPr>
                                <w:rFonts w:ascii="Calibri" w:eastAsiaTheme="minorEastAsia" w:hAnsi="Calibri" w:cs="Calibri"/>
                                <w:i/>
                                <w:iCs/>
                                <w:color w:val="FFFFFF"/>
                                <w:sz w:val="19"/>
                                <w:szCs w:val="19"/>
                                <w:lang w:eastAsia="en-AU"/>
                              </w:rPr>
                              <w:t>Vic</w:t>
                            </w:r>
                          </w:p>
                        </w:tc>
                        <w:tc>
                          <w:tcPr>
                            <w:tcW w:w="850" w:type="dxa"/>
                            <w:tcBorders>
                              <w:bottom w:val="nil"/>
                            </w:tcBorders>
                            <w:shd w:val="solid" w:color="000000" w:fill="auto"/>
                          </w:tcPr>
                          <w:p w:rsidR="00502FAF" w:rsidRPr="00E70016" w:rsidRDefault="00502FA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E70016">
                              <w:rPr>
                                <w:rFonts w:ascii="Calibri" w:eastAsiaTheme="minorEastAsia" w:hAnsi="Calibri" w:cs="Calibri"/>
                                <w:i/>
                                <w:iCs/>
                                <w:color w:val="FFFFFF"/>
                                <w:sz w:val="19"/>
                                <w:szCs w:val="19"/>
                                <w:lang w:eastAsia="en-AU"/>
                              </w:rPr>
                              <w:t>Qld</w:t>
                            </w:r>
                          </w:p>
                        </w:tc>
                        <w:tc>
                          <w:tcPr>
                            <w:tcW w:w="850" w:type="dxa"/>
                            <w:tcBorders>
                              <w:bottom w:val="nil"/>
                            </w:tcBorders>
                            <w:shd w:val="solid" w:color="000000" w:fill="auto"/>
                          </w:tcPr>
                          <w:p w:rsidR="00502FAF" w:rsidRPr="00E70016" w:rsidRDefault="00502FA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E70016">
                              <w:rPr>
                                <w:rFonts w:ascii="Calibri" w:eastAsiaTheme="minorEastAsia" w:hAnsi="Calibri" w:cs="Calibri"/>
                                <w:i/>
                                <w:iCs/>
                                <w:color w:val="FFFFFF"/>
                                <w:sz w:val="19"/>
                                <w:szCs w:val="19"/>
                                <w:lang w:eastAsia="en-AU"/>
                              </w:rPr>
                              <w:t>WA</w:t>
                            </w:r>
                          </w:p>
                        </w:tc>
                        <w:tc>
                          <w:tcPr>
                            <w:tcW w:w="850" w:type="dxa"/>
                            <w:tcBorders>
                              <w:bottom w:val="nil"/>
                            </w:tcBorders>
                            <w:shd w:val="solid" w:color="000000" w:fill="auto"/>
                          </w:tcPr>
                          <w:p w:rsidR="00502FAF" w:rsidRPr="00E70016" w:rsidRDefault="00502FA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E70016">
                              <w:rPr>
                                <w:rFonts w:ascii="Calibri" w:eastAsiaTheme="minorEastAsia" w:hAnsi="Calibri" w:cs="Calibri"/>
                                <w:i/>
                                <w:iCs/>
                                <w:color w:val="FFFFFF"/>
                                <w:sz w:val="19"/>
                                <w:szCs w:val="19"/>
                                <w:lang w:eastAsia="en-AU"/>
                              </w:rPr>
                              <w:t>SA</w:t>
                            </w:r>
                          </w:p>
                        </w:tc>
                      </w:tr>
                      <w:tr w:rsidR="00502FAF" w:rsidRPr="00E70016" w:rsidTr="00361FA9">
                        <w:trPr>
                          <w:jc w:val="center"/>
                        </w:trPr>
                        <w:tc>
                          <w:tcPr>
                            <w:tcW w:w="3515" w:type="dxa"/>
                            <w:tcBorders>
                              <w:bottom w:val="nil"/>
                            </w:tcBorders>
                            <w:shd w:val="clear" w:color="auto" w:fill="FFFFFF"/>
                          </w:tcPr>
                          <w:p w:rsidR="00502FAF" w:rsidRPr="00E70016" w:rsidRDefault="00502FAF" w:rsidP="00361FA9">
                            <w:pPr>
                              <w:pStyle w:val="Tabletext"/>
                              <w:ind w:left="227" w:hanging="227"/>
                              <w:rPr>
                                <w:rFonts w:eastAsiaTheme="minorEastAsia"/>
                                <w:lang w:eastAsia="en-AU"/>
                              </w:rPr>
                            </w:pPr>
                            <w:r w:rsidRPr="00E70016">
                              <w:rPr>
                                <w:rFonts w:eastAsiaTheme="minorEastAsia"/>
                                <w:lang w:eastAsia="en-AU"/>
                              </w:rPr>
                              <w:t>Wage Price Index</w:t>
                            </w:r>
                          </w:p>
                        </w:tc>
                        <w:tc>
                          <w:tcPr>
                            <w:tcW w:w="850" w:type="dxa"/>
                            <w:tcBorders>
                              <w:bottom w:val="nil"/>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3.6</w:t>
                            </w:r>
                          </w:p>
                        </w:tc>
                        <w:tc>
                          <w:tcPr>
                            <w:tcW w:w="850" w:type="dxa"/>
                            <w:tcBorders>
                              <w:bottom w:val="nil"/>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3.6</w:t>
                            </w:r>
                          </w:p>
                        </w:tc>
                        <w:tc>
                          <w:tcPr>
                            <w:tcW w:w="850" w:type="dxa"/>
                            <w:tcBorders>
                              <w:bottom w:val="nil"/>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3.7</w:t>
                            </w:r>
                          </w:p>
                        </w:tc>
                        <w:tc>
                          <w:tcPr>
                            <w:tcW w:w="850" w:type="dxa"/>
                            <w:tcBorders>
                              <w:bottom w:val="nil"/>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4.1</w:t>
                            </w:r>
                          </w:p>
                        </w:tc>
                        <w:tc>
                          <w:tcPr>
                            <w:tcW w:w="850" w:type="dxa"/>
                            <w:tcBorders>
                              <w:bottom w:val="nil"/>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3.6</w:t>
                            </w:r>
                          </w:p>
                        </w:tc>
                      </w:tr>
                      <w:tr w:rsidR="00502FAF" w:rsidRPr="00E70016" w:rsidTr="00361FA9">
                        <w:trPr>
                          <w:jc w:val="center"/>
                        </w:trPr>
                        <w:tc>
                          <w:tcPr>
                            <w:tcW w:w="3515" w:type="dxa"/>
                            <w:tcBorders>
                              <w:top w:val="nil"/>
                              <w:bottom w:val="nil"/>
                            </w:tcBorders>
                            <w:shd w:val="clear" w:color="auto" w:fill="FFFFFF"/>
                          </w:tcPr>
                          <w:p w:rsidR="00502FAF" w:rsidRPr="00E70016" w:rsidRDefault="00502FAF" w:rsidP="00361FA9">
                            <w:pPr>
                              <w:pStyle w:val="Tabletext"/>
                              <w:ind w:left="227" w:hanging="227"/>
                              <w:rPr>
                                <w:rFonts w:eastAsiaTheme="minorEastAsia"/>
                                <w:lang w:eastAsia="en-AU"/>
                              </w:rPr>
                            </w:pPr>
                            <w:r w:rsidRPr="00E70016">
                              <w:rPr>
                                <w:rFonts w:eastAsiaTheme="minorEastAsia"/>
                                <w:lang w:eastAsia="en-AU"/>
                              </w:rPr>
                              <w:t>Employment</w:t>
                            </w:r>
                          </w:p>
                        </w:tc>
                        <w:tc>
                          <w:tcPr>
                            <w:tcW w:w="850" w:type="dxa"/>
                            <w:tcBorders>
                              <w:top w:val="nil"/>
                              <w:bottom w:val="nil"/>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1.5</w:t>
                            </w:r>
                          </w:p>
                        </w:tc>
                        <w:tc>
                          <w:tcPr>
                            <w:tcW w:w="850" w:type="dxa"/>
                            <w:tcBorders>
                              <w:top w:val="nil"/>
                              <w:bottom w:val="nil"/>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2.1</w:t>
                            </w:r>
                          </w:p>
                        </w:tc>
                        <w:tc>
                          <w:tcPr>
                            <w:tcW w:w="850" w:type="dxa"/>
                            <w:tcBorders>
                              <w:top w:val="nil"/>
                              <w:bottom w:val="nil"/>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2.7</w:t>
                            </w:r>
                          </w:p>
                        </w:tc>
                        <w:tc>
                          <w:tcPr>
                            <w:tcW w:w="850" w:type="dxa"/>
                            <w:tcBorders>
                              <w:top w:val="nil"/>
                              <w:bottom w:val="nil"/>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2.9</w:t>
                            </w:r>
                          </w:p>
                        </w:tc>
                        <w:tc>
                          <w:tcPr>
                            <w:tcW w:w="850" w:type="dxa"/>
                            <w:tcBorders>
                              <w:top w:val="nil"/>
                              <w:bottom w:val="nil"/>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1.5</w:t>
                            </w:r>
                          </w:p>
                        </w:tc>
                      </w:tr>
                      <w:tr w:rsidR="00502FAF" w:rsidRPr="00E70016" w:rsidTr="00361FA9">
                        <w:trPr>
                          <w:jc w:val="center"/>
                        </w:trPr>
                        <w:tc>
                          <w:tcPr>
                            <w:tcW w:w="3515" w:type="dxa"/>
                            <w:tcBorders>
                              <w:top w:val="nil"/>
                              <w:bottom w:val="single" w:sz="12" w:space="0" w:color="auto"/>
                            </w:tcBorders>
                            <w:shd w:val="clear" w:color="auto" w:fill="FFFFFF"/>
                          </w:tcPr>
                          <w:p w:rsidR="00502FAF" w:rsidRPr="00E70016" w:rsidRDefault="00502FAF" w:rsidP="00361FA9">
                            <w:pPr>
                              <w:pStyle w:val="Tabletext"/>
                              <w:ind w:left="227" w:hanging="227"/>
                              <w:rPr>
                                <w:rFonts w:eastAsiaTheme="minorEastAsia"/>
                                <w:lang w:eastAsia="en-AU"/>
                              </w:rPr>
                            </w:pPr>
                            <w:r w:rsidRPr="00E70016">
                              <w:rPr>
                                <w:rFonts w:eastAsiaTheme="minorEastAsia"/>
                                <w:lang w:eastAsia="en-AU"/>
                              </w:rPr>
                              <w:t>Population</w:t>
                            </w:r>
                          </w:p>
                        </w:tc>
                        <w:tc>
                          <w:tcPr>
                            <w:tcW w:w="850" w:type="dxa"/>
                            <w:tcBorders>
                              <w:top w:val="nil"/>
                              <w:bottom w:val="single" w:sz="12" w:space="0" w:color="auto"/>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1.1</w:t>
                            </w:r>
                          </w:p>
                        </w:tc>
                        <w:tc>
                          <w:tcPr>
                            <w:tcW w:w="850" w:type="dxa"/>
                            <w:tcBorders>
                              <w:top w:val="nil"/>
                              <w:bottom w:val="single" w:sz="12" w:space="0" w:color="auto"/>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1.5</w:t>
                            </w:r>
                          </w:p>
                        </w:tc>
                        <w:tc>
                          <w:tcPr>
                            <w:tcW w:w="850" w:type="dxa"/>
                            <w:tcBorders>
                              <w:top w:val="nil"/>
                              <w:bottom w:val="single" w:sz="12" w:space="0" w:color="auto"/>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2.2</w:t>
                            </w:r>
                          </w:p>
                        </w:tc>
                        <w:tc>
                          <w:tcPr>
                            <w:tcW w:w="850" w:type="dxa"/>
                            <w:tcBorders>
                              <w:top w:val="nil"/>
                              <w:bottom w:val="single" w:sz="12" w:space="0" w:color="auto"/>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2.2</w:t>
                            </w:r>
                          </w:p>
                        </w:tc>
                        <w:tc>
                          <w:tcPr>
                            <w:tcW w:w="850" w:type="dxa"/>
                            <w:tcBorders>
                              <w:top w:val="nil"/>
                              <w:bottom w:val="single" w:sz="12" w:space="0" w:color="auto"/>
                            </w:tcBorders>
                            <w:shd w:val="clear" w:color="auto" w:fill="FFFFFF"/>
                          </w:tcPr>
                          <w:p w:rsidR="00502FAF" w:rsidRPr="00E70016" w:rsidRDefault="00502FAF" w:rsidP="00361FA9">
                            <w:pPr>
                              <w:autoSpaceDE w:val="0"/>
                              <w:autoSpaceDN w:val="0"/>
                              <w:adjustRightInd w:val="0"/>
                              <w:spacing w:after="0"/>
                              <w:jc w:val="right"/>
                              <w:rPr>
                                <w:rFonts w:ascii="Calibri" w:eastAsiaTheme="minorEastAsia" w:hAnsi="Calibri" w:cs="Calibri"/>
                                <w:color w:val="000000"/>
                                <w:sz w:val="19"/>
                                <w:szCs w:val="19"/>
                                <w:lang w:eastAsia="en-AU"/>
                              </w:rPr>
                            </w:pPr>
                            <w:r w:rsidRPr="00E70016">
                              <w:rPr>
                                <w:rFonts w:ascii="Calibri" w:eastAsiaTheme="minorEastAsia" w:hAnsi="Calibri" w:cs="Calibri"/>
                                <w:color w:val="000000"/>
                                <w:sz w:val="19"/>
                                <w:szCs w:val="19"/>
                                <w:lang w:eastAsia="en-AU"/>
                              </w:rPr>
                              <w:t>0.8</w:t>
                            </w:r>
                          </w:p>
                        </w:tc>
                      </w:tr>
                    </w:tbl>
                    <w:p w:rsidR="00502FAF" w:rsidRDefault="00502FAF" w:rsidP="00361FA9">
                      <w:pPr>
                        <w:pStyle w:val="Source"/>
                        <w:ind w:left="57" w:right="57"/>
                      </w:pPr>
                      <w:r w:rsidRPr="00C235A4">
                        <w:rPr>
                          <w:rFonts w:eastAsiaTheme="minorHAnsi"/>
                        </w:rPr>
                        <w:t>Source: Australian Bureau of Statistics</w:t>
                      </w:r>
                      <w:r>
                        <w:rPr>
                          <w:rFonts w:eastAsiaTheme="minorHAnsi"/>
                        </w:rPr>
                        <w:t>;</w:t>
                      </w:r>
                      <w:r w:rsidRPr="006968A7">
                        <w:rPr>
                          <w:rFonts w:eastAsiaTheme="minorHAnsi"/>
                        </w:rPr>
                        <w:t xml:space="preserve"> </w:t>
                      </w:r>
                      <w:r>
                        <w:rPr>
                          <w:rFonts w:eastAsiaTheme="minorHAnsi"/>
                        </w:rPr>
                        <w:t>Department of Treasury and Finance</w:t>
                      </w:r>
                    </w:p>
                  </w:txbxContent>
                </v:textbox>
                <w10:anchorlock/>
              </v:shape>
            </w:pict>
          </mc:Fallback>
        </mc:AlternateContent>
      </w:r>
    </w:p>
    <w:p w:rsidR="002C39A3" w:rsidRPr="000B1926" w:rsidRDefault="002C39A3" w:rsidP="00361FA9">
      <w:pPr>
        <w:pStyle w:val="HighlightBoxText"/>
        <w:rPr>
          <w:rFonts w:eastAsiaTheme="minorHAnsi"/>
        </w:rPr>
      </w:pPr>
      <w:r w:rsidRPr="000B1926">
        <w:rPr>
          <w:rFonts w:eastAsiaTheme="minorHAnsi"/>
        </w:rPr>
        <w:t>More recently, as the mining boom shifted to the production phase, lower investment ha</w:t>
      </w:r>
      <w:r>
        <w:rPr>
          <w:rFonts w:eastAsiaTheme="minorHAnsi"/>
        </w:rPr>
        <w:t>s</w:t>
      </w:r>
      <w:r w:rsidRPr="000B1926">
        <w:rPr>
          <w:rFonts w:eastAsiaTheme="minorHAnsi"/>
        </w:rPr>
        <w:t xml:space="preserve"> seen a reduction </w:t>
      </w:r>
      <w:r>
        <w:rPr>
          <w:rFonts w:eastAsiaTheme="minorHAnsi"/>
        </w:rPr>
        <w:t>in</w:t>
      </w:r>
      <w:r w:rsidRPr="000B1926">
        <w:rPr>
          <w:rFonts w:eastAsiaTheme="minorHAnsi"/>
        </w:rPr>
        <w:t xml:space="preserve"> </w:t>
      </w:r>
      <w:r>
        <w:rPr>
          <w:rFonts w:eastAsiaTheme="minorHAnsi"/>
        </w:rPr>
        <w:t xml:space="preserve">labour </w:t>
      </w:r>
      <w:r w:rsidRPr="000B1926">
        <w:rPr>
          <w:rFonts w:eastAsiaTheme="minorHAnsi"/>
        </w:rPr>
        <w:t xml:space="preserve">demand </w:t>
      </w:r>
      <w:r>
        <w:rPr>
          <w:rFonts w:eastAsiaTheme="minorHAnsi"/>
        </w:rPr>
        <w:t xml:space="preserve">and wages growth </w:t>
      </w:r>
      <w:r w:rsidRPr="000B1926">
        <w:rPr>
          <w:rFonts w:eastAsiaTheme="minorHAnsi"/>
        </w:rPr>
        <w:t xml:space="preserve">in the mining states. This has weighed on </w:t>
      </w:r>
      <w:r w:rsidRPr="008A1A75">
        <w:rPr>
          <w:rFonts w:eastAsiaTheme="minorHAnsi"/>
        </w:rPr>
        <w:t>payroll tax growth. There has</w:t>
      </w:r>
      <w:r w:rsidRPr="000B1926">
        <w:rPr>
          <w:rFonts w:eastAsiaTheme="minorHAnsi"/>
        </w:rPr>
        <w:t xml:space="preserve"> also been a significant reduction in net overseas migration to </w:t>
      </w:r>
      <w:r>
        <w:rPr>
          <w:rFonts w:eastAsiaTheme="minorHAnsi"/>
        </w:rPr>
        <w:t xml:space="preserve">both </w:t>
      </w:r>
      <w:r w:rsidRPr="000B1926">
        <w:rPr>
          <w:rFonts w:eastAsiaTheme="minorHAnsi"/>
        </w:rPr>
        <w:t>Western Australia and Queensland, resulting in slower population growth, a key driver for revenue lines. Western Australia</w:t>
      </w:r>
      <w:r w:rsidR="0097550F">
        <w:rPr>
          <w:rFonts w:eastAsiaTheme="minorHAnsi"/>
        </w:rPr>
        <w:t>’</w:t>
      </w:r>
      <w:r w:rsidRPr="000B1926">
        <w:rPr>
          <w:rFonts w:eastAsiaTheme="minorHAnsi"/>
        </w:rPr>
        <w:t xml:space="preserve">s property market has cooled notably, with residential property prices in Perth falling </w:t>
      </w:r>
      <w:r>
        <w:rPr>
          <w:rFonts w:eastAsiaTheme="minorHAnsi"/>
        </w:rPr>
        <w:t xml:space="preserve">by </w:t>
      </w:r>
      <w:r w:rsidRPr="000B1926">
        <w:rPr>
          <w:rFonts w:eastAsiaTheme="minorHAnsi"/>
        </w:rPr>
        <w:t>2.9</w:t>
      </w:r>
      <w:r>
        <w:rPr>
          <w:rFonts w:eastAsiaTheme="minorHAnsi"/>
        </w:rPr>
        <w:t> per </w:t>
      </w:r>
      <w:r w:rsidRPr="000B1926">
        <w:rPr>
          <w:rFonts w:eastAsiaTheme="minorHAnsi"/>
        </w:rPr>
        <w:t>cent in the year to December 2015. This has pl</w:t>
      </w:r>
      <w:r>
        <w:rPr>
          <w:rFonts w:eastAsiaTheme="minorHAnsi"/>
        </w:rPr>
        <w:t>aced downward</w:t>
      </w:r>
      <w:r w:rsidRPr="000B1926">
        <w:rPr>
          <w:rFonts w:eastAsiaTheme="minorHAnsi"/>
        </w:rPr>
        <w:t xml:space="preserve"> pressure on collections from land tax and </w:t>
      </w:r>
      <w:r>
        <w:rPr>
          <w:rFonts w:eastAsiaTheme="minorHAnsi"/>
        </w:rPr>
        <w:t>land transfer</w:t>
      </w:r>
      <w:r w:rsidRPr="000B1926">
        <w:rPr>
          <w:rFonts w:eastAsiaTheme="minorHAnsi"/>
        </w:rPr>
        <w:t xml:space="preserve"> duty.</w:t>
      </w:r>
    </w:p>
    <w:p w:rsidR="002C39A3" w:rsidRPr="000B1926" w:rsidRDefault="002C39A3" w:rsidP="00361FA9">
      <w:pPr>
        <w:pStyle w:val="HighlightBoxText"/>
        <w:rPr>
          <w:rFonts w:eastAsiaTheme="minorHAnsi"/>
        </w:rPr>
      </w:pPr>
      <w:r w:rsidRPr="000B1926">
        <w:rPr>
          <w:rFonts w:eastAsiaTheme="minorHAnsi"/>
        </w:rPr>
        <w:t>In contrast, New South</w:t>
      </w:r>
      <w:r>
        <w:rPr>
          <w:rFonts w:eastAsiaTheme="minorHAnsi"/>
        </w:rPr>
        <w:t xml:space="preserve"> Wales and Victoria have benefi</w:t>
      </w:r>
      <w:r w:rsidRPr="000B1926">
        <w:rPr>
          <w:rFonts w:eastAsiaTheme="minorHAnsi"/>
        </w:rPr>
        <w:t xml:space="preserve">ted from </w:t>
      </w:r>
      <w:r>
        <w:rPr>
          <w:rFonts w:eastAsiaTheme="minorHAnsi"/>
        </w:rPr>
        <w:t>the transition to broader drivers of economic growth</w:t>
      </w:r>
      <w:r w:rsidRPr="000B1926">
        <w:rPr>
          <w:rFonts w:eastAsiaTheme="minorHAnsi"/>
        </w:rPr>
        <w:t xml:space="preserve">. </w:t>
      </w:r>
      <w:r>
        <w:rPr>
          <w:rFonts w:eastAsiaTheme="minorHAnsi"/>
        </w:rPr>
        <w:t>A</w:t>
      </w:r>
      <w:r w:rsidRPr="000B1926">
        <w:rPr>
          <w:rFonts w:eastAsiaTheme="minorHAnsi"/>
        </w:rPr>
        <w:t xml:space="preserve"> period of low interest rates have boosted household consumption and dwelling investment and helped fuel strong property markets in New South Wales and Victoria. Employment </w:t>
      </w:r>
      <w:r>
        <w:rPr>
          <w:rFonts w:eastAsiaTheme="minorHAnsi"/>
        </w:rPr>
        <w:t xml:space="preserve">and population </w:t>
      </w:r>
      <w:r w:rsidRPr="000B1926">
        <w:rPr>
          <w:rFonts w:eastAsiaTheme="minorHAnsi"/>
        </w:rPr>
        <w:t xml:space="preserve">growth in </w:t>
      </w:r>
      <w:r>
        <w:rPr>
          <w:rFonts w:eastAsiaTheme="minorHAnsi"/>
        </w:rPr>
        <w:t>these states have picked up recently</w:t>
      </w:r>
      <w:r w:rsidRPr="000B1926">
        <w:rPr>
          <w:rFonts w:eastAsiaTheme="minorHAnsi"/>
        </w:rPr>
        <w:t xml:space="preserve">. </w:t>
      </w:r>
    </w:p>
    <w:p w:rsidR="002C39A3" w:rsidRDefault="002C39A3" w:rsidP="00361FA9">
      <w:pPr>
        <w:pStyle w:val="Heading3"/>
        <w:rPr>
          <w:rFonts w:eastAsiaTheme="minorHAnsi"/>
        </w:rPr>
      </w:pPr>
      <w:r>
        <w:rPr>
          <w:rFonts w:eastAsiaTheme="minorHAnsi"/>
        </w:rPr>
        <w:t>Population</w:t>
      </w:r>
    </w:p>
    <w:p w:rsidR="002C39A3" w:rsidRPr="00220AC8" w:rsidRDefault="002C39A3" w:rsidP="00361FA9">
      <w:pPr>
        <w:rPr>
          <w:rFonts w:eastAsiaTheme="minorHAnsi"/>
        </w:rPr>
      </w:pPr>
      <w:r w:rsidRPr="008A1A75">
        <w:rPr>
          <w:rFonts w:eastAsiaTheme="minorHAnsi"/>
        </w:rPr>
        <w:t>Victoria</w:t>
      </w:r>
      <w:r w:rsidR="0097550F">
        <w:rPr>
          <w:rFonts w:eastAsiaTheme="minorHAnsi"/>
        </w:rPr>
        <w:t>’</w:t>
      </w:r>
      <w:r w:rsidRPr="008A1A75">
        <w:rPr>
          <w:rFonts w:eastAsiaTheme="minorHAnsi"/>
        </w:rPr>
        <w:t>s population is forecast to grow by 1.8 per cent in 2016-17, in line with growth in 2015-16. Victoria</w:t>
      </w:r>
      <w:r w:rsidR="0097550F">
        <w:rPr>
          <w:rFonts w:eastAsiaTheme="minorHAnsi"/>
        </w:rPr>
        <w:t>’</w:t>
      </w:r>
      <w:r w:rsidRPr="008A1A75">
        <w:rPr>
          <w:rFonts w:eastAsiaTheme="minorHAnsi"/>
        </w:rPr>
        <w:t>s population growth is being driven by high levels of both net overseas and net interstate migration. With estimated national population growth of 1.5 per cent in 2015-16, Victoria</w:t>
      </w:r>
      <w:r w:rsidR="0097550F">
        <w:rPr>
          <w:rFonts w:eastAsiaTheme="minorHAnsi"/>
        </w:rPr>
        <w:t>’</w:t>
      </w:r>
      <w:r w:rsidRPr="008A1A75">
        <w:rPr>
          <w:rFonts w:eastAsiaTheme="minorHAnsi"/>
        </w:rPr>
        <w:t>s population share is rising, which increases Victoria</w:t>
      </w:r>
      <w:r w:rsidR="0097550F">
        <w:rPr>
          <w:rFonts w:eastAsiaTheme="minorHAnsi"/>
        </w:rPr>
        <w:t>’</w:t>
      </w:r>
      <w:r w:rsidRPr="008A1A75">
        <w:rPr>
          <w:rFonts w:eastAsiaTheme="minorHAnsi"/>
        </w:rPr>
        <w:t>s share of the</w:t>
      </w:r>
      <w:r w:rsidRPr="004338EF">
        <w:rPr>
          <w:rFonts w:eastAsiaTheme="minorHAnsi"/>
        </w:rPr>
        <w:t xml:space="preserve"> national GST pool.</w:t>
      </w:r>
      <w:r w:rsidRPr="00220AC8">
        <w:rPr>
          <w:rFonts w:eastAsiaTheme="minorHAnsi"/>
        </w:rPr>
        <w:t xml:space="preserve"> </w:t>
      </w:r>
      <w:r>
        <w:rPr>
          <w:rFonts w:eastAsiaTheme="minorHAnsi"/>
        </w:rPr>
        <w:t>In contrast, a slowdown in net overseas migration to Western Australia and Queensland has reduced these states</w:t>
      </w:r>
      <w:r w:rsidR="0097550F">
        <w:rPr>
          <w:rFonts w:eastAsiaTheme="minorHAnsi"/>
        </w:rPr>
        <w:t>’</w:t>
      </w:r>
      <w:r>
        <w:rPr>
          <w:rFonts w:eastAsiaTheme="minorHAnsi"/>
        </w:rPr>
        <w:t xml:space="preserve"> share of the national population.</w:t>
      </w:r>
    </w:p>
    <w:p w:rsidR="002C39A3" w:rsidRDefault="002C39A3" w:rsidP="00361FA9">
      <w:pPr>
        <w:rPr>
          <w:rFonts w:eastAsiaTheme="minorHAnsi"/>
        </w:rPr>
      </w:pPr>
      <w:r w:rsidRPr="00220AC8">
        <w:rPr>
          <w:rFonts w:eastAsiaTheme="minorHAnsi"/>
        </w:rPr>
        <w:t>Chart 4.</w:t>
      </w:r>
      <w:r>
        <w:rPr>
          <w:rFonts w:eastAsiaTheme="minorHAnsi"/>
        </w:rPr>
        <w:t>2</w:t>
      </w:r>
      <w:r w:rsidRPr="00220AC8">
        <w:rPr>
          <w:rFonts w:eastAsiaTheme="minorHAnsi"/>
        </w:rPr>
        <w:t xml:space="preserve"> shows the expected percentage point contribution to growth in GST revenue from changes in the national pool, Victoria</w:t>
      </w:r>
      <w:r w:rsidR="0097550F">
        <w:rPr>
          <w:rFonts w:eastAsiaTheme="minorHAnsi"/>
        </w:rPr>
        <w:t>’</w:t>
      </w:r>
      <w:r w:rsidRPr="00220AC8">
        <w:rPr>
          <w:rFonts w:eastAsiaTheme="minorHAnsi"/>
        </w:rPr>
        <w:t>s relativity and population.</w:t>
      </w:r>
    </w:p>
    <w:p w:rsidR="002C39A3" w:rsidRDefault="002C39A3" w:rsidP="00361FA9">
      <w:pPr>
        <w:pStyle w:val="Chartheading"/>
        <w:rPr>
          <w:rFonts w:eastAsiaTheme="minorHAnsi"/>
        </w:rPr>
      </w:pPr>
      <w:r w:rsidRPr="00220AC8">
        <w:rPr>
          <w:rFonts w:eastAsiaTheme="minorHAnsi"/>
        </w:rPr>
        <w:t>Chart 4.</w:t>
      </w:r>
      <w:r>
        <w:rPr>
          <w:rFonts w:eastAsiaTheme="minorHAnsi"/>
        </w:rPr>
        <w:t>2:</w:t>
      </w:r>
      <w:r w:rsidRPr="00220AC8">
        <w:rPr>
          <w:rFonts w:eastAsiaTheme="minorHAnsi"/>
        </w:rPr>
        <w:t xml:space="preserve"> </w:t>
      </w:r>
      <w:r>
        <w:rPr>
          <w:rFonts w:eastAsiaTheme="minorHAnsi"/>
        </w:rPr>
        <w:tab/>
      </w:r>
      <w:r w:rsidRPr="00220AC8">
        <w:rPr>
          <w:rFonts w:eastAsiaTheme="minorHAnsi"/>
        </w:rPr>
        <w:t>Forecast contribution to growth in Victorian GST revenue</w:t>
      </w:r>
    </w:p>
    <w:p w:rsidR="002C39A3" w:rsidRDefault="00A854D5" w:rsidP="00361FA9">
      <w:pPr>
        <w:pStyle w:val="Source"/>
        <w:rPr>
          <w:rFonts w:eastAsiaTheme="minorHAnsi"/>
        </w:rPr>
      </w:pPr>
      <w:r>
        <w:rPr>
          <w:rFonts w:eastAsiaTheme="minorHAnsi"/>
        </w:rPr>
        <w:pict>
          <v:shape id="_x0000_i1026" type="#_x0000_t75" style="width:371.5pt;height:215.4pt">
            <v:imagedata r:id="rId58" o:title=""/>
          </v:shape>
        </w:pict>
      </w:r>
      <w:r w:rsidR="002C39A3" w:rsidRPr="00220AC8">
        <w:rPr>
          <w:rFonts w:eastAsiaTheme="minorHAnsi"/>
        </w:rPr>
        <w:t>Source: Department of Treasury and Finance</w:t>
      </w:r>
    </w:p>
    <w:p w:rsidR="002C39A3" w:rsidRDefault="002C39A3">
      <w:pPr>
        <w:spacing w:after="0"/>
        <w:rPr>
          <w:rFonts w:ascii="Calibri" w:eastAsiaTheme="minorHAnsi" w:hAnsi="Calibri"/>
          <w:b/>
          <w:kern w:val="28"/>
          <w:sz w:val="26"/>
          <w:szCs w:val="22"/>
        </w:rPr>
      </w:pPr>
      <w:r>
        <w:rPr>
          <w:rFonts w:eastAsiaTheme="minorHAnsi"/>
        </w:rPr>
        <w:br w:type="page"/>
      </w:r>
    </w:p>
    <w:p w:rsidR="002C39A3" w:rsidRDefault="002C39A3" w:rsidP="00361FA9">
      <w:pPr>
        <w:pStyle w:val="Heading2"/>
        <w:rPr>
          <w:rFonts w:eastAsiaTheme="minorHAnsi"/>
        </w:rPr>
      </w:pPr>
      <w:r>
        <w:rPr>
          <w:rFonts w:eastAsiaTheme="minorHAnsi"/>
        </w:rPr>
        <w:t>Specific purpose grants for on-passing</w:t>
      </w:r>
    </w:p>
    <w:p w:rsidR="002C39A3" w:rsidRDefault="002C39A3" w:rsidP="00361FA9">
      <w:pPr>
        <w:rPr>
          <w:rFonts w:eastAsiaTheme="minorHAnsi"/>
        </w:rPr>
      </w:pPr>
      <w:r>
        <w:rPr>
          <w:rFonts w:eastAsiaTheme="minorHAnsi"/>
        </w:rPr>
        <w:t xml:space="preserve">Table 4.6 summarises estimates of grants from the Commonwealth that are passed on to other entities. Growth in specific purpose </w:t>
      </w:r>
      <w:r w:rsidRPr="00F319C4">
        <w:rPr>
          <w:rFonts w:eastAsiaTheme="minorHAnsi"/>
        </w:rPr>
        <w:t>grants for on</w:t>
      </w:r>
      <w:r w:rsidRPr="00F319C4">
        <w:rPr>
          <w:rFonts w:eastAsiaTheme="minorHAnsi"/>
        </w:rPr>
        <w:noBreakHyphen/>
        <w:t>passing in 2016</w:t>
      </w:r>
      <w:r w:rsidRPr="00F319C4">
        <w:rPr>
          <w:rFonts w:eastAsiaTheme="minorHAnsi"/>
        </w:rPr>
        <w:noBreakHyphen/>
        <w:t>17 reflects growth in education funding for non-government schools and the timing of grants payments to local government.</w:t>
      </w:r>
    </w:p>
    <w:p w:rsidR="002C39A3" w:rsidRDefault="002C39A3" w:rsidP="00361FA9">
      <w:pPr>
        <w:pStyle w:val="Tableheading"/>
        <w:rPr>
          <w:rFonts w:eastAsiaTheme="minorHAnsi"/>
        </w:rPr>
      </w:pPr>
      <w:r>
        <w:rPr>
          <w:rFonts w:eastAsiaTheme="minorHAnsi"/>
        </w:rPr>
        <w:t xml:space="preserve">Table 4.6: </w:t>
      </w:r>
      <w:r>
        <w:rPr>
          <w:rFonts w:eastAsiaTheme="minorHAnsi"/>
        </w:rPr>
        <w:tab/>
        <w:t>Grants for on</w:t>
      </w:r>
      <w:r>
        <w:rPr>
          <w:rFonts w:eastAsiaTheme="minorHAnsi"/>
        </w:rPr>
        <w:noBreakHyphen/>
        <w:t>passing</w:t>
      </w:r>
    </w:p>
    <w:p w:rsidR="002C39A3" w:rsidRPr="00F3739F" w:rsidRDefault="002C39A3" w:rsidP="00361FA9">
      <w:pPr>
        <w:pStyle w:val="million"/>
        <w:rPr>
          <w:rFonts w:eastAsiaTheme="minorHAnsi"/>
          <w:highlight w:val="yellow"/>
        </w:rPr>
      </w:pPr>
      <w:r>
        <w:rPr>
          <w:rFonts w:eastAsiaTheme="minorHAnsi"/>
        </w:rPr>
        <w:t>($ million)</w:t>
      </w:r>
    </w:p>
    <w:tbl>
      <w:tblPr>
        <w:tblW w:w="7835" w:type="dxa"/>
        <w:tblInd w:w="78" w:type="dxa"/>
        <w:tblLayout w:type="fixed"/>
        <w:tblCellMar>
          <w:left w:w="45" w:type="dxa"/>
          <w:right w:w="45" w:type="dxa"/>
        </w:tblCellMar>
        <w:tblLook w:val="0000" w:firstRow="0" w:lastRow="0" w:firstColumn="0" w:lastColumn="0" w:noHBand="0" w:noVBand="0"/>
      </w:tblPr>
      <w:tblGrid>
        <w:gridCol w:w="5265"/>
        <w:gridCol w:w="850"/>
        <w:gridCol w:w="853"/>
        <w:gridCol w:w="859"/>
        <w:gridCol w:w="8"/>
      </w:tblGrid>
      <w:tr w:rsidR="00CC22BA" w:rsidRPr="00F3739F" w:rsidTr="00EA058F">
        <w:trPr>
          <w:gridAfter w:val="1"/>
          <w:wAfter w:w="8" w:type="dxa"/>
          <w:trHeight w:val="479"/>
        </w:trPr>
        <w:tc>
          <w:tcPr>
            <w:tcW w:w="5265" w:type="dxa"/>
            <w:tcBorders>
              <w:top w:val="single" w:sz="6" w:space="0" w:color="auto"/>
              <w:left w:val="single" w:sz="6" w:space="0" w:color="auto"/>
              <w:right w:val="nil"/>
            </w:tcBorders>
            <w:shd w:val="solid" w:color="000000" w:fill="auto"/>
          </w:tcPr>
          <w:p w:rsidR="00CC22BA" w:rsidRPr="00F3739F" w:rsidRDefault="00CC22BA" w:rsidP="00361FA9">
            <w:pPr>
              <w:autoSpaceDE w:val="0"/>
              <w:autoSpaceDN w:val="0"/>
              <w:adjustRightInd w:val="0"/>
              <w:spacing w:after="0"/>
              <w:jc w:val="right"/>
              <w:rPr>
                <w:rFonts w:ascii="Calibri" w:eastAsiaTheme="minorEastAsia" w:hAnsi="Calibri" w:cs="Calibri"/>
                <w:i/>
                <w:iCs/>
                <w:color w:val="FFFFFF"/>
                <w:sz w:val="19"/>
                <w:lang w:eastAsia="en-AU"/>
              </w:rPr>
            </w:pPr>
            <w:r w:rsidRPr="00F3739F">
              <w:rPr>
                <w:rFonts w:ascii="Calibri" w:eastAsiaTheme="minorEastAsia" w:hAnsi="Calibri" w:cs="Calibri"/>
                <w:i/>
                <w:iCs/>
                <w:color w:val="FFFFFF"/>
                <w:sz w:val="19"/>
                <w:lang w:eastAsia="en-AU"/>
              </w:rPr>
              <w:t xml:space="preserve"> </w:t>
            </w:r>
          </w:p>
          <w:p w:rsidR="00CC22BA" w:rsidRPr="00F3739F" w:rsidRDefault="00CC22BA" w:rsidP="00361FA9">
            <w:pPr>
              <w:autoSpaceDE w:val="0"/>
              <w:autoSpaceDN w:val="0"/>
              <w:adjustRightInd w:val="0"/>
              <w:spacing w:after="0"/>
              <w:jc w:val="right"/>
              <w:rPr>
                <w:rFonts w:ascii="Calibri" w:eastAsiaTheme="minorEastAsia" w:hAnsi="Calibri" w:cs="Calibri"/>
                <w:i/>
                <w:iCs/>
                <w:color w:val="FFFFFF"/>
                <w:sz w:val="19"/>
                <w:lang w:eastAsia="en-AU"/>
              </w:rPr>
            </w:pPr>
            <w:r w:rsidRPr="00F3739F">
              <w:rPr>
                <w:rFonts w:ascii="Calibri" w:eastAsiaTheme="minorEastAsia" w:hAnsi="Calibri" w:cs="Calibri"/>
                <w:i/>
                <w:iCs/>
                <w:color w:val="FFFFFF"/>
                <w:sz w:val="19"/>
                <w:lang w:eastAsia="en-AU"/>
              </w:rPr>
              <w:t xml:space="preserve"> </w:t>
            </w:r>
          </w:p>
        </w:tc>
        <w:tc>
          <w:tcPr>
            <w:tcW w:w="850" w:type="dxa"/>
            <w:tcBorders>
              <w:top w:val="single" w:sz="6" w:space="0" w:color="auto"/>
              <w:left w:val="nil"/>
              <w:right w:val="nil"/>
            </w:tcBorders>
            <w:shd w:val="solid" w:color="000000" w:fill="auto"/>
          </w:tcPr>
          <w:p w:rsidR="00CC22BA" w:rsidRPr="00F3739F" w:rsidRDefault="00CC22BA" w:rsidP="00361FA9">
            <w:pPr>
              <w:autoSpaceDE w:val="0"/>
              <w:autoSpaceDN w:val="0"/>
              <w:adjustRightInd w:val="0"/>
              <w:spacing w:after="0"/>
              <w:jc w:val="right"/>
              <w:rPr>
                <w:rFonts w:ascii="Calibri" w:eastAsiaTheme="minorEastAsia" w:hAnsi="Calibri" w:cs="Calibri"/>
                <w:i/>
                <w:iCs/>
                <w:color w:val="FFFFFF"/>
                <w:sz w:val="19"/>
                <w:lang w:eastAsia="en-AU"/>
              </w:rPr>
            </w:pPr>
            <w:r w:rsidRPr="00F3739F">
              <w:rPr>
                <w:rFonts w:ascii="Calibri" w:eastAsiaTheme="minorEastAsia" w:hAnsi="Calibri" w:cs="Calibri"/>
                <w:i/>
                <w:iCs/>
                <w:color w:val="FFFFFF"/>
                <w:sz w:val="19"/>
                <w:lang w:eastAsia="en-AU"/>
              </w:rPr>
              <w:t>2015-16</w:t>
            </w:r>
          </w:p>
          <w:p w:rsidR="00CC22BA" w:rsidRPr="00F3739F" w:rsidRDefault="00CC22BA" w:rsidP="00361FA9">
            <w:pPr>
              <w:autoSpaceDE w:val="0"/>
              <w:autoSpaceDN w:val="0"/>
              <w:adjustRightInd w:val="0"/>
              <w:spacing w:after="0"/>
              <w:jc w:val="right"/>
              <w:rPr>
                <w:rFonts w:ascii="Calibri" w:eastAsiaTheme="minorEastAsia" w:hAnsi="Calibri" w:cs="Calibri"/>
                <w:i/>
                <w:iCs/>
                <w:color w:val="FFFFFF"/>
                <w:sz w:val="19"/>
                <w:lang w:eastAsia="en-AU"/>
              </w:rPr>
            </w:pPr>
            <w:r w:rsidRPr="00F3739F">
              <w:rPr>
                <w:rFonts w:ascii="Calibri" w:eastAsiaTheme="minorEastAsia" w:hAnsi="Calibri" w:cs="Calibri"/>
                <w:i/>
                <w:iCs/>
                <w:color w:val="FFFFFF"/>
                <w:sz w:val="19"/>
                <w:lang w:eastAsia="en-AU"/>
              </w:rPr>
              <w:t>revised</w:t>
            </w:r>
          </w:p>
        </w:tc>
        <w:tc>
          <w:tcPr>
            <w:tcW w:w="853" w:type="dxa"/>
            <w:tcBorders>
              <w:top w:val="single" w:sz="6" w:space="0" w:color="auto"/>
              <w:left w:val="nil"/>
              <w:right w:val="nil"/>
            </w:tcBorders>
            <w:shd w:val="solid" w:color="000000" w:fill="auto"/>
          </w:tcPr>
          <w:p w:rsidR="00CC22BA" w:rsidRPr="00F3739F" w:rsidRDefault="00CC22BA" w:rsidP="00361FA9">
            <w:pPr>
              <w:autoSpaceDE w:val="0"/>
              <w:autoSpaceDN w:val="0"/>
              <w:adjustRightInd w:val="0"/>
              <w:spacing w:after="0"/>
              <w:jc w:val="right"/>
              <w:rPr>
                <w:rFonts w:ascii="Calibri" w:eastAsiaTheme="minorEastAsia" w:hAnsi="Calibri" w:cs="Calibri"/>
                <w:i/>
                <w:iCs/>
                <w:color w:val="FFFFFF"/>
                <w:sz w:val="19"/>
                <w:lang w:eastAsia="en-AU"/>
              </w:rPr>
            </w:pPr>
            <w:r w:rsidRPr="00F3739F">
              <w:rPr>
                <w:rFonts w:ascii="Calibri" w:eastAsiaTheme="minorEastAsia" w:hAnsi="Calibri" w:cs="Calibri"/>
                <w:i/>
                <w:iCs/>
                <w:color w:val="FFFFFF"/>
                <w:sz w:val="19"/>
                <w:lang w:eastAsia="en-AU"/>
              </w:rPr>
              <w:t>2016-17</w:t>
            </w:r>
          </w:p>
          <w:p w:rsidR="00CC22BA" w:rsidRPr="00F3739F" w:rsidRDefault="00CC22BA" w:rsidP="00361FA9">
            <w:pPr>
              <w:autoSpaceDE w:val="0"/>
              <w:autoSpaceDN w:val="0"/>
              <w:adjustRightInd w:val="0"/>
              <w:spacing w:after="0"/>
              <w:jc w:val="right"/>
              <w:rPr>
                <w:rFonts w:ascii="Calibri" w:eastAsiaTheme="minorEastAsia" w:hAnsi="Calibri" w:cs="Calibri"/>
                <w:i/>
                <w:iCs/>
                <w:color w:val="FFFFFF"/>
                <w:sz w:val="19"/>
                <w:lang w:eastAsia="en-AU"/>
              </w:rPr>
            </w:pPr>
            <w:r w:rsidRPr="00F3739F">
              <w:rPr>
                <w:rFonts w:ascii="Calibri" w:eastAsiaTheme="minorEastAsia" w:hAnsi="Calibri" w:cs="Calibri"/>
                <w:i/>
                <w:iCs/>
                <w:color w:val="FFFFFF"/>
                <w:sz w:val="19"/>
                <w:lang w:eastAsia="en-AU"/>
              </w:rPr>
              <w:t>budget</w:t>
            </w:r>
          </w:p>
        </w:tc>
        <w:tc>
          <w:tcPr>
            <w:tcW w:w="859" w:type="dxa"/>
            <w:tcBorders>
              <w:top w:val="single" w:sz="6" w:space="0" w:color="auto"/>
              <w:left w:val="nil"/>
              <w:right w:val="single" w:sz="6" w:space="0" w:color="auto"/>
            </w:tcBorders>
            <w:shd w:val="solid" w:color="000000" w:fill="auto"/>
          </w:tcPr>
          <w:p w:rsidR="00CC22BA" w:rsidRPr="00F3739F" w:rsidRDefault="00CC22BA" w:rsidP="00361FA9">
            <w:pPr>
              <w:autoSpaceDE w:val="0"/>
              <w:autoSpaceDN w:val="0"/>
              <w:adjustRightInd w:val="0"/>
              <w:spacing w:after="0"/>
              <w:jc w:val="right"/>
              <w:rPr>
                <w:rFonts w:ascii="Calibri" w:eastAsiaTheme="minorEastAsia" w:hAnsi="Calibri" w:cs="Calibri"/>
                <w:i/>
                <w:iCs/>
                <w:color w:val="FFFFFF"/>
                <w:sz w:val="19"/>
                <w:lang w:eastAsia="en-AU"/>
              </w:rPr>
            </w:pPr>
            <w:r w:rsidRPr="00F3739F">
              <w:rPr>
                <w:rFonts w:ascii="Calibri" w:eastAsiaTheme="minorEastAsia" w:hAnsi="Calibri" w:cs="Calibri"/>
                <w:i/>
                <w:iCs/>
                <w:color w:val="FFFFFF"/>
                <w:sz w:val="19"/>
                <w:lang w:eastAsia="en-AU"/>
              </w:rPr>
              <w:t>Change</w:t>
            </w:r>
          </w:p>
          <w:p w:rsidR="00CC22BA" w:rsidRPr="00F3739F" w:rsidRDefault="00CC22BA" w:rsidP="00361FA9">
            <w:pPr>
              <w:autoSpaceDE w:val="0"/>
              <w:autoSpaceDN w:val="0"/>
              <w:adjustRightInd w:val="0"/>
              <w:spacing w:after="0"/>
              <w:jc w:val="right"/>
              <w:rPr>
                <w:rFonts w:ascii="Calibri" w:eastAsiaTheme="minorEastAsia" w:hAnsi="Calibri" w:cs="Calibri"/>
                <w:i/>
                <w:iCs/>
                <w:color w:val="FFFFFF"/>
                <w:sz w:val="19"/>
                <w:lang w:eastAsia="en-AU"/>
              </w:rPr>
            </w:pPr>
            <w:r w:rsidRPr="00F3739F">
              <w:rPr>
                <w:rFonts w:ascii="Calibri" w:eastAsiaTheme="minorEastAsia" w:hAnsi="Calibri" w:cs="Calibri"/>
                <w:i/>
                <w:iCs/>
                <w:color w:val="FFFFFF"/>
                <w:sz w:val="19"/>
                <w:lang w:eastAsia="en-AU"/>
              </w:rPr>
              <w:t>%</w:t>
            </w:r>
            <w:r w:rsidRPr="00F3739F">
              <w:rPr>
                <w:rFonts w:ascii="Calibri" w:eastAsiaTheme="minorEastAsia" w:hAnsi="Calibri" w:cs="Calibri"/>
                <w:i/>
                <w:iCs/>
                <w:color w:val="FFFFFF"/>
                <w:sz w:val="19"/>
                <w:vertAlign w:val="superscript"/>
                <w:lang w:eastAsia="en-AU"/>
              </w:rPr>
              <w:t>(a)</w:t>
            </w:r>
          </w:p>
        </w:tc>
      </w:tr>
      <w:tr w:rsidR="00CC22BA" w:rsidRPr="00F3739F" w:rsidTr="00EA058F">
        <w:trPr>
          <w:gridAfter w:val="1"/>
          <w:wAfter w:w="8" w:type="dxa"/>
          <w:trHeight w:val="215"/>
        </w:trPr>
        <w:tc>
          <w:tcPr>
            <w:tcW w:w="7827" w:type="dxa"/>
            <w:gridSpan w:val="4"/>
            <w:tcBorders>
              <w:top w:val="nil"/>
              <w:left w:val="nil"/>
              <w:bottom w:val="nil"/>
              <w:right w:val="nil"/>
            </w:tcBorders>
          </w:tcPr>
          <w:p w:rsidR="00CC22BA" w:rsidRPr="00F3739F" w:rsidRDefault="00CC22BA" w:rsidP="00CC22BA">
            <w:pPr>
              <w:pStyle w:val="Tabletext"/>
              <w:rPr>
                <w:rFonts w:eastAsiaTheme="minorEastAsia" w:cs="Calibri"/>
                <w:color w:val="000000"/>
                <w:lang w:eastAsia="en-AU"/>
              </w:rPr>
            </w:pPr>
            <w:r w:rsidRPr="00F3739F">
              <w:rPr>
                <w:rFonts w:eastAsiaTheme="minorEastAsia"/>
                <w:b/>
                <w:lang w:eastAsia="en-AU"/>
              </w:rPr>
              <w:t>Commonwealth Government grants to local government</w:t>
            </w:r>
          </w:p>
        </w:tc>
      </w:tr>
      <w:tr w:rsidR="00CC22BA" w:rsidRPr="00F3739F" w:rsidTr="00EA058F">
        <w:trPr>
          <w:trHeight w:val="215"/>
        </w:trPr>
        <w:tc>
          <w:tcPr>
            <w:tcW w:w="7835" w:type="dxa"/>
            <w:gridSpan w:val="5"/>
            <w:tcBorders>
              <w:top w:val="nil"/>
              <w:left w:val="nil"/>
              <w:bottom w:val="nil"/>
              <w:right w:val="nil"/>
            </w:tcBorders>
          </w:tcPr>
          <w:p w:rsidR="00CC22BA" w:rsidRPr="00F3739F" w:rsidRDefault="00CC22BA" w:rsidP="00CC22BA">
            <w:pPr>
              <w:pStyle w:val="Tabletext"/>
              <w:rPr>
                <w:rFonts w:eastAsiaTheme="minorEastAsia" w:cs="Calibri"/>
                <w:color w:val="000000"/>
                <w:lang w:eastAsia="en-AU"/>
              </w:rPr>
            </w:pPr>
            <w:r w:rsidRPr="00F3739F">
              <w:rPr>
                <w:rFonts w:eastAsiaTheme="minorEastAsia"/>
                <w:i/>
                <w:iCs/>
                <w:lang w:eastAsia="en-AU"/>
              </w:rPr>
              <w:t xml:space="preserve">Financial assistance grants to local government (operating) </w:t>
            </w:r>
            <w:r w:rsidRPr="00F3739F">
              <w:rPr>
                <w:rFonts w:eastAsiaTheme="minorEastAsia" w:cs="Calibri"/>
                <w:i/>
                <w:iCs/>
                <w:color w:val="000000"/>
                <w:szCs w:val="19"/>
                <w:vertAlign w:val="superscript"/>
                <w:lang w:eastAsia="en-AU"/>
              </w:rPr>
              <w:t>(b)</w:t>
            </w:r>
          </w:p>
        </w:tc>
      </w:tr>
      <w:tr w:rsidR="00CC22BA" w:rsidRPr="00F3739F" w:rsidTr="00EA058F">
        <w:trPr>
          <w:trHeight w:val="215"/>
        </w:trPr>
        <w:tc>
          <w:tcPr>
            <w:tcW w:w="7835" w:type="dxa"/>
            <w:gridSpan w:val="5"/>
            <w:tcBorders>
              <w:top w:val="nil"/>
              <w:left w:val="nil"/>
              <w:bottom w:val="nil"/>
              <w:right w:val="nil"/>
            </w:tcBorders>
          </w:tcPr>
          <w:p w:rsidR="00CC22BA" w:rsidRPr="00F3739F" w:rsidRDefault="00CC22BA" w:rsidP="00CC22BA">
            <w:pPr>
              <w:pStyle w:val="Tabletext"/>
              <w:ind w:left="0" w:firstLine="0"/>
              <w:rPr>
                <w:rFonts w:eastAsiaTheme="minorEastAsia" w:cs="Calibri"/>
                <w:color w:val="000000"/>
                <w:lang w:eastAsia="en-AU"/>
              </w:rPr>
            </w:pPr>
            <w:r w:rsidRPr="00F3739F">
              <w:rPr>
                <w:rFonts w:eastAsiaTheme="minorEastAsia"/>
                <w:lang w:eastAsia="en-AU"/>
              </w:rPr>
              <w:t xml:space="preserve">An equal per capita basis is used for distributing total assistance to the states and territories pursuant to the </w:t>
            </w:r>
            <w:r w:rsidRPr="00F3739F">
              <w:rPr>
                <w:rFonts w:eastAsiaTheme="minorEastAsia"/>
                <w:i/>
                <w:iCs/>
                <w:lang w:eastAsia="en-AU"/>
              </w:rPr>
              <w:t>Local Government (Financial Assistance) Act 1995.</w:t>
            </w:r>
          </w:p>
        </w:tc>
      </w:tr>
      <w:tr w:rsidR="002C39A3" w:rsidRPr="00F3739F" w:rsidTr="00CC22BA">
        <w:trPr>
          <w:gridAfter w:val="1"/>
          <w:wAfter w:w="8" w:type="dxa"/>
          <w:trHeight w:val="215"/>
        </w:trPr>
        <w:tc>
          <w:tcPr>
            <w:tcW w:w="5265" w:type="dxa"/>
            <w:tcBorders>
              <w:top w:val="nil"/>
              <w:left w:val="nil"/>
              <w:bottom w:val="single" w:sz="6" w:space="0" w:color="auto"/>
              <w:right w:val="nil"/>
            </w:tcBorders>
          </w:tcPr>
          <w:p w:rsidR="002C39A3" w:rsidRPr="00F3739F" w:rsidRDefault="002C39A3" w:rsidP="00361FA9">
            <w:pPr>
              <w:pStyle w:val="Tabletext"/>
              <w:rPr>
                <w:rFonts w:eastAsiaTheme="minorEastAsia"/>
                <w:lang w:eastAsia="en-AU"/>
              </w:rPr>
            </w:pPr>
            <w:r w:rsidRPr="00F3739F">
              <w:rPr>
                <w:rFonts w:eastAsiaTheme="minorEastAsia"/>
                <w:lang w:eastAsia="en-AU"/>
              </w:rPr>
              <w:t xml:space="preserve"> </w:t>
            </w:r>
          </w:p>
        </w:tc>
        <w:tc>
          <w:tcPr>
            <w:tcW w:w="850" w:type="dxa"/>
            <w:tcBorders>
              <w:top w:val="nil"/>
              <w:left w:val="nil"/>
              <w:bottom w:val="single" w:sz="6" w:space="0" w:color="auto"/>
              <w:right w:val="nil"/>
            </w:tcBorders>
          </w:tcPr>
          <w:p w:rsidR="002C39A3" w:rsidRPr="00F3739F" w:rsidRDefault="00AF5DDD" w:rsidP="00361FA9">
            <w:pPr>
              <w:pStyle w:val="TableofFigures"/>
              <w:rPr>
                <w:rFonts w:eastAsiaTheme="minorEastAsia"/>
                <w:sz w:val="19"/>
                <w:lang w:eastAsia="en-AU"/>
              </w:rPr>
            </w:pPr>
            <w:r>
              <w:rPr>
                <w:rFonts w:eastAsiaTheme="minorEastAsia"/>
                <w:sz w:val="19"/>
                <w:lang w:eastAsia="en-AU"/>
              </w:rPr>
              <w:t>196</w:t>
            </w:r>
          </w:p>
        </w:tc>
        <w:tc>
          <w:tcPr>
            <w:tcW w:w="853" w:type="dxa"/>
            <w:tcBorders>
              <w:top w:val="nil"/>
              <w:left w:val="nil"/>
              <w:bottom w:val="single" w:sz="6" w:space="0" w:color="auto"/>
              <w:right w:val="nil"/>
            </w:tcBorders>
          </w:tcPr>
          <w:p w:rsidR="002C39A3" w:rsidRPr="00F3739F" w:rsidRDefault="00AF5DDD" w:rsidP="00361FA9">
            <w:pPr>
              <w:pStyle w:val="TableofFigures"/>
              <w:rPr>
                <w:rFonts w:eastAsiaTheme="minorEastAsia"/>
                <w:sz w:val="19"/>
                <w:lang w:eastAsia="en-AU"/>
              </w:rPr>
            </w:pPr>
            <w:r>
              <w:rPr>
                <w:rFonts w:eastAsiaTheme="minorEastAsia"/>
                <w:sz w:val="19"/>
                <w:lang w:eastAsia="en-AU"/>
              </w:rPr>
              <w:t>395</w:t>
            </w:r>
          </w:p>
        </w:tc>
        <w:tc>
          <w:tcPr>
            <w:tcW w:w="859" w:type="dxa"/>
            <w:tcBorders>
              <w:top w:val="nil"/>
              <w:left w:val="nil"/>
              <w:bottom w:val="single" w:sz="6" w:space="0" w:color="auto"/>
              <w:right w:val="nil"/>
            </w:tcBorders>
          </w:tcPr>
          <w:p w:rsidR="002C39A3" w:rsidRPr="00F3739F" w:rsidRDefault="002C39A3" w:rsidP="00361FA9">
            <w:pPr>
              <w:pStyle w:val="TableofFigures"/>
              <w:rPr>
                <w:rFonts w:eastAsiaTheme="minorEastAsia"/>
                <w:sz w:val="19"/>
                <w:lang w:eastAsia="en-AU"/>
              </w:rPr>
            </w:pPr>
            <w:r w:rsidRPr="00F3739F">
              <w:rPr>
                <w:rFonts w:eastAsiaTheme="minorEastAsia"/>
                <w:sz w:val="19"/>
                <w:lang w:eastAsia="en-AU"/>
              </w:rPr>
              <w:t>101.9</w:t>
            </w:r>
          </w:p>
        </w:tc>
      </w:tr>
      <w:tr w:rsidR="00CC22BA" w:rsidRPr="00F3739F" w:rsidTr="00EA058F">
        <w:trPr>
          <w:trHeight w:val="215"/>
        </w:trPr>
        <w:tc>
          <w:tcPr>
            <w:tcW w:w="7835" w:type="dxa"/>
            <w:gridSpan w:val="5"/>
            <w:tcBorders>
              <w:top w:val="nil"/>
              <w:left w:val="nil"/>
              <w:bottom w:val="nil"/>
              <w:right w:val="nil"/>
            </w:tcBorders>
          </w:tcPr>
          <w:p w:rsidR="00CC22BA" w:rsidRPr="00F3739F" w:rsidRDefault="00CC22BA" w:rsidP="00CC22BA">
            <w:pPr>
              <w:pStyle w:val="Tabletext"/>
              <w:rPr>
                <w:rFonts w:eastAsiaTheme="minorEastAsia" w:cs="Calibri"/>
                <w:color w:val="000000"/>
                <w:lang w:eastAsia="en-AU"/>
              </w:rPr>
            </w:pPr>
            <w:r w:rsidRPr="00F3739F">
              <w:rPr>
                <w:rFonts w:eastAsiaTheme="minorEastAsia"/>
                <w:i/>
                <w:iCs/>
                <w:lang w:eastAsia="en-AU"/>
              </w:rPr>
              <w:t xml:space="preserve">Identified local roads grants to local government </w:t>
            </w:r>
            <w:r w:rsidRPr="00F3739F">
              <w:rPr>
                <w:rFonts w:eastAsiaTheme="minorEastAsia" w:cs="Calibri"/>
                <w:i/>
                <w:iCs/>
                <w:color w:val="000000"/>
                <w:szCs w:val="19"/>
                <w:vertAlign w:val="superscript"/>
                <w:lang w:eastAsia="en-AU"/>
              </w:rPr>
              <w:t>(b)</w:t>
            </w:r>
          </w:p>
        </w:tc>
      </w:tr>
      <w:tr w:rsidR="00CC22BA" w:rsidRPr="00F3739F" w:rsidTr="00EA058F">
        <w:trPr>
          <w:trHeight w:val="215"/>
        </w:trPr>
        <w:tc>
          <w:tcPr>
            <w:tcW w:w="7835" w:type="dxa"/>
            <w:gridSpan w:val="5"/>
            <w:tcBorders>
              <w:top w:val="nil"/>
              <w:left w:val="nil"/>
              <w:bottom w:val="nil"/>
              <w:right w:val="nil"/>
            </w:tcBorders>
          </w:tcPr>
          <w:p w:rsidR="00CC22BA" w:rsidRPr="00F3739F" w:rsidRDefault="00CC22BA" w:rsidP="00CC22BA">
            <w:pPr>
              <w:pStyle w:val="Tabletext"/>
              <w:ind w:left="0" w:firstLine="0"/>
              <w:rPr>
                <w:rFonts w:eastAsiaTheme="minorEastAsia" w:cs="Calibri"/>
                <w:color w:val="000000"/>
                <w:lang w:eastAsia="en-AU"/>
              </w:rPr>
            </w:pPr>
            <w:r w:rsidRPr="00F3739F">
              <w:rPr>
                <w:rFonts w:eastAsiaTheme="minorEastAsia"/>
                <w:lang w:eastAsia="en-AU"/>
              </w:rPr>
              <w:t xml:space="preserve">Funding to local councils is provided on a per capita and road length basis pursuant to the </w:t>
            </w:r>
            <w:r w:rsidRPr="00F3739F">
              <w:rPr>
                <w:rFonts w:eastAsiaTheme="minorEastAsia"/>
                <w:i/>
                <w:iCs/>
                <w:lang w:eastAsia="en-AU"/>
              </w:rPr>
              <w:t>Local Government (Financial Assistance) Act 1995.</w:t>
            </w:r>
          </w:p>
        </w:tc>
      </w:tr>
      <w:tr w:rsidR="002C39A3" w:rsidRPr="00F3739F" w:rsidTr="00CC22BA">
        <w:trPr>
          <w:gridAfter w:val="1"/>
          <w:wAfter w:w="8" w:type="dxa"/>
          <w:trHeight w:val="215"/>
        </w:trPr>
        <w:tc>
          <w:tcPr>
            <w:tcW w:w="5265" w:type="dxa"/>
            <w:tcBorders>
              <w:top w:val="nil"/>
              <w:left w:val="nil"/>
              <w:bottom w:val="single" w:sz="12" w:space="0" w:color="auto"/>
              <w:right w:val="nil"/>
            </w:tcBorders>
          </w:tcPr>
          <w:p w:rsidR="002C39A3" w:rsidRPr="00F3739F" w:rsidRDefault="002C39A3" w:rsidP="00361FA9">
            <w:pPr>
              <w:pStyle w:val="Tabletext"/>
              <w:rPr>
                <w:rFonts w:eastAsiaTheme="minorEastAsia"/>
                <w:lang w:eastAsia="en-AU"/>
              </w:rPr>
            </w:pPr>
            <w:r w:rsidRPr="00F3739F">
              <w:rPr>
                <w:rFonts w:eastAsiaTheme="minorEastAsia"/>
                <w:lang w:eastAsia="en-AU"/>
              </w:rPr>
              <w:t xml:space="preserve"> </w:t>
            </w:r>
          </w:p>
        </w:tc>
        <w:tc>
          <w:tcPr>
            <w:tcW w:w="850" w:type="dxa"/>
            <w:tcBorders>
              <w:top w:val="nil"/>
              <w:left w:val="nil"/>
              <w:bottom w:val="single" w:sz="12" w:space="0" w:color="auto"/>
              <w:right w:val="nil"/>
            </w:tcBorders>
          </w:tcPr>
          <w:p w:rsidR="002C39A3" w:rsidRPr="00F3739F" w:rsidRDefault="00AF5DDD" w:rsidP="00361FA9">
            <w:pPr>
              <w:pStyle w:val="TableofFigures"/>
              <w:rPr>
                <w:rFonts w:eastAsiaTheme="minorEastAsia"/>
                <w:sz w:val="19"/>
                <w:lang w:eastAsia="en-AU"/>
              </w:rPr>
            </w:pPr>
            <w:r>
              <w:rPr>
                <w:rFonts w:eastAsiaTheme="minorEastAsia"/>
                <w:sz w:val="19"/>
                <w:lang w:eastAsia="en-AU"/>
              </w:rPr>
              <w:t>74</w:t>
            </w:r>
          </w:p>
        </w:tc>
        <w:tc>
          <w:tcPr>
            <w:tcW w:w="853" w:type="dxa"/>
            <w:tcBorders>
              <w:top w:val="nil"/>
              <w:left w:val="nil"/>
              <w:bottom w:val="single" w:sz="12" w:space="0" w:color="auto"/>
              <w:right w:val="nil"/>
            </w:tcBorders>
          </w:tcPr>
          <w:p w:rsidR="002C39A3" w:rsidRPr="00F3739F" w:rsidRDefault="00AF5DDD" w:rsidP="00361FA9">
            <w:pPr>
              <w:pStyle w:val="TableofFigures"/>
              <w:rPr>
                <w:rFonts w:eastAsiaTheme="minorEastAsia"/>
                <w:sz w:val="19"/>
                <w:lang w:eastAsia="en-AU"/>
              </w:rPr>
            </w:pPr>
            <w:r>
              <w:rPr>
                <w:rFonts w:eastAsiaTheme="minorEastAsia"/>
                <w:sz w:val="19"/>
                <w:lang w:eastAsia="en-AU"/>
              </w:rPr>
              <w:t>145</w:t>
            </w:r>
          </w:p>
        </w:tc>
        <w:tc>
          <w:tcPr>
            <w:tcW w:w="859" w:type="dxa"/>
            <w:tcBorders>
              <w:top w:val="nil"/>
              <w:left w:val="nil"/>
              <w:bottom w:val="single" w:sz="12" w:space="0" w:color="auto"/>
              <w:right w:val="nil"/>
            </w:tcBorders>
          </w:tcPr>
          <w:p w:rsidR="002C39A3" w:rsidRPr="00F3739F" w:rsidRDefault="002C39A3" w:rsidP="00361FA9">
            <w:pPr>
              <w:pStyle w:val="TableofFigures"/>
              <w:rPr>
                <w:rFonts w:eastAsiaTheme="minorEastAsia"/>
                <w:sz w:val="19"/>
                <w:lang w:eastAsia="en-AU"/>
              </w:rPr>
            </w:pPr>
            <w:r w:rsidRPr="00F3739F">
              <w:rPr>
                <w:rFonts w:eastAsiaTheme="minorEastAsia"/>
                <w:sz w:val="19"/>
                <w:lang w:eastAsia="en-AU"/>
              </w:rPr>
              <w:t>95.4</w:t>
            </w:r>
          </w:p>
        </w:tc>
      </w:tr>
      <w:tr w:rsidR="00CC22BA" w:rsidRPr="00F3739F" w:rsidTr="00EA058F">
        <w:trPr>
          <w:gridAfter w:val="1"/>
          <w:wAfter w:w="8" w:type="dxa"/>
          <w:trHeight w:val="215"/>
        </w:trPr>
        <w:tc>
          <w:tcPr>
            <w:tcW w:w="7827" w:type="dxa"/>
            <w:gridSpan w:val="4"/>
            <w:tcBorders>
              <w:top w:val="nil"/>
              <w:left w:val="nil"/>
              <w:bottom w:val="nil"/>
              <w:right w:val="nil"/>
            </w:tcBorders>
          </w:tcPr>
          <w:p w:rsidR="00CC22BA" w:rsidRPr="00F3739F" w:rsidRDefault="00CC22BA" w:rsidP="00CC22BA">
            <w:pPr>
              <w:pStyle w:val="Tabletext"/>
              <w:rPr>
                <w:rFonts w:eastAsiaTheme="minorEastAsia" w:cs="Calibri"/>
                <w:color w:val="000000"/>
                <w:lang w:eastAsia="en-AU"/>
              </w:rPr>
            </w:pPr>
            <w:r w:rsidRPr="00F3739F">
              <w:rPr>
                <w:rFonts w:eastAsiaTheme="minorEastAsia"/>
                <w:b/>
                <w:i/>
                <w:iCs/>
                <w:lang w:eastAsia="en-AU"/>
              </w:rPr>
              <w:t>Students First – A fairer funding agreement for schools</w:t>
            </w:r>
          </w:p>
        </w:tc>
      </w:tr>
      <w:tr w:rsidR="00CC22BA" w:rsidRPr="00F3739F" w:rsidTr="00EA058F">
        <w:trPr>
          <w:gridAfter w:val="1"/>
          <w:wAfter w:w="8" w:type="dxa"/>
          <w:trHeight w:val="215"/>
        </w:trPr>
        <w:tc>
          <w:tcPr>
            <w:tcW w:w="7827" w:type="dxa"/>
            <w:gridSpan w:val="4"/>
            <w:tcBorders>
              <w:top w:val="nil"/>
              <w:left w:val="nil"/>
              <w:bottom w:val="nil"/>
              <w:right w:val="nil"/>
            </w:tcBorders>
          </w:tcPr>
          <w:p w:rsidR="00CC22BA" w:rsidRPr="00F3739F" w:rsidRDefault="00CC22BA" w:rsidP="00CC22BA">
            <w:pPr>
              <w:pStyle w:val="Tabletext"/>
              <w:rPr>
                <w:rFonts w:eastAsiaTheme="minorEastAsia" w:cs="Calibri"/>
                <w:color w:val="000000"/>
                <w:lang w:eastAsia="en-AU"/>
              </w:rPr>
            </w:pPr>
            <w:r w:rsidRPr="00F3739F">
              <w:rPr>
                <w:rFonts w:eastAsiaTheme="minorEastAsia"/>
                <w:lang w:eastAsia="en-AU"/>
              </w:rPr>
              <w:t>Support for school services</w:t>
            </w:r>
          </w:p>
        </w:tc>
      </w:tr>
      <w:tr w:rsidR="002C39A3" w:rsidRPr="00F3739F" w:rsidTr="00CC22BA">
        <w:trPr>
          <w:gridAfter w:val="1"/>
          <w:wAfter w:w="8" w:type="dxa"/>
          <w:trHeight w:val="215"/>
        </w:trPr>
        <w:tc>
          <w:tcPr>
            <w:tcW w:w="5265" w:type="dxa"/>
            <w:tcBorders>
              <w:top w:val="nil"/>
              <w:left w:val="nil"/>
              <w:bottom w:val="single" w:sz="12" w:space="0" w:color="auto"/>
              <w:right w:val="nil"/>
            </w:tcBorders>
          </w:tcPr>
          <w:p w:rsidR="002C39A3" w:rsidRPr="00F3739F" w:rsidRDefault="002C39A3" w:rsidP="00361FA9">
            <w:pPr>
              <w:pStyle w:val="Tabletext"/>
              <w:rPr>
                <w:rFonts w:eastAsiaTheme="minorEastAsia"/>
                <w:i/>
                <w:iCs/>
                <w:lang w:eastAsia="en-AU"/>
              </w:rPr>
            </w:pPr>
            <w:r w:rsidRPr="00F3739F">
              <w:rPr>
                <w:rFonts w:eastAsiaTheme="minorEastAsia"/>
                <w:i/>
                <w:iCs/>
                <w:lang w:eastAsia="en-AU"/>
              </w:rPr>
              <w:t xml:space="preserve">   Non-government schools</w:t>
            </w:r>
          </w:p>
        </w:tc>
        <w:tc>
          <w:tcPr>
            <w:tcW w:w="850" w:type="dxa"/>
            <w:tcBorders>
              <w:top w:val="nil"/>
              <w:left w:val="nil"/>
              <w:bottom w:val="single" w:sz="12" w:space="0" w:color="auto"/>
              <w:right w:val="nil"/>
            </w:tcBorders>
          </w:tcPr>
          <w:p w:rsidR="002C39A3" w:rsidRPr="00F3739F" w:rsidRDefault="002C39A3" w:rsidP="00361FA9">
            <w:pPr>
              <w:pStyle w:val="TableofFigures"/>
              <w:rPr>
                <w:rFonts w:eastAsiaTheme="minorEastAsia"/>
                <w:sz w:val="19"/>
                <w:lang w:eastAsia="en-AU"/>
              </w:rPr>
            </w:pPr>
            <w:r w:rsidRPr="00F3739F">
              <w:rPr>
                <w:rFonts w:eastAsiaTheme="minorEastAsia"/>
                <w:sz w:val="19"/>
                <w:lang w:eastAsia="en-AU"/>
              </w:rPr>
              <w:t>2 825</w:t>
            </w:r>
          </w:p>
        </w:tc>
        <w:tc>
          <w:tcPr>
            <w:tcW w:w="853" w:type="dxa"/>
            <w:tcBorders>
              <w:top w:val="nil"/>
              <w:left w:val="nil"/>
              <w:bottom w:val="single" w:sz="12" w:space="0" w:color="auto"/>
              <w:right w:val="nil"/>
            </w:tcBorders>
          </w:tcPr>
          <w:p w:rsidR="002C39A3" w:rsidRPr="00F3739F" w:rsidRDefault="002C39A3" w:rsidP="00361FA9">
            <w:pPr>
              <w:pStyle w:val="TableofFigures"/>
              <w:rPr>
                <w:rFonts w:eastAsiaTheme="minorEastAsia"/>
                <w:sz w:val="19"/>
                <w:lang w:eastAsia="en-AU"/>
              </w:rPr>
            </w:pPr>
            <w:r w:rsidRPr="00F3739F">
              <w:rPr>
                <w:rFonts w:eastAsiaTheme="minorEastAsia"/>
                <w:sz w:val="19"/>
                <w:lang w:eastAsia="en-AU"/>
              </w:rPr>
              <w:t>3 036</w:t>
            </w:r>
          </w:p>
        </w:tc>
        <w:tc>
          <w:tcPr>
            <w:tcW w:w="859" w:type="dxa"/>
            <w:tcBorders>
              <w:top w:val="nil"/>
              <w:left w:val="nil"/>
              <w:bottom w:val="single" w:sz="12" w:space="0" w:color="auto"/>
              <w:right w:val="nil"/>
            </w:tcBorders>
          </w:tcPr>
          <w:p w:rsidR="002C39A3" w:rsidRPr="00F3739F" w:rsidRDefault="002C39A3" w:rsidP="00361FA9">
            <w:pPr>
              <w:pStyle w:val="TableofFigures"/>
              <w:rPr>
                <w:rFonts w:eastAsiaTheme="minorEastAsia"/>
                <w:sz w:val="19"/>
                <w:lang w:eastAsia="en-AU"/>
              </w:rPr>
            </w:pPr>
            <w:r w:rsidRPr="00F3739F">
              <w:rPr>
                <w:rFonts w:eastAsiaTheme="minorEastAsia"/>
                <w:sz w:val="19"/>
                <w:lang w:eastAsia="en-AU"/>
              </w:rPr>
              <w:t>7.5</w:t>
            </w:r>
          </w:p>
        </w:tc>
      </w:tr>
      <w:tr w:rsidR="002C39A3" w:rsidRPr="00F3739F" w:rsidTr="00CC22BA">
        <w:trPr>
          <w:gridAfter w:val="1"/>
          <w:wAfter w:w="8" w:type="dxa"/>
          <w:trHeight w:val="215"/>
        </w:trPr>
        <w:tc>
          <w:tcPr>
            <w:tcW w:w="5265" w:type="dxa"/>
            <w:tcBorders>
              <w:top w:val="single" w:sz="12" w:space="0" w:color="auto"/>
              <w:left w:val="nil"/>
              <w:bottom w:val="single" w:sz="12" w:space="0" w:color="auto"/>
              <w:right w:val="nil"/>
            </w:tcBorders>
          </w:tcPr>
          <w:p w:rsidR="002C39A3" w:rsidRPr="00F3739F" w:rsidRDefault="002C39A3" w:rsidP="00361FA9">
            <w:pPr>
              <w:pStyle w:val="Tabletext"/>
              <w:rPr>
                <w:rFonts w:eastAsiaTheme="minorEastAsia"/>
                <w:b/>
                <w:lang w:eastAsia="en-AU"/>
              </w:rPr>
            </w:pPr>
            <w:r w:rsidRPr="00F3739F">
              <w:rPr>
                <w:rFonts w:eastAsiaTheme="minorEastAsia"/>
                <w:b/>
                <w:lang w:eastAsia="en-AU"/>
              </w:rPr>
              <w:t>Total grants for on-passing</w:t>
            </w:r>
          </w:p>
        </w:tc>
        <w:tc>
          <w:tcPr>
            <w:tcW w:w="850" w:type="dxa"/>
            <w:tcBorders>
              <w:top w:val="nil"/>
              <w:left w:val="nil"/>
              <w:bottom w:val="single" w:sz="12" w:space="0" w:color="auto"/>
              <w:right w:val="nil"/>
            </w:tcBorders>
          </w:tcPr>
          <w:p w:rsidR="002C39A3" w:rsidRPr="00F3739F" w:rsidRDefault="002C39A3" w:rsidP="00361FA9">
            <w:pPr>
              <w:pStyle w:val="TableofFigures"/>
              <w:rPr>
                <w:rFonts w:eastAsiaTheme="minorEastAsia"/>
                <w:b/>
                <w:bCs/>
                <w:sz w:val="19"/>
                <w:lang w:eastAsia="en-AU"/>
              </w:rPr>
            </w:pPr>
            <w:r w:rsidRPr="00F3739F">
              <w:rPr>
                <w:rFonts w:eastAsiaTheme="minorEastAsia"/>
                <w:b/>
                <w:bCs/>
                <w:sz w:val="19"/>
                <w:lang w:eastAsia="en-AU"/>
              </w:rPr>
              <w:t>3 095</w:t>
            </w:r>
          </w:p>
        </w:tc>
        <w:tc>
          <w:tcPr>
            <w:tcW w:w="853" w:type="dxa"/>
            <w:tcBorders>
              <w:top w:val="nil"/>
              <w:left w:val="nil"/>
              <w:bottom w:val="single" w:sz="12" w:space="0" w:color="auto"/>
              <w:right w:val="nil"/>
            </w:tcBorders>
          </w:tcPr>
          <w:p w:rsidR="002C39A3" w:rsidRPr="00F3739F" w:rsidRDefault="002C39A3" w:rsidP="00361FA9">
            <w:pPr>
              <w:pStyle w:val="TableofFigures"/>
              <w:rPr>
                <w:rFonts w:eastAsiaTheme="minorEastAsia"/>
                <w:b/>
                <w:bCs/>
                <w:sz w:val="19"/>
                <w:lang w:eastAsia="en-AU"/>
              </w:rPr>
            </w:pPr>
            <w:r w:rsidRPr="00F3739F">
              <w:rPr>
                <w:rFonts w:eastAsiaTheme="minorEastAsia"/>
                <w:b/>
                <w:bCs/>
                <w:sz w:val="19"/>
                <w:lang w:eastAsia="en-AU"/>
              </w:rPr>
              <w:t>3 576</w:t>
            </w:r>
          </w:p>
        </w:tc>
        <w:tc>
          <w:tcPr>
            <w:tcW w:w="859" w:type="dxa"/>
            <w:tcBorders>
              <w:top w:val="nil"/>
              <w:left w:val="nil"/>
              <w:bottom w:val="single" w:sz="12" w:space="0" w:color="auto"/>
              <w:right w:val="nil"/>
            </w:tcBorders>
          </w:tcPr>
          <w:p w:rsidR="002C39A3" w:rsidRPr="00F3739F" w:rsidRDefault="002C39A3" w:rsidP="00361FA9">
            <w:pPr>
              <w:pStyle w:val="TableofFigures"/>
              <w:rPr>
                <w:rFonts w:eastAsiaTheme="minorEastAsia"/>
                <w:b/>
                <w:bCs/>
                <w:sz w:val="19"/>
                <w:lang w:eastAsia="en-AU"/>
              </w:rPr>
            </w:pPr>
            <w:r w:rsidRPr="00F3739F">
              <w:rPr>
                <w:rFonts w:eastAsiaTheme="minorEastAsia"/>
                <w:b/>
                <w:bCs/>
                <w:sz w:val="19"/>
                <w:lang w:eastAsia="en-AU"/>
              </w:rPr>
              <w:t>15.5</w:t>
            </w:r>
          </w:p>
        </w:tc>
      </w:tr>
    </w:tbl>
    <w:p w:rsidR="002C39A3" w:rsidRDefault="002C39A3" w:rsidP="00361FA9">
      <w:pPr>
        <w:pStyle w:val="Source"/>
        <w:rPr>
          <w:rFonts w:eastAsiaTheme="minorHAnsi"/>
        </w:rPr>
      </w:pPr>
      <w:r w:rsidRPr="009A1C06">
        <w:rPr>
          <w:rFonts w:eastAsiaTheme="minorHAnsi"/>
        </w:rPr>
        <w:t>Source: Department of Treasury and Finance</w:t>
      </w:r>
    </w:p>
    <w:p w:rsidR="002C39A3" w:rsidRDefault="002C39A3" w:rsidP="00361FA9">
      <w:pPr>
        <w:pStyle w:val="Notes"/>
        <w:rPr>
          <w:rFonts w:eastAsiaTheme="minorHAnsi"/>
        </w:rPr>
      </w:pPr>
      <w:r>
        <w:rPr>
          <w:rFonts w:eastAsiaTheme="minorHAnsi"/>
        </w:rPr>
        <w:t>Notes:</w:t>
      </w:r>
    </w:p>
    <w:p w:rsidR="002C39A3" w:rsidRDefault="002C39A3" w:rsidP="00361FA9">
      <w:pPr>
        <w:pStyle w:val="Notes"/>
        <w:rPr>
          <w:rFonts w:eastAsiaTheme="minorHAnsi"/>
        </w:rPr>
      </w:pPr>
      <w:r>
        <w:rPr>
          <w:rFonts w:eastAsiaTheme="minorHAnsi"/>
        </w:rPr>
        <w:t xml:space="preserve">(a) </w:t>
      </w:r>
      <w:r>
        <w:rPr>
          <w:rFonts w:eastAsiaTheme="minorHAnsi"/>
        </w:rPr>
        <w:tab/>
        <w:t>Per cent change between 2015-16 and 2016-17.</w:t>
      </w:r>
    </w:p>
    <w:p w:rsidR="002C39A3" w:rsidRDefault="002C39A3" w:rsidP="00361FA9">
      <w:pPr>
        <w:pStyle w:val="Notes"/>
        <w:rPr>
          <w:rFonts w:eastAsiaTheme="minorHAnsi"/>
        </w:rPr>
      </w:pPr>
      <w:r>
        <w:rPr>
          <w:rFonts w:eastAsiaTheme="minorHAnsi"/>
        </w:rPr>
        <w:t xml:space="preserve">(b) </w:t>
      </w:r>
      <w:r>
        <w:rPr>
          <w:rFonts w:eastAsiaTheme="minorHAnsi"/>
        </w:rPr>
        <w:tab/>
        <w:t>Two quarters of grants for 2015-16 were prepaid in 2014-15.</w:t>
      </w:r>
    </w:p>
    <w:p w:rsidR="002C39A3" w:rsidRDefault="002C39A3">
      <w:pPr>
        <w:spacing w:after="0"/>
        <w:rPr>
          <w:rFonts w:ascii="Calibri" w:eastAsiaTheme="minorHAnsi" w:hAnsi="Calibri"/>
          <w:b/>
          <w:kern w:val="28"/>
          <w:sz w:val="26"/>
          <w:szCs w:val="22"/>
        </w:rPr>
      </w:pPr>
      <w:r>
        <w:rPr>
          <w:rFonts w:eastAsiaTheme="minorHAnsi"/>
        </w:rPr>
        <w:br w:type="page"/>
      </w:r>
    </w:p>
    <w:p w:rsidR="002C39A3" w:rsidRDefault="002C39A3" w:rsidP="00361FA9">
      <w:pPr>
        <w:pStyle w:val="Heading2"/>
        <w:rPr>
          <w:rFonts w:eastAsiaTheme="minorHAnsi"/>
        </w:rPr>
      </w:pPr>
      <w:r>
        <w:rPr>
          <w:rFonts w:eastAsiaTheme="minorHAnsi"/>
        </w:rPr>
        <w:t xml:space="preserve">Grants for specific purposes </w:t>
      </w:r>
    </w:p>
    <w:p w:rsidR="002C39A3" w:rsidRDefault="002C39A3" w:rsidP="00361FA9">
      <w:pPr>
        <w:rPr>
          <w:rFonts w:eastAsiaTheme="minorHAnsi"/>
        </w:rPr>
      </w:pPr>
      <w:r>
        <w:rPr>
          <w:rFonts w:eastAsiaTheme="minorHAnsi"/>
        </w:rPr>
        <w:t xml:space="preserve">Table 4.7 lists Commonwealth grants for specific purposes, with detailed tables by expenditure category in Tables 4.8 to 4.14. </w:t>
      </w:r>
    </w:p>
    <w:p w:rsidR="002C39A3" w:rsidRDefault="002C39A3" w:rsidP="00361FA9">
      <w:pPr>
        <w:pStyle w:val="Tableheading"/>
        <w:rPr>
          <w:rFonts w:eastAsiaTheme="minorHAnsi"/>
        </w:rPr>
      </w:pPr>
      <w:r>
        <w:rPr>
          <w:rFonts w:eastAsiaTheme="minorHAnsi"/>
        </w:rPr>
        <w:t xml:space="preserve">Table 4.7: </w:t>
      </w:r>
      <w:r>
        <w:rPr>
          <w:rFonts w:eastAsiaTheme="minorHAnsi"/>
        </w:rPr>
        <w:tab/>
        <w:t>Grants for specific purposes</w:t>
      </w:r>
    </w:p>
    <w:p w:rsidR="002C39A3" w:rsidRPr="00BD3916" w:rsidRDefault="002C39A3" w:rsidP="00361FA9">
      <w:pPr>
        <w:pStyle w:val="million"/>
        <w:rPr>
          <w:rFonts w:ascii="Times New Roman" w:hAnsi="Times New Roman"/>
          <w:sz w:val="20"/>
          <w:lang w:eastAsia="en-AU"/>
        </w:rPr>
      </w:pPr>
      <w:r>
        <w:rPr>
          <w:rFonts w:eastAsiaTheme="minorHAnsi"/>
        </w:rPr>
        <w:t>($ million)</w:t>
      </w:r>
    </w:p>
    <w:tbl>
      <w:tblPr>
        <w:tblW w:w="7767" w:type="dxa"/>
        <w:tblInd w:w="45" w:type="dxa"/>
        <w:tblLayout w:type="fixed"/>
        <w:tblCellMar>
          <w:left w:w="45" w:type="dxa"/>
          <w:right w:w="45" w:type="dxa"/>
        </w:tblCellMar>
        <w:tblLook w:val="0000" w:firstRow="0" w:lastRow="0" w:firstColumn="0" w:lastColumn="0" w:noHBand="0" w:noVBand="0"/>
      </w:tblPr>
      <w:tblGrid>
        <w:gridCol w:w="5217"/>
        <w:gridCol w:w="850"/>
        <w:gridCol w:w="850"/>
        <w:gridCol w:w="850"/>
      </w:tblGrid>
      <w:tr w:rsidR="00CC22BA" w:rsidRPr="00BD3916" w:rsidTr="00EA058F">
        <w:trPr>
          <w:trHeight w:val="464"/>
        </w:trPr>
        <w:tc>
          <w:tcPr>
            <w:tcW w:w="5217" w:type="dxa"/>
            <w:tcBorders>
              <w:right w:val="nil"/>
            </w:tcBorders>
            <w:shd w:val="solid" w:color="000000" w:fill="auto"/>
          </w:tcPr>
          <w:p w:rsidR="00CC22BA" w:rsidRPr="00BD3916" w:rsidRDefault="00CC22BA" w:rsidP="00361FA9">
            <w:pPr>
              <w:pStyle w:val="Tabletextheading"/>
              <w:rPr>
                <w:rFonts w:eastAsiaTheme="minorEastAsia"/>
                <w:color w:val="FFFFFF"/>
                <w:sz w:val="19"/>
                <w:lang w:eastAsia="en-AU"/>
              </w:rPr>
            </w:pPr>
            <w:r w:rsidRPr="00BD3916">
              <w:rPr>
                <w:rFonts w:eastAsiaTheme="minorEastAsia"/>
                <w:color w:val="FFFFFF"/>
                <w:sz w:val="19"/>
                <w:lang w:eastAsia="en-AU"/>
              </w:rPr>
              <w:t xml:space="preserve"> </w:t>
            </w:r>
          </w:p>
          <w:p w:rsidR="00CC22BA" w:rsidRPr="00BD3916" w:rsidRDefault="00CC22BA" w:rsidP="00361FA9">
            <w:pPr>
              <w:pStyle w:val="Tabletextheading"/>
              <w:rPr>
                <w:rFonts w:eastAsiaTheme="minorEastAsia"/>
                <w:color w:val="FFFFFF"/>
                <w:sz w:val="19"/>
                <w:lang w:eastAsia="en-AU"/>
              </w:rPr>
            </w:pPr>
            <w:r w:rsidRPr="00BD3916">
              <w:rPr>
                <w:rFonts w:eastAsiaTheme="minorEastAsia"/>
                <w:color w:val="FFFFFF"/>
                <w:sz w:val="19"/>
                <w:lang w:eastAsia="en-AU"/>
              </w:rPr>
              <w:t xml:space="preserve"> </w:t>
            </w:r>
          </w:p>
        </w:tc>
        <w:tc>
          <w:tcPr>
            <w:tcW w:w="850" w:type="dxa"/>
            <w:tcBorders>
              <w:left w:val="nil"/>
              <w:right w:val="nil"/>
            </w:tcBorders>
            <w:shd w:val="solid" w:color="000000" w:fill="auto"/>
          </w:tcPr>
          <w:p w:rsidR="00CC22BA" w:rsidRPr="00BD3916" w:rsidRDefault="00CC22BA" w:rsidP="00361FA9">
            <w:pPr>
              <w:pStyle w:val="Tabletextheading"/>
              <w:rPr>
                <w:rFonts w:eastAsiaTheme="minorEastAsia"/>
                <w:color w:val="FFFFFF"/>
                <w:sz w:val="19"/>
                <w:lang w:eastAsia="en-AU"/>
              </w:rPr>
            </w:pPr>
            <w:r w:rsidRPr="00BD3916">
              <w:rPr>
                <w:rFonts w:eastAsiaTheme="minorEastAsia"/>
                <w:color w:val="FFFFFF"/>
                <w:sz w:val="19"/>
                <w:lang w:eastAsia="en-AU"/>
              </w:rPr>
              <w:t>2015-16</w:t>
            </w:r>
          </w:p>
          <w:p w:rsidR="00CC22BA" w:rsidRPr="00BD3916" w:rsidRDefault="00CC22BA" w:rsidP="00361FA9">
            <w:pPr>
              <w:pStyle w:val="Tabletextheading"/>
              <w:rPr>
                <w:rFonts w:eastAsiaTheme="minorEastAsia"/>
                <w:color w:val="FFFFFF"/>
                <w:sz w:val="19"/>
                <w:lang w:eastAsia="en-AU"/>
              </w:rPr>
            </w:pPr>
            <w:r w:rsidRPr="00BD3916">
              <w:rPr>
                <w:rFonts w:eastAsiaTheme="minorEastAsia"/>
                <w:color w:val="FFFFFF"/>
                <w:sz w:val="19"/>
                <w:lang w:eastAsia="en-AU"/>
              </w:rPr>
              <w:t>revised</w:t>
            </w:r>
          </w:p>
        </w:tc>
        <w:tc>
          <w:tcPr>
            <w:tcW w:w="850" w:type="dxa"/>
            <w:tcBorders>
              <w:left w:val="nil"/>
              <w:right w:val="nil"/>
            </w:tcBorders>
            <w:shd w:val="solid" w:color="000000" w:fill="auto"/>
          </w:tcPr>
          <w:p w:rsidR="00CC22BA" w:rsidRPr="00BD3916" w:rsidRDefault="00CC22BA" w:rsidP="00361FA9">
            <w:pPr>
              <w:pStyle w:val="Tabletextheading"/>
              <w:rPr>
                <w:rFonts w:eastAsiaTheme="minorEastAsia"/>
                <w:color w:val="FFFFFF"/>
                <w:sz w:val="19"/>
                <w:lang w:eastAsia="en-AU"/>
              </w:rPr>
            </w:pPr>
            <w:r w:rsidRPr="00BD3916">
              <w:rPr>
                <w:rFonts w:eastAsiaTheme="minorEastAsia"/>
                <w:color w:val="FFFFFF"/>
                <w:sz w:val="19"/>
                <w:lang w:eastAsia="en-AU"/>
              </w:rPr>
              <w:t>2016-17</w:t>
            </w:r>
          </w:p>
          <w:p w:rsidR="00CC22BA" w:rsidRPr="00BD3916" w:rsidRDefault="00CC22BA" w:rsidP="00361FA9">
            <w:pPr>
              <w:pStyle w:val="Tabletextheading"/>
              <w:rPr>
                <w:rFonts w:eastAsiaTheme="minorEastAsia"/>
                <w:color w:val="FFFFFF"/>
                <w:sz w:val="19"/>
                <w:lang w:eastAsia="en-AU"/>
              </w:rPr>
            </w:pPr>
            <w:r w:rsidRPr="00BD3916">
              <w:rPr>
                <w:rFonts w:eastAsiaTheme="minorEastAsia"/>
                <w:color w:val="FFFFFF"/>
                <w:sz w:val="19"/>
                <w:lang w:eastAsia="en-AU"/>
              </w:rPr>
              <w:t>budget</w:t>
            </w:r>
          </w:p>
        </w:tc>
        <w:tc>
          <w:tcPr>
            <w:tcW w:w="850" w:type="dxa"/>
            <w:tcBorders>
              <w:left w:val="nil"/>
            </w:tcBorders>
            <w:shd w:val="solid" w:color="000000" w:fill="auto"/>
          </w:tcPr>
          <w:p w:rsidR="00CC22BA" w:rsidRPr="00BD3916" w:rsidRDefault="00CC22BA" w:rsidP="00361FA9">
            <w:pPr>
              <w:pStyle w:val="Tabletextheading"/>
              <w:rPr>
                <w:rFonts w:eastAsiaTheme="minorEastAsia"/>
                <w:color w:val="FFFFFF"/>
                <w:sz w:val="19"/>
                <w:lang w:eastAsia="en-AU"/>
              </w:rPr>
            </w:pPr>
            <w:r w:rsidRPr="00BD3916">
              <w:rPr>
                <w:rFonts w:eastAsiaTheme="minorEastAsia"/>
                <w:color w:val="FFFFFF"/>
                <w:sz w:val="19"/>
                <w:lang w:eastAsia="en-AU"/>
              </w:rPr>
              <w:t>Change</w:t>
            </w:r>
          </w:p>
          <w:p w:rsidR="00CC22BA" w:rsidRPr="00BD3916" w:rsidRDefault="00CC22BA" w:rsidP="00361FA9">
            <w:pPr>
              <w:pStyle w:val="Tabletextheading"/>
              <w:rPr>
                <w:rFonts w:eastAsiaTheme="minorEastAsia"/>
                <w:color w:val="FFFFFF"/>
                <w:sz w:val="19"/>
                <w:lang w:eastAsia="en-AU"/>
              </w:rPr>
            </w:pPr>
            <w:r w:rsidRPr="00BD3916">
              <w:rPr>
                <w:rFonts w:eastAsiaTheme="minorEastAsia"/>
                <w:color w:val="FFFFFF"/>
                <w:sz w:val="19"/>
                <w:lang w:eastAsia="en-AU"/>
              </w:rPr>
              <w:t>%</w:t>
            </w:r>
            <w:r w:rsidRPr="00BD3916">
              <w:rPr>
                <w:rFonts w:eastAsiaTheme="minorEastAsia"/>
                <w:color w:val="FFFFFF"/>
                <w:sz w:val="19"/>
                <w:vertAlign w:val="superscript"/>
                <w:lang w:eastAsia="en-AU"/>
              </w:rPr>
              <w:t>(</w:t>
            </w:r>
            <w:r w:rsidRPr="00BD3916">
              <w:rPr>
                <w:rFonts w:eastAsiaTheme="minorEastAsia" w:cs="Calibri"/>
                <w:iCs/>
                <w:color w:val="FFFFFF"/>
                <w:sz w:val="19"/>
                <w:vertAlign w:val="superscript"/>
                <w:lang w:eastAsia="en-AU"/>
              </w:rPr>
              <w:t>a)</w:t>
            </w:r>
          </w:p>
        </w:tc>
      </w:tr>
      <w:tr w:rsidR="002C39A3" w:rsidRPr="00BD3916" w:rsidTr="00CC22BA">
        <w:tc>
          <w:tcPr>
            <w:tcW w:w="5217" w:type="dxa"/>
            <w:tcBorders>
              <w:top w:val="single" w:sz="6" w:space="0" w:color="auto"/>
              <w:left w:val="nil"/>
              <w:right w:val="nil"/>
            </w:tcBorders>
            <w:shd w:val="clear" w:color="auto" w:fill="FFFFFF"/>
          </w:tcPr>
          <w:p w:rsidR="002C39A3" w:rsidRPr="00BD3916" w:rsidRDefault="002C39A3" w:rsidP="00361FA9">
            <w:pPr>
              <w:pStyle w:val="Tabletext"/>
              <w:ind w:left="227" w:hanging="227"/>
              <w:rPr>
                <w:rFonts w:eastAsiaTheme="minorEastAsia"/>
                <w:color w:val="000000"/>
                <w:lang w:eastAsia="en-AU"/>
              </w:rPr>
            </w:pPr>
            <w:r w:rsidRPr="00BD3916">
              <w:rPr>
                <w:rFonts w:eastAsiaTheme="minorEastAsia"/>
                <w:color w:val="000000"/>
                <w:lang w:eastAsia="en-AU"/>
              </w:rPr>
              <w:t>Affordable housing</w:t>
            </w:r>
          </w:p>
        </w:tc>
        <w:tc>
          <w:tcPr>
            <w:tcW w:w="850" w:type="dxa"/>
            <w:tcBorders>
              <w:top w:val="single" w:sz="6" w:space="0" w:color="auto"/>
              <w:left w:val="nil"/>
              <w:right w:val="nil"/>
            </w:tcBorders>
            <w:shd w:val="clear" w:color="auto" w:fill="FFFFFF"/>
          </w:tcPr>
          <w:p w:rsidR="002C39A3" w:rsidRPr="00BD391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353</w:t>
            </w:r>
          </w:p>
        </w:tc>
        <w:tc>
          <w:tcPr>
            <w:tcW w:w="850" w:type="dxa"/>
            <w:tcBorders>
              <w:top w:val="single" w:sz="6" w:space="0" w:color="auto"/>
              <w:left w:val="nil"/>
              <w:right w:val="nil"/>
            </w:tcBorders>
            <w:shd w:val="clear" w:color="auto" w:fill="FFFFFF"/>
          </w:tcPr>
          <w:p w:rsidR="002C39A3" w:rsidRPr="00BD391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358</w:t>
            </w:r>
          </w:p>
        </w:tc>
        <w:tc>
          <w:tcPr>
            <w:tcW w:w="850" w:type="dxa"/>
            <w:tcBorders>
              <w:top w:val="single" w:sz="6" w:space="0" w:color="auto"/>
              <w:left w:val="nil"/>
              <w:right w:val="nil"/>
            </w:tcBorders>
            <w:shd w:val="clear" w:color="auto" w:fill="FFFFFF"/>
          </w:tcPr>
          <w:p w:rsidR="002C39A3" w:rsidRPr="00BD3916" w:rsidRDefault="002C39A3" w:rsidP="00361FA9">
            <w:pPr>
              <w:pStyle w:val="TableofFigures"/>
              <w:rPr>
                <w:rFonts w:eastAsiaTheme="minorEastAsia"/>
                <w:color w:val="000000"/>
                <w:sz w:val="19"/>
                <w:lang w:eastAsia="en-AU"/>
              </w:rPr>
            </w:pPr>
            <w:r w:rsidRPr="00BD3916">
              <w:rPr>
                <w:rFonts w:eastAsiaTheme="minorEastAsia"/>
                <w:color w:val="000000"/>
                <w:sz w:val="19"/>
                <w:lang w:eastAsia="en-AU"/>
              </w:rPr>
              <w:t>1.5</w:t>
            </w:r>
          </w:p>
        </w:tc>
      </w:tr>
      <w:tr w:rsidR="002C39A3" w:rsidRPr="00BD3916" w:rsidTr="00CC22BA">
        <w:tc>
          <w:tcPr>
            <w:tcW w:w="5217" w:type="dxa"/>
            <w:tcBorders>
              <w:top w:val="nil"/>
              <w:left w:val="nil"/>
              <w:right w:val="nil"/>
            </w:tcBorders>
            <w:shd w:val="clear" w:color="auto" w:fill="FFFFFF"/>
          </w:tcPr>
          <w:p w:rsidR="002C39A3" w:rsidRPr="00BD3916" w:rsidRDefault="002C39A3" w:rsidP="00361FA9">
            <w:pPr>
              <w:pStyle w:val="Tabletext"/>
              <w:ind w:left="227" w:hanging="227"/>
              <w:rPr>
                <w:rFonts w:eastAsiaTheme="minorEastAsia" w:cs="Calibri"/>
                <w:color w:val="000000"/>
                <w:szCs w:val="19"/>
                <w:vertAlign w:val="superscript"/>
                <w:lang w:eastAsia="en-AU"/>
              </w:rPr>
            </w:pPr>
            <w:r w:rsidRPr="00BD3916">
              <w:rPr>
                <w:rFonts w:eastAsiaTheme="minorEastAsia"/>
                <w:color w:val="000000"/>
                <w:lang w:eastAsia="en-AU"/>
              </w:rPr>
              <w:t xml:space="preserve">Community services </w:t>
            </w:r>
            <w:r w:rsidRPr="00BD3916">
              <w:rPr>
                <w:rFonts w:eastAsiaTheme="minorEastAsia" w:cs="Calibri"/>
                <w:color w:val="000000"/>
                <w:szCs w:val="19"/>
                <w:vertAlign w:val="superscript"/>
                <w:lang w:eastAsia="en-AU"/>
              </w:rPr>
              <w:t>(b)</w:t>
            </w:r>
          </w:p>
        </w:tc>
        <w:tc>
          <w:tcPr>
            <w:tcW w:w="850" w:type="dxa"/>
            <w:tcBorders>
              <w:top w:val="nil"/>
              <w:left w:val="nil"/>
              <w:right w:val="nil"/>
            </w:tcBorders>
            <w:shd w:val="clear" w:color="auto" w:fill="FFFFFF"/>
          </w:tcPr>
          <w:p w:rsidR="002C39A3" w:rsidRPr="00BD391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411</w:t>
            </w:r>
          </w:p>
        </w:tc>
        <w:tc>
          <w:tcPr>
            <w:tcW w:w="850" w:type="dxa"/>
            <w:tcBorders>
              <w:top w:val="nil"/>
              <w:left w:val="nil"/>
              <w:right w:val="nil"/>
            </w:tcBorders>
            <w:shd w:val="clear" w:color="auto" w:fill="FFFFFF"/>
          </w:tcPr>
          <w:p w:rsidR="002C39A3" w:rsidRPr="00BD391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455</w:t>
            </w:r>
          </w:p>
        </w:tc>
        <w:tc>
          <w:tcPr>
            <w:tcW w:w="850" w:type="dxa"/>
            <w:tcBorders>
              <w:top w:val="nil"/>
              <w:left w:val="nil"/>
              <w:right w:val="nil"/>
            </w:tcBorders>
            <w:shd w:val="clear" w:color="auto" w:fill="FFFFFF"/>
          </w:tcPr>
          <w:p w:rsidR="002C39A3" w:rsidRPr="00BD3916" w:rsidRDefault="002C39A3" w:rsidP="00361FA9">
            <w:pPr>
              <w:pStyle w:val="TableofFigures"/>
              <w:rPr>
                <w:rFonts w:eastAsiaTheme="minorEastAsia"/>
                <w:color w:val="000000"/>
                <w:sz w:val="19"/>
                <w:lang w:eastAsia="en-AU"/>
              </w:rPr>
            </w:pPr>
            <w:r w:rsidRPr="00BD3916">
              <w:rPr>
                <w:rFonts w:eastAsiaTheme="minorEastAsia"/>
                <w:color w:val="000000"/>
                <w:sz w:val="19"/>
                <w:lang w:eastAsia="en-AU"/>
              </w:rPr>
              <w:t>10.8</w:t>
            </w:r>
          </w:p>
        </w:tc>
      </w:tr>
      <w:tr w:rsidR="002C39A3" w:rsidRPr="00BD3916" w:rsidTr="00CC22BA">
        <w:tc>
          <w:tcPr>
            <w:tcW w:w="5217" w:type="dxa"/>
            <w:tcBorders>
              <w:top w:val="nil"/>
              <w:left w:val="nil"/>
              <w:right w:val="nil"/>
            </w:tcBorders>
            <w:shd w:val="clear" w:color="auto" w:fill="FFFFFF"/>
          </w:tcPr>
          <w:p w:rsidR="002C39A3" w:rsidRPr="00BD3916" w:rsidRDefault="002C39A3" w:rsidP="00361FA9">
            <w:pPr>
              <w:pStyle w:val="Tabletext"/>
              <w:ind w:left="227" w:hanging="227"/>
              <w:rPr>
                <w:rFonts w:eastAsiaTheme="minorEastAsia"/>
                <w:color w:val="000000"/>
                <w:lang w:eastAsia="en-AU"/>
              </w:rPr>
            </w:pPr>
            <w:r w:rsidRPr="00BD3916">
              <w:rPr>
                <w:rFonts w:eastAsiaTheme="minorEastAsia"/>
                <w:color w:val="000000"/>
                <w:lang w:eastAsia="en-AU"/>
              </w:rPr>
              <w:t>Education</w:t>
            </w:r>
          </w:p>
        </w:tc>
        <w:tc>
          <w:tcPr>
            <w:tcW w:w="850" w:type="dxa"/>
            <w:tcBorders>
              <w:top w:val="nil"/>
              <w:left w:val="nil"/>
              <w:right w:val="nil"/>
            </w:tcBorders>
            <w:shd w:val="clear" w:color="auto" w:fill="FFFFFF"/>
          </w:tcPr>
          <w:p w:rsidR="002C39A3" w:rsidRPr="00BD3916" w:rsidRDefault="002C39A3" w:rsidP="00361FA9">
            <w:pPr>
              <w:pStyle w:val="TableofFigures"/>
              <w:rPr>
                <w:rFonts w:eastAsiaTheme="minorEastAsia"/>
                <w:color w:val="000000"/>
                <w:sz w:val="19"/>
                <w:lang w:eastAsia="en-AU"/>
              </w:rPr>
            </w:pPr>
            <w:r w:rsidRPr="00BD3916">
              <w:rPr>
                <w:rFonts w:eastAsiaTheme="minorEastAsia"/>
                <w:color w:val="000000"/>
                <w:sz w:val="19"/>
                <w:lang w:eastAsia="en-AU"/>
              </w:rPr>
              <w:t>1 955</w:t>
            </w:r>
          </w:p>
        </w:tc>
        <w:tc>
          <w:tcPr>
            <w:tcW w:w="850" w:type="dxa"/>
            <w:tcBorders>
              <w:top w:val="nil"/>
              <w:left w:val="nil"/>
              <w:right w:val="nil"/>
            </w:tcBorders>
            <w:shd w:val="clear" w:color="auto" w:fill="FFFFFF"/>
          </w:tcPr>
          <w:p w:rsidR="002C39A3" w:rsidRPr="00BD3916" w:rsidRDefault="002C39A3" w:rsidP="00361FA9">
            <w:pPr>
              <w:pStyle w:val="TableofFigures"/>
              <w:rPr>
                <w:rFonts w:eastAsiaTheme="minorEastAsia"/>
                <w:color w:val="000000"/>
                <w:sz w:val="19"/>
                <w:lang w:eastAsia="en-AU"/>
              </w:rPr>
            </w:pPr>
            <w:r w:rsidRPr="00BD3916">
              <w:rPr>
                <w:rFonts w:eastAsiaTheme="minorEastAsia"/>
                <w:color w:val="000000"/>
                <w:sz w:val="19"/>
                <w:lang w:eastAsia="en-AU"/>
              </w:rPr>
              <w:t>2 080</w:t>
            </w:r>
          </w:p>
        </w:tc>
        <w:tc>
          <w:tcPr>
            <w:tcW w:w="850" w:type="dxa"/>
            <w:tcBorders>
              <w:top w:val="nil"/>
              <w:left w:val="nil"/>
              <w:right w:val="nil"/>
            </w:tcBorders>
            <w:shd w:val="clear" w:color="auto" w:fill="FFFFFF"/>
          </w:tcPr>
          <w:p w:rsidR="002C39A3" w:rsidRPr="00BD3916" w:rsidRDefault="002C39A3" w:rsidP="00361FA9">
            <w:pPr>
              <w:pStyle w:val="TableofFigures"/>
              <w:rPr>
                <w:rFonts w:eastAsiaTheme="minorEastAsia"/>
                <w:color w:val="000000"/>
                <w:sz w:val="19"/>
                <w:lang w:eastAsia="en-AU"/>
              </w:rPr>
            </w:pPr>
            <w:r w:rsidRPr="00BD3916">
              <w:rPr>
                <w:rFonts w:eastAsiaTheme="minorEastAsia"/>
                <w:color w:val="000000"/>
                <w:sz w:val="19"/>
                <w:lang w:eastAsia="en-AU"/>
              </w:rPr>
              <w:t>6.4</w:t>
            </w:r>
          </w:p>
        </w:tc>
      </w:tr>
      <w:tr w:rsidR="002C39A3" w:rsidRPr="00BD3916" w:rsidTr="00CC22BA">
        <w:tc>
          <w:tcPr>
            <w:tcW w:w="5217" w:type="dxa"/>
            <w:tcBorders>
              <w:top w:val="nil"/>
              <w:left w:val="nil"/>
              <w:right w:val="nil"/>
            </w:tcBorders>
            <w:shd w:val="clear" w:color="auto" w:fill="FFFFFF"/>
          </w:tcPr>
          <w:p w:rsidR="002C39A3" w:rsidRPr="00BD3916" w:rsidRDefault="002C39A3" w:rsidP="00361FA9">
            <w:pPr>
              <w:pStyle w:val="Tabletext"/>
              <w:ind w:left="227" w:hanging="227"/>
              <w:rPr>
                <w:rFonts w:eastAsiaTheme="minorEastAsia" w:cs="Calibri"/>
                <w:color w:val="000000"/>
                <w:szCs w:val="19"/>
                <w:vertAlign w:val="superscript"/>
                <w:lang w:eastAsia="en-AU"/>
              </w:rPr>
            </w:pPr>
            <w:r w:rsidRPr="00BD3916">
              <w:rPr>
                <w:rFonts w:eastAsiaTheme="minorEastAsia"/>
                <w:color w:val="000000"/>
                <w:lang w:eastAsia="en-AU"/>
              </w:rPr>
              <w:t xml:space="preserve">Environment </w:t>
            </w:r>
            <w:r w:rsidRPr="00BD3916">
              <w:rPr>
                <w:rFonts w:eastAsiaTheme="minorEastAsia" w:cs="Calibri"/>
                <w:color w:val="000000"/>
                <w:szCs w:val="19"/>
                <w:vertAlign w:val="superscript"/>
                <w:lang w:eastAsia="en-AU"/>
              </w:rPr>
              <w:t>(c)</w:t>
            </w:r>
          </w:p>
        </w:tc>
        <w:tc>
          <w:tcPr>
            <w:tcW w:w="850" w:type="dxa"/>
            <w:tcBorders>
              <w:top w:val="nil"/>
              <w:left w:val="nil"/>
              <w:right w:val="nil"/>
            </w:tcBorders>
            <w:shd w:val="clear" w:color="auto" w:fill="FFFFFF"/>
          </w:tcPr>
          <w:p w:rsidR="002C39A3" w:rsidRPr="00BD391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80</w:t>
            </w:r>
          </w:p>
        </w:tc>
        <w:tc>
          <w:tcPr>
            <w:tcW w:w="850" w:type="dxa"/>
            <w:tcBorders>
              <w:top w:val="nil"/>
              <w:left w:val="nil"/>
              <w:right w:val="nil"/>
            </w:tcBorders>
            <w:shd w:val="clear" w:color="auto" w:fill="FFFFFF"/>
          </w:tcPr>
          <w:p w:rsidR="002C39A3" w:rsidRPr="00BD391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449</w:t>
            </w:r>
          </w:p>
        </w:tc>
        <w:tc>
          <w:tcPr>
            <w:tcW w:w="850" w:type="dxa"/>
            <w:tcBorders>
              <w:top w:val="nil"/>
              <w:left w:val="nil"/>
              <w:right w:val="nil"/>
            </w:tcBorders>
            <w:shd w:val="clear" w:color="auto" w:fill="FFFFFF"/>
          </w:tcPr>
          <w:p w:rsidR="002C39A3" w:rsidRPr="00BD3916" w:rsidRDefault="002C39A3" w:rsidP="00361FA9">
            <w:pPr>
              <w:pStyle w:val="TableofFigures"/>
              <w:rPr>
                <w:rFonts w:eastAsiaTheme="minorEastAsia"/>
                <w:color w:val="000000"/>
                <w:sz w:val="19"/>
                <w:lang w:eastAsia="en-AU"/>
              </w:rPr>
            </w:pPr>
            <w:r w:rsidRPr="00BD3916">
              <w:rPr>
                <w:rFonts w:eastAsiaTheme="minorEastAsia"/>
                <w:color w:val="000000"/>
                <w:sz w:val="19"/>
                <w:lang w:eastAsia="en-AU"/>
              </w:rPr>
              <w:t>462.1</w:t>
            </w:r>
          </w:p>
        </w:tc>
      </w:tr>
      <w:tr w:rsidR="002C39A3" w:rsidRPr="00BD3916" w:rsidTr="00CC22BA">
        <w:tc>
          <w:tcPr>
            <w:tcW w:w="5217" w:type="dxa"/>
            <w:tcBorders>
              <w:top w:val="nil"/>
              <w:left w:val="nil"/>
              <w:right w:val="nil"/>
            </w:tcBorders>
            <w:shd w:val="clear" w:color="auto" w:fill="FFFFFF"/>
          </w:tcPr>
          <w:p w:rsidR="002C39A3" w:rsidRPr="00BD3916" w:rsidRDefault="002C39A3" w:rsidP="00361FA9">
            <w:pPr>
              <w:pStyle w:val="Tabletext"/>
              <w:ind w:left="227" w:hanging="227"/>
              <w:rPr>
                <w:rFonts w:eastAsiaTheme="minorEastAsia"/>
                <w:color w:val="000000"/>
                <w:lang w:eastAsia="en-AU"/>
              </w:rPr>
            </w:pPr>
            <w:r w:rsidRPr="00BD3916">
              <w:rPr>
                <w:rFonts w:eastAsiaTheme="minorEastAsia"/>
                <w:color w:val="000000"/>
                <w:lang w:eastAsia="en-AU"/>
              </w:rPr>
              <w:t>Health</w:t>
            </w:r>
          </w:p>
        </w:tc>
        <w:tc>
          <w:tcPr>
            <w:tcW w:w="850" w:type="dxa"/>
            <w:tcBorders>
              <w:top w:val="nil"/>
              <w:left w:val="nil"/>
              <w:right w:val="nil"/>
            </w:tcBorders>
            <w:shd w:val="clear" w:color="auto" w:fill="FFFFFF"/>
          </w:tcPr>
          <w:p w:rsidR="002C39A3" w:rsidRPr="00BD3916" w:rsidRDefault="002C39A3" w:rsidP="00361FA9">
            <w:pPr>
              <w:pStyle w:val="TableofFigures"/>
              <w:rPr>
                <w:rFonts w:eastAsiaTheme="minorEastAsia"/>
                <w:color w:val="000000"/>
                <w:sz w:val="19"/>
                <w:lang w:eastAsia="en-AU"/>
              </w:rPr>
            </w:pPr>
            <w:r w:rsidRPr="00BD3916">
              <w:rPr>
                <w:rFonts w:eastAsiaTheme="minorEastAsia"/>
                <w:color w:val="000000"/>
                <w:sz w:val="19"/>
                <w:lang w:eastAsia="en-AU"/>
              </w:rPr>
              <w:t>4 756</w:t>
            </w:r>
          </w:p>
        </w:tc>
        <w:tc>
          <w:tcPr>
            <w:tcW w:w="850" w:type="dxa"/>
            <w:tcBorders>
              <w:top w:val="nil"/>
              <w:left w:val="nil"/>
              <w:right w:val="nil"/>
            </w:tcBorders>
            <w:shd w:val="clear" w:color="auto" w:fill="FFFFFF"/>
          </w:tcPr>
          <w:p w:rsidR="002C39A3" w:rsidRPr="00BD3916" w:rsidRDefault="002C39A3" w:rsidP="00361FA9">
            <w:pPr>
              <w:pStyle w:val="TableofFigures"/>
              <w:rPr>
                <w:rFonts w:eastAsiaTheme="minorEastAsia"/>
                <w:color w:val="000000"/>
                <w:sz w:val="19"/>
                <w:lang w:eastAsia="en-AU"/>
              </w:rPr>
            </w:pPr>
            <w:r w:rsidRPr="00BD3916">
              <w:rPr>
                <w:rFonts w:eastAsiaTheme="minorEastAsia"/>
                <w:color w:val="000000"/>
                <w:sz w:val="19"/>
                <w:lang w:eastAsia="en-AU"/>
              </w:rPr>
              <w:t>4 462</w:t>
            </w:r>
          </w:p>
        </w:tc>
        <w:tc>
          <w:tcPr>
            <w:tcW w:w="850" w:type="dxa"/>
            <w:tcBorders>
              <w:top w:val="nil"/>
              <w:left w:val="nil"/>
              <w:right w:val="nil"/>
            </w:tcBorders>
            <w:shd w:val="clear" w:color="auto" w:fill="FFFFFF"/>
          </w:tcPr>
          <w:p w:rsidR="002C39A3" w:rsidRPr="00BD3916" w:rsidRDefault="002C39A3" w:rsidP="00361FA9">
            <w:pPr>
              <w:pStyle w:val="TableofFigures"/>
              <w:rPr>
                <w:rFonts w:eastAsiaTheme="minorEastAsia"/>
                <w:color w:val="000000"/>
                <w:sz w:val="19"/>
                <w:lang w:eastAsia="en-AU"/>
              </w:rPr>
            </w:pPr>
            <w:r w:rsidRPr="00BD3916">
              <w:rPr>
                <w:rFonts w:eastAsiaTheme="minorEastAsia"/>
                <w:color w:val="000000"/>
                <w:sz w:val="19"/>
                <w:lang w:eastAsia="en-AU"/>
              </w:rPr>
              <w:t>(6.2)</w:t>
            </w:r>
          </w:p>
        </w:tc>
      </w:tr>
      <w:tr w:rsidR="002C39A3" w:rsidRPr="00BD3916" w:rsidTr="00CC22BA">
        <w:tc>
          <w:tcPr>
            <w:tcW w:w="5217" w:type="dxa"/>
            <w:tcBorders>
              <w:top w:val="nil"/>
              <w:left w:val="nil"/>
              <w:right w:val="nil"/>
            </w:tcBorders>
            <w:shd w:val="clear" w:color="auto" w:fill="FFFFFF"/>
          </w:tcPr>
          <w:p w:rsidR="002C39A3" w:rsidRPr="00BD3916" w:rsidRDefault="002C39A3" w:rsidP="00361FA9">
            <w:pPr>
              <w:pStyle w:val="Tabletext"/>
              <w:ind w:left="227" w:hanging="227"/>
              <w:rPr>
                <w:rFonts w:eastAsiaTheme="minorEastAsia"/>
                <w:color w:val="000000"/>
                <w:lang w:eastAsia="en-AU"/>
              </w:rPr>
            </w:pPr>
            <w:r w:rsidRPr="00BD3916">
              <w:rPr>
                <w:rFonts w:eastAsiaTheme="minorEastAsia"/>
                <w:color w:val="000000"/>
                <w:lang w:eastAsia="en-AU"/>
              </w:rPr>
              <w:t>Infrastructure</w:t>
            </w:r>
          </w:p>
        </w:tc>
        <w:tc>
          <w:tcPr>
            <w:tcW w:w="850" w:type="dxa"/>
            <w:tcBorders>
              <w:top w:val="nil"/>
              <w:left w:val="nil"/>
              <w:right w:val="nil"/>
            </w:tcBorders>
            <w:shd w:val="clear" w:color="auto" w:fill="FFFFFF"/>
          </w:tcPr>
          <w:p w:rsidR="002C39A3" w:rsidRPr="00BD391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472</w:t>
            </w:r>
          </w:p>
        </w:tc>
        <w:tc>
          <w:tcPr>
            <w:tcW w:w="850" w:type="dxa"/>
            <w:tcBorders>
              <w:top w:val="nil"/>
              <w:left w:val="nil"/>
              <w:right w:val="nil"/>
            </w:tcBorders>
            <w:shd w:val="clear" w:color="auto" w:fill="FFFFFF"/>
          </w:tcPr>
          <w:p w:rsidR="002C39A3" w:rsidRPr="00BD391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484</w:t>
            </w:r>
          </w:p>
        </w:tc>
        <w:tc>
          <w:tcPr>
            <w:tcW w:w="850" w:type="dxa"/>
            <w:tcBorders>
              <w:top w:val="nil"/>
              <w:left w:val="nil"/>
              <w:right w:val="nil"/>
            </w:tcBorders>
            <w:shd w:val="clear" w:color="auto" w:fill="FFFFFF"/>
          </w:tcPr>
          <w:p w:rsidR="002C39A3" w:rsidRPr="00BD3916" w:rsidRDefault="002C39A3" w:rsidP="00361FA9">
            <w:pPr>
              <w:pStyle w:val="TableofFigures"/>
              <w:rPr>
                <w:rFonts w:eastAsiaTheme="minorEastAsia"/>
                <w:color w:val="000000"/>
                <w:sz w:val="19"/>
                <w:lang w:eastAsia="en-AU"/>
              </w:rPr>
            </w:pPr>
            <w:r w:rsidRPr="00BD3916">
              <w:rPr>
                <w:rFonts w:eastAsiaTheme="minorEastAsia"/>
                <w:color w:val="000000"/>
                <w:sz w:val="19"/>
                <w:lang w:eastAsia="en-AU"/>
              </w:rPr>
              <w:t>2.5</w:t>
            </w:r>
          </w:p>
        </w:tc>
      </w:tr>
      <w:tr w:rsidR="002C39A3" w:rsidRPr="00BD3916" w:rsidTr="00CC22BA">
        <w:tc>
          <w:tcPr>
            <w:tcW w:w="5217" w:type="dxa"/>
            <w:tcBorders>
              <w:top w:val="nil"/>
              <w:left w:val="nil"/>
              <w:bottom w:val="single" w:sz="6" w:space="0" w:color="auto"/>
              <w:right w:val="nil"/>
            </w:tcBorders>
            <w:shd w:val="clear" w:color="auto" w:fill="FFFFFF"/>
          </w:tcPr>
          <w:p w:rsidR="002C39A3" w:rsidRPr="00BD3916" w:rsidRDefault="002C39A3" w:rsidP="00361FA9">
            <w:pPr>
              <w:pStyle w:val="Tabletext"/>
              <w:ind w:left="227" w:hanging="227"/>
              <w:rPr>
                <w:rFonts w:eastAsiaTheme="minorEastAsia"/>
                <w:color w:val="000000"/>
                <w:lang w:eastAsia="en-AU"/>
              </w:rPr>
            </w:pPr>
            <w:r w:rsidRPr="00BD3916">
              <w:rPr>
                <w:rFonts w:eastAsiaTheme="minorEastAsia"/>
                <w:color w:val="000000"/>
                <w:lang w:eastAsia="en-AU"/>
              </w:rPr>
              <w:t>Contingent/Other</w:t>
            </w:r>
          </w:p>
        </w:tc>
        <w:tc>
          <w:tcPr>
            <w:tcW w:w="850" w:type="dxa"/>
            <w:tcBorders>
              <w:top w:val="nil"/>
              <w:left w:val="nil"/>
              <w:bottom w:val="single" w:sz="6" w:space="0" w:color="auto"/>
              <w:right w:val="nil"/>
            </w:tcBorders>
            <w:shd w:val="clear" w:color="auto" w:fill="FFFFFF"/>
          </w:tcPr>
          <w:p w:rsidR="002C39A3" w:rsidRPr="00BD3916" w:rsidRDefault="002C39A3" w:rsidP="00361FA9">
            <w:pPr>
              <w:pStyle w:val="TableofFigures"/>
              <w:rPr>
                <w:rFonts w:eastAsiaTheme="minorEastAsia" w:cs="Calibri"/>
                <w:color w:val="000000"/>
                <w:sz w:val="19"/>
                <w:szCs w:val="19"/>
                <w:lang w:eastAsia="en-AU"/>
              </w:rPr>
            </w:pPr>
            <w:r w:rsidRPr="00BD3916">
              <w:rPr>
                <w:rFonts w:eastAsiaTheme="minorEastAsia"/>
                <w:color w:val="000000"/>
                <w:sz w:val="19"/>
                <w:lang w:eastAsia="en-AU"/>
              </w:rPr>
              <w:t xml:space="preserve">1 </w:t>
            </w:r>
            <w:r w:rsidRPr="00BD3916">
              <w:rPr>
                <w:rFonts w:eastAsiaTheme="minorEastAsia" w:cs="Calibri"/>
                <w:color w:val="000000"/>
                <w:sz w:val="19"/>
                <w:szCs w:val="19"/>
                <w:lang w:eastAsia="en-AU"/>
              </w:rPr>
              <w:t>087</w:t>
            </w:r>
          </w:p>
        </w:tc>
        <w:tc>
          <w:tcPr>
            <w:tcW w:w="850" w:type="dxa"/>
            <w:tcBorders>
              <w:top w:val="nil"/>
              <w:left w:val="nil"/>
              <w:bottom w:val="single" w:sz="6" w:space="0" w:color="auto"/>
              <w:right w:val="nil"/>
            </w:tcBorders>
            <w:shd w:val="clear" w:color="auto" w:fill="FFFFFF"/>
          </w:tcPr>
          <w:p w:rsidR="002C39A3" w:rsidRPr="00BD3916" w:rsidRDefault="002C39A3" w:rsidP="00361FA9">
            <w:pPr>
              <w:pStyle w:val="TableofFigures"/>
              <w:rPr>
                <w:rFonts w:eastAsiaTheme="minorEastAsia"/>
                <w:color w:val="000000"/>
                <w:sz w:val="19"/>
                <w:lang w:eastAsia="en-AU"/>
              </w:rPr>
            </w:pPr>
            <w:r w:rsidRPr="00BD3916">
              <w:rPr>
                <w:rFonts w:eastAsiaTheme="minorEastAsia"/>
                <w:color w:val="000000"/>
                <w:sz w:val="19"/>
                <w:lang w:eastAsia="en-AU"/>
              </w:rPr>
              <w:t>1 443</w:t>
            </w:r>
          </w:p>
        </w:tc>
        <w:tc>
          <w:tcPr>
            <w:tcW w:w="850" w:type="dxa"/>
            <w:tcBorders>
              <w:top w:val="nil"/>
              <w:left w:val="nil"/>
              <w:bottom w:val="single" w:sz="6" w:space="0" w:color="auto"/>
              <w:right w:val="nil"/>
            </w:tcBorders>
            <w:shd w:val="clear" w:color="auto" w:fill="FFFFFF"/>
          </w:tcPr>
          <w:p w:rsidR="002C39A3" w:rsidRPr="00BD3916" w:rsidRDefault="002C39A3" w:rsidP="00361FA9">
            <w:pPr>
              <w:pStyle w:val="TableofFigures"/>
              <w:rPr>
                <w:rFonts w:eastAsiaTheme="minorEastAsia"/>
                <w:color w:val="000000"/>
                <w:sz w:val="19"/>
                <w:lang w:eastAsia="en-AU"/>
              </w:rPr>
            </w:pPr>
            <w:r w:rsidRPr="00BD3916">
              <w:rPr>
                <w:rFonts w:eastAsiaTheme="minorEastAsia"/>
                <w:color w:val="000000"/>
                <w:sz w:val="19"/>
                <w:lang w:eastAsia="en-AU"/>
              </w:rPr>
              <w:t>32.7</w:t>
            </w:r>
          </w:p>
        </w:tc>
      </w:tr>
      <w:tr w:rsidR="002C39A3" w:rsidRPr="00BD3916" w:rsidTr="00CC22BA">
        <w:tc>
          <w:tcPr>
            <w:tcW w:w="5217" w:type="dxa"/>
            <w:tcBorders>
              <w:top w:val="single" w:sz="6" w:space="0" w:color="auto"/>
              <w:left w:val="nil"/>
              <w:bottom w:val="single" w:sz="12" w:space="0" w:color="auto"/>
              <w:right w:val="nil"/>
            </w:tcBorders>
            <w:shd w:val="clear" w:color="auto" w:fill="FFFFFF"/>
          </w:tcPr>
          <w:p w:rsidR="002C39A3" w:rsidRPr="00BD3916" w:rsidRDefault="002C39A3" w:rsidP="00361FA9">
            <w:pPr>
              <w:pStyle w:val="Tabletext"/>
              <w:ind w:left="227" w:hanging="227"/>
              <w:rPr>
                <w:rFonts w:eastAsiaTheme="minorEastAsia"/>
                <w:b/>
                <w:bCs/>
                <w:color w:val="000000"/>
                <w:lang w:eastAsia="en-AU"/>
              </w:rPr>
            </w:pPr>
            <w:r w:rsidRPr="00BD3916">
              <w:rPr>
                <w:rFonts w:eastAsiaTheme="minorEastAsia"/>
                <w:b/>
                <w:bCs/>
                <w:color w:val="000000"/>
                <w:lang w:eastAsia="en-AU"/>
              </w:rPr>
              <w:t>Total grants for specific purposes</w:t>
            </w:r>
          </w:p>
        </w:tc>
        <w:tc>
          <w:tcPr>
            <w:tcW w:w="850" w:type="dxa"/>
            <w:tcBorders>
              <w:top w:val="single" w:sz="6" w:space="0" w:color="auto"/>
              <w:left w:val="nil"/>
              <w:bottom w:val="single" w:sz="12" w:space="0" w:color="auto"/>
              <w:right w:val="nil"/>
            </w:tcBorders>
            <w:shd w:val="clear" w:color="auto" w:fill="FFFFFF"/>
          </w:tcPr>
          <w:p w:rsidR="002C39A3" w:rsidRPr="00BD3916" w:rsidRDefault="002C39A3" w:rsidP="00361FA9">
            <w:pPr>
              <w:pStyle w:val="TableofFigures"/>
              <w:rPr>
                <w:rFonts w:eastAsiaTheme="minorEastAsia"/>
                <w:b/>
                <w:bCs/>
                <w:color w:val="000000"/>
                <w:sz w:val="19"/>
                <w:lang w:eastAsia="en-AU"/>
              </w:rPr>
            </w:pPr>
            <w:r w:rsidRPr="00BD3916">
              <w:rPr>
                <w:rFonts w:eastAsiaTheme="minorEastAsia"/>
                <w:b/>
                <w:bCs/>
                <w:color w:val="000000"/>
                <w:sz w:val="19"/>
                <w:lang w:eastAsia="en-AU"/>
              </w:rPr>
              <w:t>9 114</w:t>
            </w:r>
          </w:p>
        </w:tc>
        <w:tc>
          <w:tcPr>
            <w:tcW w:w="850" w:type="dxa"/>
            <w:tcBorders>
              <w:top w:val="single" w:sz="6" w:space="0" w:color="auto"/>
              <w:left w:val="nil"/>
              <w:bottom w:val="single" w:sz="12" w:space="0" w:color="auto"/>
              <w:right w:val="nil"/>
            </w:tcBorders>
            <w:shd w:val="clear" w:color="auto" w:fill="FFFFFF"/>
          </w:tcPr>
          <w:p w:rsidR="002C39A3" w:rsidRPr="00BD3916" w:rsidRDefault="002C39A3" w:rsidP="00361FA9">
            <w:pPr>
              <w:pStyle w:val="TableofFigures"/>
              <w:rPr>
                <w:rFonts w:eastAsiaTheme="minorEastAsia"/>
                <w:b/>
                <w:bCs/>
                <w:color w:val="000000"/>
                <w:sz w:val="19"/>
                <w:lang w:eastAsia="en-AU"/>
              </w:rPr>
            </w:pPr>
            <w:r w:rsidRPr="00BD3916">
              <w:rPr>
                <w:rFonts w:eastAsiaTheme="minorEastAsia"/>
                <w:b/>
                <w:bCs/>
                <w:color w:val="000000"/>
                <w:sz w:val="19"/>
                <w:lang w:eastAsia="en-AU"/>
              </w:rPr>
              <w:t>9 731</w:t>
            </w:r>
          </w:p>
        </w:tc>
        <w:tc>
          <w:tcPr>
            <w:tcW w:w="850" w:type="dxa"/>
            <w:tcBorders>
              <w:top w:val="single" w:sz="6" w:space="0" w:color="auto"/>
              <w:left w:val="nil"/>
              <w:bottom w:val="single" w:sz="12" w:space="0" w:color="auto"/>
              <w:right w:val="nil"/>
            </w:tcBorders>
            <w:shd w:val="clear" w:color="auto" w:fill="FFFFFF"/>
          </w:tcPr>
          <w:p w:rsidR="002C39A3" w:rsidRPr="00BD3916" w:rsidRDefault="002C39A3" w:rsidP="00361FA9">
            <w:pPr>
              <w:pStyle w:val="TableofFigures"/>
              <w:rPr>
                <w:rFonts w:eastAsiaTheme="minorEastAsia"/>
                <w:b/>
                <w:bCs/>
                <w:color w:val="000000"/>
                <w:sz w:val="19"/>
                <w:lang w:eastAsia="en-AU"/>
              </w:rPr>
            </w:pPr>
            <w:r w:rsidRPr="00BD3916">
              <w:rPr>
                <w:rFonts w:eastAsiaTheme="minorEastAsia"/>
                <w:b/>
                <w:bCs/>
                <w:color w:val="000000"/>
                <w:sz w:val="19"/>
                <w:lang w:eastAsia="en-AU"/>
              </w:rPr>
              <w:t>6.8</w:t>
            </w:r>
          </w:p>
        </w:tc>
      </w:tr>
    </w:tbl>
    <w:p w:rsidR="002C39A3" w:rsidRDefault="002C39A3" w:rsidP="00361FA9">
      <w:pPr>
        <w:pStyle w:val="Source"/>
        <w:rPr>
          <w:rFonts w:eastAsiaTheme="minorHAnsi"/>
        </w:rPr>
      </w:pPr>
      <w:r w:rsidRPr="009A1C06">
        <w:rPr>
          <w:rFonts w:eastAsiaTheme="minorHAnsi"/>
        </w:rPr>
        <w:t>Source: Department of Treasury and Finance</w:t>
      </w:r>
    </w:p>
    <w:p w:rsidR="002C39A3" w:rsidRDefault="002C39A3" w:rsidP="00361FA9">
      <w:pPr>
        <w:pStyle w:val="Notes"/>
        <w:rPr>
          <w:rFonts w:eastAsiaTheme="minorHAnsi"/>
        </w:rPr>
      </w:pPr>
      <w:r>
        <w:rPr>
          <w:rFonts w:eastAsiaTheme="minorHAnsi"/>
        </w:rPr>
        <w:t>Notes:</w:t>
      </w:r>
    </w:p>
    <w:p w:rsidR="002C39A3" w:rsidRDefault="002C39A3" w:rsidP="00361FA9">
      <w:pPr>
        <w:pStyle w:val="Notes"/>
        <w:rPr>
          <w:rFonts w:eastAsiaTheme="minorHAnsi"/>
        </w:rPr>
      </w:pPr>
      <w:r>
        <w:rPr>
          <w:rFonts w:eastAsiaTheme="minorHAnsi"/>
        </w:rPr>
        <w:t xml:space="preserve">(a) </w:t>
      </w:r>
      <w:r>
        <w:rPr>
          <w:rFonts w:eastAsiaTheme="minorHAnsi"/>
        </w:rPr>
        <w:tab/>
        <w:t>Per cent change between 2015-16 and 2016-17.</w:t>
      </w:r>
    </w:p>
    <w:p w:rsidR="002C39A3" w:rsidRDefault="002C39A3" w:rsidP="00361FA9">
      <w:pPr>
        <w:pStyle w:val="Notes"/>
        <w:rPr>
          <w:lang w:eastAsia="en-AU"/>
        </w:rPr>
      </w:pPr>
      <w:r>
        <w:rPr>
          <w:rFonts w:eastAsiaTheme="minorHAnsi"/>
        </w:rPr>
        <w:t xml:space="preserve">(b) </w:t>
      </w:r>
      <w:r>
        <w:rPr>
          <w:rFonts w:eastAsiaTheme="minorHAnsi"/>
        </w:rPr>
        <w:tab/>
        <w:t>Increase in part reflects transitional funding arrangements towards the National Disability Insurance Scheme (NDIS).</w:t>
      </w:r>
    </w:p>
    <w:p w:rsidR="002C39A3" w:rsidRDefault="002C39A3" w:rsidP="00361FA9">
      <w:pPr>
        <w:pStyle w:val="Notes"/>
        <w:rPr>
          <w:lang w:eastAsia="en-AU"/>
        </w:rPr>
      </w:pPr>
      <w:r>
        <w:rPr>
          <w:rFonts w:eastAsiaTheme="minorHAnsi"/>
        </w:rPr>
        <w:t>(c</w:t>
      </w:r>
      <w:r w:rsidRPr="003B4B23">
        <w:rPr>
          <w:rFonts w:eastAsiaTheme="minorHAnsi"/>
        </w:rPr>
        <w:t xml:space="preserve">) </w:t>
      </w:r>
      <w:r w:rsidRPr="003B4B23">
        <w:rPr>
          <w:rFonts w:eastAsiaTheme="minorHAnsi"/>
        </w:rPr>
        <w:tab/>
      </w:r>
      <w:r>
        <w:rPr>
          <w:rFonts w:eastAsiaTheme="minorHAnsi"/>
        </w:rPr>
        <w:t>Increase driven by reschedu</w:t>
      </w:r>
      <w:r>
        <w:rPr>
          <w:lang w:eastAsia="en-AU"/>
        </w:rPr>
        <w:t>ling of Goulburn-Murray Connections payments from 2015-16 to 2016</w:t>
      </w:r>
      <w:r>
        <w:rPr>
          <w:lang w:eastAsia="en-AU"/>
        </w:rPr>
        <w:noBreakHyphen/>
        <w:t>17.</w:t>
      </w:r>
    </w:p>
    <w:p w:rsidR="002C39A3" w:rsidRDefault="002C39A3" w:rsidP="00361FA9">
      <w:pPr>
        <w:rPr>
          <w:rFonts w:eastAsiaTheme="minorHAnsi"/>
        </w:rPr>
      </w:pPr>
    </w:p>
    <w:p w:rsidR="002C39A3" w:rsidRDefault="002C39A3" w:rsidP="00361FA9">
      <w:pPr>
        <w:pStyle w:val="Tableheading"/>
        <w:rPr>
          <w:rFonts w:eastAsiaTheme="minorHAnsi"/>
        </w:rPr>
      </w:pPr>
      <w:r>
        <w:rPr>
          <w:rFonts w:eastAsiaTheme="minorHAnsi"/>
        </w:rPr>
        <w:t xml:space="preserve">Table 4.8: </w:t>
      </w:r>
      <w:r>
        <w:rPr>
          <w:rFonts w:eastAsiaTheme="minorHAnsi"/>
        </w:rPr>
        <w:tab/>
        <w:t>Payments for affordable housing</w:t>
      </w:r>
    </w:p>
    <w:p w:rsidR="002C39A3" w:rsidRPr="00F3739F" w:rsidRDefault="002C39A3" w:rsidP="00361FA9">
      <w:pPr>
        <w:pStyle w:val="million"/>
        <w:rPr>
          <w:rFonts w:eastAsiaTheme="minorHAnsi"/>
          <w:highlight w:val="yellow"/>
        </w:rPr>
      </w:pPr>
      <w:r>
        <w:rPr>
          <w:rFonts w:eastAsiaTheme="minorHAnsi"/>
        </w:rPr>
        <w:t>($ million)</w:t>
      </w:r>
    </w:p>
    <w:tbl>
      <w:tblPr>
        <w:tblW w:w="0" w:type="auto"/>
        <w:tblInd w:w="78" w:type="dxa"/>
        <w:tblLayout w:type="fixed"/>
        <w:tblLook w:val="0000" w:firstRow="0" w:lastRow="0" w:firstColumn="0" w:lastColumn="0" w:noHBand="0" w:noVBand="0"/>
      </w:tblPr>
      <w:tblGrid>
        <w:gridCol w:w="5238"/>
        <w:gridCol w:w="853"/>
        <w:gridCol w:w="854"/>
        <w:gridCol w:w="890"/>
      </w:tblGrid>
      <w:tr w:rsidR="00CC22BA" w:rsidRPr="00F3739F" w:rsidTr="00EA058F">
        <w:trPr>
          <w:trHeight w:val="479"/>
        </w:trPr>
        <w:tc>
          <w:tcPr>
            <w:tcW w:w="5238" w:type="dxa"/>
            <w:tcBorders>
              <w:top w:val="single" w:sz="6" w:space="0" w:color="auto"/>
              <w:left w:val="single" w:sz="6" w:space="0" w:color="auto"/>
              <w:right w:val="nil"/>
            </w:tcBorders>
            <w:shd w:val="solid" w:color="000000" w:fill="auto"/>
          </w:tcPr>
          <w:p w:rsidR="00CC22BA" w:rsidRPr="00F3739F" w:rsidRDefault="00CC22BA" w:rsidP="00AF5DDD">
            <w:pPr>
              <w:pStyle w:val="Tabletextheading"/>
              <w:jc w:val="left"/>
              <w:rPr>
                <w:rFonts w:eastAsiaTheme="minorEastAsia"/>
                <w:sz w:val="19"/>
                <w:lang w:eastAsia="en-AU"/>
              </w:rPr>
            </w:pPr>
          </w:p>
        </w:tc>
        <w:tc>
          <w:tcPr>
            <w:tcW w:w="853" w:type="dxa"/>
            <w:tcBorders>
              <w:top w:val="single" w:sz="6" w:space="0" w:color="auto"/>
              <w:left w:val="nil"/>
              <w:right w:val="nil"/>
            </w:tcBorders>
            <w:shd w:val="solid" w:color="000000" w:fill="auto"/>
          </w:tcPr>
          <w:p w:rsidR="00CC22BA" w:rsidRPr="00F3739F" w:rsidRDefault="00CC22BA" w:rsidP="00361FA9">
            <w:pPr>
              <w:pStyle w:val="Tabletextheading"/>
              <w:rPr>
                <w:rFonts w:eastAsiaTheme="minorEastAsia"/>
                <w:iCs/>
                <w:sz w:val="19"/>
                <w:lang w:eastAsia="en-AU"/>
              </w:rPr>
            </w:pPr>
            <w:r w:rsidRPr="00F3739F">
              <w:rPr>
                <w:rFonts w:eastAsiaTheme="minorEastAsia"/>
                <w:iCs/>
                <w:sz w:val="19"/>
                <w:lang w:eastAsia="en-AU"/>
              </w:rPr>
              <w:t>2015-16</w:t>
            </w:r>
          </w:p>
          <w:p w:rsidR="00CC22BA" w:rsidRPr="00F3739F" w:rsidRDefault="00CC22BA" w:rsidP="00361FA9">
            <w:pPr>
              <w:pStyle w:val="Tabletextheading"/>
              <w:rPr>
                <w:rFonts w:eastAsiaTheme="minorEastAsia"/>
                <w:iCs/>
                <w:sz w:val="19"/>
                <w:lang w:eastAsia="en-AU"/>
              </w:rPr>
            </w:pPr>
            <w:r w:rsidRPr="00F3739F">
              <w:rPr>
                <w:rFonts w:eastAsiaTheme="minorEastAsia"/>
                <w:iCs/>
                <w:sz w:val="19"/>
                <w:lang w:eastAsia="en-AU"/>
              </w:rPr>
              <w:t>revised</w:t>
            </w:r>
          </w:p>
        </w:tc>
        <w:tc>
          <w:tcPr>
            <w:tcW w:w="854" w:type="dxa"/>
            <w:tcBorders>
              <w:top w:val="single" w:sz="6" w:space="0" w:color="auto"/>
              <w:left w:val="nil"/>
              <w:right w:val="nil"/>
            </w:tcBorders>
            <w:shd w:val="solid" w:color="000000" w:fill="auto"/>
          </w:tcPr>
          <w:p w:rsidR="00CC22BA" w:rsidRPr="00F3739F" w:rsidRDefault="00CC22BA" w:rsidP="00361FA9">
            <w:pPr>
              <w:pStyle w:val="Tabletextheading"/>
              <w:rPr>
                <w:rFonts w:eastAsiaTheme="minorEastAsia"/>
                <w:iCs/>
                <w:sz w:val="19"/>
                <w:lang w:eastAsia="en-AU"/>
              </w:rPr>
            </w:pPr>
            <w:r w:rsidRPr="00F3739F">
              <w:rPr>
                <w:rFonts w:eastAsiaTheme="minorEastAsia"/>
                <w:iCs/>
                <w:sz w:val="19"/>
                <w:lang w:eastAsia="en-AU"/>
              </w:rPr>
              <w:t>2016-17</w:t>
            </w:r>
          </w:p>
          <w:p w:rsidR="00CC22BA" w:rsidRPr="00F3739F" w:rsidRDefault="00CC22BA" w:rsidP="00361FA9">
            <w:pPr>
              <w:pStyle w:val="Tabletextheading"/>
              <w:rPr>
                <w:rFonts w:eastAsiaTheme="minorEastAsia"/>
                <w:iCs/>
                <w:sz w:val="19"/>
                <w:lang w:eastAsia="en-AU"/>
              </w:rPr>
            </w:pPr>
            <w:r w:rsidRPr="00F3739F">
              <w:rPr>
                <w:rFonts w:eastAsiaTheme="minorEastAsia"/>
                <w:iCs/>
                <w:sz w:val="19"/>
                <w:lang w:eastAsia="en-AU"/>
              </w:rPr>
              <w:t>budget</w:t>
            </w:r>
          </w:p>
        </w:tc>
        <w:tc>
          <w:tcPr>
            <w:tcW w:w="890" w:type="dxa"/>
            <w:tcBorders>
              <w:top w:val="single" w:sz="6" w:space="0" w:color="auto"/>
              <w:left w:val="nil"/>
              <w:right w:val="single" w:sz="6" w:space="0" w:color="auto"/>
            </w:tcBorders>
            <w:shd w:val="solid" w:color="000000" w:fill="auto"/>
          </w:tcPr>
          <w:p w:rsidR="00CC22BA" w:rsidRPr="00F3739F" w:rsidRDefault="00CC22BA" w:rsidP="00361FA9">
            <w:pPr>
              <w:pStyle w:val="Tabletextheading"/>
              <w:rPr>
                <w:rFonts w:eastAsiaTheme="minorEastAsia"/>
                <w:iCs/>
                <w:sz w:val="19"/>
                <w:lang w:eastAsia="en-AU"/>
              </w:rPr>
            </w:pPr>
            <w:r w:rsidRPr="00F3739F">
              <w:rPr>
                <w:rFonts w:eastAsiaTheme="minorEastAsia"/>
                <w:iCs/>
                <w:sz w:val="19"/>
                <w:lang w:eastAsia="en-AU"/>
              </w:rPr>
              <w:t>Change</w:t>
            </w:r>
          </w:p>
          <w:p w:rsidR="00CC22BA" w:rsidRPr="00F3739F" w:rsidRDefault="00CC22BA" w:rsidP="00361FA9">
            <w:pPr>
              <w:pStyle w:val="Tabletextheading"/>
              <w:rPr>
                <w:rFonts w:eastAsiaTheme="minorEastAsia"/>
                <w:iCs/>
                <w:sz w:val="19"/>
                <w:lang w:eastAsia="en-AU"/>
              </w:rPr>
            </w:pPr>
            <w:r w:rsidRPr="00F3739F">
              <w:rPr>
                <w:rFonts w:eastAsiaTheme="minorEastAsia"/>
                <w:iCs/>
                <w:sz w:val="19"/>
                <w:lang w:eastAsia="en-AU"/>
              </w:rPr>
              <w:t>%</w:t>
            </w:r>
            <w:r w:rsidRPr="00F3739F">
              <w:rPr>
                <w:rFonts w:eastAsiaTheme="minorEastAsia"/>
                <w:iCs/>
                <w:sz w:val="19"/>
                <w:vertAlign w:val="superscript"/>
                <w:lang w:eastAsia="en-AU"/>
              </w:rPr>
              <w:t>(a)</w:t>
            </w:r>
          </w:p>
        </w:tc>
      </w:tr>
      <w:tr w:rsidR="00CC22BA" w:rsidRPr="00F3739F" w:rsidTr="00EA058F">
        <w:trPr>
          <w:trHeight w:val="215"/>
        </w:trPr>
        <w:tc>
          <w:tcPr>
            <w:tcW w:w="7835" w:type="dxa"/>
            <w:gridSpan w:val="4"/>
            <w:tcBorders>
              <w:top w:val="nil"/>
              <w:left w:val="nil"/>
              <w:bottom w:val="nil"/>
              <w:right w:val="nil"/>
            </w:tcBorders>
          </w:tcPr>
          <w:p w:rsidR="00CC22BA" w:rsidRPr="00F3739F" w:rsidRDefault="00CC22BA" w:rsidP="00CC22BA">
            <w:pPr>
              <w:pStyle w:val="Tabletext"/>
              <w:rPr>
                <w:rFonts w:eastAsiaTheme="minorEastAsia" w:cs="Calibri"/>
                <w:color w:val="000000"/>
                <w:lang w:eastAsia="en-AU"/>
              </w:rPr>
            </w:pPr>
            <w:r w:rsidRPr="00F3739F">
              <w:rPr>
                <w:rFonts w:eastAsiaTheme="minorEastAsia"/>
                <w:b/>
                <w:lang w:eastAsia="en-AU"/>
              </w:rPr>
              <w:t>National Affordable Housing Agreement</w:t>
            </w:r>
          </w:p>
        </w:tc>
      </w:tr>
      <w:tr w:rsidR="00CC22BA" w:rsidRPr="00F3739F" w:rsidTr="00EA058F">
        <w:trPr>
          <w:trHeight w:val="215"/>
        </w:trPr>
        <w:tc>
          <w:tcPr>
            <w:tcW w:w="7835" w:type="dxa"/>
            <w:gridSpan w:val="4"/>
            <w:tcBorders>
              <w:top w:val="nil"/>
              <w:left w:val="nil"/>
              <w:bottom w:val="nil"/>
              <w:right w:val="nil"/>
            </w:tcBorders>
          </w:tcPr>
          <w:p w:rsidR="00CC22BA" w:rsidRPr="00F3739F" w:rsidRDefault="00CC22BA" w:rsidP="00CC22BA">
            <w:pPr>
              <w:pStyle w:val="Tabletext"/>
              <w:ind w:left="0" w:firstLine="0"/>
              <w:rPr>
                <w:rFonts w:eastAsiaTheme="minorEastAsia"/>
                <w:lang w:eastAsia="en-AU"/>
              </w:rPr>
            </w:pPr>
            <w:r w:rsidRPr="00F3739F">
              <w:rPr>
                <w:rFonts w:eastAsiaTheme="minorEastAsia"/>
                <w:lang w:eastAsia="en-AU"/>
              </w:rPr>
              <w:t>Funding for affordable, safe and sustainable housing that contributes to economic and social participation in the community.</w:t>
            </w:r>
          </w:p>
        </w:tc>
      </w:tr>
      <w:tr w:rsidR="002C39A3" w:rsidRPr="00F3739F" w:rsidTr="00361FA9">
        <w:trPr>
          <w:trHeight w:val="215"/>
        </w:trPr>
        <w:tc>
          <w:tcPr>
            <w:tcW w:w="5238" w:type="dxa"/>
            <w:tcBorders>
              <w:top w:val="nil"/>
              <w:left w:val="nil"/>
              <w:bottom w:val="single" w:sz="12" w:space="0" w:color="auto"/>
              <w:right w:val="nil"/>
            </w:tcBorders>
          </w:tcPr>
          <w:p w:rsidR="002C39A3" w:rsidRPr="00F3739F" w:rsidRDefault="002C39A3" w:rsidP="00361FA9">
            <w:pPr>
              <w:pStyle w:val="Tabletext"/>
              <w:rPr>
                <w:rFonts w:eastAsiaTheme="minorEastAsia"/>
                <w:lang w:eastAsia="en-AU"/>
              </w:rPr>
            </w:pPr>
            <w:r w:rsidRPr="00F3739F">
              <w:rPr>
                <w:rFonts w:eastAsiaTheme="minorEastAsia"/>
                <w:lang w:eastAsia="en-AU"/>
              </w:rPr>
              <w:t xml:space="preserve"> </w:t>
            </w:r>
          </w:p>
        </w:tc>
        <w:tc>
          <w:tcPr>
            <w:tcW w:w="853" w:type="dxa"/>
            <w:tcBorders>
              <w:top w:val="nil"/>
              <w:left w:val="nil"/>
              <w:bottom w:val="single" w:sz="12" w:space="0" w:color="auto"/>
              <w:right w:val="nil"/>
            </w:tcBorders>
          </w:tcPr>
          <w:p w:rsidR="002C39A3" w:rsidRPr="00F3739F" w:rsidRDefault="00AF5DDD" w:rsidP="00361FA9">
            <w:pPr>
              <w:pStyle w:val="TableofFigures"/>
              <w:rPr>
                <w:rFonts w:eastAsiaTheme="minorEastAsia"/>
                <w:sz w:val="19"/>
                <w:lang w:eastAsia="en-AU"/>
              </w:rPr>
            </w:pPr>
            <w:r>
              <w:rPr>
                <w:rFonts w:eastAsiaTheme="minorEastAsia"/>
                <w:sz w:val="19"/>
                <w:lang w:eastAsia="en-AU"/>
              </w:rPr>
              <w:t>330</w:t>
            </w:r>
          </w:p>
        </w:tc>
        <w:tc>
          <w:tcPr>
            <w:tcW w:w="854" w:type="dxa"/>
            <w:tcBorders>
              <w:top w:val="nil"/>
              <w:left w:val="nil"/>
              <w:bottom w:val="single" w:sz="12" w:space="0" w:color="auto"/>
              <w:right w:val="nil"/>
            </w:tcBorders>
          </w:tcPr>
          <w:p w:rsidR="002C39A3" w:rsidRPr="00F3739F" w:rsidRDefault="00AF5DDD" w:rsidP="00361FA9">
            <w:pPr>
              <w:pStyle w:val="TableofFigures"/>
              <w:rPr>
                <w:rFonts w:eastAsiaTheme="minorEastAsia"/>
                <w:sz w:val="19"/>
                <w:lang w:eastAsia="en-AU"/>
              </w:rPr>
            </w:pPr>
            <w:r>
              <w:rPr>
                <w:rFonts w:eastAsiaTheme="minorEastAsia"/>
                <w:sz w:val="19"/>
                <w:lang w:eastAsia="en-AU"/>
              </w:rPr>
              <w:t>335</w:t>
            </w:r>
          </w:p>
        </w:tc>
        <w:tc>
          <w:tcPr>
            <w:tcW w:w="890" w:type="dxa"/>
            <w:tcBorders>
              <w:top w:val="nil"/>
              <w:left w:val="nil"/>
              <w:bottom w:val="single" w:sz="12" w:space="0" w:color="auto"/>
              <w:right w:val="nil"/>
            </w:tcBorders>
          </w:tcPr>
          <w:p w:rsidR="002C39A3" w:rsidRPr="00F3739F" w:rsidRDefault="002C39A3" w:rsidP="00361FA9">
            <w:pPr>
              <w:pStyle w:val="TableofFigures"/>
              <w:rPr>
                <w:rFonts w:eastAsiaTheme="minorEastAsia"/>
                <w:sz w:val="19"/>
                <w:lang w:eastAsia="en-AU"/>
              </w:rPr>
            </w:pPr>
            <w:r w:rsidRPr="00F3739F">
              <w:rPr>
                <w:rFonts w:eastAsiaTheme="minorEastAsia"/>
                <w:sz w:val="19"/>
                <w:lang w:eastAsia="en-AU"/>
              </w:rPr>
              <w:t>1.7</w:t>
            </w:r>
          </w:p>
        </w:tc>
      </w:tr>
      <w:tr w:rsidR="00CC22BA" w:rsidRPr="00F3739F" w:rsidTr="00EA058F">
        <w:trPr>
          <w:trHeight w:val="215"/>
        </w:trPr>
        <w:tc>
          <w:tcPr>
            <w:tcW w:w="7835" w:type="dxa"/>
            <w:gridSpan w:val="4"/>
            <w:tcBorders>
              <w:top w:val="nil"/>
              <w:left w:val="nil"/>
              <w:bottom w:val="nil"/>
              <w:right w:val="nil"/>
            </w:tcBorders>
          </w:tcPr>
          <w:p w:rsidR="00CC22BA" w:rsidRPr="00F3739F" w:rsidRDefault="00CC22BA" w:rsidP="00CC22BA">
            <w:pPr>
              <w:pStyle w:val="Tabletext"/>
              <w:rPr>
                <w:rFonts w:eastAsiaTheme="minorEastAsia"/>
                <w:lang w:eastAsia="en-AU"/>
              </w:rPr>
            </w:pPr>
            <w:r w:rsidRPr="00F3739F">
              <w:rPr>
                <w:rFonts w:eastAsiaTheme="minorEastAsia"/>
                <w:b/>
                <w:lang w:eastAsia="en-AU"/>
              </w:rPr>
              <w:t>National Partnerships</w:t>
            </w:r>
          </w:p>
        </w:tc>
      </w:tr>
      <w:tr w:rsidR="00CC22BA" w:rsidRPr="00F3739F" w:rsidTr="00EA058F">
        <w:trPr>
          <w:trHeight w:val="215"/>
        </w:trPr>
        <w:tc>
          <w:tcPr>
            <w:tcW w:w="7835" w:type="dxa"/>
            <w:gridSpan w:val="4"/>
            <w:tcBorders>
              <w:top w:val="nil"/>
              <w:left w:val="nil"/>
              <w:bottom w:val="nil"/>
              <w:right w:val="nil"/>
            </w:tcBorders>
          </w:tcPr>
          <w:p w:rsidR="00CC22BA" w:rsidRPr="00F3739F" w:rsidRDefault="00CC22BA" w:rsidP="00CC22BA">
            <w:pPr>
              <w:pStyle w:val="Tabletext"/>
              <w:rPr>
                <w:rFonts w:eastAsiaTheme="minorEastAsia"/>
                <w:lang w:eastAsia="en-AU"/>
              </w:rPr>
            </w:pPr>
            <w:r w:rsidRPr="00F3739F">
              <w:rPr>
                <w:rFonts w:eastAsiaTheme="minorEastAsia"/>
                <w:i/>
                <w:iCs/>
                <w:lang w:eastAsia="en-AU"/>
              </w:rPr>
              <w:t>National Partnership Agreement on Homelessness</w:t>
            </w:r>
          </w:p>
        </w:tc>
      </w:tr>
      <w:tr w:rsidR="00CC22BA" w:rsidRPr="00F3739F" w:rsidTr="00EA058F">
        <w:trPr>
          <w:trHeight w:val="215"/>
        </w:trPr>
        <w:tc>
          <w:tcPr>
            <w:tcW w:w="7835" w:type="dxa"/>
            <w:gridSpan w:val="4"/>
            <w:tcBorders>
              <w:top w:val="nil"/>
              <w:left w:val="nil"/>
              <w:bottom w:val="nil"/>
              <w:right w:val="nil"/>
            </w:tcBorders>
          </w:tcPr>
          <w:p w:rsidR="00CC22BA" w:rsidRPr="00F3739F" w:rsidRDefault="00CC22BA" w:rsidP="00CC22BA">
            <w:pPr>
              <w:pStyle w:val="Tabletext"/>
              <w:ind w:left="0" w:firstLine="0"/>
              <w:rPr>
                <w:rFonts w:eastAsiaTheme="minorEastAsia"/>
                <w:lang w:eastAsia="en-AU"/>
              </w:rPr>
            </w:pPr>
            <w:r w:rsidRPr="00F3739F">
              <w:rPr>
                <w:rFonts w:eastAsiaTheme="minorEastAsia"/>
                <w:lang w:eastAsia="en-AU"/>
              </w:rPr>
              <w:t>Provision of services to assist people who are homeless or at risk of homelessness achieve sustainable housing and social inclusion.</w:t>
            </w:r>
          </w:p>
        </w:tc>
      </w:tr>
      <w:tr w:rsidR="002C39A3" w:rsidRPr="00F3739F" w:rsidTr="00361FA9">
        <w:trPr>
          <w:trHeight w:val="215"/>
        </w:trPr>
        <w:tc>
          <w:tcPr>
            <w:tcW w:w="5238" w:type="dxa"/>
            <w:tcBorders>
              <w:top w:val="nil"/>
              <w:left w:val="nil"/>
              <w:bottom w:val="single" w:sz="6" w:space="0" w:color="auto"/>
              <w:right w:val="nil"/>
            </w:tcBorders>
          </w:tcPr>
          <w:p w:rsidR="002C39A3" w:rsidRPr="00F3739F" w:rsidRDefault="002C39A3" w:rsidP="00361FA9">
            <w:pPr>
              <w:pStyle w:val="Tabletext"/>
              <w:rPr>
                <w:rFonts w:eastAsiaTheme="minorEastAsia"/>
                <w:lang w:eastAsia="en-AU"/>
              </w:rPr>
            </w:pPr>
            <w:r w:rsidRPr="00F3739F">
              <w:rPr>
                <w:rFonts w:eastAsiaTheme="minorEastAsia"/>
                <w:lang w:eastAsia="en-AU"/>
              </w:rPr>
              <w:t xml:space="preserve"> </w:t>
            </w:r>
          </w:p>
        </w:tc>
        <w:tc>
          <w:tcPr>
            <w:tcW w:w="853" w:type="dxa"/>
            <w:tcBorders>
              <w:top w:val="nil"/>
              <w:left w:val="nil"/>
              <w:bottom w:val="single" w:sz="6" w:space="0" w:color="auto"/>
              <w:right w:val="nil"/>
            </w:tcBorders>
          </w:tcPr>
          <w:p w:rsidR="002C39A3" w:rsidRPr="00F3739F" w:rsidRDefault="00AF5DDD" w:rsidP="00361FA9">
            <w:pPr>
              <w:pStyle w:val="TableofFigures"/>
              <w:rPr>
                <w:rFonts w:eastAsiaTheme="minorEastAsia"/>
                <w:sz w:val="19"/>
                <w:lang w:eastAsia="en-AU"/>
              </w:rPr>
            </w:pPr>
            <w:r>
              <w:rPr>
                <w:rFonts w:eastAsiaTheme="minorEastAsia"/>
                <w:sz w:val="19"/>
                <w:lang w:eastAsia="en-AU"/>
              </w:rPr>
              <w:t>23</w:t>
            </w:r>
          </w:p>
        </w:tc>
        <w:tc>
          <w:tcPr>
            <w:tcW w:w="854" w:type="dxa"/>
            <w:tcBorders>
              <w:top w:val="nil"/>
              <w:left w:val="nil"/>
              <w:bottom w:val="single" w:sz="6" w:space="0" w:color="auto"/>
              <w:right w:val="nil"/>
            </w:tcBorders>
          </w:tcPr>
          <w:p w:rsidR="002C39A3" w:rsidRPr="00F3739F" w:rsidRDefault="00AF5DDD" w:rsidP="00361FA9">
            <w:pPr>
              <w:pStyle w:val="TableofFigures"/>
              <w:rPr>
                <w:rFonts w:eastAsiaTheme="minorEastAsia"/>
                <w:sz w:val="19"/>
                <w:lang w:eastAsia="en-AU"/>
              </w:rPr>
            </w:pPr>
            <w:r>
              <w:rPr>
                <w:rFonts w:eastAsiaTheme="minorEastAsia"/>
                <w:sz w:val="19"/>
                <w:lang w:eastAsia="en-AU"/>
              </w:rPr>
              <w:t>23</w:t>
            </w:r>
          </w:p>
        </w:tc>
        <w:tc>
          <w:tcPr>
            <w:tcW w:w="890" w:type="dxa"/>
            <w:tcBorders>
              <w:top w:val="nil"/>
              <w:left w:val="nil"/>
              <w:bottom w:val="single" w:sz="6" w:space="0" w:color="auto"/>
              <w:right w:val="nil"/>
            </w:tcBorders>
          </w:tcPr>
          <w:p w:rsidR="002C39A3" w:rsidRPr="00F3739F" w:rsidRDefault="002C39A3" w:rsidP="00361FA9">
            <w:pPr>
              <w:pStyle w:val="TableofFigures"/>
              <w:rPr>
                <w:rFonts w:eastAsiaTheme="minorEastAsia"/>
                <w:sz w:val="19"/>
                <w:lang w:eastAsia="en-AU"/>
              </w:rPr>
            </w:pPr>
            <w:r w:rsidRPr="00F3739F">
              <w:rPr>
                <w:rFonts w:eastAsiaTheme="minorEastAsia"/>
                <w:sz w:val="19"/>
                <w:lang w:eastAsia="en-AU"/>
              </w:rPr>
              <w:t>..</w:t>
            </w:r>
          </w:p>
        </w:tc>
      </w:tr>
      <w:tr w:rsidR="002C39A3" w:rsidRPr="00F3739F" w:rsidTr="00361FA9">
        <w:trPr>
          <w:trHeight w:val="215"/>
        </w:trPr>
        <w:tc>
          <w:tcPr>
            <w:tcW w:w="5238" w:type="dxa"/>
            <w:tcBorders>
              <w:top w:val="nil"/>
              <w:left w:val="nil"/>
              <w:bottom w:val="nil"/>
              <w:right w:val="nil"/>
            </w:tcBorders>
          </w:tcPr>
          <w:p w:rsidR="002C39A3" w:rsidRPr="00F3739F" w:rsidRDefault="002C39A3" w:rsidP="00361FA9">
            <w:pPr>
              <w:pStyle w:val="Tabletext"/>
              <w:rPr>
                <w:rFonts w:eastAsiaTheme="minorEastAsia"/>
                <w:b/>
                <w:lang w:eastAsia="en-AU"/>
              </w:rPr>
            </w:pPr>
            <w:r w:rsidRPr="00F3739F">
              <w:rPr>
                <w:rFonts w:eastAsiaTheme="minorEastAsia"/>
                <w:b/>
                <w:lang w:eastAsia="en-AU"/>
              </w:rPr>
              <w:t>Other</w:t>
            </w:r>
          </w:p>
        </w:tc>
        <w:tc>
          <w:tcPr>
            <w:tcW w:w="853" w:type="dxa"/>
            <w:tcBorders>
              <w:top w:val="nil"/>
              <w:left w:val="nil"/>
              <w:bottom w:val="nil"/>
              <w:right w:val="nil"/>
            </w:tcBorders>
          </w:tcPr>
          <w:p w:rsidR="002C39A3" w:rsidRPr="00F3739F" w:rsidRDefault="002C39A3" w:rsidP="00361FA9">
            <w:pPr>
              <w:pStyle w:val="TableofFigures"/>
              <w:rPr>
                <w:rFonts w:eastAsiaTheme="minorEastAsia"/>
                <w:b/>
                <w:bCs/>
                <w:sz w:val="19"/>
                <w:lang w:eastAsia="en-AU"/>
              </w:rPr>
            </w:pPr>
            <w:r w:rsidRPr="00F3739F">
              <w:rPr>
                <w:rFonts w:eastAsiaTheme="minorEastAsia"/>
                <w:b/>
                <w:bCs/>
                <w:sz w:val="19"/>
                <w:lang w:eastAsia="en-AU"/>
              </w:rPr>
              <w:t>..</w:t>
            </w:r>
          </w:p>
        </w:tc>
        <w:tc>
          <w:tcPr>
            <w:tcW w:w="854" w:type="dxa"/>
            <w:tcBorders>
              <w:top w:val="nil"/>
              <w:left w:val="nil"/>
              <w:bottom w:val="nil"/>
              <w:right w:val="nil"/>
            </w:tcBorders>
          </w:tcPr>
          <w:p w:rsidR="002C39A3" w:rsidRPr="00F3739F" w:rsidRDefault="002C39A3" w:rsidP="00361FA9">
            <w:pPr>
              <w:pStyle w:val="TableofFigures"/>
              <w:rPr>
                <w:rFonts w:eastAsiaTheme="minorEastAsia"/>
                <w:b/>
                <w:bCs/>
                <w:sz w:val="19"/>
                <w:lang w:eastAsia="en-AU"/>
              </w:rPr>
            </w:pPr>
            <w:r w:rsidRPr="00F3739F">
              <w:rPr>
                <w:rFonts w:eastAsiaTheme="minorEastAsia"/>
                <w:b/>
                <w:bCs/>
                <w:sz w:val="19"/>
                <w:lang w:eastAsia="en-AU"/>
              </w:rPr>
              <w:t>..</w:t>
            </w:r>
          </w:p>
        </w:tc>
        <w:tc>
          <w:tcPr>
            <w:tcW w:w="890" w:type="dxa"/>
            <w:tcBorders>
              <w:top w:val="nil"/>
              <w:left w:val="nil"/>
              <w:bottom w:val="single" w:sz="6" w:space="0" w:color="auto"/>
              <w:right w:val="nil"/>
            </w:tcBorders>
          </w:tcPr>
          <w:p w:rsidR="002C39A3" w:rsidRPr="00F3739F" w:rsidRDefault="002C39A3" w:rsidP="00361FA9">
            <w:pPr>
              <w:pStyle w:val="TableofFigures"/>
              <w:rPr>
                <w:rFonts w:eastAsiaTheme="minorEastAsia"/>
                <w:b/>
                <w:bCs/>
                <w:sz w:val="19"/>
                <w:lang w:eastAsia="en-AU"/>
              </w:rPr>
            </w:pPr>
            <w:r w:rsidRPr="00F3739F">
              <w:rPr>
                <w:rFonts w:eastAsiaTheme="minorEastAsia"/>
                <w:b/>
                <w:bCs/>
                <w:sz w:val="19"/>
                <w:lang w:eastAsia="en-AU"/>
              </w:rPr>
              <w:t>n.a.</w:t>
            </w:r>
          </w:p>
        </w:tc>
      </w:tr>
      <w:tr w:rsidR="002C39A3" w:rsidRPr="00F3739F" w:rsidTr="00361FA9">
        <w:trPr>
          <w:trHeight w:val="215"/>
        </w:trPr>
        <w:tc>
          <w:tcPr>
            <w:tcW w:w="5238" w:type="dxa"/>
            <w:tcBorders>
              <w:top w:val="single" w:sz="6" w:space="0" w:color="auto"/>
              <w:left w:val="nil"/>
              <w:bottom w:val="single" w:sz="12" w:space="0" w:color="auto"/>
              <w:right w:val="nil"/>
            </w:tcBorders>
          </w:tcPr>
          <w:p w:rsidR="002C39A3" w:rsidRPr="00F3739F" w:rsidRDefault="002C39A3" w:rsidP="00361FA9">
            <w:pPr>
              <w:pStyle w:val="Tabletext"/>
              <w:rPr>
                <w:rFonts w:eastAsiaTheme="minorEastAsia"/>
                <w:b/>
                <w:lang w:eastAsia="en-AU"/>
              </w:rPr>
            </w:pPr>
            <w:r w:rsidRPr="00F3739F">
              <w:rPr>
                <w:rFonts w:eastAsiaTheme="minorEastAsia"/>
                <w:b/>
                <w:lang w:eastAsia="en-AU"/>
              </w:rPr>
              <w:t>Total affordable housing</w:t>
            </w:r>
          </w:p>
        </w:tc>
        <w:tc>
          <w:tcPr>
            <w:tcW w:w="853" w:type="dxa"/>
            <w:tcBorders>
              <w:top w:val="single" w:sz="6" w:space="0" w:color="auto"/>
              <w:left w:val="nil"/>
              <w:bottom w:val="single" w:sz="12" w:space="0" w:color="auto"/>
              <w:right w:val="nil"/>
            </w:tcBorders>
          </w:tcPr>
          <w:p w:rsidR="002C39A3" w:rsidRPr="00F3739F" w:rsidRDefault="00AF5DDD" w:rsidP="00361FA9">
            <w:pPr>
              <w:pStyle w:val="TableofFigures"/>
              <w:rPr>
                <w:rFonts w:eastAsiaTheme="minorEastAsia"/>
                <w:b/>
                <w:bCs/>
                <w:sz w:val="19"/>
                <w:lang w:eastAsia="en-AU"/>
              </w:rPr>
            </w:pPr>
            <w:r>
              <w:rPr>
                <w:rFonts w:eastAsiaTheme="minorEastAsia"/>
                <w:b/>
                <w:bCs/>
                <w:sz w:val="19"/>
                <w:lang w:eastAsia="en-AU"/>
              </w:rPr>
              <w:t>353</w:t>
            </w:r>
          </w:p>
        </w:tc>
        <w:tc>
          <w:tcPr>
            <w:tcW w:w="854" w:type="dxa"/>
            <w:tcBorders>
              <w:top w:val="single" w:sz="6" w:space="0" w:color="auto"/>
              <w:left w:val="nil"/>
              <w:bottom w:val="single" w:sz="12" w:space="0" w:color="auto"/>
              <w:right w:val="nil"/>
            </w:tcBorders>
          </w:tcPr>
          <w:p w:rsidR="002C39A3" w:rsidRPr="00F3739F" w:rsidRDefault="00AF5DDD" w:rsidP="00361FA9">
            <w:pPr>
              <w:pStyle w:val="TableofFigures"/>
              <w:rPr>
                <w:rFonts w:eastAsiaTheme="minorEastAsia"/>
                <w:b/>
                <w:bCs/>
                <w:sz w:val="19"/>
                <w:lang w:eastAsia="en-AU"/>
              </w:rPr>
            </w:pPr>
            <w:r>
              <w:rPr>
                <w:rFonts w:eastAsiaTheme="minorEastAsia"/>
                <w:b/>
                <w:bCs/>
                <w:sz w:val="19"/>
                <w:lang w:eastAsia="en-AU"/>
              </w:rPr>
              <w:t>358</w:t>
            </w:r>
          </w:p>
        </w:tc>
        <w:tc>
          <w:tcPr>
            <w:tcW w:w="890" w:type="dxa"/>
            <w:tcBorders>
              <w:top w:val="single" w:sz="6" w:space="0" w:color="auto"/>
              <w:left w:val="nil"/>
              <w:bottom w:val="single" w:sz="12" w:space="0" w:color="auto"/>
              <w:right w:val="nil"/>
            </w:tcBorders>
          </w:tcPr>
          <w:p w:rsidR="002C39A3" w:rsidRPr="00F3739F" w:rsidRDefault="002C39A3" w:rsidP="00361FA9">
            <w:pPr>
              <w:pStyle w:val="TableofFigures"/>
              <w:rPr>
                <w:rFonts w:eastAsiaTheme="minorEastAsia"/>
                <w:b/>
                <w:bCs/>
                <w:sz w:val="19"/>
                <w:lang w:eastAsia="en-AU"/>
              </w:rPr>
            </w:pPr>
            <w:r w:rsidRPr="00F3739F">
              <w:rPr>
                <w:rFonts w:eastAsiaTheme="minorEastAsia"/>
                <w:b/>
                <w:bCs/>
                <w:sz w:val="19"/>
                <w:lang w:eastAsia="en-AU"/>
              </w:rPr>
              <w:t>1.5</w:t>
            </w:r>
          </w:p>
        </w:tc>
      </w:tr>
    </w:tbl>
    <w:p w:rsidR="002C39A3" w:rsidRDefault="002C39A3" w:rsidP="00361FA9">
      <w:pPr>
        <w:pStyle w:val="Source"/>
        <w:rPr>
          <w:rFonts w:eastAsiaTheme="minorHAnsi"/>
        </w:rPr>
      </w:pPr>
      <w:r w:rsidRPr="009A1C06">
        <w:rPr>
          <w:rFonts w:eastAsiaTheme="minorHAnsi"/>
        </w:rPr>
        <w:t>Source: Department of Treasury and Finance</w:t>
      </w:r>
    </w:p>
    <w:p w:rsidR="002C39A3" w:rsidRDefault="002C39A3" w:rsidP="00361FA9">
      <w:pPr>
        <w:pStyle w:val="Notes"/>
        <w:rPr>
          <w:rFonts w:eastAsiaTheme="minorHAnsi"/>
        </w:rPr>
      </w:pPr>
      <w:r>
        <w:rPr>
          <w:rFonts w:eastAsiaTheme="minorHAnsi"/>
        </w:rPr>
        <w:t>Note:</w:t>
      </w:r>
    </w:p>
    <w:p w:rsidR="002C39A3" w:rsidRPr="00ED255C" w:rsidRDefault="002C39A3" w:rsidP="00361FA9">
      <w:pPr>
        <w:pStyle w:val="Notes"/>
        <w:rPr>
          <w:rFonts w:eastAsiaTheme="minorHAnsi"/>
        </w:rPr>
      </w:pPr>
      <w:r>
        <w:rPr>
          <w:rFonts w:eastAsiaTheme="minorHAnsi"/>
        </w:rPr>
        <w:t xml:space="preserve">(a) </w:t>
      </w:r>
      <w:r>
        <w:rPr>
          <w:rFonts w:eastAsiaTheme="minorHAnsi"/>
        </w:rPr>
        <w:tab/>
        <w:t>Per cent change between 2015-16 and 2016-17.</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 xml:space="preserve">Table 4.9: </w:t>
      </w:r>
      <w:r>
        <w:rPr>
          <w:rFonts w:eastAsiaTheme="minorHAnsi"/>
        </w:rPr>
        <w:tab/>
        <w:t>Payments for community services</w:t>
      </w:r>
    </w:p>
    <w:p w:rsidR="002C39A3" w:rsidRPr="00662B77" w:rsidRDefault="002C39A3" w:rsidP="00361FA9">
      <w:pPr>
        <w:pStyle w:val="million"/>
        <w:rPr>
          <w:rFonts w:eastAsiaTheme="minorHAnsi"/>
          <w:b/>
          <w:bCs/>
          <w:sz w:val="15"/>
          <w:lang w:val="en-US"/>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5214"/>
        <w:gridCol w:w="850"/>
        <w:gridCol w:w="852"/>
        <w:gridCol w:w="850"/>
      </w:tblGrid>
      <w:tr w:rsidR="00CC22BA" w:rsidRPr="00662B77" w:rsidTr="00EA058F">
        <w:trPr>
          <w:trHeight w:val="464"/>
        </w:trPr>
        <w:tc>
          <w:tcPr>
            <w:tcW w:w="5214" w:type="dxa"/>
            <w:tcBorders>
              <w:top w:val="nil"/>
              <w:left w:val="nil"/>
              <w:right w:val="nil"/>
            </w:tcBorders>
            <w:shd w:val="solid" w:color="000000" w:fill="auto"/>
          </w:tcPr>
          <w:p w:rsidR="00CC22BA" w:rsidRPr="00662B77" w:rsidRDefault="00CC22BA" w:rsidP="00361FA9">
            <w:pPr>
              <w:autoSpaceDE w:val="0"/>
              <w:autoSpaceDN w:val="0"/>
              <w:adjustRightInd w:val="0"/>
              <w:spacing w:after="0"/>
              <w:rPr>
                <w:rFonts w:eastAsiaTheme="minorEastAsia" w:cs="Calibri"/>
                <w:iCs/>
                <w:color w:val="FFFFFF"/>
                <w:sz w:val="19"/>
                <w:szCs w:val="19"/>
                <w:lang w:eastAsia="en-AU"/>
              </w:rPr>
            </w:pPr>
          </w:p>
        </w:tc>
        <w:tc>
          <w:tcPr>
            <w:tcW w:w="850" w:type="dxa"/>
            <w:tcBorders>
              <w:top w:val="nil"/>
              <w:left w:val="nil"/>
              <w:right w:val="nil"/>
            </w:tcBorders>
            <w:shd w:val="solid" w:color="000000" w:fill="auto"/>
          </w:tcPr>
          <w:p w:rsidR="00CC22BA" w:rsidRPr="00662B77"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662B77">
              <w:rPr>
                <w:rFonts w:ascii="Calibri" w:eastAsiaTheme="minorEastAsia" w:hAnsi="Calibri" w:cs="Calibri"/>
                <w:i/>
                <w:iCs/>
                <w:color w:val="FFFFFF"/>
                <w:sz w:val="19"/>
                <w:szCs w:val="19"/>
                <w:lang w:eastAsia="en-AU"/>
              </w:rPr>
              <w:t>2015-16</w:t>
            </w:r>
          </w:p>
          <w:p w:rsidR="00CC22BA" w:rsidRPr="00662B77"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662B77">
              <w:rPr>
                <w:rFonts w:ascii="Calibri" w:eastAsiaTheme="minorEastAsia" w:hAnsi="Calibri" w:cs="Calibri"/>
                <w:i/>
                <w:iCs/>
                <w:color w:val="FFFFFF"/>
                <w:sz w:val="19"/>
                <w:szCs w:val="19"/>
                <w:lang w:eastAsia="en-AU"/>
              </w:rPr>
              <w:t>revised</w:t>
            </w:r>
          </w:p>
        </w:tc>
        <w:tc>
          <w:tcPr>
            <w:tcW w:w="852" w:type="dxa"/>
            <w:tcBorders>
              <w:top w:val="nil"/>
              <w:left w:val="nil"/>
              <w:right w:val="nil"/>
            </w:tcBorders>
            <w:shd w:val="solid" w:color="000000" w:fill="auto"/>
          </w:tcPr>
          <w:p w:rsidR="00CC22BA" w:rsidRPr="00662B77"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662B77">
              <w:rPr>
                <w:rFonts w:ascii="Calibri" w:eastAsiaTheme="minorEastAsia" w:hAnsi="Calibri" w:cs="Calibri"/>
                <w:i/>
                <w:iCs/>
                <w:color w:val="FFFFFF"/>
                <w:sz w:val="19"/>
                <w:szCs w:val="19"/>
                <w:lang w:eastAsia="en-AU"/>
              </w:rPr>
              <w:t>2016-17</w:t>
            </w:r>
          </w:p>
          <w:p w:rsidR="00CC22BA" w:rsidRPr="00662B77"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662B77">
              <w:rPr>
                <w:rFonts w:ascii="Calibri" w:eastAsiaTheme="minorEastAsia" w:hAnsi="Calibri" w:cs="Calibri"/>
                <w:i/>
                <w:iCs/>
                <w:color w:val="FFFFFF"/>
                <w:sz w:val="19"/>
                <w:szCs w:val="19"/>
                <w:lang w:eastAsia="en-AU"/>
              </w:rPr>
              <w:t>budget</w:t>
            </w:r>
          </w:p>
        </w:tc>
        <w:tc>
          <w:tcPr>
            <w:tcW w:w="850" w:type="dxa"/>
            <w:tcBorders>
              <w:top w:val="nil"/>
              <w:left w:val="nil"/>
              <w:right w:val="nil"/>
            </w:tcBorders>
            <w:shd w:val="solid" w:color="000000" w:fill="auto"/>
          </w:tcPr>
          <w:p w:rsidR="00CC22BA" w:rsidRPr="00662B77"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662B77">
              <w:rPr>
                <w:rFonts w:ascii="Calibri" w:eastAsiaTheme="minorEastAsia" w:hAnsi="Calibri" w:cs="Calibri"/>
                <w:i/>
                <w:iCs/>
                <w:color w:val="FFFFFF"/>
                <w:sz w:val="19"/>
                <w:szCs w:val="19"/>
                <w:lang w:eastAsia="en-AU"/>
              </w:rPr>
              <w:t>Change</w:t>
            </w:r>
          </w:p>
          <w:p w:rsidR="00CC22BA" w:rsidRPr="00662B77"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662B77">
              <w:rPr>
                <w:rFonts w:ascii="Calibri" w:eastAsiaTheme="minorEastAsia" w:hAnsi="Calibri" w:cs="Calibri"/>
                <w:i/>
                <w:iCs/>
                <w:color w:val="FFFFFF"/>
                <w:sz w:val="19"/>
                <w:szCs w:val="19"/>
                <w:lang w:eastAsia="en-AU"/>
              </w:rPr>
              <w:t>%</w:t>
            </w:r>
            <w:r w:rsidRPr="00662B77">
              <w:rPr>
                <w:rFonts w:ascii="Calibri" w:eastAsiaTheme="minorEastAsia" w:hAnsi="Calibri" w:cs="Calibri"/>
                <w:i/>
                <w:iCs/>
                <w:color w:val="FFFFFF"/>
                <w:sz w:val="19"/>
                <w:szCs w:val="19"/>
                <w:vertAlign w:val="superscript"/>
                <w:lang w:eastAsia="en-AU"/>
              </w:rPr>
              <w:t>(a)</w:t>
            </w:r>
          </w:p>
        </w:tc>
      </w:tr>
      <w:tr w:rsidR="00CC22BA" w:rsidRPr="00662B77" w:rsidTr="00EA058F">
        <w:tc>
          <w:tcPr>
            <w:tcW w:w="7766" w:type="dxa"/>
            <w:gridSpan w:val="4"/>
            <w:tcBorders>
              <w:top w:val="nil"/>
              <w:left w:val="nil"/>
              <w:right w:val="nil"/>
            </w:tcBorders>
            <w:shd w:val="clear" w:color="auto" w:fill="FFFFFF"/>
          </w:tcPr>
          <w:p w:rsidR="00CC22BA" w:rsidRPr="00662B77"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662B77">
              <w:rPr>
                <w:rFonts w:ascii="Calibri" w:eastAsiaTheme="minorEastAsia" w:hAnsi="Calibri" w:cs="Calibri"/>
                <w:b/>
                <w:iCs/>
                <w:color w:val="000000"/>
                <w:sz w:val="19"/>
                <w:szCs w:val="19"/>
                <w:lang w:eastAsia="en-AU"/>
              </w:rPr>
              <w:t>National</w:t>
            </w:r>
            <w:r w:rsidRPr="00662B77">
              <w:rPr>
                <w:rFonts w:ascii="Calibri" w:eastAsiaTheme="minorEastAsia" w:hAnsi="Calibri" w:cs="Calibri"/>
                <w:b/>
                <w:bCs/>
                <w:color w:val="000000"/>
                <w:sz w:val="19"/>
                <w:szCs w:val="19"/>
                <w:lang w:eastAsia="en-AU"/>
              </w:rPr>
              <w:t xml:space="preserve"> Disability Agreement</w:t>
            </w:r>
          </w:p>
        </w:tc>
      </w:tr>
      <w:tr w:rsidR="00CC22BA" w:rsidRPr="00662B77" w:rsidTr="00EA058F">
        <w:tc>
          <w:tcPr>
            <w:tcW w:w="7766" w:type="dxa"/>
            <w:gridSpan w:val="4"/>
            <w:tcBorders>
              <w:top w:val="nil"/>
              <w:left w:val="nil"/>
              <w:right w:val="nil"/>
            </w:tcBorders>
            <w:shd w:val="clear" w:color="auto" w:fill="FFFFFF"/>
          </w:tcPr>
          <w:p w:rsidR="00CC22BA" w:rsidRPr="00662B77" w:rsidRDefault="00CC22BA" w:rsidP="00CC22BA">
            <w:pPr>
              <w:spacing w:after="0"/>
              <w:rPr>
                <w:rFonts w:ascii="Calibri" w:eastAsiaTheme="minorEastAsia" w:hAnsi="Calibri" w:cs="Calibri"/>
                <w:color w:val="000000"/>
                <w:sz w:val="19"/>
                <w:szCs w:val="19"/>
                <w:lang w:eastAsia="en-AU"/>
              </w:rPr>
            </w:pPr>
            <w:r w:rsidRPr="00662B77">
              <w:rPr>
                <w:rFonts w:ascii="Calibri" w:eastAsiaTheme="minorEastAsia" w:hAnsi="Calibri" w:cs="Calibri"/>
                <w:color w:val="000000"/>
                <w:sz w:val="19"/>
                <w:szCs w:val="19"/>
                <w:lang w:eastAsia="en-AU"/>
              </w:rPr>
              <w:t>Funding to ensure that people with disability and their carers have an enhanced quality of life and participate as valued members of the community.</w:t>
            </w:r>
          </w:p>
        </w:tc>
      </w:tr>
      <w:tr w:rsidR="002C39A3" w:rsidRPr="00662B77" w:rsidTr="00CC22BA">
        <w:tc>
          <w:tcPr>
            <w:tcW w:w="5214" w:type="dxa"/>
            <w:tcBorders>
              <w:top w:val="nil"/>
              <w:left w:val="nil"/>
              <w:bottom w:val="single" w:sz="12" w:space="0" w:color="auto"/>
              <w:right w:val="nil"/>
            </w:tcBorders>
            <w:shd w:val="clear" w:color="auto" w:fill="FFFFFF"/>
          </w:tcPr>
          <w:p w:rsidR="002C39A3" w:rsidRPr="00662B77"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662B77">
              <w:rPr>
                <w:rFonts w:ascii="Calibri" w:eastAsiaTheme="minorEastAsia" w:hAnsi="Calibri" w:cs="Calibri"/>
                <w:color w:val="000000"/>
                <w:sz w:val="19"/>
                <w:szCs w:val="19"/>
                <w:lang w:eastAsia="en-AU"/>
              </w:rPr>
              <w:t xml:space="preserve"> </w:t>
            </w:r>
          </w:p>
        </w:tc>
        <w:tc>
          <w:tcPr>
            <w:tcW w:w="850" w:type="dxa"/>
            <w:tcBorders>
              <w:top w:val="nil"/>
              <w:left w:val="nil"/>
              <w:bottom w:val="single" w:sz="12" w:space="0" w:color="auto"/>
              <w:right w:val="nil"/>
            </w:tcBorders>
            <w:shd w:val="clear" w:color="auto" w:fill="FFFFFF"/>
          </w:tcPr>
          <w:p w:rsidR="002C39A3" w:rsidRPr="00662B77"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359</w:t>
            </w:r>
          </w:p>
        </w:tc>
        <w:tc>
          <w:tcPr>
            <w:tcW w:w="852" w:type="dxa"/>
            <w:tcBorders>
              <w:top w:val="nil"/>
              <w:left w:val="nil"/>
              <w:bottom w:val="single" w:sz="12" w:space="0" w:color="auto"/>
              <w:right w:val="nil"/>
            </w:tcBorders>
            <w:shd w:val="clear" w:color="auto" w:fill="FFFFFF"/>
          </w:tcPr>
          <w:p w:rsidR="002C39A3" w:rsidRPr="00662B77"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372</w:t>
            </w:r>
          </w:p>
        </w:tc>
        <w:tc>
          <w:tcPr>
            <w:tcW w:w="850" w:type="dxa"/>
            <w:tcBorders>
              <w:top w:val="nil"/>
              <w:left w:val="nil"/>
              <w:bottom w:val="single" w:sz="12" w:space="0" w:color="auto"/>
              <w:right w:val="nil"/>
            </w:tcBorders>
            <w:shd w:val="clear" w:color="auto" w:fill="FFFFFF"/>
          </w:tcPr>
          <w:p w:rsidR="002C39A3" w:rsidRPr="00662B77"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62B77">
              <w:rPr>
                <w:rFonts w:ascii="Calibri" w:eastAsiaTheme="minorEastAsia" w:hAnsi="Calibri" w:cs="Calibri"/>
                <w:color w:val="000000"/>
                <w:sz w:val="19"/>
                <w:szCs w:val="19"/>
                <w:lang w:eastAsia="en-AU"/>
              </w:rPr>
              <w:t>3.6</w:t>
            </w:r>
          </w:p>
        </w:tc>
      </w:tr>
      <w:tr w:rsidR="00CC22BA" w:rsidRPr="00662B77" w:rsidTr="00EA058F">
        <w:tc>
          <w:tcPr>
            <w:tcW w:w="7766" w:type="dxa"/>
            <w:gridSpan w:val="4"/>
            <w:tcBorders>
              <w:top w:val="single" w:sz="12" w:space="0" w:color="auto"/>
              <w:left w:val="nil"/>
              <w:right w:val="nil"/>
            </w:tcBorders>
            <w:shd w:val="clear" w:color="auto" w:fill="FFFFFF"/>
          </w:tcPr>
          <w:p w:rsidR="00CC22BA" w:rsidRPr="00662B77"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662B77">
              <w:rPr>
                <w:rFonts w:ascii="Calibri" w:eastAsiaTheme="minorEastAsia" w:hAnsi="Calibri" w:cs="Calibri"/>
                <w:b/>
                <w:bCs/>
                <w:color w:val="000000"/>
                <w:sz w:val="19"/>
                <w:szCs w:val="19"/>
                <w:lang w:eastAsia="en-AU"/>
              </w:rPr>
              <w:t>National Partnerships</w:t>
            </w:r>
          </w:p>
        </w:tc>
      </w:tr>
      <w:tr w:rsidR="00CC22BA" w:rsidRPr="00662B77" w:rsidTr="00EA058F">
        <w:tc>
          <w:tcPr>
            <w:tcW w:w="7766" w:type="dxa"/>
            <w:gridSpan w:val="4"/>
            <w:tcBorders>
              <w:top w:val="nil"/>
              <w:left w:val="nil"/>
              <w:right w:val="nil"/>
            </w:tcBorders>
            <w:shd w:val="clear" w:color="auto" w:fill="FFFFFF"/>
          </w:tcPr>
          <w:p w:rsidR="00CC22BA" w:rsidRPr="00662B77"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662B77">
              <w:rPr>
                <w:rFonts w:ascii="Calibri" w:eastAsiaTheme="minorEastAsia" w:hAnsi="Calibri" w:cs="Calibri"/>
                <w:i/>
                <w:iCs/>
                <w:color w:val="000000"/>
                <w:sz w:val="19"/>
                <w:szCs w:val="19"/>
                <w:lang w:eastAsia="en-AU"/>
              </w:rPr>
              <w:t xml:space="preserve">Assistance to States for DisabilityCare Australia </w:t>
            </w:r>
            <w:r w:rsidRPr="00662B77">
              <w:rPr>
                <w:rFonts w:ascii="Calibri" w:eastAsiaTheme="minorEastAsia" w:hAnsi="Calibri" w:cs="Calibri"/>
                <w:i/>
                <w:iCs/>
                <w:color w:val="000000"/>
                <w:sz w:val="19"/>
                <w:szCs w:val="19"/>
                <w:vertAlign w:val="superscript"/>
                <w:lang w:eastAsia="en-AU"/>
              </w:rPr>
              <w:t>(b)</w:t>
            </w:r>
          </w:p>
        </w:tc>
      </w:tr>
      <w:tr w:rsidR="002C39A3" w:rsidRPr="00662B77" w:rsidTr="00CC22BA">
        <w:tc>
          <w:tcPr>
            <w:tcW w:w="5214" w:type="dxa"/>
            <w:tcBorders>
              <w:top w:val="nil"/>
              <w:left w:val="nil"/>
              <w:bottom w:val="single" w:sz="6" w:space="0" w:color="auto"/>
              <w:right w:val="nil"/>
            </w:tcBorders>
            <w:shd w:val="clear" w:color="auto" w:fill="FFFFFF"/>
          </w:tcPr>
          <w:p w:rsidR="002C39A3" w:rsidRPr="00662B77"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662B77">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auto"/>
              <w:right w:val="nil"/>
            </w:tcBorders>
            <w:shd w:val="clear" w:color="auto" w:fill="FFFFFF"/>
          </w:tcPr>
          <w:p w:rsidR="002C39A3" w:rsidRPr="00662B77"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21</w:t>
            </w:r>
          </w:p>
        </w:tc>
        <w:tc>
          <w:tcPr>
            <w:tcW w:w="852" w:type="dxa"/>
            <w:tcBorders>
              <w:top w:val="nil"/>
              <w:left w:val="nil"/>
              <w:bottom w:val="single" w:sz="6" w:space="0" w:color="auto"/>
              <w:right w:val="nil"/>
            </w:tcBorders>
            <w:shd w:val="clear" w:color="auto" w:fill="FFFFFF"/>
          </w:tcPr>
          <w:p w:rsidR="002C39A3" w:rsidRPr="00662B77"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44</w:t>
            </w:r>
          </w:p>
        </w:tc>
        <w:tc>
          <w:tcPr>
            <w:tcW w:w="850" w:type="dxa"/>
            <w:tcBorders>
              <w:top w:val="nil"/>
              <w:left w:val="nil"/>
              <w:bottom w:val="single" w:sz="6" w:space="0" w:color="auto"/>
              <w:right w:val="nil"/>
            </w:tcBorders>
            <w:shd w:val="clear" w:color="auto" w:fill="FFFFFF"/>
          </w:tcPr>
          <w:p w:rsidR="002C39A3" w:rsidRPr="00662B77"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62B77">
              <w:rPr>
                <w:rFonts w:ascii="Calibri" w:eastAsiaTheme="minorEastAsia" w:hAnsi="Calibri" w:cs="Calibri"/>
                <w:color w:val="000000"/>
                <w:sz w:val="19"/>
                <w:szCs w:val="19"/>
                <w:lang w:eastAsia="en-AU"/>
              </w:rPr>
              <w:t>106.6</w:t>
            </w:r>
          </w:p>
        </w:tc>
      </w:tr>
      <w:tr w:rsidR="00CC22BA" w:rsidRPr="00662B77" w:rsidTr="00EA058F">
        <w:tc>
          <w:tcPr>
            <w:tcW w:w="7766" w:type="dxa"/>
            <w:gridSpan w:val="4"/>
            <w:tcBorders>
              <w:top w:val="single" w:sz="6" w:space="0" w:color="auto"/>
              <w:left w:val="nil"/>
              <w:right w:val="nil"/>
            </w:tcBorders>
            <w:shd w:val="clear" w:color="auto" w:fill="FFFFFF"/>
          </w:tcPr>
          <w:p w:rsidR="00CC22BA" w:rsidRPr="00662B77"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662B77">
              <w:rPr>
                <w:rFonts w:ascii="Calibri" w:eastAsiaTheme="minorEastAsia" w:hAnsi="Calibri" w:cs="Calibri"/>
                <w:i/>
                <w:iCs/>
                <w:color w:val="000000"/>
                <w:sz w:val="19"/>
                <w:szCs w:val="19"/>
                <w:lang w:eastAsia="en-AU"/>
              </w:rPr>
              <w:t>Pay equity for the social and community services sector</w:t>
            </w:r>
          </w:p>
        </w:tc>
      </w:tr>
      <w:tr w:rsidR="00CC22BA" w:rsidRPr="00662B77" w:rsidTr="00EA058F">
        <w:tc>
          <w:tcPr>
            <w:tcW w:w="7766" w:type="dxa"/>
            <w:gridSpan w:val="4"/>
            <w:tcBorders>
              <w:top w:val="nil"/>
              <w:left w:val="nil"/>
              <w:right w:val="nil"/>
            </w:tcBorders>
            <w:shd w:val="clear" w:color="auto" w:fill="FFFFFF"/>
          </w:tcPr>
          <w:p w:rsidR="00CC22BA" w:rsidRPr="00662B77" w:rsidRDefault="00CC22BA" w:rsidP="00CC22BA">
            <w:pPr>
              <w:spacing w:after="0"/>
              <w:rPr>
                <w:rFonts w:ascii="Calibri" w:eastAsiaTheme="minorEastAsia" w:hAnsi="Calibri" w:cs="Calibri"/>
                <w:color w:val="000000"/>
                <w:sz w:val="19"/>
                <w:szCs w:val="19"/>
                <w:lang w:eastAsia="en-AU"/>
              </w:rPr>
            </w:pPr>
            <w:r w:rsidRPr="00662B77">
              <w:rPr>
                <w:rFonts w:ascii="Calibri" w:eastAsiaTheme="minorEastAsia" w:hAnsi="Calibri" w:cs="Calibri"/>
                <w:color w:val="000000"/>
                <w:sz w:val="19"/>
                <w:szCs w:val="19"/>
                <w:lang w:eastAsia="en-AU"/>
              </w:rPr>
              <w:t>Funding for the Commonwealth</w:t>
            </w:r>
            <w:r w:rsidR="0097550F">
              <w:rPr>
                <w:rFonts w:ascii="Calibri" w:eastAsiaTheme="minorEastAsia" w:hAnsi="Calibri" w:cs="Calibri"/>
                <w:color w:val="000000"/>
                <w:sz w:val="19"/>
                <w:szCs w:val="19"/>
                <w:lang w:eastAsia="en-AU"/>
              </w:rPr>
              <w:t>’</w:t>
            </w:r>
            <w:r w:rsidRPr="00662B77">
              <w:rPr>
                <w:rFonts w:ascii="Calibri" w:eastAsiaTheme="minorEastAsia" w:hAnsi="Calibri" w:cs="Calibri"/>
                <w:color w:val="000000"/>
                <w:sz w:val="19"/>
                <w:szCs w:val="19"/>
                <w:lang w:eastAsia="en-AU"/>
              </w:rPr>
              <w:t>s share of wage increases arising from Fair Work Australia</w:t>
            </w:r>
            <w:r w:rsidR="0097550F">
              <w:rPr>
                <w:rFonts w:ascii="Calibri" w:eastAsiaTheme="minorEastAsia" w:hAnsi="Calibri" w:cs="Calibri"/>
                <w:color w:val="000000"/>
                <w:sz w:val="19"/>
                <w:szCs w:val="19"/>
                <w:lang w:eastAsia="en-AU"/>
              </w:rPr>
              <w:t>’</w:t>
            </w:r>
            <w:r w:rsidRPr="00662B77">
              <w:rPr>
                <w:rFonts w:ascii="Calibri" w:eastAsiaTheme="minorEastAsia" w:hAnsi="Calibri" w:cs="Calibri"/>
                <w:color w:val="000000"/>
                <w:sz w:val="19"/>
                <w:szCs w:val="19"/>
                <w:lang w:eastAsia="en-AU"/>
              </w:rPr>
              <w:t>s decision to grant an Equal Remuneration Order in the Social and Community Services sector.</w:t>
            </w:r>
          </w:p>
        </w:tc>
      </w:tr>
      <w:tr w:rsidR="002C39A3" w:rsidRPr="00662B77" w:rsidTr="00CC22BA">
        <w:tc>
          <w:tcPr>
            <w:tcW w:w="5214" w:type="dxa"/>
            <w:tcBorders>
              <w:top w:val="nil"/>
              <w:left w:val="nil"/>
              <w:bottom w:val="single" w:sz="6" w:space="0" w:color="auto"/>
              <w:right w:val="nil"/>
            </w:tcBorders>
            <w:shd w:val="clear" w:color="auto" w:fill="FFFFFF"/>
          </w:tcPr>
          <w:p w:rsidR="002C39A3" w:rsidRPr="00662B77"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662B77">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auto"/>
              <w:right w:val="nil"/>
            </w:tcBorders>
            <w:shd w:val="clear" w:color="auto" w:fill="FFFFFF"/>
          </w:tcPr>
          <w:p w:rsidR="002C39A3" w:rsidRPr="00662B77"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29</w:t>
            </w:r>
          </w:p>
        </w:tc>
        <w:tc>
          <w:tcPr>
            <w:tcW w:w="852" w:type="dxa"/>
            <w:tcBorders>
              <w:top w:val="nil"/>
              <w:left w:val="nil"/>
              <w:bottom w:val="single" w:sz="6" w:space="0" w:color="auto"/>
              <w:right w:val="nil"/>
            </w:tcBorders>
            <w:shd w:val="clear" w:color="auto" w:fill="FFFFFF"/>
          </w:tcPr>
          <w:p w:rsidR="002C39A3" w:rsidRPr="00662B77"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38</w:t>
            </w:r>
          </w:p>
        </w:tc>
        <w:tc>
          <w:tcPr>
            <w:tcW w:w="850" w:type="dxa"/>
            <w:tcBorders>
              <w:top w:val="nil"/>
              <w:left w:val="nil"/>
              <w:bottom w:val="single" w:sz="6" w:space="0" w:color="auto"/>
              <w:right w:val="nil"/>
            </w:tcBorders>
            <w:shd w:val="clear" w:color="auto" w:fill="FFFFFF"/>
          </w:tcPr>
          <w:p w:rsidR="002C39A3" w:rsidRPr="00662B77"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62B77">
              <w:rPr>
                <w:rFonts w:ascii="Calibri" w:eastAsiaTheme="minorEastAsia" w:hAnsi="Calibri" w:cs="Calibri"/>
                <w:color w:val="000000"/>
                <w:sz w:val="19"/>
                <w:szCs w:val="19"/>
                <w:lang w:eastAsia="en-AU"/>
              </w:rPr>
              <w:t>33.0</w:t>
            </w:r>
          </w:p>
        </w:tc>
      </w:tr>
      <w:tr w:rsidR="002C39A3" w:rsidRPr="00662B77" w:rsidTr="00CC22BA">
        <w:tc>
          <w:tcPr>
            <w:tcW w:w="5214" w:type="dxa"/>
            <w:tcBorders>
              <w:top w:val="single" w:sz="6" w:space="0" w:color="auto"/>
              <w:left w:val="nil"/>
              <w:bottom w:val="single" w:sz="6" w:space="0" w:color="auto"/>
              <w:right w:val="nil"/>
            </w:tcBorders>
            <w:shd w:val="clear" w:color="auto" w:fill="FFFFFF"/>
          </w:tcPr>
          <w:p w:rsidR="002C39A3" w:rsidRPr="00662B77"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662B77">
              <w:rPr>
                <w:rFonts w:ascii="Calibri" w:eastAsiaTheme="minorEastAsia" w:hAnsi="Calibri" w:cs="Calibri"/>
                <w:b/>
                <w:bCs/>
                <w:color w:val="000000"/>
                <w:sz w:val="19"/>
                <w:szCs w:val="19"/>
                <w:lang w:eastAsia="en-AU"/>
              </w:rPr>
              <w:t>Other</w:t>
            </w:r>
          </w:p>
        </w:tc>
        <w:tc>
          <w:tcPr>
            <w:tcW w:w="850" w:type="dxa"/>
            <w:tcBorders>
              <w:top w:val="single" w:sz="6" w:space="0" w:color="auto"/>
              <w:left w:val="nil"/>
              <w:bottom w:val="single" w:sz="6" w:space="0" w:color="auto"/>
              <w:right w:val="nil"/>
            </w:tcBorders>
            <w:shd w:val="clear" w:color="auto" w:fill="FFFFFF"/>
          </w:tcPr>
          <w:p w:rsidR="002C39A3" w:rsidRPr="00662B77" w:rsidRDefault="00AF5DDD"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2</w:t>
            </w:r>
          </w:p>
        </w:tc>
        <w:tc>
          <w:tcPr>
            <w:tcW w:w="852" w:type="dxa"/>
            <w:tcBorders>
              <w:top w:val="single" w:sz="6" w:space="0" w:color="auto"/>
              <w:left w:val="nil"/>
              <w:bottom w:val="single" w:sz="6" w:space="0" w:color="auto"/>
              <w:right w:val="nil"/>
            </w:tcBorders>
            <w:shd w:val="clear" w:color="auto" w:fill="FFFFFF"/>
          </w:tcPr>
          <w:p w:rsidR="002C39A3" w:rsidRPr="00662B77" w:rsidRDefault="00AF5DDD"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w:t>
            </w:r>
          </w:p>
        </w:tc>
        <w:tc>
          <w:tcPr>
            <w:tcW w:w="850" w:type="dxa"/>
            <w:tcBorders>
              <w:top w:val="single" w:sz="6" w:space="0" w:color="auto"/>
              <w:left w:val="nil"/>
              <w:bottom w:val="single" w:sz="6" w:space="0" w:color="auto"/>
              <w:right w:val="nil"/>
            </w:tcBorders>
            <w:shd w:val="clear" w:color="auto" w:fill="FFFFFF"/>
          </w:tcPr>
          <w:p w:rsidR="002C39A3" w:rsidRPr="00662B77"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662B77">
              <w:rPr>
                <w:rFonts w:ascii="Calibri" w:eastAsiaTheme="minorEastAsia" w:hAnsi="Calibri" w:cs="Calibri"/>
                <w:b/>
                <w:bCs/>
                <w:color w:val="000000"/>
                <w:sz w:val="19"/>
                <w:szCs w:val="19"/>
                <w:lang w:eastAsia="en-AU"/>
              </w:rPr>
              <w:t>(53.2)</w:t>
            </w:r>
          </w:p>
        </w:tc>
      </w:tr>
      <w:tr w:rsidR="002C39A3" w:rsidRPr="00662B77" w:rsidTr="00CC22BA">
        <w:tc>
          <w:tcPr>
            <w:tcW w:w="5214" w:type="dxa"/>
            <w:tcBorders>
              <w:top w:val="single" w:sz="6" w:space="0" w:color="auto"/>
              <w:left w:val="nil"/>
              <w:bottom w:val="single" w:sz="12" w:space="0" w:color="auto"/>
              <w:right w:val="nil"/>
            </w:tcBorders>
            <w:shd w:val="clear" w:color="auto" w:fill="FFFFFF"/>
          </w:tcPr>
          <w:p w:rsidR="002C39A3" w:rsidRPr="00662B77"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662B77">
              <w:rPr>
                <w:rFonts w:ascii="Calibri" w:eastAsiaTheme="minorEastAsia" w:hAnsi="Calibri" w:cs="Calibri"/>
                <w:b/>
                <w:bCs/>
                <w:color w:val="000000"/>
                <w:sz w:val="19"/>
                <w:szCs w:val="19"/>
                <w:lang w:eastAsia="en-AU"/>
              </w:rPr>
              <w:t>Total community services</w:t>
            </w:r>
          </w:p>
        </w:tc>
        <w:tc>
          <w:tcPr>
            <w:tcW w:w="850" w:type="dxa"/>
            <w:tcBorders>
              <w:top w:val="single" w:sz="6" w:space="0" w:color="auto"/>
              <w:left w:val="nil"/>
              <w:bottom w:val="single" w:sz="12" w:space="0" w:color="auto"/>
              <w:right w:val="nil"/>
            </w:tcBorders>
            <w:shd w:val="clear" w:color="auto" w:fill="FFFFFF"/>
          </w:tcPr>
          <w:p w:rsidR="002C39A3" w:rsidRPr="00662B77" w:rsidRDefault="00AF5DDD"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411</w:t>
            </w:r>
          </w:p>
        </w:tc>
        <w:tc>
          <w:tcPr>
            <w:tcW w:w="852" w:type="dxa"/>
            <w:tcBorders>
              <w:top w:val="single" w:sz="6" w:space="0" w:color="auto"/>
              <w:left w:val="nil"/>
              <w:bottom w:val="single" w:sz="12" w:space="0" w:color="auto"/>
              <w:right w:val="nil"/>
            </w:tcBorders>
            <w:shd w:val="clear" w:color="auto" w:fill="FFFFFF"/>
          </w:tcPr>
          <w:p w:rsidR="002C39A3" w:rsidRPr="00662B77" w:rsidRDefault="00AF5DDD"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455</w:t>
            </w:r>
          </w:p>
        </w:tc>
        <w:tc>
          <w:tcPr>
            <w:tcW w:w="850" w:type="dxa"/>
            <w:tcBorders>
              <w:top w:val="single" w:sz="6" w:space="0" w:color="auto"/>
              <w:left w:val="nil"/>
              <w:bottom w:val="single" w:sz="12" w:space="0" w:color="auto"/>
              <w:right w:val="nil"/>
            </w:tcBorders>
            <w:shd w:val="clear" w:color="auto" w:fill="FFFFFF"/>
          </w:tcPr>
          <w:p w:rsidR="002C39A3" w:rsidRPr="00662B77"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662B77">
              <w:rPr>
                <w:rFonts w:ascii="Calibri" w:eastAsiaTheme="minorEastAsia" w:hAnsi="Calibri" w:cs="Calibri"/>
                <w:b/>
                <w:bCs/>
                <w:color w:val="000000"/>
                <w:sz w:val="19"/>
                <w:szCs w:val="19"/>
                <w:lang w:eastAsia="en-AU"/>
              </w:rPr>
              <w:t>10.8</w:t>
            </w:r>
          </w:p>
        </w:tc>
      </w:tr>
    </w:tbl>
    <w:p w:rsidR="002C39A3" w:rsidRPr="009A1C06" w:rsidRDefault="002C39A3" w:rsidP="00361FA9">
      <w:pPr>
        <w:pStyle w:val="Source"/>
        <w:rPr>
          <w:rFonts w:eastAsiaTheme="minorHAnsi"/>
        </w:rPr>
      </w:pPr>
      <w:r w:rsidRPr="009A1C06">
        <w:rPr>
          <w:rFonts w:eastAsiaTheme="minorHAnsi"/>
        </w:rPr>
        <w:t>Source: Department of Treasury and Finance</w:t>
      </w:r>
    </w:p>
    <w:p w:rsidR="002C39A3" w:rsidRDefault="002C39A3" w:rsidP="00361FA9">
      <w:pPr>
        <w:pStyle w:val="Notes"/>
        <w:rPr>
          <w:rFonts w:eastAsiaTheme="minorHAnsi"/>
        </w:rPr>
      </w:pPr>
      <w:r>
        <w:rPr>
          <w:rFonts w:eastAsiaTheme="minorHAnsi"/>
        </w:rPr>
        <w:t>Notes:</w:t>
      </w:r>
    </w:p>
    <w:p w:rsidR="002C39A3" w:rsidRDefault="002C39A3" w:rsidP="00361FA9">
      <w:pPr>
        <w:pStyle w:val="Notes"/>
        <w:rPr>
          <w:rFonts w:eastAsiaTheme="minorHAnsi"/>
        </w:rPr>
      </w:pPr>
      <w:r>
        <w:rPr>
          <w:rFonts w:eastAsiaTheme="minorHAnsi"/>
        </w:rPr>
        <w:t xml:space="preserve">(a) </w:t>
      </w:r>
      <w:r>
        <w:rPr>
          <w:rFonts w:eastAsiaTheme="minorHAnsi"/>
        </w:rPr>
        <w:tab/>
        <w:t>Per cent change between 2015-16 and 2016-17.</w:t>
      </w:r>
    </w:p>
    <w:p w:rsidR="002C39A3" w:rsidRPr="00ED255C" w:rsidRDefault="002C39A3" w:rsidP="00361FA9">
      <w:pPr>
        <w:pStyle w:val="Notes"/>
        <w:rPr>
          <w:rFonts w:eastAsiaTheme="minorHAnsi"/>
        </w:rPr>
      </w:pPr>
      <w:r w:rsidRPr="003B4B23">
        <w:rPr>
          <w:rFonts w:eastAsiaTheme="minorHAnsi"/>
        </w:rPr>
        <w:t xml:space="preserve">(b) </w:t>
      </w:r>
      <w:r w:rsidRPr="003B4B23">
        <w:rPr>
          <w:rFonts w:eastAsiaTheme="minorHAnsi"/>
        </w:rPr>
        <w:tab/>
      </w:r>
      <w:r w:rsidRPr="00D605E5">
        <w:rPr>
          <w:rFonts w:eastAsiaTheme="minorHAnsi"/>
        </w:rPr>
        <w:t>Funding to assist the transition to the National Disability Insurance Scheme</w:t>
      </w:r>
      <w:r>
        <w:rPr>
          <w:rFonts w:eastAsiaTheme="minorHAnsi"/>
        </w:rPr>
        <w:t>.</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 xml:space="preserve">Table 4.10: </w:t>
      </w:r>
      <w:r>
        <w:rPr>
          <w:rFonts w:eastAsiaTheme="minorHAnsi"/>
        </w:rPr>
        <w:tab/>
        <w:t>Payments for education services</w:t>
      </w:r>
    </w:p>
    <w:p w:rsidR="002C39A3" w:rsidRPr="00702488" w:rsidRDefault="002C39A3" w:rsidP="00361FA9">
      <w:pPr>
        <w:pStyle w:val="million"/>
        <w:rPr>
          <w:rFonts w:eastAsiaTheme="minorHAnsi"/>
          <w:b/>
          <w:bCs/>
          <w:sz w:val="15"/>
          <w:lang w:val="en-US"/>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5211"/>
        <w:gridCol w:w="850"/>
        <w:gridCol w:w="855"/>
        <w:gridCol w:w="850"/>
      </w:tblGrid>
      <w:tr w:rsidR="00CC22BA" w:rsidRPr="00702488" w:rsidTr="00EA058F">
        <w:trPr>
          <w:trHeight w:val="464"/>
        </w:trPr>
        <w:tc>
          <w:tcPr>
            <w:tcW w:w="5211" w:type="dxa"/>
            <w:tcBorders>
              <w:top w:val="nil"/>
              <w:left w:val="nil"/>
              <w:right w:val="nil"/>
            </w:tcBorders>
            <w:shd w:val="solid" w:color="000000" w:fill="auto"/>
          </w:tcPr>
          <w:p w:rsidR="00CC22BA" w:rsidRPr="00702488" w:rsidRDefault="00CC22BA" w:rsidP="00361FA9">
            <w:pPr>
              <w:autoSpaceDE w:val="0"/>
              <w:autoSpaceDN w:val="0"/>
              <w:adjustRightInd w:val="0"/>
              <w:spacing w:after="0"/>
              <w:rPr>
                <w:rFonts w:eastAsiaTheme="minorEastAsia" w:cs="Calibri"/>
                <w:iCs/>
                <w:color w:val="FFFFFF"/>
                <w:sz w:val="19"/>
                <w:szCs w:val="19"/>
                <w:lang w:eastAsia="en-AU"/>
              </w:rPr>
            </w:pPr>
          </w:p>
        </w:tc>
        <w:tc>
          <w:tcPr>
            <w:tcW w:w="850" w:type="dxa"/>
            <w:tcBorders>
              <w:top w:val="nil"/>
              <w:left w:val="nil"/>
              <w:right w:val="nil"/>
            </w:tcBorders>
            <w:shd w:val="solid" w:color="000000" w:fill="auto"/>
          </w:tcPr>
          <w:p w:rsidR="00CC22BA" w:rsidRPr="00702488"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702488">
              <w:rPr>
                <w:rFonts w:ascii="Calibri" w:eastAsiaTheme="minorEastAsia" w:hAnsi="Calibri" w:cs="Calibri"/>
                <w:i/>
                <w:iCs/>
                <w:color w:val="FFFFFF"/>
                <w:sz w:val="19"/>
                <w:szCs w:val="19"/>
                <w:lang w:eastAsia="en-AU"/>
              </w:rPr>
              <w:t>2015-16</w:t>
            </w:r>
          </w:p>
          <w:p w:rsidR="00CC22BA" w:rsidRPr="00702488"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702488">
              <w:rPr>
                <w:rFonts w:ascii="Calibri" w:eastAsiaTheme="minorEastAsia" w:hAnsi="Calibri" w:cs="Calibri"/>
                <w:i/>
                <w:iCs/>
                <w:color w:val="FFFFFF"/>
                <w:sz w:val="19"/>
                <w:szCs w:val="19"/>
                <w:lang w:eastAsia="en-AU"/>
              </w:rPr>
              <w:t>revised</w:t>
            </w:r>
          </w:p>
        </w:tc>
        <w:tc>
          <w:tcPr>
            <w:tcW w:w="855" w:type="dxa"/>
            <w:tcBorders>
              <w:top w:val="nil"/>
              <w:left w:val="nil"/>
              <w:right w:val="nil"/>
            </w:tcBorders>
            <w:shd w:val="solid" w:color="000000" w:fill="auto"/>
          </w:tcPr>
          <w:p w:rsidR="00CC22BA" w:rsidRPr="00702488"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702488">
              <w:rPr>
                <w:rFonts w:ascii="Calibri" w:eastAsiaTheme="minorEastAsia" w:hAnsi="Calibri" w:cs="Calibri"/>
                <w:i/>
                <w:iCs/>
                <w:color w:val="FFFFFF"/>
                <w:sz w:val="19"/>
                <w:szCs w:val="19"/>
                <w:lang w:eastAsia="en-AU"/>
              </w:rPr>
              <w:t>2016-17</w:t>
            </w:r>
          </w:p>
          <w:p w:rsidR="00CC22BA" w:rsidRPr="00702488"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702488">
              <w:rPr>
                <w:rFonts w:ascii="Calibri" w:eastAsiaTheme="minorEastAsia" w:hAnsi="Calibri" w:cs="Calibri"/>
                <w:i/>
                <w:iCs/>
                <w:color w:val="FFFFFF"/>
                <w:sz w:val="19"/>
                <w:szCs w:val="19"/>
                <w:lang w:eastAsia="en-AU"/>
              </w:rPr>
              <w:t>budget</w:t>
            </w:r>
          </w:p>
        </w:tc>
        <w:tc>
          <w:tcPr>
            <w:tcW w:w="850" w:type="dxa"/>
            <w:tcBorders>
              <w:top w:val="nil"/>
              <w:left w:val="nil"/>
              <w:right w:val="nil"/>
            </w:tcBorders>
            <w:shd w:val="solid" w:color="000000" w:fill="auto"/>
          </w:tcPr>
          <w:p w:rsidR="00CC22BA" w:rsidRPr="00702488"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702488">
              <w:rPr>
                <w:rFonts w:ascii="Calibri" w:eastAsiaTheme="minorEastAsia" w:hAnsi="Calibri" w:cs="Calibri"/>
                <w:i/>
                <w:iCs/>
                <w:color w:val="FFFFFF"/>
                <w:sz w:val="19"/>
                <w:szCs w:val="19"/>
                <w:lang w:eastAsia="en-AU"/>
              </w:rPr>
              <w:t>Change</w:t>
            </w:r>
          </w:p>
          <w:p w:rsidR="00CC22BA" w:rsidRPr="00702488"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702488">
              <w:rPr>
                <w:rFonts w:ascii="Calibri" w:eastAsiaTheme="minorEastAsia" w:hAnsi="Calibri" w:cs="Calibri"/>
                <w:i/>
                <w:iCs/>
                <w:color w:val="FFFFFF"/>
                <w:sz w:val="19"/>
                <w:szCs w:val="19"/>
                <w:lang w:eastAsia="en-AU"/>
              </w:rPr>
              <w:t>%</w:t>
            </w:r>
            <w:r w:rsidRPr="00702488">
              <w:rPr>
                <w:rFonts w:ascii="Calibri" w:eastAsiaTheme="minorEastAsia" w:hAnsi="Calibri" w:cs="Calibri"/>
                <w:i/>
                <w:iCs/>
                <w:color w:val="FFFFFF"/>
                <w:sz w:val="19"/>
                <w:szCs w:val="19"/>
                <w:vertAlign w:val="superscript"/>
                <w:lang w:eastAsia="en-AU"/>
              </w:rPr>
              <w:t>(a)</w:t>
            </w:r>
          </w:p>
        </w:tc>
      </w:tr>
      <w:tr w:rsidR="00CC22BA" w:rsidRPr="00702488" w:rsidTr="00EA058F">
        <w:tc>
          <w:tcPr>
            <w:tcW w:w="7766" w:type="dxa"/>
            <w:gridSpan w:val="4"/>
            <w:tcBorders>
              <w:top w:val="nil"/>
              <w:left w:val="nil"/>
              <w:right w:val="nil"/>
            </w:tcBorders>
            <w:shd w:val="clear" w:color="auto" w:fill="FFFFFF"/>
          </w:tcPr>
          <w:p w:rsidR="00CC22BA" w:rsidRPr="00702488"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702488">
              <w:rPr>
                <w:rFonts w:ascii="Calibri" w:eastAsiaTheme="minorEastAsia" w:hAnsi="Calibri" w:cs="Calibri"/>
                <w:b/>
                <w:bCs/>
                <w:i/>
                <w:iCs/>
                <w:color w:val="000000"/>
                <w:sz w:val="19"/>
                <w:szCs w:val="19"/>
                <w:lang w:eastAsia="en-AU"/>
              </w:rPr>
              <w:t>Students First – A fairer funding agreement for schools</w:t>
            </w:r>
          </w:p>
        </w:tc>
      </w:tr>
      <w:tr w:rsidR="00CC22BA" w:rsidRPr="00702488" w:rsidTr="00EA058F">
        <w:tc>
          <w:tcPr>
            <w:tcW w:w="7766" w:type="dxa"/>
            <w:gridSpan w:val="4"/>
            <w:tcBorders>
              <w:top w:val="nil"/>
              <w:left w:val="nil"/>
              <w:right w:val="nil"/>
            </w:tcBorders>
            <w:shd w:val="clear" w:color="auto" w:fill="FFFFFF"/>
          </w:tcPr>
          <w:p w:rsidR="00CC22BA" w:rsidRPr="00702488"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702488">
              <w:rPr>
                <w:rFonts w:ascii="Calibri" w:eastAsiaTheme="minorEastAsia" w:hAnsi="Calibri" w:cs="Calibri"/>
                <w:color w:val="000000"/>
                <w:sz w:val="19"/>
                <w:szCs w:val="19"/>
                <w:lang w:eastAsia="en-AU"/>
              </w:rPr>
              <w:t>Support for school services</w:t>
            </w:r>
          </w:p>
        </w:tc>
      </w:tr>
      <w:tr w:rsidR="002C39A3" w:rsidRPr="00702488" w:rsidTr="00CC22BA">
        <w:tc>
          <w:tcPr>
            <w:tcW w:w="5211" w:type="dxa"/>
            <w:tcBorders>
              <w:top w:val="nil"/>
              <w:left w:val="nil"/>
              <w:bottom w:val="single" w:sz="12" w:space="0" w:color="auto"/>
              <w:right w:val="nil"/>
            </w:tcBorders>
            <w:shd w:val="clear" w:color="auto" w:fill="FFFFFF"/>
          </w:tcPr>
          <w:p w:rsidR="002C39A3" w:rsidRPr="00702488" w:rsidRDefault="002C39A3" w:rsidP="00361FA9">
            <w:pPr>
              <w:autoSpaceDE w:val="0"/>
              <w:autoSpaceDN w:val="0"/>
              <w:adjustRightInd w:val="0"/>
              <w:spacing w:after="0"/>
              <w:ind w:left="227" w:hanging="227"/>
              <w:rPr>
                <w:rFonts w:ascii="Calibri" w:eastAsiaTheme="minorEastAsia" w:hAnsi="Calibri" w:cs="Calibri"/>
                <w:i/>
                <w:iCs/>
                <w:color w:val="000000"/>
                <w:sz w:val="19"/>
                <w:szCs w:val="19"/>
                <w:lang w:eastAsia="en-AU"/>
              </w:rPr>
            </w:pPr>
            <w:r w:rsidRPr="00702488">
              <w:rPr>
                <w:rFonts w:ascii="Calibri" w:eastAsiaTheme="minorEastAsia" w:hAnsi="Calibri" w:cs="Calibri"/>
                <w:i/>
                <w:iCs/>
                <w:color w:val="000000"/>
                <w:sz w:val="19"/>
                <w:szCs w:val="19"/>
                <w:lang w:eastAsia="en-AU"/>
              </w:rPr>
              <w:t xml:space="preserve">  Government schools</w:t>
            </w:r>
          </w:p>
        </w:tc>
        <w:tc>
          <w:tcPr>
            <w:tcW w:w="850" w:type="dxa"/>
            <w:tcBorders>
              <w:top w:val="nil"/>
              <w:left w:val="nil"/>
              <w:bottom w:val="single" w:sz="12" w:space="0" w:color="auto"/>
              <w:right w:val="nil"/>
            </w:tcBorders>
            <w:shd w:val="clear" w:color="auto" w:fill="FFFFFF"/>
          </w:tcPr>
          <w:p w:rsidR="002C39A3" w:rsidRPr="0070248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702488">
              <w:rPr>
                <w:rFonts w:ascii="Calibri" w:eastAsiaTheme="minorEastAsia" w:hAnsi="Calibri" w:cs="Calibri"/>
                <w:color w:val="000000"/>
                <w:sz w:val="19"/>
                <w:szCs w:val="19"/>
                <w:lang w:eastAsia="en-AU"/>
              </w:rPr>
              <w:t>1 355</w:t>
            </w:r>
          </w:p>
        </w:tc>
        <w:tc>
          <w:tcPr>
            <w:tcW w:w="855" w:type="dxa"/>
            <w:tcBorders>
              <w:top w:val="nil"/>
              <w:left w:val="nil"/>
              <w:bottom w:val="single" w:sz="12" w:space="0" w:color="auto"/>
              <w:right w:val="nil"/>
            </w:tcBorders>
            <w:shd w:val="clear" w:color="auto" w:fill="FFFFFF"/>
          </w:tcPr>
          <w:p w:rsidR="002C39A3" w:rsidRPr="0070248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702488">
              <w:rPr>
                <w:rFonts w:ascii="Calibri" w:eastAsiaTheme="minorEastAsia" w:hAnsi="Calibri" w:cs="Calibri"/>
                <w:color w:val="000000"/>
                <w:sz w:val="19"/>
                <w:szCs w:val="19"/>
                <w:lang w:eastAsia="en-AU"/>
              </w:rPr>
              <w:t>1 461</w:t>
            </w:r>
          </w:p>
        </w:tc>
        <w:tc>
          <w:tcPr>
            <w:tcW w:w="850" w:type="dxa"/>
            <w:tcBorders>
              <w:top w:val="nil"/>
              <w:left w:val="nil"/>
              <w:bottom w:val="single" w:sz="12" w:space="0" w:color="auto"/>
              <w:right w:val="nil"/>
            </w:tcBorders>
            <w:shd w:val="clear" w:color="auto" w:fill="FFFFFF"/>
          </w:tcPr>
          <w:p w:rsidR="002C39A3" w:rsidRPr="0070248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702488">
              <w:rPr>
                <w:rFonts w:ascii="Calibri" w:eastAsiaTheme="minorEastAsia" w:hAnsi="Calibri" w:cs="Calibri"/>
                <w:color w:val="000000"/>
                <w:sz w:val="19"/>
                <w:szCs w:val="19"/>
                <w:lang w:eastAsia="en-AU"/>
              </w:rPr>
              <w:t>7.8</w:t>
            </w:r>
          </w:p>
        </w:tc>
      </w:tr>
      <w:tr w:rsidR="00CC22BA" w:rsidRPr="00702488" w:rsidTr="00EA058F">
        <w:tc>
          <w:tcPr>
            <w:tcW w:w="7766" w:type="dxa"/>
            <w:gridSpan w:val="4"/>
            <w:tcBorders>
              <w:top w:val="single" w:sz="12" w:space="0" w:color="auto"/>
              <w:left w:val="nil"/>
              <w:right w:val="nil"/>
            </w:tcBorders>
            <w:shd w:val="clear" w:color="auto" w:fill="FFFFFF"/>
          </w:tcPr>
          <w:p w:rsidR="00CC22BA" w:rsidRPr="00702488"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702488">
              <w:rPr>
                <w:rFonts w:ascii="Calibri" w:eastAsiaTheme="minorEastAsia" w:hAnsi="Calibri" w:cs="Calibri"/>
                <w:b/>
                <w:bCs/>
                <w:color w:val="000000"/>
                <w:sz w:val="19"/>
                <w:szCs w:val="19"/>
                <w:lang w:eastAsia="en-AU"/>
              </w:rPr>
              <w:t>National Agreement for Skills and Workforce Development</w:t>
            </w:r>
          </w:p>
        </w:tc>
      </w:tr>
      <w:tr w:rsidR="00CC22BA" w:rsidRPr="00702488" w:rsidTr="00EA058F">
        <w:tc>
          <w:tcPr>
            <w:tcW w:w="7766" w:type="dxa"/>
            <w:gridSpan w:val="4"/>
            <w:tcBorders>
              <w:top w:val="nil"/>
              <w:left w:val="nil"/>
              <w:right w:val="nil"/>
            </w:tcBorders>
            <w:shd w:val="clear" w:color="auto" w:fill="FFFFFF"/>
          </w:tcPr>
          <w:p w:rsidR="00CC22BA" w:rsidRPr="00702488" w:rsidRDefault="00CC22BA" w:rsidP="00CC22BA">
            <w:pPr>
              <w:spacing w:after="0"/>
              <w:rPr>
                <w:rFonts w:ascii="Calibri" w:eastAsiaTheme="minorEastAsia" w:hAnsi="Calibri" w:cs="Calibri"/>
                <w:color w:val="000000"/>
                <w:sz w:val="19"/>
                <w:szCs w:val="19"/>
                <w:lang w:eastAsia="en-AU"/>
              </w:rPr>
            </w:pPr>
            <w:r w:rsidRPr="00702488">
              <w:rPr>
                <w:rFonts w:ascii="Calibri" w:eastAsiaTheme="minorEastAsia" w:hAnsi="Calibri" w:cs="Calibri"/>
                <w:color w:val="000000"/>
                <w:sz w:val="19"/>
                <w:szCs w:val="19"/>
                <w:lang w:eastAsia="en-AU"/>
              </w:rPr>
              <w:t>The National Agreement for Skills and Workforce Development provides funding for the delivery of training services.</w:t>
            </w:r>
          </w:p>
        </w:tc>
      </w:tr>
      <w:tr w:rsidR="002C39A3" w:rsidRPr="00702488" w:rsidTr="00CC22BA">
        <w:tc>
          <w:tcPr>
            <w:tcW w:w="5211" w:type="dxa"/>
            <w:tcBorders>
              <w:top w:val="nil"/>
              <w:left w:val="nil"/>
              <w:bottom w:val="single" w:sz="12" w:space="0" w:color="auto"/>
              <w:right w:val="nil"/>
            </w:tcBorders>
            <w:shd w:val="clear" w:color="auto" w:fill="FFFFFF"/>
          </w:tcPr>
          <w:p w:rsidR="002C39A3" w:rsidRPr="0070248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702488">
              <w:rPr>
                <w:rFonts w:ascii="Calibri" w:eastAsiaTheme="minorEastAsia" w:hAnsi="Calibri" w:cs="Calibri"/>
                <w:color w:val="000000"/>
                <w:sz w:val="19"/>
                <w:szCs w:val="19"/>
                <w:lang w:eastAsia="en-AU"/>
              </w:rPr>
              <w:t xml:space="preserve"> </w:t>
            </w:r>
          </w:p>
        </w:tc>
        <w:tc>
          <w:tcPr>
            <w:tcW w:w="850" w:type="dxa"/>
            <w:tcBorders>
              <w:top w:val="nil"/>
              <w:left w:val="nil"/>
              <w:bottom w:val="single" w:sz="12" w:space="0" w:color="auto"/>
              <w:right w:val="nil"/>
            </w:tcBorders>
            <w:shd w:val="clear" w:color="auto" w:fill="FFFFFF"/>
          </w:tcPr>
          <w:p w:rsidR="002C39A3" w:rsidRPr="00702488"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364</w:t>
            </w:r>
          </w:p>
        </w:tc>
        <w:tc>
          <w:tcPr>
            <w:tcW w:w="855" w:type="dxa"/>
            <w:tcBorders>
              <w:top w:val="nil"/>
              <w:left w:val="nil"/>
              <w:bottom w:val="single" w:sz="12" w:space="0" w:color="auto"/>
              <w:right w:val="nil"/>
            </w:tcBorders>
            <w:shd w:val="clear" w:color="auto" w:fill="FFFFFF"/>
          </w:tcPr>
          <w:p w:rsidR="002C39A3" w:rsidRPr="00702488"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370</w:t>
            </w:r>
          </w:p>
        </w:tc>
        <w:tc>
          <w:tcPr>
            <w:tcW w:w="850" w:type="dxa"/>
            <w:tcBorders>
              <w:top w:val="nil"/>
              <w:left w:val="nil"/>
              <w:bottom w:val="single" w:sz="12" w:space="0" w:color="auto"/>
              <w:right w:val="nil"/>
            </w:tcBorders>
            <w:shd w:val="clear" w:color="auto" w:fill="FFFFFF"/>
          </w:tcPr>
          <w:p w:rsidR="002C39A3" w:rsidRPr="0070248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702488">
              <w:rPr>
                <w:rFonts w:ascii="Calibri" w:eastAsiaTheme="minorEastAsia" w:hAnsi="Calibri" w:cs="Calibri"/>
                <w:color w:val="000000"/>
                <w:sz w:val="19"/>
                <w:szCs w:val="19"/>
                <w:lang w:eastAsia="en-AU"/>
              </w:rPr>
              <w:t>1.8</w:t>
            </w:r>
          </w:p>
        </w:tc>
      </w:tr>
      <w:tr w:rsidR="00CC22BA" w:rsidRPr="00702488" w:rsidTr="00EA058F">
        <w:tc>
          <w:tcPr>
            <w:tcW w:w="7766" w:type="dxa"/>
            <w:gridSpan w:val="4"/>
            <w:tcBorders>
              <w:top w:val="single" w:sz="12" w:space="0" w:color="auto"/>
              <w:left w:val="nil"/>
              <w:right w:val="nil"/>
            </w:tcBorders>
            <w:shd w:val="clear" w:color="auto" w:fill="FFFFFF"/>
          </w:tcPr>
          <w:p w:rsidR="00CC22BA" w:rsidRPr="00702488"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702488">
              <w:rPr>
                <w:rFonts w:ascii="Calibri" w:eastAsiaTheme="minorEastAsia" w:hAnsi="Calibri" w:cs="Calibri"/>
                <w:b/>
                <w:bCs/>
                <w:color w:val="000000"/>
                <w:sz w:val="19"/>
                <w:szCs w:val="19"/>
                <w:lang w:eastAsia="en-AU"/>
              </w:rPr>
              <w:t>National Partnerships</w:t>
            </w:r>
          </w:p>
        </w:tc>
      </w:tr>
      <w:tr w:rsidR="00CC22BA" w:rsidRPr="00702488" w:rsidTr="00EA058F">
        <w:tc>
          <w:tcPr>
            <w:tcW w:w="7766" w:type="dxa"/>
            <w:gridSpan w:val="4"/>
            <w:tcBorders>
              <w:top w:val="nil"/>
              <w:left w:val="nil"/>
              <w:right w:val="nil"/>
            </w:tcBorders>
            <w:shd w:val="clear" w:color="auto" w:fill="FFFFFF"/>
          </w:tcPr>
          <w:p w:rsidR="00CC22BA" w:rsidRPr="00702488"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702488">
              <w:rPr>
                <w:rFonts w:ascii="Calibri" w:eastAsiaTheme="minorEastAsia" w:hAnsi="Calibri" w:cs="Calibri"/>
                <w:i/>
                <w:iCs/>
                <w:color w:val="000000"/>
                <w:sz w:val="19"/>
                <w:szCs w:val="19"/>
                <w:lang w:eastAsia="en-AU"/>
              </w:rPr>
              <w:t>Early childhood education</w:t>
            </w:r>
          </w:p>
        </w:tc>
      </w:tr>
      <w:tr w:rsidR="00CC22BA" w:rsidRPr="00702488" w:rsidTr="00EA058F">
        <w:tc>
          <w:tcPr>
            <w:tcW w:w="7766" w:type="dxa"/>
            <w:gridSpan w:val="4"/>
            <w:tcBorders>
              <w:top w:val="nil"/>
              <w:left w:val="nil"/>
              <w:right w:val="nil"/>
            </w:tcBorders>
            <w:shd w:val="clear" w:color="auto" w:fill="FFFFFF"/>
          </w:tcPr>
          <w:p w:rsidR="00CC22BA" w:rsidRPr="00702488" w:rsidRDefault="00CC22BA" w:rsidP="00CC22BA">
            <w:pPr>
              <w:spacing w:after="0"/>
              <w:rPr>
                <w:rFonts w:ascii="Calibri" w:eastAsiaTheme="minorEastAsia" w:hAnsi="Calibri" w:cs="Calibri"/>
                <w:color w:val="000000"/>
                <w:sz w:val="19"/>
                <w:szCs w:val="19"/>
                <w:lang w:eastAsia="en-AU"/>
              </w:rPr>
            </w:pPr>
            <w:r w:rsidRPr="00702488">
              <w:rPr>
                <w:rFonts w:ascii="Calibri" w:eastAsiaTheme="minorEastAsia" w:hAnsi="Calibri" w:cs="Calibri"/>
                <w:color w:val="000000"/>
                <w:sz w:val="19"/>
                <w:szCs w:val="19"/>
                <w:lang w:eastAsia="en-AU"/>
              </w:rPr>
              <w:t>Funding to assist Victoria to meet the Council of Australian Governments</w:t>
            </w:r>
            <w:r w:rsidR="0097550F">
              <w:rPr>
                <w:rFonts w:ascii="Calibri" w:eastAsiaTheme="minorEastAsia" w:hAnsi="Calibri" w:cs="Calibri"/>
                <w:color w:val="000000"/>
                <w:sz w:val="19"/>
                <w:szCs w:val="19"/>
                <w:lang w:eastAsia="en-AU"/>
              </w:rPr>
              <w:t>’</w:t>
            </w:r>
            <w:r w:rsidRPr="00702488">
              <w:rPr>
                <w:rFonts w:ascii="Calibri" w:eastAsiaTheme="minorEastAsia" w:hAnsi="Calibri" w:cs="Calibri"/>
                <w:color w:val="000000"/>
                <w:sz w:val="19"/>
                <w:szCs w:val="19"/>
                <w:lang w:eastAsia="en-AU"/>
              </w:rPr>
              <w:t xml:space="preserve"> target of access to 15 hours of early childhood education a week for all children in the year before full-time school.</w:t>
            </w:r>
          </w:p>
        </w:tc>
      </w:tr>
      <w:tr w:rsidR="002C39A3" w:rsidRPr="00702488" w:rsidTr="00CC22BA">
        <w:tc>
          <w:tcPr>
            <w:tcW w:w="5211" w:type="dxa"/>
            <w:tcBorders>
              <w:top w:val="nil"/>
              <w:left w:val="nil"/>
              <w:bottom w:val="single" w:sz="6" w:space="0" w:color="auto"/>
              <w:right w:val="nil"/>
            </w:tcBorders>
            <w:shd w:val="clear" w:color="auto" w:fill="FFFFFF"/>
          </w:tcPr>
          <w:p w:rsidR="002C39A3" w:rsidRPr="0070248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702488">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auto"/>
              <w:right w:val="nil"/>
            </w:tcBorders>
            <w:shd w:val="clear" w:color="auto" w:fill="FFFFFF"/>
          </w:tcPr>
          <w:p w:rsidR="002C39A3" w:rsidRPr="00702488"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98</w:t>
            </w:r>
          </w:p>
        </w:tc>
        <w:tc>
          <w:tcPr>
            <w:tcW w:w="855" w:type="dxa"/>
            <w:tcBorders>
              <w:top w:val="nil"/>
              <w:left w:val="nil"/>
              <w:bottom w:val="single" w:sz="6" w:space="0" w:color="auto"/>
              <w:right w:val="nil"/>
            </w:tcBorders>
            <w:shd w:val="clear" w:color="auto" w:fill="FFFFFF"/>
          </w:tcPr>
          <w:p w:rsidR="002C39A3" w:rsidRPr="00702488"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102</w:t>
            </w:r>
          </w:p>
        </w:tc>
        <w:tc>
          <w:tcPr>
            <w:tcW w:w="850" w:type="dxa"/>
            <w:tcBorders>
              <w:top w:val="nil"/>
              <w:left w:val="nil"/>
              <w:bottom w:val="single" w:sz="6" w:space="0" w:color="auto"/>
              <w:right w:val="nil"/>
            </w:tcBorders>
            <w:shd w:val="clear" w:color="auto" w:fill="FFFFFF"/>
          </w:tcPr>
          <w:p w:rsidR="002C39A3" w:rsidRPr="0070248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702488">
              <w:rPr>
                <w:rFonts w:ascii="Calibri" w:eastAsiaTheme="minorEastAsia" w:hAnsi="Calibri" w:cs="Calibri"/>
                <w:color w:val="000000"/>
                <w:sz w:val="19"/>
                <w:szCs w:val="19"/>
                <w:lang w:eastAsia="en-AU"/>
              </w:rPr>
              <w:t>3.3</w:t>
            </w:r>
          </w:p>
        </w:tc>
      </w:tr>
      <w:tr w:rsidR="00CC22BA" w:rsidRPr="00702488" w:rsidTr="00EA058F">
        <w:tc>
          <w:tcPr>
            <w:tcW w:w="7766" w:type="dxa"/>
            <w:gridSpan w:val="4"/>
            <w:tcBorders>
              <w:top w:val="single" w:sz="6" w:space="0" w:color="auto"/>
              <w:left w:val="nil"/>
              <w:right w:val="nil"/>
            </w:tcBorders>
            <w:shd w:val="clear" w:color="auto" w:fill="FFFFFF"/>
          </w:tcPr>
          <w:p w:rsidR="00CC22BA" w:rsidRPr="00702488"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702488">
              <w:rPr>
                <w:rFonts w:ascii="Calibri" w:eastAsiaTheme="minorEastAsia" w:hAnsi="Calibri" w:cs="Calibri"/>
                <w:i/>
                <w:iCs/>
                <w:color w:val="000000"/>
                <w:sz w:val="19"/>
                <w:szCs w:val="19"/>
                <w:lang w:eastAsia="en-AU"/>
              </w:rPr>
              <w:t>Building Australia</w:t>
            </w:r>
            <w:r w:rsidR="0097550F">
              <w:rPr>
                <w:rFonts w:ascii="Calibri" w:eastAsiaTheme="minorEastAsia" w:hAnsi="Calibri" w:cs="Calibri"/>
                <w:i/>
                <w:iCs/>
                <w:color w:val="000000"/>
                <w:sz w:val="19"/>
                <w:szCs w:val="19"/>
                <w:lang w:eastAsia="en-AU"/>
              </w:rPr>
              <w:t>’</w:t>
            </w:r>
            <w:r w:rsidRPr="00702488">
              <w:rPr>
                <w:rFonts w:ascii="Calibri" w:eastAsiaTheme="minorEastAsia" w:hAnsi="Calibri" w:cs="Calibri"/>
                <w:i/>
                <w:iCs/>
                <w:color w:val="000000"/>
                <w:sz w:val="19"/>
                <w:szCs w:val="19"/>
                <w:lang w:eastAsia="en-AU"/>
              </w:rPr>
              <w:t>s Future Workforce – Skills Reform</w:t>
            </w:r>
          </w:p>
        </w:tc>
      </w:tr>
      <w:tr w:rsidR="00CC22BA" w:rsidRPr="00702488" w:rsidTr="00EA058F">
        <w:tc>
          <w:tcPr>
            <w:tcW w:w="7766" w:type="dxa"/>
            <w:gridSpan w:val="4"/>
            <w:tcBorders>
              <w:top w:val="nil"/>
              <w:left w:val="nil"/>
              <w:right w:val="nil"/>
            </w:tcBorders>
            <w:shd w:val="clear" w:color="auto" w:fill="FFFFFF"/>
          </w:tcPr>
          <w:p w:rsidR="00CC22BA" w:rsidRPr="00702488" w:rsidRDefault="00CC22BA" w:rsidP="00CC22BA">
            <w:pPr>
              <w:spacing w:after="0"/>
              <w:rPr>
                <w:rFonts w:ascii="Calibri" w:eastAsiaTheme="minorEastAsia" w:hAnsi="Calibri" w:cs="Calibri"/>
                <w:color w:val="000000"/>
                <w:sz w:val="19"/>
                <w:szCs w:val="19"/>
                <w:lang w:eastAsia="en-AU"/>
              </w:rPr>
            </w:pPr>
            <w:r w:rsidRPr="00702488">
              <w:rPr>
                <w:rFonts w:ascii="Calibri" w:eastAsiaTheme="minorEastAsia" w:hAnsi="Calibri" w:cs="Calibri"/>
                <w:color w:val="000000"/>
                <w:sz w:val="19"/>
                <w:szCs w:val="19"/>
                <w:lang w:eastAsia="en-AU"/>
              </w:rPr>
              <w:t>Funding to support long-term reform in the vocational education and training sector.</w:t>
            </w:r>
          </w:p>
        </w:tc>
      </w:tr>
      <w:tr w:rsidR="002C39A3" w:rsidRPr="00702488" w:rsidTr="00CC22BA">
        <w:tc>
          <w:tcPr>
            <w:tcW w:w="5211" w:type="dxa"/>
            <w:tcBorders>
              <w:top w:val="nil"/>
              <w:left w:val="nil"/>
              <w:bottom w:val="single" w:sz="6" w:space="0" w:color="auto"/>
              <w:right w:val="nil"/>
            </w:tcBorders>
            <w:shd w:val="clear" w:color="auto" w:fill="FFFFFF"/>
          </w:tcPr>
          <w:p w:rsidR="002C39A3" w:rsidRPr="0070248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702488">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auto"/>
              <w:right w:val="nil"/>
            </w:tcBorders>
            <w:shd w:val="clear" w:color="auto" w:fill="FFFFFF"/>
          </w:tcPr>
          <w:p w:rsidR="002C39A3" w:rsidRPr="00702488"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94</w:t>
            </w:r>
          </w:p>
        </w:tc>
        <w:tc>
          <w:tcPr>
            <w:tcW w:w="855" w:type="dxa"/>
            <w:tcBorders>
              <w:top w:val="nil"/>
              <w:left w:val="nil"/>
              <w:bottom w:val="single" w:sz="6" w:space="0" w:color="auto"/>
              <w:right w:val="nil"/>
            </w:tcBorders>
            <w:shd w:val="clear" w:color="auto" w:fill="FFFFFF"/>
          </w:tcPr>
          <w:p w:rsidR="002C39A3" w:rsidRPr="00702488"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128</w:t>
            </w:r>
          </w:p>
        </w:tc>
        <w:tc>
          <w:tcPr>
            <w:tcW w:w="850" w:type="dxa"/>
            <w:tcBorders>
              <w:top w:val="nil"/>
              <w:left w:val="nil"/>
              <w:bottom w:val="single" w:sz="6" w:space="0" w:color="auto"/>
              <w:right w:val="nil"/>
            </w:tcBorders>
            <w:shd w:val="clear" w:color="auto" w:fill="FFFFFF"/>
          </w:tcPr>
          <w:p w:rsidR="002C39A3" w:rsidRPr="0070248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702488">
              <w:rPr>
                <w:rFonts w:ascii="Calibri" w:eastAsiaTheme="minorEastAsia" w:hAnsi="Calibri" w:cs="Calibri"/>
                <w:color w:val="000000"/>
                <w:sz w:val="19"/>
                <w:szCs w:val="19"/>
                <w:lang w:eastAsia="en-AU"/>
              </w:rPr>
              <w:t>36.8</w:t>
            </w:r>
          </w:p>
        </w:tc>
      </w:tr>
      <w:tr w:rsidR="00CC22BA" w:rsidRPr="00702488" w:rsidTr="00EA058F">
        <w:tc>
          <w:tcPr>
            <w:tcW w:w="7766" w:type="dxa"/>
            <w:gridSpan w:val="4"/>
            <w:tcBorders>
              <w:top w:val="single" w:sz="6" w:space="0" w:color="auto"/>
              <w:left w:val="nil"/>
              <w:right w:val="nil"/>
            </w:tcBorders>
            <w:shd w:val="clear" w:color="auto" w:fill="FFFFFF"/>
          </w:tcPr>
          <w:p w:rsidR="00CC22BA" w:rsidRPr="00702488"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702488">
              <w:rPr>
                <w:rFonts w:ascii="Calibri" w:eastAsiaTheme="minorEastAsia" w:hAnsi="Calibri" w:cs="Calibri"/>
                <w:i/>
                <w:iCs/>
                <w:color w:val="000000"/>
                <w:sz w:val="19"/>
                <w:szCs w:val="19"/>
                <w:lang w:eastAsia="en-AU"/>
              </w:rPr>
              <w:t xml:space="preserve">Trade training centres in schools </w:t>
            </w:r>
            <w:r w:rsidRPr="00702488">
              <w:rPr>
                <w:rFonts w:ascii="Calibri" w:eastAsiaTheme="minorEastAsia" w:hAnsi="Calibri" w:cs="Calibri"/>
                <w:i/>
                <w:iCs/>
                <w:color w:val="000000"/>
                <w:sz w:val="19"/>
                <w:szCs w:val="19"/>
                <w:vertAlign w:val="superscript"/>
                <w:lang w:eastAsia="en-AU"/>
              </w:rPr>
              <w:t>(b)</w:t>
            </w:r>
          </w:p>
        </w:tc>
      </w:tr>
      <w:tr w:rsidR="00CC22BA" w:rsidRPr="00702488" w:rsidTr="00EA058F">
        <w:tc>
          <w:tcPr>
            <w:tcW w:w="7766" w:type="dxa"/>
            <w:gridSpan w:val="4"/>
            <w:tcBorders>
              <w:top w:val="nil"/>
              <w:left w:val="nil"/>
              <w:right w:val="nil"/>
            </w:tcBorders>
            <w:shd w:val="clear" w:color="auto" w:fill="FFFFFF"/>
          </w:tcPr>
          <w:p w:rsidR="00CC22BA" w:rsidRPr="00702488" w:rsidRDefault="00CC22BA" w:rsidP="00CC22BA">
            <w:pPr>
              <w:spacing w:after="0"/>
              <w:rPr>
                <w:rFonts w:ascii="Calibri" w:eastAsiaTheme="minorEastAsia" w:hAnsi="Calibri" w:cs="Calibri"/>
                <w:color w:val="000000"/>
                <w:sz w:val="19"/>
                <w:szCs w:val="19"/>
                <w:lang w:eastAsia="en-AU"/>
              </w:rPr>
            </w:pPr>
            <w:r w:rsidRPr="00702488">
              <w:rPr>
                <w:rFonts w:ascii="Calibri" w:eastAsiaTheme="minorEastAsia" w:hAnsi="Calibri" w:cs="Calibri"/>
                <w:color w:val="000000"/>
                <w:sz w:val="19"/>
                <w:szCs w:val="19"/>
                <w:lang w:eastAsia="en-AU"/>
              </w:rPr>
              <w:t>Funding to build new or upgrade existing trade or vocational education and training facilities in secondary schools.</w:t>
            </w:r>
          </w:p>
        </w:tc>
      </w:tr>
      <w:tr w:rsidR="002C39A3" w:rsidRPr="00702488" w:rsidTr="00CC22BA">
        <w:tc>
          <w:tcPr>
            <w:tcW w:w="5211" w:type="dxa"/>
            <w:tcBorders>
              <w:top w:val="nil"/>
              <w:left w:val="nil"/>
              <w:bottom w:val="single" w:sz="6" w:space="0" w:color="auto"/>
              <w:right w:val="nil"/>
            </w:tcBorders>
            <w:shd w:val="clear" w:color="auto" w:fill="FFFFFF"/>
          </w:tcPr>
          <w:p w:rsidR="002C39A3" w:rsidRPr="0070248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702488">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auto"/>
              <w:right w:val="nil"/>
            </w:tcBorders>
            <w:shd w:val="clear" w:color="auto" w:fill="FFFFFF"/>
          </w:tcPr>
          <w:p w:rsidR="002C39A3" w:rsidRPr="00702488"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21</w:t>
            </w:r>
          </w:p>
        </w:tc>
        <w:tc>
          <w:tcPr>
            <w:tcW w:w="855" w:type="dxa"/>
            <w:tcBorders>
              <w:top w:val="nil"/>
              <w:left w:val="nil"/>
              <w:bottom w:val="single" w:sz="6" w:space="0" w:color="auto"/>
              <w:right w:val="nil"/>
            </w:tcBorders>
            <w:shd w:val="clear" w:color="auto" w:fill="FFFFFF"/>
          </w:tcPr>
          <w:p w:rsidR="002C39A3" w:rsidRPr="0070248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702488">
              <w:rPr>
                <w:rFonts w:ascii="Calibri" w:eastAsiaTheme="minorEastAsia" w:hAnsi="Calibri" w:cs="Calibri"/>
                <w:color w:val="000000"/>
                <w:sz w:val="19"/>
                <w:szCs w:val="19"/>
                <w:lang w:eastAsia="en-AU"/>
              </w:rPr>
              <w:t>..</w:t>
            </w:r>
          </w:p>
        </w:tc>
        <w:tc>
          <w:tcPr>
            <w:tcW w:w="850" w:type="dxa"/>
            <w:tcBorders>
              <w:top w:val="nil"/>
              <w:left w:val="nil"/>
              <w:bottom w:val="single" w:sz="6" w:space="0" w:color="auto"/>
              <w:right w:val="nil"/>
            </w:tcBorders>
            <w:shd w:val="clear" w:color="auto" w:fill="FFFFFF"/>
          </w:tcPr>
          <w:p w:rsidR="002C39A3" w:rsidRPr="0070248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702488">
              <w:rPr>
                <w:rFonts w:ascii="Calibri" w:eastAsiaTheme="minorEastAsia" w:hAnsi="Calibri" w:cs="Calibri"/>
                <w:color w:val="000000"/>
                <w:sz w:val="19"/>
                <w:szCs w:val="19"/>
                <w:lang w:eastAsia="en-AU"/>
              </w:rPr>
              <w:t>(100.0)</w:t>
            </w:r>
          </w:p>
        </w:tc>
      </w:tr>
      <w:tr w:rsidR="00CC22BA" w:rsidRPr="00702488" w:rsidTr="00EA058F">
        <w:tc>
          <w:tcPr>
            <w:tcW w:w="7766" w:type="dxa"/>
            <w:gridSpan w:val="4"/>
            <w:tcBorders>
              <w:top w:val="single" w:sz="6" w:space="0" w:color="auto"/>
              <w:left w:val="nil"/>
              <w:right w:val="nil"/>
            </w:tcBorders>
            <w:shd w:val="clear" w:color="auto" w:fill="FFFFFF"/>
          </w:tcPr>
          <w:p w:rsidR="00CC22BA" w:rsidRPr="00702488"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702488">
              <w:rPr>
                <w:rFonts w:ascii="Calibri" w:eastAsiaTheme="minorEastAsia" w:hAnsi="Calibri" w:cs="Calibri"/>
                <w:i/>
                <w:iCs/>
                <w:color w:val="000000"/>
                <w:sz w:val="19"/>
                <w:szCs w:val="19"/>
                <w:lang w:eastAsia="en-AU"/>
              </w:rPr>
              <w:t>School Chaplaincy Program</w:t>
            </w:r>
          </w:p>
        </w:tc>
      </w:tr>
      <w:tr w:rsidR="00CC22BA" w:rsidRPr="00702488" w:rsidTr="00EA058F">
        <w:tc>
          <w:tcPr>
            <w:tcW w:w="7766" w:type="dxa"/>
            <w:gridSpan w:val="4"/>
            <w:tcBorders>
              <w:top w:val="nil"/>
              <w:left w:val="nil"/>
              <w:right w:val="nil"/>
            </w:tcBorders>
            <w:shd w:val="clear" w:color="auto" w:fill="FFFFFF"/>
          </w:tcPr>
          <w:p w:rsidR="00CC22BA" w:rsidRPr="00702488" w:rsidRDefault="00CC22BA" w:rsidP="00CC22BA">
            <w:pPr>
              <w:spacing w:after="0"/>
              <w:rPr>
                <w:rFonts w:ascii="Calibri" w:eastAsiaTheme="minorEastAsia" w:hAnsi="Calibri" w:cs="Calibri"/>
                <w:color w:val="000000"/>
                <w:sz w:val="19"/>
                <w:szCs w:val="19"/>
                <w:lang w:eastAsia="en-AU"/>
              </w:rPr>
            </w:pPr>
            <w:r w:rsidRPr="00702488">
              <w:rPr>
                <w:rFonts w:ascii="Calibri" w:eastAsiaTheme="minorEastAsia" w:hAnsi="Calibri" w:cs="Calibri"/>
                <w:color w:val="000000"/>
                <w:sz w:val="19"/>
                <w:szCs w:val="19"/>
                <w:lang w:eastAsia="en-AU"/>
              </w:rPr>
              <w:t>Funding to support the emotional wellbeing of students by providing pastoral care services.</w:t>
            </w:r>
          </w:p>
        </w:tc>
      </w:tr>
      <w:tr w:rsidR="002C39A3" w:rsidRPr="00702488" w:rsidTr="00CC22BA">
        <w:tc>
          <w:tcPr>
            <w:tcW w:w="5211" w:type="dxa"/>
            <w:tcBorders>
              <w:top w:val="nil"/>
              <w:left w:val="nil"/>
              <w:bottom w:val="single" w:sz="6" w:space="0" w:color="auto"/>
              <w:right w:val="nil"/>
            </w:tcBorders>
            <w:shd w:val="clear" w:color="auto" w:fill="FFFFFF"/>
          </w:tcPr>
          <w:p w:rsidR="002C39A3" w:rsidRPr="0070248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702488">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auto"/>
              <w:right w:val="nil"/>
            </w:tcBorders>
            <w:shd w:val="clear" w:color="auto" w:fill="FFFFFF"/>
          </w:tcPr>
          <w:p w:rsidR="002C39A3" w:rsidRPr="00702488"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13</w:t>
            </w:r>
          </w:p>
        </w:tc>
        <w:tc>
          <w:tcPr>
            <w:tcW w:w="855" w:type="dxa"/>
            <w:tcBorders>
              <w:top w:val="nil"/>
              <w:left w:val="nil"/>
              <w:bottom w:val="single" w:sz="6" w:space="0" w:color="auto"/>
              <w:right w:val="nil"/>
            </w:tcBorders>
            <w:shd w:val="clear" w:color="auto" w:fill="FFFFFF"/>
          </w:tcPr>
          <w:p w:rsidR="002C39A3" w:rsidRPr="00702488"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13</w:t>
            </w:r>
          </w:p>
        </w:tc>
        <w:tc>
          <w:tcPr>
            <w:tcW w:w="850" w:type="dxa"/>
            <w:tcBorders>
              <w:top w:val="nil"/>
              <w:left w:val="nil"/>
              <w:bottom w:val="single" w:sz="6" w:space="0" w:color="auto"/>
              <w:right w:val="nil"/>
            </w:tcBorders>
            <w:shd w:val="clear" w:color="auto" w:fill="FFFFFF"/>
          </w:tcPr>
          <w:p w:rsidR="002C39A3" w:rsidRPr="0070248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702488">
              <w:rPr>
                <w:rFonts w:ascii="Calibri" w:eastAsiaTheme="minorEastAsia" w:hAnsi="Calibri" w:cs="Calibri"/>
                <w:color w:val="000000"/>
                <w:sz w:val="19"/>
                <w:szCs w:val="19"/>
                <w:lang w:eastAsia="en-AU"/>
              </w:rPr>
              <w:t>..</w:t>
            </w:r>
          </w:p>
        </w:tc>
      </w:tr>
      <w:tr w:rsidR="002C39A3" w:rsidRPr="00702488" w:rsidTr="00CC22BA">
        <w:tc>
          <w:tcPr>
            <w:tcW w:w="5211" w:type="dxa"/>
            <w:tcBorders>
              <w:top w:val="single" w:sz="6" w:space="0" w:color="auto"/>
              <w:left w:val="nil"/>
              <w:bottom w:val="single" w:sz="6" w:space="0" w:color="auto"/>
              <w:right w:val="nil"/>
            </w:tcBorders>
            <w:shd w:val="clear" w:color="auto" w:fill="FFFFFF"/>
          </w:tcPr>
          <w:p w:rsidR="002C39A3" w:rsidRPr="00702488"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702488">
              <w:rPr>
                <w:rFonts w:ascii="Calibri" w:eastAsiaTheme="minorEastAsia" w:hAnsi="Calibri" w:cs="Calibri"/>
                <w:b/>
                <w:bCs/>
                <w:color w:val="000000"/>
                <w:sz w:val="19"/>
                <w:szCs w:val="19"/>
                <w:lang w:eastAsia="en-AU"/>
              </w:rPr>
              <w:t>Other</w:t>
            </w:r>
          </w:p>
        </w:tc>
        <w:tc>
          <w:tcPr>
            <w:tcW w:w="850" w:type="dxa"/>
            <w:tcBorders>
              <w:top w:val="single" w:sz="6" w:space="0" w:color="auto"/>
              <w:left w:val="nil"/>
              <w:bottom w:val="single" w:sz="6" w:space="0" w:color="auto"/>
              <w:right w:val="nil"/>
            </w:tcBorders>
            <w:shd w:val="clear" w:color="auto" w:fill="FFFFFF"/>
          </w:tcPr>
          <w:p w:rsidR="002C39A3" w:rsidRPr="00702488" w:rsidRDefault="00AF5DDD"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11</w:t>
            </w:r>
          </w:p>
        </w:tc>
        <w:tc>
          <w:tcPr>
            <w:tcW w:w="855" w:type="dxa"/>
            <w:tcBorders>
              <w:top w:val="single" w:sz="6" w:space="0" w:color="auto"/>
              <w:left w:val="nil"/>
              <w:bottom w:val="single" w:sz="6" w:space="0" w:color="auto"/>
              <w:right w:val="nil"/>
            </w:tcBorders>
            <w:shd w:val="clear" w:color="auto" w:fill="FFFFFF"/>
          </w:tcPr>
          <w:p w:rsidR="002C39A3" w:rsidRPr="00702488" w:rsidRDefault="00AF5DDD"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6</w:t>
            </w:r>
          </w:p>
        </w:tc>
        <w:tc>
          <w:tcPr>
            <w:tcW w:w="850" w:type="dxa"/>
            <w:tcBorders>
              <w:top w:val="single" w:sz="6" w:space="0" w:color="auto"/>
              <w:left w:val="nil"/>
              <w:bottom w:val="single" w:sz="6" w:space="0" w:color="auto"/>
              <w:right w:val="nil"/>
            </w:tcBorders>
            <w:shd w:val="clear" w:color="auto" w:fill="FFFFFF"/>
          </w:tcPr>
          <w:p w:rsidR="002C39A3" w:rsidRPr="00702488"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702488">
              <w:rPr>
                <w:rFonts w:ascii="Calibri" w:eastAsiaTheme="minorEastAsia" w:hAnsi="Calibri" w:cs="Calibri"/>
                <w:b/>
                <w:bCs/>
                <w:color w:val="000000"/>
                <w:sz w:val="19"/>
                <w:szCs w:val="19"/>
                <w:lang w:eastAsia="en-AU"/>
              </w:rPr>
              <w:t>(42.2)</w:t>
            </w:r>
          </w:p>
        </w:tc>
      </w:tr>
      <w:tr w:rsidR="002C39A3" w:rsidRPr="00702488" w:rsidTr="00CC22BA">
        <w:tc>
          <w:tcPr>
            <w:tcW w:w="5211" w:type="dxa"/>
            <w:tcBorders>
              <w:top w:val="single" w:sz="6" w:space="0" w:color="auto"/>
              <w:left w:val="nil"/>
              <w:bottom w:val="single" w:sz="12" w:space="0" w:color="auto"/>
              <w:right w:val="nil"/>
            </w:tcBorders>
            <w:shd w:val="clear" w:color="auto" w:fill="FFFFFF"/>
          </w:tcPr>
          <w:p w:rsidR="002C39A3" w:rsidRPr="00702488"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702488">
              <w:rPr>
                <w:rFonts w:ascii="Calibri" w:eastAsiaTheme="minorEastAsia" w:hAnsi="Calibri" w:cs="Calibri"/>
                <w:b/>
                <w:bCs/>
                <w:color w:val="000000"/>
                <w:sz w:val="19"/>
                <w:szCs w:val="19"/>
                <w:lang w:eastAsia="en-AU"/>
              </w:rPr>
              <w:t>Total education services</w:t>
            </w:r>
          </w:p>
        </w:tc>
        <w:tc>
          <w:tcPr>
            <w:tcW w:w="850" w:type="dxa"/>
            <w:tcBorders>
              <w:top w:val="single" w:sz="6" w:space="0" w:color="auto"/>
              <w:left w:val="nil"/>
              <w:bottom w:val="single" w:sz="12" w:space="0" w:color="auto"/>
              <w:right w:val="nil"/>
            </w:tcBorders>
            <w:shd w:val="clear" w:color="auto" w:fill="FFFFFF"/>
          </w:tcPr>
          <w:p w:rsidR="002C39A3" w:rsidRPr="00702488"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702488">
              <w:rPr>
                <w:rFonts w:ascii="Calibri" w:eastAsiaTheme="minorEastAsia" w:hAnsi="Calibri" w:cs="Calibri"/>
                <w:b/>
                <w:bCs/>
                <w:color w:val="000000"/>
                <w:sz w:val="19"/>
                <w:szCs w:val="19"/>
                <w:lang w:eastAsia="en-AU"/>
              </w:rPr>
              <w:t>1 955</w:t>
            </w:r>
          </w:p>
        </w:tc>
        <w:tc>
          <w:tcPr>
            <w:tcW w:w="855" w:type="dxa"/>
            <w:tcBorders>
              <w:top w:val="single" w:sz="6" w:space="0" w:color="auto"/>
              <w:left w:val="nil"/>
              <w:bottom w:val="single" w:sz="12" w:space="0" w:color="auto"/>
              <w:right w:val="nil"/>
            </w:tcBorders>
            <w:shd w:val="clear" w:color="auto" w:fill="FFFFFF"/>
          </w:tcPr>
          <w:p w:rsidR="002C39A3" w:rsidRPr="00702488"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702488">
              <w:rPr>
                <w:rFonts w:ascii="Calibri" w:eastAsiaTheme="minorEastAsia" w:hAnsi="Calibri" w:cs="Calibri"/>
                <w:b/>
                <w:bCs/>
                <w:color w:val="000000"/>
                <w:sz w:val="19"/>
                <w:szCs w:val="19"/>
                <w:lang w:eastAsia="en-AU"/>
              </w:rPr>
              <w:t>2 080</w:t>
            </w:r>
          </w:p>
        </w:tc>
        <w:tc>
          <w:tcPr>
            <w:tcW w:w="850" w:type="dxa"/>
            <w:tcBorders>
              <w:top w:val="single" w:sz="6" w:space="0" w:color="auto"/>
              <w:left w:val="nil"/>
              <w:bottom w:val="single" w:sz="12" w:space="0" w:color="auto"/>
              <w:right w:val="nil"/>
            </w:tcBorders>
            <w:shd w:val="clear" w:color="auto" w:fill="FFFFFF"/>
          </w:tcPr>
          <w:p w:rsidR="002C39A3" w:rsidRPr="00702488"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702488">
              <w:rPr>
                <w:rFonts w:ascii="Calibri" w:eastAsiaTheme="minorEastAsia" w:hAnsi="Calibri" w:cs="Calibri"/>
                <w:b/>
                <w:bCs/>
                <w:color w:val="000000"/>
                <w:sz w:val="19"/>
                <w:szCs w:val="19"/>
                <w:lang w:eastAsia="en-AU"/>
              </w:rPr>
              <w:t>6.4</w:t>
            </w:r>
          </w:p>
        </w:tc>
      </w:tr>
    </w:tbl>
    <w:p w:rsidR="002C39A3" w:rsidRPr="009A1C06" w:rsidRDefault="002C39A3" w:rsidP="00361FA9">
      <w:pPr>
        <w:pStyle w:val="Source"/>
        <w:rPr>
          <w:rFonts w:eastAsiaTheme="minorHAnsi"/>
        </w:rPr>
      </w:pPr>
      <w:r w:rsidRPr="009A1C06">
        <w:rPr>
          <w:rFonts w:eastAsiaTheme="minorHAnsi"/>
        </w:rPr>
        <w:t>Source: Department of Treasury and Finance</w:t>
      </w:r>
    </w:p>
    <w:p w:rsidR="002C39A3" w:rsidRDefault="002C39A3" w:rsidP="00361FA9">
      <w:pPr>
        <w:pStyle w:val="Notes"/>
        <w:rPr>
          <w:rFonts w:eastAsiaTheme="minorHAnsi"/>
        </w:rPr>
      </w:pPr>
      <w:r>
        <w:rPr>
          <w:rFonts w:eastAsiaTheme="minorHAnsi"/>
        </w:rPr>
        <w:t>Notes:</w:t>
      </w:r>
    </w:p>
    <w:p w:rsidR="002C39A3" w:rsidRDefault="002C39A3" w:rsidP="00361FA9">
      <w:pPr>
        <w:pStyle w:val="Notes"/>
        <w:rPr>
          <w:rFonts w:eastAsiaTheme="minorHAnsi"/>
        </w:rPr>
      </w:pPr>
      <w:r>
        <w:rPr>
          <w:rFonts w:eastAsiaTheme="minorHAnsi"/>
        </w:rPr>
        <w:t xml:space="preserve">(a) </w:t>
      </w:r>
      <w:r>
        <w:rPr>
          <w:rFonts w:eastAsiaTheme="minorHAnsi"/>
        </w:rPr>
        <w:tab/>
        <w:t>Per cent change between 2015-16 and 2016-17.</w:t>
      </w:r>
    </w:p>
    <w:p w:rsidR="002C39A3" w:rsidRPr="00ED255C" w:rsidRDefault="002C39A3" w:rsidP="00361FA9">
      <w:pPr>
        <w:pStyle w:val="Notes"/>
        <w:rPr>
          <w:rFonts w:eastAsiaTheme="minorHAnsi"/>
        </w:rPr>
      </w:pPr>
      <w:r w:rsidRPr="008A1A75">
        <w:rPr>
          <w:rFonts w:eastAsiaTheme="minorHAnsi"/>
        </w:rPr>
        <w:t xml:space="preserve">(b) </w:t>
      </w:r>
      <w:r w:rsidRPr="008A1A75">
        <w:rPr>
          <w:rFonts w:eastAsiaTheme="minorHAnsi"/>
        </w:rPr>
        <w:tab/>
      </w:r>
      <w:r>
        <w:rPr>
          <w:rFonts w:eastAsiaTheme="minorHAnsi"/>
        </w:rPr>
        <w:t>Agreement not continued beyond 2015-16.</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 xml:space="preserve">Table 4.11: </w:t>
      </w:r>
      <w:r>
        <w:rPr>
          <w:rFonts w:eastAsiaTheme="minorHAnsi"/>
        </w:rPr>
        <w:tab/>
        <w:t>Payments for environment services</w:t>
      </w:r>
    </w:p>
    <w:p w:rsidR="002C39A3" w:rsidRPr="00D605E5" w:rsidRDefault="002C39A3" w:rsidP="00361FA9">
      <w:pPr>
        <w:pStyle w:val="million"/>
        <w:rPr>
          <w:rFonts w:eastAsiaTheme="minorHAnsi"/>
          <w:b/>
          <w:bCs/>
          <w:sz w:val="15"/>
          <w:lang w:val="en-US"/>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5213"/>
        <w:gridCol w:w="850"/>
        <w:gridCol w:w="853"/>
        <w:gridCol w:w="850"/>
      </w:tblGrid>
      <w:tr w:rsidR="00CC22BA" w:rsidRPr="00D605E5" w:rsidTr="00EA058F">
        <w:trPr>
          <w:trHeight w:val="464"/>
        </w:trPr>
        <w:tc>
          <w:tcPr>
            <w:tcW w:w="5213" w:type="dxa"/>
            <w:tcBorders>
              <w:top w:val="nil"/>
              <w:left w:val="nil"/>
              <w:right w:val="nil"/>
            </w:tcBorders>
            <w:shd w:val="solid" w:color="000000" w:fill="auto"/>
          </w:tcPr>
          <w:p w:rsidR="00CC22BA" w:rsidRPr="00D605E5" w:rsidRDefault="00CC22BA" w:rsidP="00CC22BA">
            <w:pPr>
              <w:pStyle w:val="Source"/>
              <w:spacing w:after="0"/>
              <w:rPr>
                <w:rFonts w:eastAsiaTheme="minorEastAsia" w:cs="Calibri"/>
                <w:iCs/>
                <w:color w:val="FFFFFF"/>
                <w:sz w:val="19"/>
                <w:szCs w:val="19"/>
                <w:lang w:eastAsia="en-AU"/>
              </w:rPr>
            </w:pPr>
          </w:p>
        </w:tc>
        <w:tc>
          <w:tcPr>
            <w:tcW w:w="850" w:type="dxa"/>
            <w:tcBorders>
              <w:top w:val="nil"/>
              <w:left w:val="nil"/>
              <w:right w:val="nil"/>
            </w:tcBorders>
            <w:shd w:val="solid" w:color="000000" w:fill="auto"/>
          </w:tcPr>
          <w:p w:rsidR="00CC22BA" w:rsidRPr="00D605E5"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605E5">
              <w:rPr>
                <w:rFonts w:ascii="Calibri" w:eastAsiaTheme="minorEastAsia" w:hAnsi="Calibri" w:cs="Calibri"/>
                <w:i/>
                <w:iCs/>
                <w:color w:val="FFFFFF"/>
                <w:sz w:val="19"/>
                <w:szCs w:val="19"/>
                <w:lang w:eastAsia="en-AU"/>
              </w:rPr>
              <w:t>2015-16</w:t>
            </w:r>
          </w:p>
          <w:p w:rsidR="00CC22BA" w:rsidRPr="00D605E5"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605E5">
              <w:rPr>
                <w:rFonts w:ascii="Calibri" w:eastAsiaTheme="minorEastAsia" w:hAnsi="Calibri" w:cs="Calibri"/>
                <w:i/>
                <w:iCs/>
                <w:color w:val="FFFFFF"/>
                <w:sz w:val="19"/>
                <w:szCs w:val="19"/>
                <w:lang w:eastAsia="en-AU"/>
              </w:rPr>
              <w:t>revised</w:t>
            </w:r>
          </w:p>
        </w:tc>
        <w:tc>
          <w:tcPr>
            <w:tcW w:w="853" w:type="dxa"/>
            <w:tcBorders>
              <w:top w:val="nil"/>
              <w:left w:val="nil"/>
              <w:right w:val="nil"/>
            </w:tcBorders>
            <w:shd w:val="solid" w:color="000000" w:fill="auto"/>
          </w:tcPr>
          <w:p w:rsidR="00CC22BA" w:rsidRPr="00D605E5"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605E5">
              <w:rPr>
                <w:rFonts w:ascii="Calibri" w:eastAsiaTheme="minorEastAsia" w:hAnsi="Calibri" w:cs="Calibri"/>
                <w:i/>
                <w:iCs/>
                <w:color w:val="FFFFFF"/>
                <w:sz w:val="19"/>
                <w:szCs w:val="19"/>
                <w:lang w:eastAsia="en-AU"/>
              </w:rPr>
              <w:t>2016-17</w:t>
            </w:r>
          </w:p>
          <w:p w:rsidR="00CC22BA" w:rsidRPr="00D605E5"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605E5">
              <w:rPr>
                <w:rFonts w:ascii="Calibri" w:eastAsiaTheme="minorEastAsia" w:hAnsi="Calibri" w:cs="Calibri"/>
                <w:i/>
                <w:iCs/>
                <w:color w:val="FFFFFF"/>
                <w:sz w:val="19"/>
                <w:szCs w:val="19"/>
                <w:lang w:eastAsia="en-AU"/>
              </w:rPr>
              <w:t>budget</w:t>
            </w:r>
          </w:p>
        </w:tc>
        <w:tc>
          <w:tcPr>
            <w:tcW w:w="850" w:type="dxa"/>
            <w:tcBorders>
              <w:top w:val="nil"/>
              <w:left w:val="nil"/>
              <w:right w:val="nil"/>
            </w:tcBorders>
            <w:shd w:val="solid" w:color="000000" w:fill="auto"/>
          </w:tcPr>
          <w:p w:rsidR="00CC22BA" w:rsidRPr="00D605E5"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605E5">
              <w:rPr>
                <w:rFonts w:ascii="Calibri" w:eastAsiaTheme="minorEastAsia" w:hAnsi="Calibri" w:cs="Calibri"/>
                <w:i/>
                <w:iCs/>
                <w:color w:val="FFFFFF"/>
                <w:sz w:val="19"/>
                <w:szCs w:val="19"/>
                <w:lang w:eastAsia="en-AU"/>
              </w:rPr>
              <w:t>Change</w:t>
            </w:r>
          </w:p>
          <w:p w:rsidR="00CC22BA" w:rsidRPr="00D605E5"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D605E5">
              <w:rPr>
                <w:rFonts w:ascii="Calibri" w:eastAsiaTheme="minorEastAsia" w:hAnsi="Calibri" w:cs="Calibri"/>
                <w:i/>
                <w:iCs/>
                <w:color w:val="FFFFFF"/>
                <w:sz w:val="19"/>
                <w:szCs w:val="19"/>
                <w:lang w:eastAsia="en-AU"/>
              </w:rPr>
              <w:t>%</w:t>
            </w:r>
            <w:r w:rsidRPr="00D605E5">
              <w:rPr>
                <w:rFonts w:ascii="Calibri" w:eastAsiaTheme="minorEastAsia" w:hAnsi="Calibri" w:cs="Calibri"/>
                <w:i/>
                <w:iCs/>
                <w:color w:val="FFFFFF"/>
                <w:sz w:val="19"/>
                <w:szCs w:val="19"/>
                <w:vertAlign w:val="superscript"/>
                <w:lang w:eastAsia="en-AU"/>
              </w:rPr>
              <w:t>(a)</w:t>
            </w:r>
          </w:p>
        </w:tc>
      </w:tr>
      <w:tr w:rsidR="00CC22BA" w:rsidRPr="00D605E5" w:rsidTr="00EA058F">
        <w:tc>
          <w:tcPr>
            <w:tcW w:w="7766" w:type="dxa"/>
            <w:gridSpan w:val="4"/>
            <w:tcBorders>
              <w:top w:val="nil"/>
              <w:left w:val="nil"/>
              <w:right w:val="nil"/>
            </w:tcBorders>
            <w:shd w:val="clear" w:color="auto" w:fill="FFFFFF"/>
          </w:tcPr>
          <w:p w:rsidR="00CC22BA" w:rsidRPr="00D605E5"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D605E5">
              <w:rPr>
                <w:rFonts w:ascii="Calibri" w:eastAsiaTheme="minorEastAsia" w:hAnsi="Calibri" w:cs="Calibri"/>
                <w:b/>
                <w:bCs/>
                <w:color w:val="000000"/>
                <w:sz w:val="19"/>
                <w:szCs w:val="19"/>
                <w:lang w:eastAsia="en-AU"/>
              </w:rPr>
              <w:t>National Partnerships</w:t>
            </w:r>
          </w:p>
        </w:tc>
      </w:tr>
      <w:tr w:rsidR="00CC22BA" w:rsidRPr="00D605E5" w:rsidTr="00EA058F">
        <w:tc>
          <w:tcPr>
            <w:tcW w:w="7766" w:type="dxa"/>
            <w:gridSpan w:val="4"/>
            <w:tcBorders>
              <w:top w:val="nil"/>
              <w:left w:val="nil"/>
              <w:right w:val="nil"/>
            </w:tcBorders>
            <w:shd w:val="clear" w:color="auto" w:fill="FFFFFF"/>
          </w:tcPr>
          <w:p w:rsidR="00CC22BA" w:rsidRPr="00D605E5"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D605E5">
              <w:rPr>
                <w:rFonts w:ascii="Calibri" w:eastAsiaTheme="minorEastAsia" w:hAnsi="Calibri" w:cs="Calibri"/>
                <w:i/>
                <w:iCs/>
                <w:color w:val="000000"/>
                <w:sz w:val="19"/>
                <w:szCs w:val="19"/>
                <w:lang w:eastAsia="en-AU"/>
              </w:rPr>
              <w:t>Water for the Future</w:t>
            </w:r>
          </w:p>
        </w:tc>
      </w:tr>
      <w:tr w:rsidR="00CC22BA" w:rsidRPr="00D605E5" w:rsidTr="00EA058F">
        <w:tc>
          <w:tcPr>
            <w:tcW w:w="7766" w:type="dxa"/>
            <w:gridSpan w:val="4"/>
            <w:tcBorders>
              <w:top w:val="nil"/>
              <w:left w:val="nil"/>
              <w:right w:val="nil"/>
            </w:tcBorders>
            <w:shd w:val="clear" w:color="auto" w:fill="FFFFFF"/>
          </w:tcPr>
          <w:p w:rsidR="00CC22BA" w:rsidRPr="00D605E5" w:rsidRDefault="00CC22BA" w:rsidP="00CC22BA">
            <w:pPr>
              <w:spacing w:after="0"/>
              <w:rPr>
                <w:rFonts w:ascii="Calibri" w:eastAsiaTheme="minorEastAsia" w:hAnsi="Calibri" w:cs="Calibri"/>
                <w:color w:val="000000"/>
                <w:sz w:val="19"/>
                <w:szCs w:val="19"/>
                <w:lang w:eastAsia="en-AU"/>
              </w:rPr>
            </w:pPr>
            <w:r w:rsidRPr="00D605E5">
              <w:rPr>
                <w:rFonts w:ascii="Calibri" w:eastAsiaTheme="minorEastAsia" w:hAnsi="Calibri" w:cs="Calibri"/>
                <w:color w:val="000000"/>
                <w:sz w:val="19"/>
                <w:szCs w:val="19"/>
                <w:lang w:eastAsia="en-AU"/>
              </w:rPr>
              <w:t>This represents a long-term Commonwealth initiative to better balance the water needs of communities, farmers and the environment. It contains a suite of urban and rural policies and programs, including significant funding for water purchasing, irrigation modernisation, desalination, recycling and stormwater capture.</w:t>
            </w:r>
          </w:p>
        </w:tc>
      </w:tr>
      <w:tr w:rsidR="002C39A3" w:rsidRPr="00D605E5" w:rsidTr="00CC22BA">
        <w:tc>
          <w:tcPr>
            <w:tcW w:w="5213" w:type="dxa"/>
            <w:tcBorders>
              <w:top w:val="nil"/>
              <w:left w:val="nil"/>
              <w:bottom w:val="single" w:sz="6" w:space="0" w:color="auto"/>
              <w:right w:val="nil"/>
            </w:tcBorders>
            <w:shd w:val="clear" w:color="auto" w:fill="FFFFFF"/>
          </w:tcPr>
          <w:p w:rsidR="002C39A3" w:rsidRPr="00D605E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605E5">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auto"/>
              <w:right w:val="nil"/>
            </w:tcBorders>
            <w:shd w:val="clear" w:color="auto" w:fill="FFFFFF"/>
          </w:tcPr>
          <w:p w:rsidR="002C39A3" w:rsidRPr="00D605E5"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38</w:t>
            </w:r>
          </w:p>
        </w:tc>
        <w:tc>
          <w:tcPr>
            <w:tcW w:w="853" w:type="dxa"/>
            <w:tcBorders>
              <w:top w:val="nil"/>
              <w:left w:val="nil"/>
              <w:bottom w:val="single" w:sz="6" w:space="0" w:color="auto"/>
              <w:right w:val="nil"/>
            </w:tcBorders>
            <w:shd w:val="clear" w:color="auto" w:fill="FFFFFF"/>
          </w:tcPr>
          <w:p w:rsidR="002C39A3" w:rsidRPr="00D605E5"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36</w:t>
            </w:r>
          </w:p>
        </w:tc>
        <w:tc>
          <w:tcPr>
            <w:tcW w:w="850" w:type="dxa"/>
            <w:tcBorders>
              <w:top w:val="nil"/>
              <w:left w:val="nil"/>
              <w:bottom w:val="single" w:sz="6" w:space="0" w:color="auto"/>
              <w:right w:val="nil"/>
            </w:tcBorders>
            <w:shd w:val="clear" w:color="auto" w:fill="FFFFFF"/>
          </w:tcPr>
          <w:p w:rsidR="002C39A3" w:rsidRPr="00D605E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605E5">
              <w:rPr>
                <w:rFonts w:ascii="Calibri" w:eastAsiaTheme="minorEastAsia" w:hAnsi="Calibri" w:cs="Calibri"/>
                <w:color w:val="000000"/>
                <w:sz w:val="19"/>
                <w:szCs w:val="19"/>
                <w:lang w:eastAsia="en-AU"/>
              </w:rPr>
              <w:t>(7.4)</w:t>
            </w:r>
          </w:p>
        </w:tc>
      </w:tr>
      <w:tr w:rsidR="00CC22BA" w:rsidRPr="00D605E5" w:rsidTr="00EA058F">
        <w:tc>
          <w:tcPr>
            <w:tcW w:w="7766" w:type="dxa"/>
            <w:gridSpan w:val="4"/>
            <w:tcBorders>
              <w:top w:val="single" w:sz="6" w:space="0" w:color="auto"/>
              <w:left w:val="nil"/>
              <w:right w:val="nil"/>
            </w:tcBorders>
            <w:shd w:val="clear" w:color="auto" w:fill="FFFFFF"/>
          </w:tcPr>
          <w:p w:rsidR="00CC22BA" w:rsidRPr="00D605E5"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D605E5">
              <w:rPr>
                <w:rFonts w:ascii="Calibri" w:eastAsiaTheme="minorEastAsia" w:hAnsi="Calibri" w:cs="Calibri"/>
                <w:i/>
                <w:iCs/>
                <w:color w:val="000000"/>
                <w:sz w:val="19"/>
                <w:szCs w:val="19"/>
                <w:lang w:eastAsia="en-AU"/>
              </w:rPr>
              <w:t xml:space="preserve">Goulburn-Murray Water Connections Project Trust </w:t>
            </w:r>
            <w:r w:rsidRPr="00D605E5">
              <w:rPr>
                <w:rFonts w:ascii="Calibri" w:eastAsiaTheme="minorEastAsia" w:hAnsi="Calibri" w:cs="Calibri"/>
                <w:i/>
                <w:iCs/>
                <w:color w:val="000000"/>
                <w:sz w:val="19"/>
                <w:szCs w:val="19"/>
                <w:vertAlign w:val="superscript"/>
                <w:lang w:eastAsia="en-AU"/>
              </w:rPr>
              <w:t>(b)</w:t>
            </w:r>
          </w:p>
        </w:tc>
      </w:tr>
      <w:tr w:rsidR="00CC22BA" w:rsidRPr="00D605E5" w:rsidTr="00EA058F">
        <w:tc>
          <w:tcPr>
            <w:tcW w:w="7766" w:type="dxa"/>
            <w:gridSpan w:val="4"/>
            <w:tcBorders>
              <w:top w:val="nil"/>
              <w:left w:val="nil"/>
              <w:right w:val="nil"/>
            </w:tcBorders>
            <w:shd w:val="clear" w:color="auto" w:fill="FFFFFF"/>
          </w:tcPr>
          <w:p w:rsidR="00CC22BA" w:rsidRPr="00D605E5" w:rsidRDefault="00CC22BA" w:rsidP="00CC22BA">
            <w:pPr>
              <w:spacing w:after="0"/>
              <w:rPr>
                <w:rFonts w:ascii="Calibri" w:eastAsiaTheme="minorEastAsia" w:hAnsi="Calibri" w:cs="Calibri"/>
                <w:color w:val="000000"/>
                <w:sz w:val="19"/>
                <w:szCs w:val="19"/>
                <w:lang w:eastAsia="en-AU"/>
              </w:rPr>
            </w:pPr>
            <w:r w:rsidRPr="00D605E5">
              <w:rPr>
                <w:rFonts w:ascii="Calibri" w:eastAsiaTheme="minorEastAsia" w:hAnsi="Calibri" w:cs="Calibri"/>
                <w:color w:val="000000"/>
                <w:sz w:val="19"/>
                <w:szCs w:val="19"/>
                <w:lang w:eastAsia="en-AU"/>
              </w:rPr>
              <w:t>Funding for the Goulburn-Murray Water Connections Project to modernise, upgrade and improve the efficiency of the irrigation network in Northern Victoria.</w:t>
            </w:r>
          </w:p>
        </w:tc>
      </w:tr>
      <w:tr w:rsidR="002C39A3" w:rsidRPr="00D605E5" w:rsidTr="00CC22BA">
        <w:tc>
          <w:tcPr>
            <w:tcW w:w="5213" w:type="dxa"/>
            <w:tcBorders>
              <w:top w:val="nil"/>
              <w:left w:val="nil"/>
              <w:bottom w:val="single" w:sz="6" w:space="0" w:color="auto"/>
              <w:right w:val="nil"/>
            </w:tcBorders>
            <w:shd w:val="clear" w:color="auto" w:fill="FFFFFF"/>
          </w:tcPr>
          <w:p w:rsidR="002C39A3" w:rsidRPr="00D605E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605E5">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auto"/>
              <w:right w:val="nil"/>
            </w:tcBorders>
            <w:shd w:val="clear" w:color="auto" w:fill="FFFFFF"/>
          </w:tcPr>
          <w:p w:rsidR="002C39A3" w:rsidRPr="00D605E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605E5">
              <w:rPr>
                <w:rFonts w:ascii="Calibri" w:eastAsiaTheme="minorEastAsia" w:hAnsi="Calibri" w:cs="Calibri"/>
                <w:color w:val="000000"/>
                <w:sz w:val="19"/>
                <w:szCs w:val="19"/>
                <w:lang w:eastAsia="en-AU"/>
              </w:rPr>
              <w:t>..</w:t>
            </w:r>
          </w:p>
        </w:tc>
        <w:tc>
          <w:tcPr>
            <w:tcW w:w="853" w:type="dxa"/>
            <w:tcBorders>
              <w:top w:val="nil"/>
              <w:left w:val="nil"/>
              <w:bottom w:val="single" w:sz="6" w:space="0" w:color="auto"/>
              <w:right w:val="nil"/>
            </w:tcBorders>
            <w:shd w:val="clear" w:color="auto" w:fill="FFFFFF"/>
          </w:tcPr>
          <w:p w:rsidR="002C39A3" w:rsidRPr="00D605E5"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376</w:t>
            </w:r>
          </w:p>
        </w:tc>
        <w:tc>
          <w:tcPr>
            <w:tcW w:w="850" w:type="dxa"/>
            <w:tcBorders>
              <w:top w:val="nil"/>
              <w:left w:val="nil"/>
              <w:bottom w:val="single" w:sz="6" w:space="0" w:color="auto"/>
              <w:right w:val="nil"/>
            </w:tcBorders>
            <w:shd w:val="clear" w:color="auto" w:fill="FFFFFF"/>
          </w:tcPr>
          <w:p w:rsidR="002C39A3" w:rsidRPr="00D605E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605E5">
              <w:rPr>
                <w:rFonts w:ascii="Calibri" w:eastAsiaTheme="minorEastAsia" w:hAnsi="Calibri" w:cs="Calibri"/>
                <w:color w:val="000000"/>
                <w:sz w:val="19"/>
                <w:szCs w:val="19"/>
                <w:lang w:eastAsia="en-AU"/>
              </w:rPr>
              <w:t>n.a.</w:t>
            </w:r>
          </w:p>
        </w:tc>
      </w:tr>
      <w:tr w:rsidR="00CC22BA" w:rsidRPr="00D605E5" w:rsidTr="00EA058F">
        <w:tc>
          <w:tcPr>
            <w:tcW w:w="7766" w:type="dxa"/>
            <w:gridSpan w:val="4"/>
            <w:tcBorders>
              <w:top w:val="single" w:sz="6" w:space="0" w:color="auto"/>
              <w:left w:val="nil"/>
              <w:right w:val="nil"/>
            </w:tcBorders>
            <w:shd w:val="clear" w:color="auto" w:fill="FFFFFF"/>
          </w:tcPr>
          <w:p w:rsidR="00CC22BA" w:rsidRPr="00D605E5"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D605E5">
              <w:rPr>
                <w:rFonts w:ascii="Calibri" w:eastAsiaTheme="minorEastAsia" w:hAnsi="Calibri" w:cs="Calibri"/>
                <w:b/>
                <w:bCs/>
                <w:color w:val="000000"/>
                <w:sz w:val="19"/>
                <w:szCs w:val="19"/>
                <w:lang w:eastAsia="en-AU"/>
              </w:rPr>
              <w:t>Other payments to the State</w:t>
            </w:r>
          </w:p>
        </w:tc>
      </w:tr>
      <w:tr w:rsidR="00CC22BA" w:rsidRPr="00D605E5" w:rsidTr="00EA058F">
        <w:tc>
          <w:tcPr>
            <w:tcW w:w="7766" w:type="dxa"/>
            <w:gridSpan w:val="4"/>
            <w:tcBorders>
              <w:top w:val="nil"/>
              <w:left w:val="nil"/>
              <w:right w:val="nil"/>
            </w:tcBorders>
            <w:shd w:val="clear" w:color="auto" w:fill="FFFFFF"/>
          </w:tcPr>
          <w:p w:rsidR="00CC22BA" w:rsidRPr="00D605E5"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D605E5">
              <w:rPr>
                <w:rFonts w:ascii="Calibri" w:eastAsiaTheme="minorEastAsia" w:hAnsi="Calibri" w:cs="Calibri"/>
                <w:i/>
                <w:iCs/>
                <w:color w:val="000000"/>
                <w:sz w:val="19"/>
                <w:szCs w:val="19"/>
                <w:lang w:eastAsia="en-AU"/>
              </w:rPr>
              <w:t>National Landcare Programme Regional Allocations</w:t>
            </w:r>
          </w:p>
        </w:tc>
      </w:tr>
      <w:tr w:rsidR="00CC22BA" w:rsidRPr="00D605E5" w:rsidTr="00EA058F">
        <w:tc>
          <w:tcPr>
            <w:tcW w:w="7766" w:type="dxa"/>
            <w:gridSpan w:val="4"/>
            <w:tcBorders>
              <w:top w:val="nil"/>
              <w:left w:val="nil"/>
              <w:right w:val="nil"/>
            </w:tcBorders>
            <w:shd w:val="clear" w:color="auto" w:fill="FFFFFF"/>
          </w:tcPr>
          <w:p w:rsidR="00CC22BA" w:rsidRPr="00D605E5" w:rsidRDefault="00CC22BA" w:rsidP="00CC22BA">
            <w:pPr>
              <w:spacing w:after="0"/>
              <w:rPr>
                <w:rFonts w:ascii="Calibri" w:eastAsiaTheme="minorEastAsia" w:hAnsi="Calibri" w:cs="Calibri"/>
                <w:color w:val="000000"/>
                <w:sz w:val="19"/>
                <w:szCs w:val="19"/>
                <w:lang w:eastAsia="en-AU"/>
              </w:rPr>
            </w:pPr>
            <w:r w:rsidRPr="00D605E5">
              <w:rPr>
                <w:rFonts w:ascii="Calibri" w:eastAsiaTheme="minorEastAsia" w:hAnsi="Calibri" w:cs="Calibri"/>
                <w:color w:val="000000"/>
                <w:sz w:val="19"/>
                <w:szCs w:val="19"/>
                <w:lang w:eastAsia="en-AU"/>
              </w:rPr>
              <w:t>Funding to help communities, farmers and other land managers protect the natural environment.</w:t>
            </w:r>
          </w:p>
        </w:tc>
      </w:tr>
      <w:tr w:rsidR="002C39A3" w:rsidRPr="00D605E5" w:rsidTr="00CC22BA">
        <w:tc>
          <w:tcPr>
            <w:tcW w:w="5213" w:type="dxa"/>
            <w:tcBorders>
              <w:top w:val="nil"/>
              <w:left w:val="nil"/>
              <w:bottom w:val="single" w:sz="12" w:space="0" w:color="auto"/>
              <w:right w:val="nil"/>
            </w:tcBorders>
            <w:shd w:val="clear" w:color="auto" w:fill="FFFFFF"/>
          </w:tcPr>
          <w:p w:rsidR="002C39A3" w:rsidRPr="00D605E5"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D605E5">
              <w:rPr>
                <w:rFonts w:ascii="Calibri" w:eastAsiaTheme="minorEastAsia" w:hAnsi="Calibri" w:cs="Calibri"/>
                <w:color w:val="000000"/>
                <w:sz w:val="19"/>
                <w:szCs w:val="19"/>
                <w:lang w:eastAsia="en-AU"/>
              </w:rPr>
              <w:t xml:space="preserve"> </w:t>
            </w:r>
          </w:p>
        </w:tc>
        <w:tc>
          <w:tcPr>
            <w:tcW w:w="850" w:type="dxa"/>
            <w:tcBorders>
              <w:top w:val="nil"/>
              <w:left w:val="nil"/>
              <w:bottom w:val="single" w:sz="12" w:space="0" w:color="auto"/>
              <w:right w:val="nil"/>
            </w:tcBorders>
            <w:shd w:val="clear" w:color="auto" w:fill="FFFFFF"/>
          </w:tcPr>
          <w:p w:rsidR="002C39A3" w:rsidRPr="00D605E5"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22</w:t>
            </w:r>
          </w:p>
        </w:tc>
        <w:tc>
          <w:tcPr>
            <w:tcW w:w="853" w:type="dxa"/>
            <w:tcBorders>
              <w:top w:val="nil"/>
              <w:left w:val="nil"/>
              <w:bottom w:val="single" w:sz="12" w:space="0" w:color="auto"/>
              <w:right w:val="nil"/>
            </w:tcBorders>
            <w:shd w:val="clear" w:color="auto" w:fill="FFFFFF"/>
          </w:tcPr>
          <w:p w:rsidR="002C39A3" w:rsidRPr="00D605E5"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21</w:t>
            </w:r>
          </w:p>
        </w:tc>
        <w:tc>
          <w:tcPr>
            <w:tcW w:w="850" w:type="dxa"/>
            <w:tcBorders>
              <w:top w:val="nil"/>
              <w:left w:val="nil"/>
              <w:bottom w:val="single" w:sz="12" w:space="0" w:color="auto"/>
              <w:right w:val="nil"/>
            </w:tcBorders>
            <w:shd w:val="clear" w:color="auto" w:fill="FFFFFF"/>
          </w:tcPr>
          <w:p w:rsidR="002C39A3" w:rsidRPr="00D605E5"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D605E5">
              <w:rPr>
                <w:rFonts w:ascii="Calibri" w:eastAsiaTheme="minorEastAsia" w:hAnsi="Calibri" w:cs="Calibri"/>
                <w:color w:val="000000"/>
                <w:sz w:val="19"/>
                <w:szCs w:val="19"/>
                <w:lang w:eastAsia="en-AU"/>
              </w:rPr>
              <w:t>(1.4)</w:t>
            </w:r>
          </w:p>
        </w:tc>
      </w:tr>
      <w:tr w:rsidR="002C39A3" w:rsidRPr="00D605E5" w:rsidTr="00CC22BA">
        <w:tc>
          <w:tcPr>
            <w:tcW w:w="5213" w:type="dxa"/>
            <w:tcBorders>
              <w:top w:val="single" w:sz="12" w:space="0" w:color="auto"/>
              <w:left w:val="nil"/>
              <w:bottom w:val="single" w:sz="6" w:space="0" w:color="auto"/>
              <w:right w:val="nil"/>
            </w:tcBorders>
            <w:shd w:val="clear" w:color="auto" w:fill="FFFFFF"/>
          </w:tcPr>
          <w:p w:rsidR="002C39A3" w:rsidRPr="00D605E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605E5">
              <w:rPr>
                <w:rFonts w:ascii="Calibri" w:eastAsiaTheme="minorEastAsia" w:hAnsi="Calibri" w:cs="Calibri"/>
                <w:b/>
                <w:bCs/>
                <w:color w:val="000000"/>
                <w:sz w:val="19"/>
                <w:szCs w:val="19"/>
                <w:lang w:eastAsia="en-AU"/>
              </w:rPr>
              <w:t>Other</w:t>
            </w:r>
          </w:p>
        </w:tc>
        <w:tc>
          <w:tcPr>
            <w:tcW w:w="850" w:type="dxa"/>
            <w:tcBorders>
              <w:top w:val="single" w:sz="12" w:space="0" w:color="auto"/>
              <w:left w:val="nil"/>
              <w:bottom w:val="single" w:sz="6" w:space="0" w:color="auto"/>
              <w:right w:val="nil"/>
            </w:tcBorders>
            <w:shd w:val="clear" w:color="auto" w:fill="FFFFFF"/>
          </w:tcPr>
          <w:p w:rsidR="002C39A3" w:rsidRPr="00D605E5" w:rsidRDefault="00AF5DDD"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20</w:t>
            </w:r>
          </w:p>
        </w:tc>
        <w:tc>
          <w:tcPr>
            <w:tcW w:w="853" w:type="dxa"/>
            <w:tcBorders>
              <w:top w:val="single" w:sz="12" w:space="0" w:color="auto"/>
              <w:left w:val="nil"/>
              <w:bottom w:val="single" w:sz="6" w:space="0" w:color="auto"/>
              <w:right w:val="nil"/>
            </w:tcBorders>
            <w:shd w:val="clear" w:color="auto" w:fill="FFFFFF"/>
          </w:tcPr>
          <w:p w:rsidR="002C39A3" w:rsidRPr="00D605E5" w:rsidRDefault="00AF5DDD"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16</w:t>
            </w:r>
          </w:p>
        </w:tc>
        <w:tc>
          <w:tcPr>
            <w:tcW w:w="850" w:type="dxa"/>
            <w:tcBorders>
              <w:top w:val="single" w:sz="12" w:space="0" w:color="auto"/>
              <w:left w:val="nil"/>
              <w:bottom w:val="single" w:sz="6" w:space="0" w:color="auto"/>
              <w:right w:val="nil"/>
            </w:tcBorders>
            <w:shd w:val="clear" w:color="auto" w:fill="FFFFFF"/>
          </w:tcPr>
          <w:p w:rsidR="002C39A3" w:rsidRPr="00D605E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605E5">
              <w:rPr>
                <w:rFonts w:ascii="Calibri" w:eastAsiaTheme="minorEastAsia" w:hAnsi="Calibri" w:cs="Calibri"/>
                <w:b/>
                <w:bCs/>
                <w:color w:val="000000"/>
                <w:sz w:val="19"/>
                <w:szCs w:val="19"/>
                <w:lang w:eastAsia="en-AU"/>
              </w:rPr>
              <w:t>(17.9)</w:t>
            </w:r>
          </w:p>
        </w:tc>
      </w:tr>
      <w:tr w:rsidR="002C39A3" w:rsidRPr="00D605E5" w:rsidTr="00CC22BA">
        <w:tc>
          <w:tcPr>
            <w:tcW w:w="5213" w:type="dxa"/>
            <w:tcBorders>
              <w:top w:val="single" w:sz="6" w:space="0" w:color="auto"/>
              <w:left w:val="nil"/>
              <w:bottom w:val="single" w:sz="12" w:space="0" w:color="auto"/>
              <w:right w:val="nil"/>
            </w:tcBorders>
            <w:shd w:val="clear" w:color="auto" w:fill="FFFFFF"/>
          </w:tcPr>
          <w:p w:rsidR="002C39A3" w:rsidRPr="00D605E5"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605E5">
              <w:rPr>
                <w:rFonts w:ascii="Calibri" w:eastAsiaTheme="minorEastAsia" w:hAnsi="Calibri" w:cs="Calibri"/>
                <w:b/>
                <w:bCs/>
                <w:color w:val="000000"/>
                <w:sz w:val="19"/>
                <w:szCs w:val="19"/>
                <w:lang w:eastAsia="en-AU"/>
              </w:rPr>
              <w:t>Total environment services</w:t>
            </w:r>
          </w:p>
        </w:tc>
        <w:tc>
          <w:tcPr>
            <w:tcW w:w="850" w:type="dxa"/>
            <w:tcBorders>
              <w:top w:val="single" w:sz="6" w:space="0" w:color="auto"/>
              <w:left w:val="nil"/>
              <w:bottom w:val="single" w:sz="12" w:space="0" w:color="auto"/>
              <w:right w:val="nil"/>
            </w:tcBorders>
            <w:shd w:val="clear" w:color="auto" w:fill="FFFFFF"/>
          </w:tcPr>
          <w:p w:rsidR="002C39A3" w:rsidRPr="00D605E5" w:rsidRDefault="00AF5DDD"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80</w:t>
            </w:r>
          </w:p>
        </w:tc>
        <w:tc>
          <w:tcPr>
            <w:tcW w:w="853" w:type="dxa"/>
            <w:tcBorders>
              <w:top w:val="single" w:sz="6" w:space="0" w:color="auto"/>
              <w:left w:val="nil"/>
              <w:bottom w:val="single" w:sz="12" w:space="0" w:color="auto"/>
              <w:right w:val="nil"/>
            </w:tcBorders>
            <w:shd w:val="clear" w:color="auto" w:fill="FFFFFF"/>
          </w:tcPr>
          <w:p w:rsidR="002C39A3" w:rsidRPr="00D605E5" w:rsidRDefault="00AF5DDD"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449</w:t>
            </w:r>
          </w:p>
        </w:tc>
        <w:tc>
          <w:tcPr>
            <w:tcW w:w="850" w:type="dxa"/>
            <w:tcBorders>
              <w:top w:val="single" w:sz="6" w:space="0" w:color="auto"/>
              <w:left w:val="nil"/>
              <w:bottom w:val="single" w:sz="12" w:space="0" w:color="auto"/>
              <w:right w:val="nil"/>
            </w:tcBorders>
            <w:shd w:val="clear" w:color="auto" w:fill="FFFFFF"/>
          </w:tcPr>
          <w:p w:rsidR="002C39A3" w:rsidRPr="00D605E5"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D605E5">
              <w:rPr>
                <w:rFonts w:ascii="Calibri" w:eastAsiaTheme="minorEastAsia" w:hAnsi="Calibri" w:cs="Calibri"/>
                <w:b/>
                <w:bCs/>
                <w:color w:val="000000"/>
                <w:sz w:val="19"/>
                <w:szCs w:val="19"/>
                <w:lang w:eastAsia="en-AU"/>
              </w:rPr>
              <w:t>462.1</w:t>
            </w:r>
          </w:p>
        </w:tc>
      </w:tr>
    </w:tbl>
    <w:p w:rsidR="002C39A3" w:rsidRPr="009A1C06" w:rsidRDefault="002C39A3" w:rsidP="00361FA9">
      <w:pPr>
        <w:pStyle w:val="Source"/>
        <w:rPr>
          <w:rFonts w:eastAsiaTheme="minorHAnsi"/>
        </w:rPr>
      </w:pPr>
      <w:r w:rsidRPr="009A1C06">
        <w:rPr>
          <w:rFonts w:eastAsiaTheme="minorHAnsi"/>
        </w:rPr>
        <w:t>Source: Department of Treasury and Finance</w:t>
      </w:r>
    </w:p>
    <w:p w:rsidR="002C39A3" w:rsidRDefault="002C39A3" w:rsidP="00361FA9">
      <w:pPr>
        <w:pStyle w:val="Notes"/>
        <w:rPr>
          <w:rFonts w:eastAsiaTheme="minorHAnsi"/>
        </w:rPr>
      </w:pPr>
      <w:r>
        <w:rPr>
          <w:rFonts w:eastAsiaTheme="minorHAnsi"/>
        </w:rPr>
        <w:t>Notes:</w:t>
      </w:r>
    </w:p>
    <w:p w:rsidR="002C39A3" w:rsidRDefault="002C39A3" w:rsidP="00361FA9">
      <w:pPr>
        <w:pStyle w:val="Notes"/>
        <w:rPr>
          <w:rFonts w:eastAsiaTheme="minorHAnsi"/>
        </w:rPr>
      </w:pPr>
      <w:r>
        <w:rPr>
          <w:rFonts w:eastAsiaTheme="minorHAnsi"/>
        </w:rPr>
        <w:t xml:space="preserve">(a) </w:t>
      </w:r>
      <w:r>
        <w:rPr>
          <w:rFonts w:eastAsiaTheme="minorHAnsi"/>
        </w:rPr>
        <w:tab/>
        <w:t>Per cent change between 2015-16 and 2016-17.</w:t>
      </w:r>
    </w:p>
    <w:p w:rsidR="002C39A3" w:rsidRDefault="002C39A3" w:rsidP="00361FA9">
      <w:pPr>
        <w:pStyle w:val="Notes"/>
        <w:rPr>
          <w:lang w:eastAsia="en-AU"/>
        </w:rPr>
      </w:pPr>
      <w:r>
        <w:rPr>
          <w:rFonts w:eastAsiaTheme="minorHAnsi"/>
        </w:rPr>
        <w:t>(b</w:t>
      </w:r>
      <w:r w:rsidRPr="003B4B23">
        <w:rPr>
          <w:rFonts w:eastAsiaTheme="minorHAnsi"/>
        </w:rPr>
        <w:t xml:space="preserve">) </w:t>
      </w:r>
      <w:r w:rsidRPr="003B4B23">
        <w:rPr>
          <w:rFonts w:eastAsiaTheme="minorHAnsi"/>
        </w:rPr>
        <w:tab/>
      </w:r>
      <w:r>
        <w:rPr>
          <w:rFonts w:eastAsiaTheme="minorHAnsi"/>
        </w:rPr>
        <w:t>P</w:t>
      </w:r>
      <w:r>
        <w:rPr>
          <w:lang w:eastAsia="en-AU"/>
        </w:rPr>
        <w:t>ayments rescheduled from 2015-16 to 2016</w:t>
      </w:r>
      <w:r>
        <w:rPr>
          <w:lang w:eastAsia="en-AU"/>
        </w:rPr>
        <w:noBreakHyphen/>
        <w:t>17.</w:t>
      </w:r>
    </w:p>
    <w:p w:rsidR="002C39A3" w:rsidRPr="00ED255C" w:rsidRDefault="002C39A3" w:rsidP="00361FA9">
      <w:pPr>
        <w:pStyle w:val="Notes"/>
        <w:rPr>
          <w:rFonts w:eastAsiaTheme="minorHAnsi"/>
        </w:rPr>
      </w:pP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 xml:space="preserve">Table 4.12: </w:t>
      </w:r>
      <w:r>
        <w:rPr>
          <w:rFonts w:eastAsiaTheme="minorHAnsi"/>
        </w:rPr>
        <w:tab/>
        <w:t>Payments for health services</w:t>
      </w:r>
    </w:p>
    <w:p w:rsidR="002C39A3" w:rsidRPr="003261EB" w:rsidRDefault="002C39A3" w:rsidP="00361FA9">
      <w:pPr>
        <w:pStyle w:val="million"/>
        <w:rPr>
          <w:rFonts w:eastAsiaTheme="minorHAnsi"/>
          <w:b/>
          <w:bCs/>
          <w:sz w:val="15"/>
          <w:lang w:val="en-US"/>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5207"/>
        <w:gridCol w:w="850"/>
        <w:gridCol w:w="859"/>
        <w:gridCol w:w="850"/>
      </w:tblGrid>
      <w:tr w:rsidR="00CC22BA" w:rsidRPr="003261EB" w:rsidTr="00EA058F">
        <w:trPr>
          <w:trHeight w:val="464"/>
        </w:trPr>
        <w:tc>
          <w:tcPr>
            <w:tcW w:w="5207" w:type="dxa"/>
            <w:tcBorders>
              <w:top w:val="nil"/>
              <w:left w:val="nil"/>
              <w:right w:val="nil"/>
            </w:tcBorders>
            <w:shd w:val="solid" w:color="000000" w:fill="auto"/>
          </w:tcPr>
          <w:p w:rsidR="00CC22BA" w:rsidRPr="003261EB" w:rsidRDefault="00CC22BA" w:rsidP="00361FA9">
            <w:pPr>
              <w:autoSpaceDE w:val="0"/>
              <w:autoSpaceDN w:val="0"/>
              <w:adjustRightInd w:val="0"/>
              <w:spacing w:after="0"/>
              <w:rPr>
                <w:rFonts w:eastAsiaTheme="minorEastAsia" w:cs="Calibri"/>
                <w:iCs/>
                <w:color w:val="FFFFFF"/>
                <w:sz w:val="19"/>
                <w:szCs w:val="19"/>
                <w:lang w:eastAsia="en-AU"/>
              </w:rPr>
            </w:pPr>
          </w:p>
        </w:tc>
        <w:tc>
          <w:tcPr>
            <w:tcW w:w="850" w:type="dxa"/>
            <w:tcBorders>
              <w:top w:val="nil"/>
              <w:left w:val="nil"/>
              <w:right w:val="nil"/>
            </w:tcBorders>
            <w:shd w:val="solid" w:color="000000" w:fill="auto"/>
          </w:tcPr>
          <w:p w:rsidR="00CC22BA" w:rsidRPr="003261EB"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261EB">
              <w:rPr>
                <w:rFonts w:ascii="Calibri" w:eastAsiaTheme="minorEastAsia" w:hAnsi="Calibri" w:cs="Calibri"/>
                <w:i/>
                <w:iCs/>
                <w:color w:val="FFFFFF"/>
                <w:sz w:val="19"/>
                <w:szCs w:val="19"/>
                <w:lang w:eastAsia="en-AU"/>
              </w:rPr>
              <w:t>2015-16</w:t>
            </w:r>
          </w:p>
          <w:p w:rsidR="00CC22BA" w:rsidRPr="003261EB"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261EB">
              <w:rPr>
                <w:rFonts w:ascii="Calibri" w:eastAsiaTheme="minorEastAsia" w:hAnsi="Calibri" w:cs="Calibri"/>
                <w:i/>
                <w:iCs/>
                <w:color w:val="FFFFFF"/>
                <w:sz w:val="19"/>
                <w:szCs w:val="19"/>
                <w:lang w:eastAsia="en-AU"/>
              </w:rPr>
              <w:t>revised</w:t>
            </w:r>
          </w:p>
        </w:tc>
        <w:tc>
          <w:tcPr>
            <w:tcW w:w="859" w:type="dxa"/>
            <w:tcBorders>
              <w:top w:val="nil"/>
              <w:left w:val="nil"/>
              <w:right w:val="nil"/>
            </w:tcBorders>
            <w:shd w:val="solid" w:color="000000" w:fill="auto"/>
          </w:tcPr>
          <w:p w:rsidR="00CC22BA" w:rsidRPr="003261EB"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261EB">
              <w:rPr>
                <w:rFonts w:ascii="Calibri" w:eastAsiaTheme="minorEastAsia" w:hAnsi="Calibri" w:cs="Calibri"/>
                <w:i/>
                <w:iCs/>
                <w:color w:val="FFFFFF"/>
                <w:sz w:val="19"/>
                <w:szCs w:val="19"/>
                <w:lang w:eastAsia="en-AU"/>
              </w:rPr>
              <w:t>2016-17</w:t>
            </w:r>
          </w:p>
          <w:p w:rsidR="00CC22BA" w:rsidRPr="003261EB"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261EB">
              <w:rPr>
                <w:rFonts w:ascii="Calibri" w:eastAsiaTheme="minorEastAsia" w:hAnsi="Calibri" w:cs="Calibri"/>
                <w:i/>
                <w:iCs/>
                <w:color w:val="FFFFFF"/>
                <w:sz w:val="19"/>
                <w:szCs w:val="19"/>
                <w:lang w:eastAsia="en-AU"/>
              </w:rPr>
              <w:t>budget</w:t>
            </w:r>
          </w:p>
        </w:tc>
        <w:tc>
          <w:tcPr>
            <w:tcW w:w="850" w:type="dxa"/>
            <w:tcBorders>
              <w:top w:val="nil"/>
              <w:left w:val="nil"/>
              <w:right w:val="nil"/>
            </w:tcBorders>
            <w:shd w:val="solid" w:color="000000" w:fill="auto"/>
          </w:tcPr>
          <w:p w:rsidR="00CC22BA" w:rsidRPr="003261EB"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261EB">
              <w:rPr>
                <w:rFonts w:ascii="Calibri" w:eastAsiaTheme="minorEastAsia" w:hAnsi="Calibri" w:cs="Calibri"/>
                <w:i/>
                <w:iCs/>
                <w:color w:val="FFFFFF"/>
                <w:sz w:val="19"/>
                <w:szCs w:val="19"/>
                <w:lang w:eastAsia="en-AU"/>
              </w:rPr>
              <w:t>Change</w:t>
            </w:r>
          </w:p>
          <w:p w:rsidR="00CC22BA" w:rsidRPr="003261EB"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261EB">
              <w:rPr>
                <w:rFonts w:ascii="Calibri" w:eastAsiaTheme="minorEastAsia" w:hAnsi="Calibri" w:cs="Calibri"/>
                <w:i/>
                <w:iCs/>
                <w:color w:val="FFFFFF"/>
                <w:sz w:val="19"/>
                <w:szCs w:val="19"/>
                <w:lang w:eastAsia="en-AU"/>
              </w:rPr>
              <w:t>%</w:t>
            </w:r>
            <w:r w:rsidRPr="003261EB">
              <w:rPr>
                <w:rFonts w:ascii="Calibri" w:eastAsiaTheme="minorEastAsia" w:hAnsi="Calibri" w:cs="Calibri"/>
                <w:i/>
                <w:iCs/>
                <w:color w:val="FFFFFF"/>
                <w:sz w:val="19"/>
                <w:szCs w:val="19"/>
                <w:vertAlign w:val="superscript"/>
                <w:lang w:eastAsia="en-AU"/>
              </w:rPr>
              <w:t>(a)</w:t>
            </w:r>
          </w:p>
        </w:tc>
      </w:tr>
      <w:tr w:rsidR="00CC22BA" w:rsidRPr="003261EB" w:rsidTr="00EA058F">
        <w:tc>
          <w:tcPr>
            <w:tcW w:w="7766" w:type="dxa"/>
            <w:gridSpan w:val="4"/>
            <w:tcBorders>
              <w:top w:val="nil"/>
              <w:left w:val="nil"/>
              <w:right w:val="nil"/>
            </w:tcBorders>
            <w:shd w:val="clear" w:color="auto" w:fill="FFFFFF"/>
          </w:tcPr>
          <w:p w:rsidR="00CC22BA" w:rsidRPr="003261EB"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3261EB">
              <w:rPr>
                <w:rFonts w:ascii="Calibri" w:eastAsiaTheme="minorEastAsia" w:hAnsi="Calibri" w:cs="Calibri"/>
                <w:b/>
                <w:bCs/>
                <w:color w:val="000000"/>
                <w:sz w:val="19"/>
                <w:szCs w:val="19"/>
                <w:lang w:eastAsia="en-AU"/>
              </w:rPr>
              <w:t>National Health Reform Agreement</w:t>
            </w:r>
          </w:p>
        </w:tc>
      </w:tr>
      <w:tr w:rsidR="00CC22BA" w:rsidRPr="003261EB" w:rsidTr="00EA058F">
        <w:tc>
          <w:tcPr>
            <w:tcW w:w="7766" w:type="dxa"/>
            <w:gridSpan w:val="4"/>
            <w:tcBorders>
              <w:top w:val="nil"/>
              <w:left w:val="nil"/>
              <w:right w:val="nil"/>
            </w:tcBorders>
            <w:shd w:val="clear" w:color="auto" w:fill="FFFFFF"/>
          </w:tcPr>
          <w:p w:rsidR="00CC22BA" w:rsidRPr="003261EB" w:rsidRDefault="00CC22BA" w:rsidP="00CC22BA">
            <w:pPr>
              <w:spacing w:after="0"/>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The National Health Reform Agreement sets out the shared intention of the Commonwealth, state and territory governments to work in partnership for all Australians and ensure the sustainability of the Australian health system.</w:t>
            </w:r>
          </w:p>
        </w:tc>
      </w:tr>
      <w:tr w:rsidR="002C39A3" w:rsidRPr="003261EB" w:rsidTr="00CC22BA">
        <w:tc>
          <w:tcPr>
            <w:tcW w:w="5207"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4 131</w:t>
            </w:r>
          </w:p>
        </w:tc>
        <w:tc>
          <w:tcPr>
            <w:tcW w:w="859"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4 386</w:t>
            </w:r>
          </w:p>
        </w:tc>
        <w:tc>
          <w:tcPr>
            <w:tcW w:w="850"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6.2</w:t>
            </w:r>
          </w:p>
        </w:tc>
      </w:tr>
      <w:tr w:rsidR="00CC22BA" w:rsidRPr="003261EB" w:rsidTr="00EA058F">
        <w:tc>
          <w:tcPr>
            <w:tcW w:w="7766" w:type="dxa"/>
            <w:gridSpan w:val="4"/>
            <w:tcBorders>
              <w:top w:val="single" w:sz="6" w:space="0" w:color="auto"/>
              <w:left w:val="nil"/>
              <w:right w:val="nil"/>
            </w:tcBorders>
            <w:shd w:val="clear" w:color="auto" w:fill="FFFFFF"/>
          </w:tcPr>
          <w:p w:rsidR="00CC22BA" w:rsidRPr="003261EB"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3261EB">
              <w:rPr>
                <w:rFonts w:ascii="Calibri" w:eastAsiaTheme="minorEastAsia" w:hAnsi="Calibri" w:cs="Calibri"/>
                <w:b/>
                <w:bCs/>
                <w:color w:val="000000"/>
                <w:sz w:val="19"/>
                <w:szCs w:val="19"/>
                <w:lang w:eastAsia="en-AU"/>
              </w:rPr>
              <w:t>National Partnerships</w:t>
            </w:r>
          </w:p>
        </w:tc>
      </w:tr>
      <w:tr w:rsidR="00CC22BA" w:rsidRPr="003261EB" w:rsidTr="00EA058F">
        <w:tc>
          <w:tcPr>
            <w:tcW w:w="7766" w:type="dxa"/>
            <w:gridSpan w:val="4"/>
            <w:tcBorders>
              <w:top w:val="nil"/>
              <w:left w:val="nil"/>
              <w:right w:val="nil"/>
            </w:tcBorders>
            <w:shd w:val="clear" w:color="auto" w:fill="FFFFFF"/>
          </w:tcPr>
          <w:p w:rsidR="00CC22BA" w:rsidRPr="003261EB"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3261EB">
              <w:rPr>
                <w:rFonts w:ascii="Calibri" w:eastAsiaTheme="minorEastAsia" w:hAnsi="Calibri" w:cs="Calibri"/>
                <w:i/>
                <w:iCs/>
                <w:color w:val="000000"/>
                <w:sz w:val="19"/>
                <w:szCs w:val="19"/>
                <w:lang w:eastAsia="en-AU"/>
              </w:rPr>
              <w:t>Essential Vaccines Program</w:t>
            </w:r>
          </w:p>
        </w:tc>
      </w:tr>
      <w:tr w:rsidR="00CC22BA" w:rsidRPr="003261EB" w:rsidTr="00EA058F">
        <w:tc>
          <w:tcPr>
            <w:tcW w:w="7766" w:type="dxa"/>
            <w:gridSpan w:val="4"/>
            <w:tcBorders>
              <w:top w:val="nil"/>
              <w:left w:val="nil"/>
              <w:right w:val="nil"/>
            </w:tcBorders>
            <w:shd w:val="clear" w:color="auto" w:fill="FFFFFF"/>
          </w:tcPr>
          <w:p w:rsidR="00CC22BA" w:rsidRPr="003261EB" w:rsidRDefault="00CC22BA" w:rsidP="00CC22BA">
            <w:pPr>
              <w:spacing w:after="0"/>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 xml:space="preserve">Funding is provided to the </w:t>
            </w:r>
            <w:r w:rsidRPr="003261EB">
              <w:rPr>
                <w:rFonts w:ascii="Calibri" w:eastAsiaTheme="minorEastAsia" w:hAnsi="Calibri" w:cs="Calibri"/>
                <w:i/>
                <w:iCs/>
                <w:color w:val="000000"/>
                <w:sz w:val="19"/>
                <w:szCs w:val="19"/>
                <w:lang w:eastAsia="en-AU"/>
              </w:rPr>
              <w:t>Essential Vaccines Program</w:t>
            </w:r>
            <w:r w:rsidRPr="003261EB">
              <w:rPr>
                <w:rFonts w:ascii="Calibri" w:eastAsiaTheme="minorEastAsia" w:hAnsi="Calibri" w:cs="Calibri"/>
                <w:color w:val="000000"/>
                <w:sz w:val="19"/>
                <w:szCs w:val="19"/>
                <w:lang w:eastAsia="en-AU"/>
              </w:rPr>
              <w:t xml:space="preserve"> to deliver immunisation programs, reducing the incidence of vaccine preventable diseases.</w:t>
            </w:r>
          </w:p>
        </w:tc>
      </w:tr>
      <w:tr w:rsidR="002C39A3" w:rsidRPr="003261EB" w:rsidTr="00CC22BA">
        <w:tc>
          <w:tcPr>
            <w:tcW w:w="5207"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auto"/>
              <w:right w:val="nil"/>
            </w:tcBorders>
            <w:shd w:val="clear" w:color="auto" w:fill="FFFFFF"/>
          </w:tcPr>
          <w:p w:rsidR="002C39A3" w:rsidRPr="003261EB"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34</w:t>
            </w:r>
          </w:p>
        </w:tc>
        <w:tc>
          <w:tcPr>
            <w:tcW w:w="859" w:type="dxa"/>
            <w:tcBorders>
              <w:top w:val="nil"/>
              <w:left w:val="nil"/>
              <w:bottom w:val="single" w:sz="6" w:space="0" w:color="auto"/>
              <w:right w:val="nil"/>
            </w:tcBorders>
            <w:shd w:val="clear" w:color="auto" w:fill="FFFFFF"/>
          </w:tcPr>
          <w:p w:rsidR="002C39A3" w:rsidRPr="003261EB"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34</w:t>
            </w:r>
          </w:p>
        </w:tc>
        <w:tc>
          <w:tcPr>
            <w:tcW w:w="850"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0.7</w:t>
            </w:r>
          </w:p>
        </w:tc>
      </w:tr>
      <w:tr w:rsidR="00CC22BA" w:rsidRPr="003261EB" w:rsidTr="00EA058F">
        <w:tc>
          <w:tcPr>
            <w:tcW w:w="7766" w:type="dxa"/>
            <w:gridSpan w:val="4"/>
            <w:tcBorders>
              <w:top w:val="single" w:sz="6" w:space="0" w:color="auto"/>
              <w:left w:val="nil"/>
              <w:right w:val="nil"/>
            </w:tcBorders>
            <w:shd w:val="clear" w:color="auto" w:fill="FFFFFF"/>
          </w:tcPr>
          <w:p w:rsidR="00CC22BA" w:rsidRPr="003261EB"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3261EB">
              <w:rPr>
                <w:rFonts w:ascii="Calibri" w:eastAsiaTheme="minorEastAsia" w:hAnsi="Calibri" w:cs="Calibri"/>
                <w:i/>
                <w:iCs/>
                <w:color w:val="000000"/>
                <w:sz w:val="19"/>
                <w:szCs w:val="19"/>
                <w:lang w:eastAsia="en-AU"/>
              </w:rPr>
              <w:t xml:space="preserve">Victorian Comprehensive Cancer Centre </w:t>
            </w:r>
            <w:r w:rsidRPr="003261EB">
              <w:rPr>
                <w:rFonts w:ascii="Calibri" w:eastAsiaTheme="minorEastAsia" w:hAnsi="Calibri" w:cs="Calibri"/>
                <w:i/>
                <w:iCs/>
                <w:color w:val="000000"/>
                <w:sz w:val="19"/>
                <w:szCs w:val="19"/>
                <w:vertAlign w:val="superscript"/>
                <w:lang w:eastAsia="en-AU"/>
              </w:rPr>
              <w:t>(b)</w:t>
            </w:r>
          </w:p>
        </w:tc>
      </w:tr>
      <w:tr w:rsidR="00CC22BA" w:rsidRPr="003261EB" w:rsidTr="00EA058F">
        <w:tc>
          <w:tcPr>
            <w:tcW w:w="7766" w:type="dxa"/>
            <w:gridSpan w:val="4"/>
            <w:tcBorders>
              <w:top w:val="nil"/>
              <w:left w:val="nil"/>
              <w:right w:val="nil"/>
            </w:tcBorders>
            <w:shd w:val="clear" w:color="auto" w:fill="FFFFFF"/>
          </w:tcPr>
          <w:p w:rsidR="00CC22BA" w:rsidRPr="003261EB" w:rsidRDefault="00CC22BA" w:rsidP="00CC22BA">
            <w:pPr>
              <w:spacing w:after="0"/>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Funding to develop the Victorian Comprehensive Cancer Centre. The Centre will drive innovation in cancer treatment and research.</w:t>
            </w:r>
          </w:p>
        </w:tc>
      </w:tr>
      <w:tr w:rsidR="002C39A3" w:rsidRPr="003261EB" w:rsidTr="00CC22BA">
        <w:tc>
          <w:tcPr>
            <w:tcW w:w="5207"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auto"/>
              <w:right w:val="nil"/>
            </w:tcBorders>
            <w:shd w:val="clear" w:color="auto" w:fill="FFFFFF"/>
          </w:tcPr>
          <w:p w:rsidR="002C39A3" w:rsidRPr="003261EB"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50</w:t>
            </w:r>
          </w:p>
        </w:tc>
        <w:tc>
          <w:tcPr>
            <w:tcW w:w="859"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w:t>
            </w:r>
          </w:p>
        </w:tc>
        <w:tc>
          <w:tcPr>
            <w:tcW w:w="850"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(100.0)</w:t>
            </w:r>
          </w:p>
        </w:tc>
      </w:tr>
      <w:tr w:rsidR="00CC22BA" w:rsidRPr="003261EB" w:rsidTr="00EA058F">
        <w:tc>
          <w:tcPr>
            <w:tcW w:w="7766" w:type="dxa"/>
            <w:gridSpan w:val="4"/>
            <w:tcBorders>
              <w:top w:val="single" w:sz="6" w:space="0" w:color="auto"/>
              <w:left w:val="nil"/>
              <w:right w:val="nil"/>
            </w:tcBorders>
            <w:shd w:val="clear" w:color="auto" w:fill="FFFFFF"/>
          </w:tcPr>
          <w:p w:rsidR="00CC22BA" w:rsidRPr="003261EB"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3261EB">
              <w:rPr>
                <w:rFonts w:ascii="Calibri" w:eastAsiaTheme="minorEastAsia" w:hAnsi="Calibri" w:cs="Calibri"/>
                <w:i/>
                <w:iCs/>
                <w:color w:val="000000"/>
                <w:sz w:val="19"/>
                <w:szCs w:val="19"/>
                <w:lang w:eastAsia="en-AU"/>
              </w:rPr>
              <w:t xml:space="preserve">Adult Public Dental Services </w:t>
            </w:r>
            <w:r w:rsidRPr="003261EB">
              <w:rPr>
                <w:rFonts w:ascii="Calibri" w:eastAsiaTheme="minorEastAsia" w:hAnsi="Calibri" w:cs="Calibri"/>
                <w:i/>
                <w:iCs/>
                <w:color w:val="000000"/>
                <w:sz w:val="19"/>
                <w:szCs w:val="19"/>
                <w:vertAlign w:val="superscript"/>
                <w:lang w:eastAsia="en-AU"/>
              </w:rPr>
              <w:t>(c)</w:t>
            </w:r>
          </w:p>
        </w:tc>
      </w:tr>
      <w:tr w:rsidR="00CC22BA" w:rsidRPr="003261EB" w:rsidTr="00EA058F">
        <w:tc>
          <w:tcPr>
            <w:tcW w:w="7766" w:type="dxa"/>
            <w:gridSpan w:val="4"/>
            <w:tcBorders>
              <w:top w:val="nil"/>
              <w:left w:val="nil"/>
              <w:right w:val="nil"/>
            </w:tcBorders>
            <w:shd w:val="clear" w:color="auto" w:fill="FFFFFF"/>
          </w:tcPr>
          <w:p w:rsidR="00CC22BA" w:rsidRPr="003261EB"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Funding for public dental services to Victorian adults on public dental waiting lists.</w:t>
            </w:r>
          </w:p>
        </w:tc>
      </w:tr>
      <w:tr w:rsidR="002C39A3" w:rsidRPr="003261EB" w:rsidTr="00CC22BA">
        <w:tc>
          <w:tcPr>
            <w:tcW w:w="5207"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auto"/>
              <w:right w:val="nil"/>
            </w:tcBorders>
            <w:shd w:val="clear" w:color="auto" w:fill="FFFFFF"/>
          </w:tcPr>
          <w:p w:rsidR="002C39A3" w:rsidRPr="003261EB"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39</w:t>
            </w:r>
          </w:p>
        </w:tc>
        <w:tc>
          <w:tcPr>
            <w:tcW w:w="859"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w:t>
            </w:r>
          </w:p>
        </w:tc>
        <w:tc>
          <w:tcPr>
            <w:tcW w:w="850"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(100.0)</w:t>
            </w:r>
          </w:p>
        </w:tc>
      </w:tr>
      <w:tr w:rsidR="00CC22BA" w:rsidRPr="003261EB" w:rsidTr="00EA058F">
        <w:tc>
          <w:tcPr>
            <w:tcW w:w="7766" w:type="dxa"/>
            <w:gridSpan w:val="4"/>
            <w:tcBorders>
              <w:top w:val="single" w:sz="6" w:space="0" w:color="auto"/>
              <w:left w:val="nil"/>
              <w:right w:val="nil"/>
            </w:tcBorders>
            <w:shd w:val="clear" w:color="auto" w:fill="FFFFFF"/>
          </w:tcPr>
          <w:p w:rsidR="00CC22BA" w:rsidRPr="003261EB"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3261EB">
              <w:rPr>
                <w:rFonts w:ascii="Calibri" w:eastAsiaTheme="minorEastAsia" w:hAnsi="Calibri" w:cs="Calibri"/>
                <w:i/>
                <w:iCs/>
                <w:color w:val="000000"/>
                <w:sz w:val="19"/>
                <w:szCs w:val="19"/>
                <w:lang w:eastAsia="en-AU"/>
              </w:rPr>
              <w:t>Aged Care Assessment Program</w:t>
            </w:r>
          </w:p>
        </w:tc>
      </w:tr>
      <w:tr w:rsidR="00CC22BA" w:rsidRPr="003261EB" w:rsidTr="00EA058F">
        <w:tc>
          <w:tcPr>
            <w:tcW w:w="7766" w:type="dxa"/>
            <w:gridSpan w:val="4"/>
            <w:tcBorders>
              <w:top w:val="nil"/>
              <w:left w:val="nil"/>
              <w:right w:val="nil"/>
            </w:tcBorders>
            <w:shd w:val="clear" w:color="auto" w:fill="FFFFFF"/>
          </w:tcPr>
          <w:p w:rsidR="00CC22BA" w:rsidRPr="003261EB" w:rsidRDefault="00CC22BA" w:rsidP="00CC22BA">
            <w:pPr>
              <w:spacing w:after="0"/>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Funding for the Aged Care Assessment Program to assess the needs of frail, older people and assist them to gain access to the most appropriate types of health and aged care.</w:t>
            </w:r>
          </w:p>
        </w:tc>
      </w:tr>
      <w:tr w:rsidR="002C39A3" w:rsidRPr="003261EB" w:rsidTr="00CC22BA">
        <w:tc>
          <w:tcPr>
            <w:tcW w:w="5207"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auto"/>
              <w:right w:val="nil"/>
            </w:tcBorders>
            <w:shd w:val="clear" w:color="auto" w:fill="FFFFFF"/>
          </w:tcPr>
          <w:p w:rsidR="002C39A3" w:rsidRPr="003261EB"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28</w:t>
            </w:r>
          </w:p>
        </w:tc>
        <w:tc>
          <w:tcPr>
            <w:tcW w:w="859" w:type="dxa"/>
            <w:tcBorders>
              <w:top w:val="nil"/>
              <w:left w:val="nil"/>
              <w:bottom w:val="single" w:sz="6" w:space="0" w:color="auto"/>
              <w:right w:val="nil"/>
            </w:tcBorders>
            <w:shd w:val="clear" w:color="auto" w:fill="FFFFFF"/>
          </w:tcPr>
          <w:p w:rsidR="002C39A3" w:rsidRPr="003261EB"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28</w:t>
            </w:r>
          </w:p>
        </w:tc>
        <w:tc>
          <w:tcPr>
            <w:tcW w:w="850"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w:t>
            </w:r>
          </w:p>
        </w:tc>
      </w:tr>
      <w:tr w:rsidR="00CC22BA" w:rsidRPr="003261EB" w:rsidTr="00EA058F">
        <w:tc>
          <w:tcPr>
            <w:tcW w:w="7766" w:type="dxa"/>
            <w:gridSpan w:val="4"/>
            <w:tcBorders>
              <w:top w:val="single" w:sz="6" w:space="0" w:color="auto"/>
              <w:left w:val="nil"/>
              <w:right w:val="nil"/>
            </w:tcBorders>
            <w:shd w:val="clear" w:color="auto" w:fill="FFFFFF"/>
          </w:tcPr>
          <w:p w:rsidR="00CC22BA" w:rsidRPr="003261EB"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3261EB">
              <w:rPr>
                <w:rFonts w:ascii="Calibri" w:eastAsiaTheme="minorEastAsia" w:hAnsi="Calibri" w:cs="Calibri"/>
                <w:i/>
                <w:iCs/>
                <w:color w:val="000000"/>
                <w:sz w:val="19"/>
                <w:szCs w:val="19"/>
                <w:lang w:eastAsia="en-AU"/>
              </w:rPr>
              <w:t>Victorian Cytology Service</w:t>
            </w:r>
          </w:p>
        </w:tc>
      </w:tr>
      <w:tr w:rsidR="00CC22BA" w:rsidRPr="003261EB" w:rsidTr="00EA058F">
        <w:tc>
          <w:tcPr>
            <w:tcW w:w="7766" w:type="dxa"/>
            <w:gridSpan w:val="4"/>
            <w:tcBorders>
              <w:top w:val="nil"/>
              <w:left w:val="nil"/>
              <w:right w:val="nil"/>
            </w:tcBorders>
            <w:shd w:val="clear" w:color="auto" w:fill="FFFFFF"/>
          </w:tcPr>
          <w:p w:rsidR="00CC22BA" w:rsidRPr="003261EB" w:rsidRDefault="00CC22BA" w:rsidP="00CC22BA">
            <w:pPr>
              <w:autoSpaceDE w:val="0"/>
              <w:autoSpaceDN w:val="0"/>
              <w:adjustRightInd w:val="0"/>
              <w:spacing w:after="0"/>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Funding for the Victorian Cytology Service to prevent morbidity and mortality from cervical cancer amongst Victorian women.</w:t>
            </w:r>
          </w:p>
        </w:tc>
      </w:tr>
      <w:tr w:rsidR="002C39A3" w:rsidRPr="003261EB" w:rsidTr="00CC22BA">
        <w:tc>
          <w:tcPr>
            <w:tcW w:w="5207"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auto"/>
              <w:right w:val="nil"/>
            </w:tcBorders>
            <w:shd w:val="clear" w:color="auto" w:fill="FFFFFF"/>
          </w:tcPr>
          <w:p w:rsidR="002C39A3" w:rsidRPr="003261EB"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9</w:t>
            </w:r>
          </w:p>
        </w:tc>
        <w:tc>
          <w:tcPr>
            <w:tcW w:w="859" w:type="dxa"/>
            <w:tcBorders>
              <w:top w:val="nil"/>
              <w:left w:val="nil"/>
              <w:bottom w:val="single" w:sz="6" w:space="0" w:color="auto"/>
              <w:right w:val="nil"/>
            </w:tcBorders>
            <w:shd w:val="clear" w:color="auto" w:fill="FFFFFF"/>
          </w:tcPr>
          <w:p w:rsidR="002C39A3" w:rsidRPr="003261EB"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10</w:t>
            </w:r>
          </w:p>
        </w:tc>
        <w:tc>
          <w:tcPr>
            <w:tcW w:w="850"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5.0</w:t>
            </w:r>
          </w:p>
        </w:tc>
      </w:tr>
      <w:tr w:rsidR="00CC22BA" w:rsidRPr="003261EB" w:rsidTr="00EA058F">
        <w:tc>
          <w:tcPr>
            <w:tcW w:w="7766" w:type="dxa"/>
            <w:gridSpan w:val="4"/>
            <w:tcBorders>
              <w:top w:val="single" w:sz="6" w:space="0" w:color="auto"/>
              <w:left w:val="nil"/>
              <w:right w:val="nil"/>
            </w:tcBorders>
            <w:shd w:val="clear" w:color="auto" w:fill="FFFFFF"/>
          </w:tcPr>
          <w:p w:rsidR="00CC22BA" w:rsidRPr="003261EB"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3261EB">
              <w:rPr>
                <w:rFonts w:ascii="Calibri" w:eastAsiaTheme="minorEastAsia" w:hAnsi="Calibri" w:cs="Calibri"/>
                <w:b/>
                <w:bCs/>
                <w:color w:val="000000"/>
                <w:sz w:val="19"/>
                <w:szCs w:val="19"/>
                <w:lang w:eastAsia="en-AU"/>
              </w:rPr>
              <w:t>COAG — National Health and Hospitals Reform</w:t>
            </w:r>
          </w:p>
        </w:tc>
      </w:tr>
      <w:tr w:rsidR="00CC22BA" w:rsidRPr="003261EB" w:rsidTr="00EA058F">
        <w:trPr>
          <w:trHeight w:hRule="exact" w:val="120"/>
        </w:trPr>
        <w:tc>
          <w:tcPr>
            <w:tcW w:w="7766" w:type="dxa"/>
            <w:gridSpan w:val="4"/>
            <w:tcBorders>
              <w:top w:val="nil"/>
              <w:left w:val="nil"/>
              <w:right w:val="nil"/>
            </w:tcBorders>
            <w:shd w:val="clear" w:color="auto" w:fill="FFFFFF"/>
          </w:tcPr>
          <w:p w:rsidR="00CC22BA" w:rsidRPr="003261EB" w:rsidRDefault="00CC22BA" w:rsidP="00361FA9">
            <w:pPr>
              <w:autoSpaceDE w:val="0"/>
              <w:autoSpaceDN w:val="0"/>
              <w:adjustRightInd w:val="0"/>
              <w:spacing w:after="0"/>
              <w:jc w:val="right"/>
              <w:rPr>
                <w:rFonts w:ascii="Calibri" w:eastAsiaTheme="minorEastAsia" w:hAnsi="Calibri" w:cs="Calibri"/>
                <w:color w:val="000000"/>
                <w:sz w:val="19"/>
                <w:szCs w:val="19"/>
                <w:lang w:eastAsia="en-AU"/>
              </w:rPr>
            </w:pPr>
          </w:p>
        </w:tc>
      </w:tr>
      <w:tr w:rsidR="00CC22BA" w:rsidRPr="003261EB" w:rsidTr="00EA058F">
        <w:tc>
          <w:tcPr>
            <w:tcW w:w="7766" w:type="dxa"/>
            <w:gridSpan w:val="4"/>
            <w:tcBorders>
              <w:top w:val="nil"/>
              <w:left w:val="nil"/>
              <w:right w:val="nil"/>
            </w:tcBorders>
            <w:shd w:val="clear" w:color="auto" w:fill="FFFFFF"/>
          </w:tcPr>
          <w:p w:rsidR="00CC22BA" w:rsidRPr="003261EB"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3261EB">
              <w:rPr>
                <w:rFonts w:ascii="Calibri" w:eastAsiaTheme="minorEastAsia" w:hAnsi="Calibri" w:cs="Calibri"/>
                <w:i/>
                <w:iCs/>
                <w:color w:val="000000"/>
                <w:sz w:val="19"/>
                <w:szCs w:val="19"/>
                <w:lang w:eastAsia="en-AU"/>
              </w:rPr>
              <w:t xml:space="preserve">Home and Community Care </w:t>
            </w:r>
            <w:r w:rsidRPr="003261EB">
              <w:rPr>
                <w:rFonts w:ascii="Calibri" w:eastAsiaTheme="minorEastAsia" w:hAnsi="Calibri" w:cs="Calibri"/>
                <w:i/>
                <w:iCs/>
                <w:color w:val="000000"/>
                <w:sz w:val="19"/>
                <w:szCs w:val="19"/>
                <w:vertAlign w:val="superscript"/>
                <w:lang w:eastAsia="en-AU"/>
              </w:rPr>
              <w:t>(d)</w:t>
            </w:r>
          </w:p>
        </w:tc>
      </w:tr>
      <w:tr w:rsidR="00CC22BA" w:rsidRPr="003261EB" w:rsidTr="00EA058F">
        <w:tc>
          <w:tcPr>
            <w:tcW w:w="7766" w:type="dxa"/>
            <w:gridSpan w:val="4"/>
            <w:tcBorders>
              <w:top w:val="nil"/>
              <w:left w:val="nil"/>
              <w:right w:val="nil"/>
            </w:tcBorders>
            <w:shd w:val="clear" w:color="auto" w:fill="FFFFFF"/>
          </w:tcPr>
          <w:p w:rsidR="00CC22BA" w:rsidRPr="003261EB" w:rsidRDefault="00CC22BA" w:rsidP="00CC22BA">
            <w:pPr>
              <w:spacing w:after="0"/>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The Home and Community Care Program delivers integrated home and community care services to frail older people, people with disabilities and their carers.</w:t>
            </w:r>
          </w:p>
        </w:tc>
      </w:tr>
      <w:tr w:rsidR="002C39A3" w:rsidRPr="003261EB" w:rsidTr="00CC22BA">
        <w:tc>
          <w:tcPr>
            <w:tcW w:w="5207"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auto"/>
              <w:right w:val="nil"/>
            </w:tcBorders>
            <w:shd w:val="clear" w:color="auto" w:fill="FFFFFF"/>
          </w:tcPr>
          <w:p w:rsidR="002C39A3" w:rsidRPr="003261EB"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415</w:t>
            </w:r>
          </w:p>
        </w:tc>
        <w:tc>
          <w:tcPr>
            <w:tcW w:w="859"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w:t>
            </w:r>
          </w:p>
        </w:tc>
        <w:tc>
          <w:tcPr>
            <w:tcW w:w="850"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(100.0)</w:t>
            </w:r>
          </w:p>
        </w:tc>
      </w:tr>
      <w:tr w:rsidR="00CC22BA" w:rsidRPr="003261EB" w:rsidTr="00EA058F">
        <w:tc>
          <w:tcPr>
            <w:tcW w:w="7766" w:type="dxa"/>
            <w:gridSpan w:val="4"/>
            <w:tcBorders>
              <w:top w:val="single" w:sz="6" w:space="0" w:color="auto"/>
              <w:left w:val="nil"/>
              <w:right w:val="nil"/>
            </w:tcBorders>
            <w:shd w:val="clear" w:color="auto" w:fill="FFFFFF"/>
          </w:tcPr>
          <w:p w:rsidR="00CC22BA" w:rsidRPr="003261EB"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3261EB">
              <w:rPr>
                <w:rFonts w:ascii="Calibri" w:eastAsiaTheme="minorEastAsia" w:hAnsi="Calibri" w:cs="Calibri"/>
                <w:i/>
                <w:iCs/>
                <w:color w:val="000000"/>
                <w:sz w:val="19"/>
                <w:szCs w:val="19"/>
                <w:lang w:eastAsia="en-AU"/>
              </w:rPr>
              <w:t xml:space="preserve">Supporting National Mental Health Reform </w:t>
            </w:r>
            <w:r w:rsidRPr="003261EB">
              <w:rPr>
                <w:rFonts w:ascii="Calibri" w:eastAsiaTheme="minorEastAsia" w:hAnsi="Calibri" w:cs="Calibri"/>
                <w:i/>
                <w:iCs/>
                <w:color w:val="000000"/>
                <w:sz w:val="19"/>
                <w:szCs w:val="19"/>
                <w:vertAlign w:val="superscript"/>
                <w:lang w:eastAsia="en-AU"/>
              </w:rPr>
              <w:t>(c)</w:t>
            </w:r>
          </w:p>
        </w:tc>
      </w:tr>
      <w:tr w:rsidR="00CC22BA" w:rsidRPr="003261EB" w:rsidTr="00EA058F">
        <w:tc>
          <w:tcPr>
            <w:tcW w:w="7766" w:type="dxa"/>
            <w:gridSpan w:val="4"/>
            <w:tcBorders>
              <w:top w:val="nil"/>
              <w:left w:val="nil"/>
              <w:right w:val="nil"/>
            </w:tcBorders>
            <w:shd w:val="clear" w:color="auto" w:fill="FFFFFF"/>
          </w:tcPr>
          <w:p w:rsidR="00CC22BA" w:rsidRPr="003261EB" w:rsidRDefault="00CC22BA" w:rsidP="00CC22BA">
            <w:pPr>
              <w:spacing w:after="0"/>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Funding to deliver improved health, social, economic and housing outcomes for people with severe and persistent mental illness.</w:t>
            </w:r>
          </w:p>
        </w:tc>
      </w:tr>
      <w:tr w:rsidR="002C39A3" w:rsidRPr="003261EB" w:rsidTr="00CC22BA">
        <w:tc>
          <w:tcPr>
            <w:tcW w:w="5207"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auto"/>
              <w:right w:val="nil"/>
            </w:tcBorders>
            <w:shd w:val="clear" w:color="auto" w:fill="FFFFFF"/>
          </w:tcPr>
          <w:p w:rsidR="002C39A3" w:rsidRPr="003261EB"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8</w:t>
            </w:r>
          </w:p>
        </w:tc>
        <w:tc>
          <w:tcPr>
            <w:tcW w:w="859"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w:t>
            </w:r>
          </w:p>
        </w:tc>
        <w:tc>
          <w:tcPr>
            <w:tcW w:w="850"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(100.0)</w:t>
            </w:r>
          </w:p>
        </w:tc>
      </w:tr>
      <w:tr w:rsidR="00CC22BA" w:rsidRPr="003261EB" w:rsidTr="00EA058F">
        <w:tc>
          <w:tcPr>
            <w:tcW w:w="7766" w:type="dxa"/>
            <w:gridSpan w:val="4"/>
            <w:tcBorders>
              <w:top w:val="single" w:sz="6" w:space="0" w:color="auto"/>
              <w:left w:val="nil"/>
              <w:right w:val="nil"/>
            </w:tcBorders>
            <w:shd w:val="clear" w:color="auto" w:fill="FFFFFF"/>
          </w:tcPr>
          <w:p w:rsidR="00CC22BA" w:rsidRPr="003261EB"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3261EB">
              <w:rPr>
                <w:rFonts w:ascii="Calibri" w:eastAsiaTheme="minorEastAsia" w:hAnsi="Calibri" w:cs="Calibri"/>
                <w:i/>
                <w:iCs/>
                <w:color w:val="000000"/>
                <w:sz w:val="19"/>
                <w:szCs w:val="19"/>
                <w:lang w:eastAsia="en-AU"/>
              </w:rPr>
              <w:t xml:space="preserve">National Reform Agenda for Organ and Tissue Donation </w:t>
            </w:r>
            <w:r w:rsidRPr="003261EB">
              <w:rPr>
                <w:rFonts w:ascii="Calibri" w:eastAsiaTheme="minorEastAsia" w:hAnsi="Calibri" w:cs="Calibri"/>
                <w:i/>
                <w:iCs/>
                <w:color w:val="000000"/>
                <w:sz w:val="19"/>
                <w:szCs w:val="19"/>
                <w:vertAlign w:val="superscript"/>
                <w:lang w:eastAsia="en-AU"/>
              </w:rPr>
              <w:t>(c)</w:t>
            </w:r>
          </w:p>
        </w:tc>
      </w:tr>
      <w:tr w:rsidR="00CC22BA" w:rsidRPr="003261EB" w:rsidTr="00EA058F">
        <w:tc>
          <w:tcPr>
            <w:tcW w:w="7766" w:type="dxa"/>
            <w:gridSpan w:val="4"/>
            <w:tcBorders>
              <w:top w:val="nil"/>
              <w:left w:val="nil"/>
              <w:right w:val="nil"/>
            </w:tcBorders>
            <w:shd w:val="clear" w:color="auto" w:fill="FFFFFF"/>
          </w:tcPr>
          <w:p w:rsidR="00CC22BA" w:rsidRPr="003261EB"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Funding to increase Australians</w:t>
            </w:r>
            <w:r w:rsidR="0097550F">
              <w:rPr>
                <w:rFonts w:ascii="Calibri" w:eastAsiaTheme="minorEastAsia" w:hAnsi="Calibri" w:cs="Calibri"/>
                <w:color w:val="000000"/>
                <w:sz w:val="19"/>
                <w:szCs w:val="19"/>
                <w:lang w:eastAsia="en-AU"/>
              </w:rPr>
              <w:t>’</w:t>
            </w:r>
            <w:r w:rsidRPr="003261EB">
              <w:rPr>
                <w:rFonts w:ascii="Calibri" w:eastAsiaTheme="minorEastAsia" w:hAnsi="Calibri" w:cs="Calibri"/>
                <w:color w:val="000000"/>
                <w:sz w:val="19"/>
                <w:szCs w:val="19"/>
                <w:lang w:eastAsia="en-AU"/>
              </w:rPr>
              <w:t xml:space="preserve"> access to organ and tissue transplants.</w:t>
            </w:r>
          </w:p>
        </w:tc>
      </w:tr>
      <w:tr w:rsidR="002C39A3" w:rsidRPr="003261EB" w:rsidTr="00CC22BA">
        <w:tc>
          <w:tcPr>
            <w:tcW w:w="5207"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auto"/>
              <w:right w:val="nil"/>
            </w:tcBorders>
            <w:shd w:val="clear" w:color="auto" w:fill="FFFFFF"/>
          </w:tcPr>
          <w:p w:rsidR="002C39A3" w:rsidRPr="003261EB"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9</w:t>
            </w:r>
          </w:p>
        </w:tc>
        <w:tc>
          <w:tcPr>
            <w:tcW w:w="859"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w:t>
            </w:r>
          </w:p>
        </w:tc>
        <w:tc>
          <w:tcPr>
            <w:tcW w:w="850" w:type="dxa"/>
            <w:tcBorders>
              <w:top w:val="nil"/>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261EB">
              <w:rPr>
                <w:rFonts w:ascii="Calibri" w:eastAsiaTheme="minorEastAsia" w:hAnsi="Calibri" w:cs="Calibri"/>
                <w:color w:val="000000"/>
                <w:sz w:val="19"/>
                <w:szCs w:val="19"/>
                <w:lang w:eastAsia="en-AU"/>
              </w:rPr>
              <w:t>(100.0)</w:t>
            </w:r>
          </w:p>
        </w:tc>
      </w:tr>
      <w:tr w:rsidR="002C39A3" w:rsidRPr="003261EB" w:rsidTr="00CC22BA">
        <w:tc>
          <w:tcPr>
            <w:tcW w:w="5207" w:type="dxa"/>
            <w:tcBorders>
              <w:top w:val="single" w:sz="6" w:space="0" w:color="auto"/>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261EB">
              <w:rPr>
                <w:rFonts w:ascii="Calibri" w:eastAsiaTheme="minorEastAsia" w:hAnsi="Calibri" w:cs="Calibri"/>
                <w:b/>
                <w:bCs/>
                <w:color w:val="000000"/>
                <w:sz w:val="19"/>
                <w:szCs w:val="19"/>
                <w:lang w:eastAsia="en-AU"/>
              </w:rPr>
              <w:t>Other</w:t>
            </w:r>
          </w:p>
        </w:tc>
        <w:tc>
          <w:tcPr>
            <w:tcW w:w="850" w:type="dxa"/>
            <w:tcBorders>
              <w:top w:val="single" w:sz="6" w:space="0" w:color="auto"/>
              <w:left w:val="nil"/>
              <w:bottom w:val="single" w:sz="6" w:space="0" w:color="auto"/>
              <w:right w:val="nil"/>
            </w:tcBorders>
            <w:shd w:val="clear" w:color="auto" w:fill="FFFFFF"/>
          </w:tcPr>
          <w:p w:rsidR="002C39A3" w:rsidRPr="003261EB" w:rsidRDefault="00AF5DDD"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34</w:t>
            </w:r>
          </w:p>
        </w:tc>
        <w:tc>
          <w:tcPr>
            <w:tcW w:w="859" w:type="dxa"/>
            <w:tcBorders>
              <w:top w:val="single" w:sz="6" w:space="0" w:color="auto"/>
              <w:left w:val="nil"/>
              <w:bottom w:val="single" w:sz="6" w:space="0" w:color="auto"/>
              <w:right w:val="nil"/>
            </w:tcBorders>
            <w:shd w:val="clear" w:color="auto" w:fill="FFFFFF"/>
          </w:tcPr>
          <w:p w:rsidR="002C39A3" w:rsidRPr="003261EB" w:rsidRDefault="00AF5DDD"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4</w:t>
            </w:r>
          </w:p>
        </w:tc>
        <w:tc>
          <w:tcPr>
            <w:tcW w:w="850" w:type="dxa"/>
            <w:tcBorders>
              <w:top w:val="single" w:sz="6" w:space="0" w:color="auto"/>
              <w:left w:val="nil"/>
              <w:bottom w:val="single" w:sz="6" w:space="0" w:color="auto"/>
              <w:right w:val="nil"/>
            </w:tcBorders>
            <w:shd w:val="clear" w:color="auto" w:fill="FFFFFF"/>
          </w:tcPr>
          <w:p w:rsidR="002C39A3" w:rsidRPr="003261EB"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261EB">
              <w:rPr>
                <w:rFonts w:ascii="Calibri" w:eastAsiaTheme="minorEastAsia" w:hAnsi="Calibri" w:cs="Calibri"/>
                <w:b/>
                <w:bCs/>
                <w:color w:val="000000"/>
                <w:sz w:val="19"/>
                <w:szCs w:val="19"/>
                <w:lang w:eastAsia="en-AU"/>
              </w:rPr>
              <w:t>(87.0)</w:t>
            </w:r>
          </w:p>
        </w:tc>
      </w:tr>
      <w:tr w:rsidR="002C39A3" w:rsidRPr="003261EB" w:rsidTr="00CC22BA">
        <w:tc>
          <w:tcPr>
            <w:tcW w:w="5207" w:type="dxa"/>
            <w:tcBorders>
              <w:top w:val="single" w:sz="6" w:space="0" w:color="auto"/>
              <w:left w:val="nil"/>
              <w:bottom w:val="single" w:sz="12" w:space="0" w:color="auto"/>
              <w:right w:val="nil"/>
            </w:tcBorders>
            <w:shd w:val="clear" w:color="auto" w:fill="FFFFFF"/>
          </w:tcPr>
          <w:p w:rsidR="002C39A3" w:rsidRPr="003261EB"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261EB">
              <w:rPr>
                <w:rFonts w:ascii="Calibri" w:eastAsiaTheme="minorEastAsia" w:hAnsi="Calibri" w:cs="Calibri"/>
                <w:b/>
                <w:bCs/>
                <w:color w:val="000000"/>
                <w:sz w:val="19"/>
                <w:szCs w:val="19"/>
                <w:lang w:eastAsia="en-AU"/>
              </w:rPr>
              <w:t>Total health services</w:t>
            </w:r>
          </w:p>
        </w:tc>
        <w:tc>
          <w:tcPr>
            <w:tcW w:w="850" w:type="dxa"/>
            <w:tcBorders>
              <w:top w:val="single" w:sz="6" w:space="0" w:color="auto"/>
              <w:left w:val="nil"/>
              <w:bottom w:val="single" w:sz="12" w:space="0" w:color="auto"/>
              <w:right w:val="nil"/>
            </w:tcBorders>
            <w:shd w:val="clear" w:color="auto" w:fill="FFFFFF"/>
          </w:tcPr>
          <w:p w:rsidR="002C39A3" w:rsidRPr="003261EB"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261EB">
              <w:rPr>
                <w:rFonts w:ascii="Calibri" w:eastAsiaTheme="minorEastAsia" w:hAnsi="Calibri" w:cs="Calibri"/>
                <w:b/>
                <w:bCs/>
                <w:color w:val="000000"/>
                <w:sz w:val="19"/>
                <w:szCs w:val="19"/>
                <w:lang w:eastAsia="en-AU"/>
              </w:rPr>
              <w:t>4 756</w:t>
            </w:r>
          </w:p>
        </w:tc>
        <w:tc>
          <w:tcPr>
            <w:tcW w:w="859" w:type="dxa"/>
            <w:tcBorders>
              <w:top w:val="single" w:sz="6" w:space="0" w:color="auto"/>
              <w:left w:val="nil"/>
              <w:bottom w:val="single" w:sz="12" w:space="0" w:color="auto"/>
              <w:right w:val="nil"/>
            </w:tcBorders>
            <w:shd w:val="clear" w:color="auto" w:fill="FFFFFF"/>
          </w:tcPr>
          <w:p w:rsidR="002C39A3" w:rsidRPr="003261EB"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261EB">
              <w:rPr>
                <w:rFonts w:ascii="Calibri" w:eastAsiaTheme="minorEastAsia" w:hAnsi="Calibri" w:cs="Calibri"/>
                <w:b/>
                <w:bCs/>
                <w:color w:val="000000"/>
                <w:sz w:val="19"/>
                <w:szCs w:val="19"/>
                <w:lang w:eastAsia="en-AU"/>
              </w:rPr>
              <w:t>4 462</w:t>
            </w:r>
          </w:p>
        </w:tc>
        <w:tc>
          <w:tcPr>
            <w:tcW w:w="850" w:type="dxa"/>
            <w:tcBorders>
              <w:top w:val="single" w:sz="6" w:space="0" w:color="auto"/>
              <w:left w:val="nil"/>
              <w:bottom w:val="single" w:sz="12" w:space="0" w:color="auto"/>
              <w:right w:val="nil"/>
            </w:tcBorders>
            <w:shd w:val="clear" w:color="auto" w:fill="FFFFFF"/>
          </w:tcPr>
          <w:p w:rsidR="002C39A3" w:rsidRPr="003261EB"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261EB">
              <w:rPr>
                <w:rFonts w:ascii="Calibri" w:eastAsiaTheme="minorEastAsia" w:hAnsi="Calibri" w:cs="Calibri"/>
                <w:b/>
                <w:bCs/>
                <w:color w:val="000000"/>
                <w:sz w:val="19"/>
                <w:szCs w:val="19"/>
                <w:lang w:eastAsia="en-AU"/>
              </w:rPr>
              <w:t>(6.2)</w:t>
            </w:r>
          </w:p>
        </w:tc>
      </w:tr>
    </w:tbl>
    <w:p w:rsidR="002C39A3" w:rsidRPr="009A1C06" w:rsidRDefault="002C39A3" w:rsidP="00361FA9">
      <w:pPr>
        <w:pStyle w:val="Source"/>
        <w:rPr>
          <w:rFonts w:eastAsiaTheme="minorHAnsi"/>
        </w:rPr>
      </w:pPr>
      <w:r w:rsidRPr="009A1C06">
        <w:rPr>
          <w:rFonts w:eastAsiaTheme="minorHAnsi"/>
        </w:rPr>
        <w:t>Source: Department of Treasury and Finance</w:t>
      </w:r>
    </w:p>
    <w:p w:rsidR="002C39A3" w:rsidRDefault="002C39A3" w:rsidP="00361FA9">
      <w:pPr>
        <w:pStyle w:val="Notes"/>
        <w:rPr>
          <w:rFonts w:eastAsiaTheme="minorHAnsi"/>
        </w:rPr>
      </w:pPr>
      <w:r>
        <w:rPr>
          <w:rFonts w:eastAsiaTheme="minorHAnsi"/>
        </w:rPr>
        <w:t>Notes:</w:t>
      </w:r>
    </w:p>
    <w:p w:rsidR="002C39A3" w:rsidRDefault="002C39A3" w:rsidP="00361FA9">
      <w:pPr>
        <w:pStyle w:val="Notes"/>
        <w:rPr>
          <w:rFonts w:eastAsiaTheme="minorHAnsi"/>
        </w:rPr>
      </w:pPr>
      <w:r>
        <w:rPr>
          <w:rFonts w:eastAsiaTheme="minorHAnsi"/>
        </w:rPr>
        <w:t xml:space="preserve">(a) </w:t>
      </w:r>
      <w:r>
        <w:rPr>
          <w:rFonts w:eastAsiaTheme="minorHAnsi"/>
        </w:rPr>
        <w:tab/>
        <w:t>Per cent change between 2015-16 and 2016-17.</w:t>
      </w:r>
    </w:p>
    <w:p w:rsidR="002C39A3" w:rsidRPr="00ED255C" w:rsidRDefault="002C39A3" w:rsidP="00361FA9">
      <w:pPr>
        <w:pStyle w:val="Notes"/>
        <w:rPr>
          <w:rFonts w:eastAsiaTheme="minorHAnsi"/>
        </w:rPr>
      </w:pPr>
      <w:r>
        <w:rPr>
          <w:rFonts w:eastAsiaTheme="minorHAnsi"/>
        </w:rPr>
        <w:t xml:space="preserve">(b) </w:t>
      </w:r>
      <w:r>
        <w:rPr>
          <w:rFonts w:eastAsiaTheme="minorHAnsi"/>
        </w:rPr>
        <w:tab/>
        <w:t>Project to be completed in 2015-16.</w:t>
      </w:r>
    </w:p>
    <w:p w:rsidR="002C39A3" w:rsidRDefault="002C39A3" w:rsidP="00361FA9">
      <w:pPr>
        <w:pStyle w:val="Notes"/>
        <w:rPr>
          <w:rFonts w:eastAsiaTheme="minorHAnsi"/>
        </w:rPr>
      </w:pPr>
      <w:r w:rsidRPr="008A1A75">
        <w:rPr>
          <w:rFonts w:eastAsiaTheme="minorHAnsi"/>
        </w:rPr>
        <w:t xml:space="preserve">(c) </w:t>
      </w:r>
      <w:r w:rsidRPr="008A1A75">
        <w:rPr>
          <w:rFonts w:eastAsiaTheme="minorHAnsi"/>
        </w:rPr>
        <w:tab/>
      </w:r>
      <w:r>
        <w:rPr>
          <w:rFonts w:eastAsiaTheme="minorHAnsi"/>
        </w:rPr>
        <w:t>Agreement/funding ceases at the end of 2015</w:t>
      </w:r>
      <w:r>
        <w:rPr>
          <w:rFonts w:eastAsiaTheme="minorHAnsi"/>
        </w:rPr>
        <w:noBreakHyphen/>
        <w:t>16</w:t>
      </w:r>
      <w:r w:rsidRPr="008A1A75">
        <w:rPr>
          <w:rFonts w:eastAsiaTheme="minorHAnsi"/>
        </w:rPr>
        <w:t>.</w:t>
      </w:r>
    </w:p>
    <w:p w:rsidR="002C39A3" w:rsidRDefault="002C39A3" w:rsidP="00361FA9">
      <w:pPr>
        <w:pStyle w:val="Notes"/>
        <w:rPr>
          <w:rFonts w:eastAsiaTheme="minorHAnsi"/>
        </w:rPr>
      </w:pPr>
      <w:r>
        <w:rPr>
          <w:rFonts w:eastAsiaTheme="minorHAnsi"/>
        </w:rPr>
        <w:t xml:space="preserve">(d) </w:t>
      </w:r>
      <w:r>
        <w:rPr>
          <w:rFonts w:eastAsiaTheme="minorHAnsi"/>
        </w:rPr>
        <w:tab/>
        <w:t>Function transferred under NDIS agreement.</w:t>
      </w:r>
      <w:r>
        <w:rPr>
          <w:rFonts w:eastAsiaTheme="minorHAnsi"/>
        </w:rPr>
        <w:br w:type="page"/>
      </w:r>
    </w:p>
    <w:p w:rsidR="002C39A3" w:rsidRDefault="002C39A3" w:rsidP="00361FA9">
      <w:pPr>
        <w:pStyle w:val="Tableheading"/>
        <w:rPr>
          <w:rFonts w:eastAsiaTheme="minorHAnsi"/>
        </w:rPr>
      </w:pPr>
      <w:r>
        <w:rPr>
          <w:rFonts w:eastAsiaTheme="minorHAnsi"/>
        </w:rPr>
        <w:t xml:space="preserve">Table 4.13: </w:t>
      </w:r>
      <w:r>
        <w:rPr>
          <w:rFonts w:eastAsiaTheme="minorHAnsi"/>
        </w:rPr>
        <w:tab/>
        <w:t>Payments for infrastructure services</w:t>
      </w:r>
    </w:p>
    <w:p w:rsidR="002C39A3" w:rsidRPr="00BB3CB7" w:rsidRDefault="002C39A3" w:rsidP="00361FA9">
      <w:pPr>
        <w:pStyle w:val="million"/>
        <w:rPr>
          <w:rFonts w:eastAsiaTheme="minorHAnsi"/>
          <w:b/>
          <w:bCs/>
          <w:sz w:val="15"/>
          <w:lang w:val="en-US"/>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5214"/>
        <w:gridCol w:w="850"/>
        <w:gridCol w:w="852"/>
        <w:gridCol w:w="850"/>
      </w:tblGrid>
      <w:tr w:rsidR="00CC22BA" w:rsidRPr="00BB3CB7" w:rsidTr="00EA058F">
        <w:trPr>
          <w:trHeight w:val="464"/>
        </w:trPr>
        <w:tc>
          <w:tcPr>
            <w:tcW w:w="5214" w:type="dxa"/>
            <w:tcBorders>
              <w:top w:val="nil"/>
              <w:left w:val="nil"/>
              <w:right w:val="nil"/>
            </w:tcBorders>
            <w:shd w:val="solid" w:color="000000" w:fill="auto"/>
          </w:tcPr>
          <w:p w:rsidR="00CC22BA" w:rsidRPr="00BB3CB7" w:rsidRDefault="00CC22BA" w:rsidP="00CC22BA">
            <w:pPr>
              <w:pStyle w:val="Source"/>
              <w:spacing w:after="0"/>
              <w:rPr>
                <w:rFonts w:eastAsiaTheme="minorEastAsia" w:cs="Calibri"/>
                <w:iCs/>
                <w:color w:val="FFFFFF"/>
                <w:sz w:val="19"/>
                <w:szCs w:val="19"/>
                <w:lang w:eastAsia="en-AU"/>
              </w:rPr>
            </w:pPr>
          </w:p>
        </w:tc>
        <w:tc>
          <w:tcPr>
            <w:tcW w:w="850" w:type="dxa"/>
            <w:tcBorders>
              <w:top w:val="nil"/>
              <w:left w:val="nil"/>
              <w:right w:val="nil"/>
            </w:tcBorders>
            <w:shd w:val="solid" w:color="000000" w:fill="auto"/>
          </w:tcPr>
          <w:p w:rsidR="00CC22BA" w:rsidRPr="00BB3CB7"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BB3CB7">
              <w:rPr>
                <w:rFonts w:ascii="Calibri" w:eastAsiaTheme="minorEastAsia" w:hAnsi="Calibri" w:cs="Calibri"/>
                <w:i/>
                <w:iCs/>
                <w:color w:val="FFFFFF"/>
                <w:sz w:val="19"/>
                <w:szCs w:val="19"/>
                <w:lang w:eastAsia="en-AU"/>
              </w:rPr>
              <w:t>2015-16</w:t>
            </w:r>
          </w:p>
          <w:p w:rsidR="00CC22BA" w:rsidRPr="00BB3CB7"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BB3CB7">
              <w:rPr>
                <w:rFonts w:ascii="Calibri" w:eastAsiaTheme="minorEastAsia" w:hAnsi="Calibri" w:cs="Calibri"/>
                <w:i/>
                <w:iCs/>
                <w:color w:val="FFFFFF"/>
                <w:sz w:val="19"/>
                <w:szCs w:val="19"/>
                <w:lang w:eastAsia="en-AU"/>
              </w:rPr>
              <w:t>revised</w:t>
            </w:r>
          </w:p>
        </w:tc>
        <w:tc>
          <w:tcPr>
            <w:tcW w:w="852" w:type="dxa"/>
            <w:tcBorders>
              <w:top w:val="nil"/>
              <w:left w:val="nil"/>
              <w:right w:val="nil"/>
            </w:tcBorders>
            <w:shd w:val="solid" w:color="000000" w:fill="auto"/>
          </w:tcPr>
          <w:p w:rsidR="00CC22BA" w:rsidRPr="00BB3CB7"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BB3CB7">
              <w:rPr>
                <w:rFonts w:ascii="Calibri" w:eastAsiaTheme="minorEastAsia" w:hAnsi="Calibri" w:cs="Calibri"/>
                <w:i/>
                <w:iCs/>
                <w:color w:val="FFFFFF"/>
                <w:sz w:val="19"/>
                <w:szCs w:val="19"/>
                <w:lang w:eastAsia="en-AU"/>
              </w:rPr>
              <w:t>2016-17</w:t>
            </w:r>
          </w:p>
          <w:p w:rsidR="00CC22BA" w:rsidRPr="00BB3CB7"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BB3CB7">
              <w:rPr>
                <w:rFonts w:ascii="Calibri" w:eastAsiaTheme="minorEastAsia" w:hAnsi="Calibri" w:cs="Calibri"/>
                <w:i/>
                <w:iCs/>
                <w:color w:val="FFFFFF"/>
                <w:sz w:val="19"/>
                <w:szCs w:val="19"/>
                <w:lang w:eastAsia="en-AU"/>
              </w:rPr>
              <w:t>budget</w:t>
            </w:r>
          </w:p>
        </w:tc>
        <w:tc>
          <w:tcPr>
            <w:tcW w:w="850" w:type="dxa"/>
            <w:tcBorders>
              <w:top w:val="nil"/>
              <w:left w:val="nil"/>
              <w:right w:val="nil"/>
            </w:tcBorders>
            <w:shd w:val="solid" w:color="000000" w:fill="auto"/>
          </w:tcPr>
          <w:p w:rsidR="00CC22BA" w:rsidRPr="00BB3CB7"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BB3CB7">
              <w:rPr>
                <w:rFonts w:ascii="Calibri" w:eastAsiaTheme="minorEastAsia" w:hAnsi="Calibri" w:cs="Calibri"/>
                <w:i/>
                <w:iCs/>
                <w:color w:val="FFFFFF"/>
                <w:sz w:val="19"/>
                <w:szCs w:val="19"/>
                <w:lang w:eastAsia="en-AU"/>
              </w:rPr>
              <w:t>Change</w:t>
            </w:r>
          </w:p>
          <w:p w:rsidR="00CC22BA" w:rsidRPr="00BB3CB7" w:rsidRDefault="00CC22BA"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BB3CB7">
              <w:rPr>
                <w:rFonts w:ascii="Calibri" w:eastAsiaTheme="minorEastAsia" w:hAnsi="Calibri" w:cs="Calibri"/>
                <w:i/>
                <w:iCs/>
                <w:color w:val="FFFFFF"/>
                <w:sz w:val="19"/>
                <w:szCs w:val="19"/>
                <w:lang w:eastAsia="en-AU"/>
              </w:rPr>
              <w:t>%</w:t>
            </w:r>
            <w:r w:rsidRPr="00BB3CB7">
              <w:rPr>
                <w:rFonts w:ascii="Calibri" w:eastAsiaTheme="minorEastAsia" w:hAnsi="Calibri" w:cs="Calibri"/>
                <w:i/>
                <w:iCs/>
                <w:color w:val="FFFFFF"/>
                <w:sz w:val="19"/>
                <w:szCs w:val="19"/>
                <w:vertAlign w:val="superscript"/>
                <w:lang w:eastAsia="en-AU"/>
              </w:rPr>
              <w:t>(a)</w:t>
            </w:r>
          </w:p>
        </w:tc>
      </w:tr>
      <w:tr w:rsidR="00CC22BA" w:rsidRPr="00BB3CB7" w:rsidTr="00EA058F">
        <w:tc>
          <w:tcPr>
            <w:tcW w:w="7766" w:type="dxa"/>
            <w:gridSpan w:val="4"/>
            <w:tcBorders>
              <w:top w:val="nil"/>
              <w:left w:val="nil"/>
              <w:right w:val="nil"/>
            </w:tcBorders>
            <w:shd w:val="clear" w:color="auto" w:fill="FFFFFF"/>
          </w:tcPr>
          <w:p w:rsidR="00CC22BA" w:rsidRPr="00BB3CB7"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BB3CB7">
              <w:rPr>
                <w:rFonts w:ascii="Calibri" w:eastAsiaTheme="minorEastAsia" w:hAnsi="Calibri" w:cs="Calibri"/>
                <w:b/>
                <w:bCs/>
                <w:color w:val="000000"/>
                <w:sz w:val="19"/>
                <w:szCs w:val="19"/>
                <w:lang w:eastAsia="en-AU"/>
              </w:rPr>
              <w:t>National Partnerships</w:t>
            </w:r>
          </w:p>
        </w:tc>
      </w:tr>
      <w:tr w:rsidR="00CC22BA" w:rsidRPr="00BB3CB7" w:rsidTr="00EA058F">
        <w:tc>
          <w:tcPr>
            <w:tcW w:w="7766" w:type="dxa"/>
            <w:gridSpan w:val="4"/>
            <w:tcBorders>
              <w:top w:val="nil"/>
              <w:left w:val="nil"/>
              <w:right w:val="nil"/>
            </w:tcBorders>
            <w:shd w:val="clear" w:color="auto" w:fill="FFFFFF"/>
          </w:tcPr>
          <w:p w:rsidR="00CC22BA" w:rsidRPr="00BB3CB7"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BB3CB7">
              <w:rPr>
                <w:rFonts w:ascii="Calibri" w:eastAsiaTheme="minorEastAsia" w:hAnsi="Calibri" w:cs="Calibri"/>
                <w:i/>
                <w:iCs/>
                <w:color w:val="000000"/>
                <w:sz w:val="19"/>
                <w:szCs w:val="19"/>
                <w:lang w:eastAsia="en-AU"/>
              </w:rPr>
              <w:t>Commonwealth Infrastructure Investment Programme</w:t>
            </w:r>
          </w:p>
        </w:tc>
      </w:tr>
      <w:tr w:rsidR="00CC22BA" w:rsidRPr="00BB3CB7" w:rsidTr="00EA058F">
        <w:tc>
          <w:tcPr>
            <w:tcW w:w="7766" w:type="dxa"/>
            <w:gridSpan w:val="4"/>
            <w:tcBorders>
              <w:top w:val="nil"/>
              <w:left w:val="nil"/>
              <w:right w:val="nil"/>
            </w:tcBorders>
            <w:shd w:val="clear" w:color="auto" w:fill="FFFFFF"/>
          </w:tcPr>
          <w:p w:rsidR="00CC22BA" w:rsidRPr="00BB3CB7" w:rsidRDefault="00CC22BA" w:rsidP="00CC22BA">
            <w:pPr>
              <w:spacing w:after="0"/>
              <w:rPr>
                <w:rFonts w:ascii="Calibri" w:eastAsiaTheme="minorEastAsia" w:hAnsi="Calibri" w:cs="Calibri"/>
                <w:color w:val="000000"/>
                <w:sz w:val="19"/>
                <w:szCs w:val="19"/>
                <w:lang w:eastAsia="en-AU"/>
              </w:rPr>
            </w:pPr>
            <w:r w:rsidRPr="00BB3CB7">
              <w:rPr>
                <w:rFonts w:ascii="Calibri" w:eastAsiaTheme="minorEastAsia" w:hAnsi="Calibri" w:cs="Calibri"/>
                <w:color w:val="000000"/>
                <w:sz w:val="19"/>
                <w:szCs w:val="19"/>
                <w:lang w:eastAsia="en-AU"/>
              </w:rPr>
              <w:t>In 2014, the State and Commonwealth Governments signed a National Partnership Agreement on Land Transport Infrastructure Projects for agreed road and rail projects to be delivered under the Commonwealth Infrastructure Investment Programme. The agreement covers Commonwealth funding contributions to Victoria for agreed projects from 2014-15 to 2018-19.</w:t>
            </w:r>
          </w:p>
        </w:tc>
      </w:tr>
      <w:tr w:rsidR="002C39A3" w:rsidRPr="00BB3CB7" w:rsidTr="00CC22BA">
        <w:tc>
          <w:tcPr>
            <w:tcW w:w="5214" w:type="dxa"/>
            <w:tcBorders>
              <w:top w:val="nil"/>
              <w:left w:val="nil"/>
              <w:bottom w:val="single" w:sz="6" w:space="0" w:color="auto"/>
              <w:right w:val="nil"/>
            </w:tcBorders>
            <w:shd w:val="clear" w:color="auto" w:fill="FFFFFF"/>
          </w:tcPr>
          <w:p w:rsidR="002C39A3" w:rsidRPr="00BB3CB7"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BB3CB7">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auto"/>
              <w:right w:val="nil"/>
            </w:tcBorders>
            <w:shd w:val="clear" w:color="auto" w:fill="FFFFFF"/>
          </w:tcPr>
          <w:p w:rsidR="002C39A3" w:rsidRPr="00BB3CB7"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441</w:t>
            </w:r>
          </w:p>
        </w:tc>
        <w:tc>
          <w:tcPr>
            <w:tcW w:w="852" w:type="dxa"/>
            <w:tcBorders>
              <w:top w:val="nil"/>
              <w:left w:val="nil"/>
              <w:bottom w:val="single" w:sz="6" w:space="0" w:color="auto"/>
              <w:right w:val="nil"/>
            </w:tcBorders>
            <w:shd w:val="clear" w:color="auto" w:fill="FFFFFF"/>
          </w:tcPr>
          <w:p w:rsidR="002C39A3" w:rsidRPr="00BB3CB7"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457</w:t>
            </w:r>
          </w:p>
        </w:tc>
        <w:tc>
          <w:tcPr>
            <w:tcW w:w="850" w:type="dxa"/>
            <w:tcBorders>
              <w:top w:val="nil"/>
              <w:left w:val="nil"/>
              <w:bottom w:val="single" w:sz="6" w:space="0" w:color="auto"/>
              <w:right w:val="nil"/>
            </w:tcBorders>
            <w:shd w:val="clear" w:color="auto" w:fill="FFFFFF"/>
          </w:tcPr>
          <w:p w:rsidR="002C39A3" w:rsidRPr="00BB3CB7"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BB3CB7">
              <w:rPr>
                <w:rFonts w:ascii="Calibri" w:eastAsiaTheme="minorEastAsia" w:hAnsi="Calibri" w:cs="Calibri"/>
                <w:color w:val="000000"/>
                <w:sz w:val="19"/>
                <w:szCs w:val="19"/>
                <w:lang w:eastAsia="en-AU"/>
              </w:rPr>
              <w:t>3.6</w:t>
            </w:r>
          </w:p>
        </w:tc>
      </w:tr>
      <w:tr w:rsidR="00CC22BA" w:rsidRPr="00BB3CB7" w:rsidTr="00EA058F">
        <w:tc>
          <w:tcPr>
            <w:tcW w:w="7766" w:type="dxa"/>
            <w:gridSpan w:val="4"/>
            <w:tcBorders>
              <w:top w:val="single" w:sz="6" w:space="0" w:color="auto"/>
              <w:left w:val="nil"/>
              <w:right w:val="nil"/>
            </w:tcBorders>
            <w:shd w:val="clear" w:color="auto" w:fill="FFFFFF"/>
          </w:tcPr>
          <w:p w:rsidR="00CC22BA" w:rsidRPr="00BB3CB7"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BB3CB7">
              <w:rPr>
                <w:rFonts w:ascii="Calibri" w:eastAsiaTheme="minorEastAsia" w:hAnsi="Calibri" w:cs="Calibri"/>
                <w:b/>
                <w:bCs/>
                <w:color w:val="000000"/>
                <w:sz w:val="19"/>
                <w:szCs w:val="19"/>
                <w:lang w:eastAsia="en-AU"/>
              </w:rPr>
              <w:t>Other payments to the State</w:t>
            </w:r>
          </w:p>
        </w:tc>
      </w:tr>
      <w:tr w:rsidR="00CC22BA" w:rsidRPr="00BB3CB7" w:rsidTr="00EA058F">
        <w:tc>
          <w:tcPr>
            <w:tcW w:w="7766" w:type="dxa"/>
            <w:gridSpan w:val="4"/>
            <w:tcBorders>
              <w:top w:val="nil"/>
              <w:left w:val="nil"/>
              <w:right w:val="nil"/>
            </w:tcBorders>
            <w:shd w:val="clear" w:color="auto" w:fill="FFFFFF"/>
          </w:tcPr>
          <w:p w:rsidR="00CC22BA" w:rsidRPr="00BB3CB7" w:rsidRDefault="00CC22BA" w:rsidP="00CC22BA">
            <w:pPr>
              <w:autoSpaceDE w:val="0"/>
              <w:autoSpaceDN w:val="0"/>
              <w:adjustRightInd w:val="0"/>
              <w:spacing w:after="0"/>
              <w:ind w:left="227" w:hanging="227"/>
              <w:rPr>
                <w:rFonts w:ascii="Calibri" w:eastAsiaTheme="minorEastAsia" w:hAnsi="Calibri" w:cs="Calibri"/>
                <w:color w:val="000000"/>
                <w:sz w:val="19"/>
                <w:szCs w:val="19"/>
                <w:lang w:eastAsia="en-AU"/>
              </w:rPr>
            </w:pPr>
            <w:r w:rsidRPr="00BB3CB7">
              <w:rPr>
                <w:rFonts w:ascii="Calibri" w:eastAsiaTheme="minorEastAsia" w:hAnsi="Calibri" w:cs="Calibri"/>
                <w:i/>
                <w:iCs/>
                <w:color w:val="000000"/>
                <w:sz w:val="19"/>
                <w:szCs w:val="19"/>
                <w:lang w:eastAsia="en-AU"/>
              </w:rPr>
              <w:t>Interstate Road Transport</w:t>
            </w:r>
          </w:p>
        </w:tc>
      </w:tr>
      <w:tr w:rsidR="00CC22BA" w:rsidRPr="00BB3CB7" w:rsidTr="00EA058F">
        <w:tc>
          <w:tcPr>
            <w:tcW w:w="7766" w:type="dxa"/>
            <w:gridSpan w:val="4"/>
            <w:tcBorders>
              <w:top w:val="nil"/>
              <w:left w:val="nil"/>
              <w:right w:val="nil"/>
            </w:tcBorders>
            <w:shd w:val="clear" w:color="auto" w:fill="FFFFFF"/>
          </w:tcPr>
          <w:p w:rsidR="00CC22BA" w:rsidRPr="00BB3CB7" w:rsidRDefault="00CC22BA" w:rsidP="00CC22BA">
            <w:pPr>
              <w:spacing w:after="0"/>
              <w:rPr>
                <w:rFonts w:ascii="Calibri" w:eastAsiaTheme="minorEastAsia" w:hAnsi="Calibri" w:cs="Calibri"/>
                <w:color w:val="000000"/>
                <w:sz w:val="19"/>
                <w:szCs w:val="19"/>
                <w:lang w:eastAsia="en-AU"/>
              </w:rPr>
            </w:pPr>
            <w:r w:rsidRPr="00BB3CB7">
              <w:rPr>
                <w:rFonts w:ascii="Calibri" w:eastAsiaTheme="minorEastAsia" w:hAnsi="Calibri" w:cs="Calibri"/>
                <w:color w:val="000000"/>
                <w:sz w:val="19"/>
                <w:szCs w:val="19"/>
                <w:lang w:eastAsia="en-AU"/>
              </w:rPr>
              <w:t>The Federal Interstate Registration Scheme (FIRS) levies registration charges on vehicles engaged in interstate trade and commerce. The Commonwealth Government pays a share of revenue collected under the FIRS to states and territories, to cover the costs of maintenance and upkeep on roads used by these motor vehicles.</w:t>
            </w:r>
          </w:p>
        </w:tc>
      </w:tr>
      <w:tr w:rsidR="002C39A3" w:rsidRPr="00BB3CB7" w:rsidTr="00CC22BA">
        <w:tc>
          <w:tcPr>
            <w:tcW w:w="5214" w:type="dxa"/>
            <w:tcBorders>
              <w:top w:val="nil"/>
              <w:left w:val="nil"/>
              <w:bottom w:val="single" w:sz="12" w:space="0" w:color="auto"/>
              <w:right w:val="nil"/>
            </w:tcBorders>
            <w:shd w:val="clear" w:color="auto" w:fill="FFFFFF"/>
          </w:tcPr>
          <w:p w:rsidR="002C39A3" w:rsidRPr="00BB3CB7"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BB3CB7">
              <w:rPr>
                <w:rFonts w:ascii="Calibri" w:eastAsiaTheme="minorEastAsia" w:hAnsi="Calibri" w:cs="Calibri"/>
                <w:color w:val="000000"/>
                <w:sz w:val="19"/>
                <w:szCs w:val="19"/>
                <w:lang w:eastAsia="en-AU"/>
              </w:rPr>
              <w:t xml:space="preserve"> </w:t>
            </w:r>
          </w:p>
        </w:tc>
        <w:tc>
          <w:tcPr>
            <w:tcW w:w="850" w:type="dxa"/>
            <w:tcBorders>
              <w:top w:val="nil"/>
              <w:left w:val="nil"/>
              <w:bottom w:val="single" w:sz="12" w:space="0" w:color="auto"/>
              <w:right w:val="nil"/>
            </w:tcBorders>
            <w:shd w:val="clear" w:color="auto" w:fill="FFFFFF"/>
          </w:tcPr>
          <w:p w:rsidR="002C39A3" w:rsidRPr="00BB3CB7"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19</w:t>
            </w:r>
          </w:p>
        </w:tc>
        <w:tc>
          <w:tcPr>
            <w:tcW w:w="852" w:type="dxa"/>
            <w:tcBorders>
              <w:top w:val="nil"/>
              <w:left w:val="nil"/>
              <w:bottom w:val="single" w:sz="12" w:space="0" w:color="auto"/>
              <w:right w:val="nil"/>
            </w:tcBorders>
            <w:shd w:val="clear" w:color="auto" w:fill="FFFFFF"/>
          </w:tcPr>
          <w:p w:rsidR="002C39A3" w:rsidRPr="00BB3CB7"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19</w:t>
            </w:r>
          </w:p>
        </w:tc>
        <w:tc>
          <w:tcPr>
            <w:tcW w:w="850" w:type="dxa"/>
            <w:tcBorders>
              <w:top w:val="nil"/>
              <w:left w:val="nil"/>
              <w:bottom w:val="single" w:sz="12" w:space="0" w:color="auto"/>
              <w:right w:val="nil"/>
            </w:tcBorders>
            <w:shd w:val="clear" w:color="auto" w:fill="FFFFFF"/>
          </w:tcPr>
          <w:p w:rsidR="002C39A3" w:rsidRPr="00BB3CB7"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BB3CB7">
              <w:rPr>
                <w:rFonts w:ascii="Calibri" w:eastAsiaTheme="minorEastAsia" w:hAnsi="Calibri" w:cs="Calibri"/>
                <w:color w:val="000000"/>
                <w:sz w:val="19"/>
                <w:szCs w:val="19"/>
                <w:lang w:eastAsia="en-AU"/>
              </w:rPr>
              <w:t>..</w:t>
            </w:r>
          </w:p>
        </w:tc>
      </w:tr>
      <w:tr w:rsidR="002C39A3" w:rsidRPr="00BB3CB7" w:rsidTr="00CC22BA">
        <w:tc>
          <w:tcPr>
            <w:tcW w:w="5214" w:type="dxa"/>
            <w:tcBorders>
              <w:top w:val="single" w:sz="12" w:space="0" w:color="auto"/>
              <w:left w:val="nil"/>
              <w:bottom w:val="single" w:sz="6" w:space="0" w:color="auto"/>
              <w:right w:val="nil"/>
            </w:tcBorders>
            <w:shd w:val="clear" w:color="auto" w:fill="FFFFFF"/>
          </w:tcPr>
          <w:p w:rsidR="002C39A3" w:rsidRPr="00BB3CB7"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BB3CB7">
              <w:rPr>
                <w:rFonts w:ascii="Calibri" w:eastAsiaTheme="minorEastAsia" w:hAnsi="Calibri" w:cs="Calibri"/>
                <w:b/>
                <w:bCs/>
                <w:color w:val="000000"/>
                <w:sz w:val="19"/>
                <w:szCs w:val="19"/>
                <w:lang w:eastAsia="en-AU"/>
              </w:rPr>
              <w:t>Other</w:t>
            </w:r>
          </w:p>
        </w:tc>
        <w:tc>
          <w:tcPr>
            <w:tcW w:w="850" w:type="dxa"/>
            <w:tcBorders>
              <w:top w:val="single" w:sz="12" w:space="0" w:color="auto"/>
              <w:left w:val="nil"/>
              <w:bottom w:val="single" w:sz="6" w:space="0" w:color="auto"/>
              <w:right w:val="nil"/>
            </w:tcBorders>
            <w:shd w:val="clear" w:color="auto" w:fill="FFFFFF"/>
          </w:tcPr>
          <w:p w:rsidR="002C39A3" w:rsidRPr="00BB3CB7" w:rsidRDefault="00AF5DDD"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12</w:t>
            </w:r>
          </w:p>
        </w:tc>
        <w:tc>
          <w:tcPr>
            <w:tcW w:w="852" w:type="dxa"/>
            <w:tcBorders>
              <w:top w:val="single" w:sz="12" w:space="0" w:color="auto"/>
              <w:left w:val="nil"/>
              <w:bottom w:val="single" w:sz="6" w:space="0" w:color="auto"/>
              <w:right w:val="nil"/>
            </w:tcBorders>
            <w:shd w:val="clear" w:color="auto" w:fill="FFFFFF"/>
          </w:tcPr>
          <w:p w:rsidR="002C39A3" w:rsidRPr="00BB3CB7" w:rsidRDefault="00AF5DDD"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8</w:t>
            </w:r>
          </w:p>
        </w:tc>
        <w:tc>
          <w:tcPr>
            <w:tcW w:w="850" w:type="dxa"/>
            <w:tcBorders>
              <w:top w:val="single" w:sz="12" w:space="0" w:color="auto"/>
              <w:left w:val="nil"/>
              <w:bottom w:val="single" w:sz="6" w:space="0" w:color="auto"/>
              <w:right w:val="nil"/>
            </w:tcBorders>
            <w:shd w:val="clear" w:color="auto" w:fill="FFFFFF"/>
          </w:tcPr>
          <w:p w:rsidR="002C39A3" w:rsidRPr="00BB3CB7"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BB3CB7">
              <w:rPr>
                <w:rFonts w:ascii="Calibri" w:eastAsiaTheme="minorEastAsia" w:hAnsi="Calibri" w:cs="Calibri"/>
                <w:b/>
                <w:bCs/>
                <w:color w:val="000000"/>
                <w:sz w:val="19"/>
                <w:szCs w:val="19"/>
                <w:lang w:eastAsia="en-AU"/>
              </w:rPr>
              <w:t>(32.3)</w:t>
            </w:r>
          </w:p>
        </w:tc>
      </w:tr>
      <w:tr w:rsidR="002C39A3" w:rsidRPr="00BB3CB7" w:rsidTr="00CC22BA">
        <w:tc>
          <w:tcPr>
            <w:tcW w:w="5214" w:type="dxa"/>
            <w:tcBorders>
              <w:top w:val="single" w:sz="6" w:space="0" w:color="auto"/>
              <w:left w:val="nil"/>
              <w:bottom w:val="single" w:sz="12" w:space="0" w:color="auto"/>
              <w:right w:val="nil"/>
            </w:tcBorders>
            <w:shd w:val="clear" w:color="auto" w:fill="FFFFFF"/>
          </w:tcPr>
          <w:p w:rsidR="002C39A3" w:rsidRPr="00BB3CB7"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BB3CB7">
              <w:rPr>
                <w:rFonts w:ascii="Calibri" w:eastAsiaTheme="minorEastAsia" w:hAnsi="Calibri" w:cs="Calibri"/>
                <w:b/>
                <w:bCs/>
                <w:color w:val="000000"/>
                <w:sz w:val="19"/>
                <w:szCs w:val="19"/>
                <w:lang w:eastAsia="en-AU"/>
              </w:rPr>
              <w:t>Total infrastructure</w:t>
            </w:r>
          </w:p>
        </w:tc>
        <w:tc>
          <w:tcPr>
            <w:tcW w:w="850" w:type="dxa"/>
            <w:tcBorders>
              <w:top w:val="single" w:sz="6" w:space="0" w:color="auto"/>
              <w:left w:val="nil"/>
              <w:bottom w:val="single" w:sz="12" w:space="0" w:color="auto"/>
              <w:right w:val="nil"/>
            </w:tcBorders>
            <w:shd w:val="clear" w:color="auto" w:fill="FFFFFF"/>
          </w:tcPr>
          <w:p w:rsidR="002C39A3" w:rsidRPr="00BB3CB7" w:rsidRDefault="00AF5DDD"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472</w:t>
            </w:r>
          </w:p>
        </w:tc>
        <w:tc>
          <w:tcPr>
            <w:tcW w:w="852" w:type="dxa"/>
            <w:tcBorders>
              <w:top w:val="single" w:sz="6" w:space="0" w:color="auto"/>
              <w:left w:val="nil"/>
              <w:bottom w:val="single" w:sz="12" w:space="0" w:color="auto"/>
              <w:right w:val="nil"/>
            </w:tcBorders>
            <w:shd w:val="clear" w:color="auto" w:fill="FFFFFF"/>
          </w:tcPr>
          <w:p w:rsidR="002C39A3" w:rsidRPr="00BB3CB7" w:rsidRDefault="00AF5DDD"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484</w:t>
            </w:r>
          </w:p>
        </w:tc>
        <w:tc>
          <w:tcPr>
            <w:tcW w:w="850" w:type="dxa"/>
            <w:tcBorders>
              <w:top w:val="single" w:sz="6" w:space="0" w:color="auto"/>
              <w:left w:val="nil"/>
              <w:bottom w:val="single" w:sz="12" w:space="0" w:color="auto"/>
              <w:right w:val="nil"/>
            </w:tcBorders>
            <w:shd w:val="clear" w:color="auto" w:fill="FFFFFF"/>
          </w:tcPr>
          <w:p w:rsidR="002C39A3" w:rsidRPr="00BB3CB7"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BB3CB7">
              <w:rPr>
                <w:rFonts w:ascii="Calibri" w:eastAsiaTheme="minorEastAsia" w:hAnsi="Calibri" w:cs="Calibri"/>
                <w:b/>
                <w:bCs/>
                <w:color w:val="000000"/>
                <w:sz w:val="19"/>
                <w:szCs w:val="19"/>
                <w:lang w:eastAsia="en-AU"/>
              </w:rPr>
              <w:t>2.5</w:t>
            </w:r>
          </w:p>
        </w:tc>
      </w:tr>
    </w:tbl>
    <w:p w:rsidR="002C39A3" w:rsidRPr="009A1C06" w:rsidRDefault="002C39A3" w:rsidP="00361FA9">
      <w:pPr>
        <w:pStyle w:val="Source"/>
        <w:rPr>
          <w:rFonts w:eastAsiaTheme="minorHAnsi"/>
        </w:rPr>
      </w:pPr>
      <w:r w:rsidRPr="009A1C06">
        <w:rPr>
          <w:rFonts w:eastAsiaTheme="minorHAnsi"/>
        </w:rPr>
        <w:t>Source: Department of Treasury and Finance</w:t>
      </w:r>
    </w:p>
    <w:p w:rsidR="002C39A3" w:rsidRDefault="002C39A3" w:rsidP="00361FA9">
      <w:pPr>
        <w:pStyle w:val="Notes"/>
        <w:rPr>
          <w:rFonts w:eastAsiaTheme="minorHAnsi"/>
        </w:rPr>
      </w:pPr>
      <w:r>
        <w:rPr>
          <w:rFonts w:eastAsiaTheme="minorHAnsi"/>
        </w:rPr>
        <w:t>Note:</w:t>
      </w:r>
    </w:p>
    <w:p w:rsidR="002C39A3" w:rsidRPr="00ED255C" w:rsidRDefault="002C39A3" w:rsidP="00361FA9">
      <w:pPr>
        <w:pStyle w:val="Notes"/>
        <w:rPr>
          <w:rFonts w:eastAsiaTheme="minorHAnsi"/>
        </w:rPr>
      </w:pPr>
      <w:r>
        <w:rPr>
          <w:rFonts w:eastAsiaTheme="minorHAnsi"/>
        </w:rPr>
        <w:t xml:space="preserve">(a) </w:t>
      </w:r>
      <w:r>
        <w:rPr>
          <w:rFonts w:eastAsiaTheme="minorHAnsi"/>
        </w:rPr>
        <w:tab/>
        <w:t>Per cent change between 2015-16 and 2016-17.</w:t>
      </w:r>
    </w:p>
    <w:p w:rsidR="002C39A3" w:rsidRDefault="002C39A3">
      <w:pPr>
        <w:spacing w:after="0"/>
        <w:rPr>
          <w:rFonts w:ascii="Calibri" w:eastAsiaTheme="minorHAnsi" w:hAnsi="Calibri"/>
          <w:b/>
        </w:rPr>
      </w:pPr>
      <w:r>
        <w:rPr>
          <w:rFonts w:eastAsiaTheme="minorHAnsi"/>
        </w:rPr>
        <w:br w:type="page"/>
      </w:r>
    </w:p>
    <w:p w:rsidR="002C39A3" w:rsidRDefault="002C39A3" w:rsidP="00361FA9">
      <w:pPr>
        <w:pStyle w:val="Tableheading"/>
        <w:rPr>
          <w:rFonts w:eastAsiaTheme="minorHAnsi"/>
        </w:rPr>
      </w:pPr>
      <w:r>
        <w:rPr>
          <w:rFonts w:eastAsiaTheme="minorHAnsi"/>
        </w:rPr>
        <w:t xml:space="preserve">Table 4.14: </w:t>
      </w:r>
      <w:r>
        <w:rPr>
          <w:rFonts w:eastAsiaTheme="minorHAnsi"/>
        </w:rPr>
        <w:tab/>
        <w:t>Payments for contingent and other services</w:t>
      </w:r>
    </w:p>
    <w:p w:rsidR="002C39A3" w:rsidRPr="002A38F3" w:rsidRDefault="002C39A3" w:rsidP="00361FA9">
      <w:pPr>
        <w:pStyle w:val="million"/>
        <w:rPr>
          <w:rFonts w:eastAsiaTheme="minorHAnsi"/>
          <w:b/>
          <w:bCs/>
          <w:sz w:val="15"/>
          <w:lang w:val="en-US"/>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5213"/>
        <w:gridCol w:w="850"/>
        <w:gridCol w:w="853"/>
        <w:gridCol w:w="850"/>
      </w:tblGrid>
      <w:tr w:rsidR="00AF5DDD" w:rsidRPr="002A38F3" w:rsidTr="00EA058F">
        <w:trPr>
          <w:trHeight w:val="464"/>
        </w:trPr>
        <w:tc>
          <w:tcPr>
            <w:tcW w:w="5213" w:type="dxa"/>
            <w:tcBorders>
              <w:top w:val="nil"/>
              <w:left w:val="nil"/>
              <w:right w:val="nil"/>
            </w:tcBorders>
            <w:shd w:val="solid" w:color="000000" w:fill="auto"/>
          </w:tcPr>
          <w:p w:rsidR="00AF5DDD" w:rsidRPr="002A38F3" w:rsidRDefault="00AF5DDD" w:rsidP="00AF5DDD">
            <w:pPr>
              <w:pStyle w:val="Source"/>
              <w:spacing w:after="0"/>
              <w:rPr>
                <w:rFonts w:eastAsiaTheme="minorEastAsia" w:cs="Calibri"/>
                <w:iCs/>
                <w:color w:val="FFFFFF"/>
                <w:sz w:val="19"/>
                <w:szCs w:val="19"/>
                <w:lang w:eastAsia="en-AU"/>
              </w:rPr>
            </w:pPr>
          </w:p>
        </w:tc>
        <w:tc>
          <w:tcPr>
            <w:tcW w:w="850" w:type="dxa"/>
            <w:tcBorders>
              <w:top w:val="nil"/>
              <w:left w:val="nil"/>
              <w:right w:val="nil"/>
            </w:tcBorders>
            <w:shd w:val="solid" w:color="000000" w:fill="auto"/>
          </w:tcPr>
          <w:p w:rsidR="00AF5DDD" w:rsidRPr="002A38F3" w:rsidRDefault="00AF5DDD"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2A38F3">
              <w:rPr>
                <w:rFonts w:ascii="Calibri" w:eastAsiaTheme="minorEastAsia" w:hAnsi="Calibri" w:cs="Calibri"/>
                <w:i/>
                <w:iCs/>
                <w:color w:val="FFFFFF"/>
                <w:sz w:val="19"/>
                <w:szCs w:val="19"/>
                <w:lang w:eastAsia="en-AU"/>
              </w:rPr>
              <w:t>2015-16</w:t>
            </w:r>
          </w:p>
          <w:p w:rsidR="00AF5DDD" w:rsidRPr="002A38F3" w:rsidRDefault="00AF5DDD"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2A38F3">
              <w:rPr>
                <w:rFonts w:ascii="Calibri" w:eastAsiaTheme="minorEastAsia" w:hAnsi="Calibri" w:cs="Calibri"/>
                <w:i/>
                <w:iCs/>
                <w:color w:val="FFFFFF"/>
                <w:sz w:val="19"/>
                <w:szCs w:val="19"/>
                <w:lang w:eastAsia="en-AU"/>
              </w:rPr>
              <w:t>revised</w:t>
            </w:r>
          </w:p>
        </w:tc>
        <w:tc>
          <w:tcPr>
            <w:tcW w:w="853" w:type="dxa"/>
            <w:tcBorders>
              <w:top w:val="nil"/>
              <w:left w:val="nil"/>
              <w:right w:val="nil"/>
            </w:tcBorders>
            <w:shd w:val="solid" w:color="000000" w:fill="auto"/>
          </w:tcPr>
          <w:p w:rsidR="00AF5DDD" w:rsidRPr="002A38F3" w:rsidRDefault="00AF5DDD"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2A38F3">
              <w:rPr>
                <w:rFonts w:ascii="Calibri" w:eastAsiaTheme="minorEastAsia" w:hAnsi="Calibri" w:cs="Calibri"/>
                <w:i/>
                <w:iCs/>
                <w:color w:val="FFFFFF"/>
                <w:sz w:val="19"/>
                <w:szCs w:val="19"/>
                <w:lang w:eastAsia="en-AU"/>
              </w:rPr>
              <w:t>2016-17</w:t>
            </w:r>
          </w:p>
          <w:p w:rsidR="00AF5DDD" w:rsidRPr="002A38F3" w:rsidRDefault="00AF5DDD"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2A38F3">
              <w:rPr>
                <w:rFonts w:ascii="Calibri" w:eastAsiaTheme="minorEastAsia" w:hAnsi="Calibri" w:cs="Calibri"/>
                <w:i/>
                <w:iCs/>
                <w:color w:val="FFFFFF"/>
                <w:sz w:val="19"/>
                <w:szCs w:val="19"/>
                <w:lang w:eastAsia="en-AU"/>
              </w:rPr>
              <w:t>budget</w:t>
            </w:r>
          </w:p>
        </w:tc>
        <w:tc>
          <w:tcPr>
            <w:tcW w:w="850" w:type="dxa"/>
            <w:tcBorders>
              <w:top w:val="nil"/>
              <w:left w:val="nil"/>
              <w:right w:val="nil"/>
            </w:tcBorders>
            <w:shd w:val="solid" w:color="000000" w:fill="auto"/>
          </w:tcPr>
          <w:p w:rsidR="00AF5DDD" w:rsidRPr="002A38F3" w:rsidRDefault="00AF5DDD"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2A38F3">
              <w:rPr>
                <w:rFonts w:ascii="Calibri" w:eastAsiaTheme="minorEastAsia" w:hAnsi="Calibri" w:cs="Calibri"/>
                <w:i/>
                <w:iCs/>
                <w:color w:val="FFFFFF"/>
                <w:sz w:val="19"/>
                <w:szCs w:val="19"/>
                <w:lang w:eastAsia="en-AU"/>
              </w:rPr>
              <w:t>Change</w:t>
            </w:r>
          </w:p>
          <w:p w:rsidR="00AF5DDD" w:rsidRPr="002A38F3" w:rsidRDefault="00AF5DDD"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2A38F3">
              <w:rPr>
                <w:rFonts w:ascii="Calibri" w:eastAsiaTheme="minorEastAsia" w:hAnsi="Calibri" w:cs="Calibri"/>
                <w:i/>
                <w:iCs/>
                <w:color w:val="FFFFFF"/>
                <w:sz w:val="19"/>
                <w:szCs w:val="19"/>
                <w:lang w:eastAsia="en-AU"/>
              </w:rPr>
              <w:t>%</w:t>
            </w:r>
            <w:r w:rsidRPr="002A38F3">
              <w:rPr>
                <w:rFonts w:ascii="Calibri" w:eastAsiaTheme="minorEastAsia" w:hAnsi="Calibri" w:cs="Calibri"/>
                <w:i/>
                <w:iCs/>
                <w:color w:val="FFFFFF"/>
                <w:sz w:val="19"/>
                <w:szCs w:val="19"/>
                <w:vertAlign w:val="superscript"/>
                <w:lang w:eastAsia="en-AU"/>
              </w:rPr>
              <w:t>(a)</w:t>
            </w:r>
          </w:p>
        </w:tc>
      </w:tr>
      <w:tr w:rsidR="00AF5DDD" w:rsidRPr="002A38F3" w:rsidTr="00EA058F">
        <w:tc>
          <w:tcPr>
            <w:tcW w:w="7766" w:type="dxa"/>
            <w:gridSpan w:val="4"/>
            <w:tcBorders>
              <w:top w:val="nil"/>
              <w:left w:val="nil"/>
              <w:right w:val="nil"/>
            </w:tcBorders>
            <w:shd w:val="clear" w:color="auto" w:fill="FFFFFF"/>
          </w:tcPr>
          <w:p w:rsidR="00AF5DDD" w:rsidRPr="002A38F3" w:rsidRDefault="00AF5DDD" w:rsidP="00AF5DDD">
            <w:pPr>
              <w:autoSpaceDE w:val="0"/>
              <w:autoSpaceDN w:val="0"/>
              <w:adjustRightInd w:val="0"/>
              <w:spacing w:after="0"/>
              <w:ind w:left="227" w:hanging="227"/>
              <w:rPr>
                <w:rFonts w:ascii="Calibri" w:eastAsiaTheme="minorEastAsia" w:hAnsi="Calibri" w:cs="Calibri"/>
                <w:color w:val="000000"/>
                <w:sz w:val="19"/>
                <w:szCs w:val="19"/>
                <w:lang w:eastAsia="en-AU"/>
              </w:rPr>
            </w:pPr>
            <w:r w:rsidRPr="002A38F3">
              <w:rPr>
                <w:rFonts w:ascii="Calibri" w:eastAsiaTheme="minorEastAsia" w:hAnsi="Calibri" w:cs="Calibri"/>
                <w:b/>
                <w:bCs/>
                <w:color w:val="000000"/>
                <w:sz w:val="19"/>
                <w:szCs w:val="19"/>
                <w:lang w:eastAsia="en-AU"/>
              </w:rPr>
              <w:t>National Partnerships</w:t>
            </w:r>
          </w:p>
        </w:tc>
      </w:tr>
      <w:tr w:rsidR="00AF5DDD" w:rsidRPr="002A38F3" w:rsidTr="00EA058F">
        <w:tc>
          <w:tcPr>
            <w:tcW w:w="7766" w:type="dxa"/>
            <w:gridSpan w:val="4"/>
            <w:tcBorders>
              <w:top w:val="nil"/>
              <w:left w:val="nil"/>
              <w:right w:val="nil"/>
            </w:tcBorders>
            <w:shd w:val="clear" w:color="auto" w:fill="FFFFFF"/>
          </w:tcPr>
          <w:p w:rsidR="00AF5DDD" w:rsidRPr="002A38F3" w:rsidRDefault="00AF5DDD" w:rsidP="00AF5DDD">
            <w:pPr>
              <w:autoSpaceDE w:val="0"/>
              <w:autoSpaceDN w:val="0"/>
              <w:adjustRightInd w:val="0"/>
              <w:spacing w:after="0"/>
              <w:ind w:left="227" w:hanging="227"/>
              <w:rPr>
                <w:rFonts w:ascii="Calibri" w:eastAsiaTheme="minorEastAsia" w:hAnsi="Calibri" w:cs="Calibri"/>
                <w:color w:val="000000"/>
                <w:sz w:val="19"/>
                <w:szCs w:val="19"/>
                <w:lang w:eastAsia="en-AU"/>
              </w:rPr>
            </w:pPr>
            <w:r w:rsidRPr="002A38F3">
              <w:rPr>
                <w:rFonts w:ascii="Calibri" w:eastAsiaTheme="minorEastAsia" w:hAnsi="Calibri" w:cs="Calibri"/>
                <w:i/>
                <w:iCs/>
                <w:color w:val="000000"/>
                <w:sz w:val="19"/>
                <w:szCs w:val="19"/>
                <w:lang w:eastAsia="en-AU"/>
              </w:rPr>
              <w:t>Victoria Legal Aid</w:t>
            </w:r>
          </w:p>
        </w:tc>
      </w:tr>
      <w:tr w:rsidR="00AF5DDD" w:rsidRPr="002A38F3" w:rsidTr="00EA058F">
        <w:tc>
          <w:tcPr>
            <w:tcW w:w="7766" w:type="dxa"/>
            <w:gridSpan w:val="4"/>
            <w:tcBorders>
              <w:top w:val="nil"/>
              <w:left w:val="nil"/>
              <w:right w:val="nil"/>
            </w:tcBorders>
            <w:shd w:val="clear" w:color="auto" w:fill="FFFFFF"/>
          </w:tcPr>
          <w:p w:rsidR="00AF5DDD" w:rsidRPr="002A38F3" w:rsidRDefault="00AF5DDD" w:rsidP="00AF5DDD">
            <w:pPr>
              <w:spacing w:after="0"/>
              <w:rPr>
                <w:rFonts w:ascii="Calibri" w:eastAsiaTheme="minorEastAsia" w:hAnsi="Calibri" w:cs="Calibri"/>
                <w:color w:val="000000"/>
                <w:sz w:val="19"/>
                <w:szCs w:val="19"/>
                <w:lang w:eastAsia="en-AU"/>
              </w:rPr>
            </w:pPr>
            <w:r w:rsidRPr="002A38F3">
              <w:rPr>
                <w:rFonts w:ascii="Calibri" w:eastAsiaTheme="minorEastAsia" w:hAnsi="Calibri" w:cs="Calibri"/>
                <w:color w:val="000000"/>
                <w:sz w:val="19"/>
                <w:szCs w:val="19"/>
                <w:lang w:eastAsia="en-AU"/>
              </w:rPr>
              <w:t>Funding for a share of the service delivery costs of Victoria Legal Aid on Commonwealth law matters.</w:t>
            </w:r>
          </w:p>
        </w:tc>
      </w:tr>
      <w:tr w:rsidR="002C39A3" w:rsidRPr="002A38F3" w:rsidTr="00AF5DDD">
        <w:tc>
          <w:tcPr>
            <w:tcW w:w="5213" w:type="dxa"/>
            <w:tcBorders>
              <w:top w:val="nil"/>
              <w:left w:val="nil"/>
              <w:bottom w:val="single" w:sz="6" w:space="0" w:color="auto"/>
              <w:right w:val="nil"/>
            </w:tcBorders>
            <w:shd w:val="clear" w:color="auto" w:fill="FFFFFF"/>
          </w:tcPr>
          <w:p w:rsidR="002C39A3" w:rsidRPr="002A38F3"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2A38F3">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auto"/>
              <w:right w:val="nil"/>
            </w:tcBorders>
            <w:shd w:val="clear" w:color="auto" w:fill="FFFFFF"/>
          </w:tcPr>
          <w:p w:rsidR="002C39A3" w:rsidRPr="002A38F3"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58</w:t>
            </w:r>
          </w:p>
        </w:tc>
        <w:tc>
          <w:tcPr>
            <w:tcW w:w="853" w:type="dxa"/>
            <w:tcBorders>
              <w:top w:val="nil"/>
              <w:left w:val="nil"/>
              <w:bottom w:val="single" w:sz="6" w:space="0" w:color="auto"/>
              <w:right w:val="nil"/>
            </w:tcBorders>
            <w:shd w:val="clear" w:color="auto" w:fill="FFFFFF"/>
          </w:tcPr>
          <w:p w:rsidR="002C39A3" w:rsidRPr="002A38F3"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59</w:t>
            </w:r>
          </w:p>
        </w:tc>
        <w:tc>
          <w:tcPr>
            <w:tcW w:w="850" w:type="dxa"/>
            <w:tcBorders>
              <w:top w:val="nil"/>
              <w:left w:val="nil"/>
              <w:bottom w:val="single" w:sz="6" w:space="0" w:color="auto"/>
              <w:right w:val="nil"/>
            </w:tcBorders>
            <w:shd w:val="clear" w:color="auto" w:fill="FFFFFF"/>
          </w:tcPr>
          <w:p w:rsidR="002C39A3" w:rsidRPr="002A38F3"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2A38F3">
              <w:rPr>
                <w:rFonts w:ascii="Calibri" w:eastAsiaTheme="minorEastAsia" w:hAnsi="Calibri" w:cs="Calibri"/>
                <w:color w:val="000000"/>
                <w:sz w:val="19"/>
                <w:szCs w:val="19"/>
                <w:lang w:eastAsia="en-AU"/>
              </w:rPr>
              <w:t>2.7</w:t>
            </w:r>
          </w:p>
        </w:tc>
      </w:tr>
      <w:tr w:rsidR="00AF5DDD" w:rsidRPr="002A38F3" w:rsidTr="00EA058F">
        <w:tc>
          <w:tcPr>
            <w:tcW w:w="7766" w:type="dxa"/>
            <w:gridSpan w:val="4"/>
            <w:tcBorders>
              <w:top w:val="single" w:sz="6" w:space="0" w:color="auto"/>
              <w:left w:val="nil"/>
              <w:right w:val="nil"/>
            </w:tcBorders>
            <w:shd w:val="clear" w:color="auto" w:fill="FFFFFF"/>
          </w:tcPr>
          <w:p w:rsidR="00AF5DDD" w:rsidRPr="002A38F3" w:rsidRDefault="00AF5DDD" w:rsidP="00AF5DDD">
            <w:pPr>
              <w:autoSpaceDE w:val="0"/>
              <w:autoSpaceDN w:val="0"/>
              <w:adjustRightInd w:val="0"/>
              <w:spacing w:after="0"/>
              <w:ind w:left="227" w:hanging="227"/>
              <w:rPr>
                <w:rFonts w:ascii="Calibri" w:eastAsiaTheme="minorEastAsia" w:hAnsi="Calibri" w:cs="Calibri"/>
                <w:color w:val="000000"/>
                <w:sz w:val="19"/>
                <w:szCs w:val="19"/>
                <w:lang w:eastAsia="en-AU"/>
              </w:rPr>
            </w:pPr>
            <w:r w:rsidRPr="002A38F3">
              <w:rPr>
                <w:rFonts w:ascii="Calibri" w:eastAsiaTheme="minorEastAsia" w:hAnsi="Calibri" w:cs="Calibri"/>
                <w:i/>
                <w:iCs/>
                <w:color w:val="000000"/>
                <w:sz w:val="19"/>
                <w:szCs w:val="19"/>
                <w:lang w:eastAsia="en-AU"/>
              </w:rPr>
              <w:t>National Disaster Resilience Program</w:t>
            </w:r>
          </w:p>
        </w:tc>
      </w:tr>
      <w:tr w:rsidR="00AF5DDD" w:rsidRPr="002A38F3" w:rsidTr="00EA058F">
        <w:tc>
          <w:tcPr>
            <w:tcW w:w="7766" w:type="dxa"/>
            <w:gridSpan w:val="4"/>
            <w:tcBorders>
              <w:top w:val="nil"/>
              <w:left w:val="nil"/>
              <w:right w:val="nil"/>
            </w:tcBorders>
            <w:shd w:val="clear" w:color="auto" w:fill="FFFFFF"/>
          </w:tcPr>
          <w:p w:rsidR="00AF5DDD" w:rsidRPr="002A38F3" w:rsidRDefault="00AF5DDD" w:rsidP="00AF5DDD">
            <w:pPr>
              <w:spacing w:after="0"/>
              <w:rPr>
                <w:rFonts w:ascii="Calibri" w:eastAsiaTheme="minorEastAsia" w:hAnsi="Calibri" w:cs="Calibri"/>
                <w:color w:val="000000"/>
                <w:sz w:val="19"/>
                <w:szCs w:val="19"/>
                <w:lang w:eastAsia="en-AU"/>
              </w:rPr>
            </w:pPr>
            <w:r w:rsidRPr="002A38F3">
              <w:rPr>
                <w:rFonts w:ascii="Calibri" w:eastAsiaTheme="minorEastAsia" w:hAnsi="Calibri" w:cs="Calibri"/>
                <w:color w:val="000000"/>
                <w:sz w:val="19"/>
                <w:szCs w:val="19"/>
                <w:lang w:eastAsia="en-AU"/>
              </w:rPr>
              <w:t>Funding to identify and address natural disaster risk priorities across the nation. Funding is provided by the Commonwealth for initiatives to create safer and sustainable communities by better enabling them to withstand the effects of floods, storms, fires and other natural disasters.</w:t>
            </w:r>
          </w:p>
        </w:tc>
      </w:tr>
      <w:tr w:rsidR="002C39A3" w:rsidRPr="002A38F3" w:rsidTr="00AF5DDD">
        <w:tc>
          <w:tcPr>
            <w:tcW w:w="5213" w:type="dxa"/>
            <w:tcBorders>
              <w:top w:val="nil"/>
              <w:left w:val="nil"/>
              <w:bottom w:val="single" w:sz="6" w:space="0" w:color="auto"/>
              <w:right w:val="nil"/>
            </w:tcBorders>
            <w:shd w:val="clear" w:color="auto" w:fill="FFFFFF"/>
          </w:tcPr>
          <w:p w:rsidR="002C39A3" w:rsidRPr="002A38F3"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2A38F3">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auto"/>
              <w:right w:val="nil"/>
            </w:tcBorders>
            <w:shd w:val="clear" w:color="auto" w:fill="FFFFFF"/>
          </w:tcPr>
          <w:p w:rsidR="002C39A3" w:rsidRPr="002A38F3"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w:t>
            </w:r>
          </w:p>
        </w:tc>
        <w:tc>
          <w:tcPr>
            <w:tcW w:w="853" w:type="dxa"/>
            <w:tcBorders>
              <w:top w:val="nil"/>
              <w:left w:val="nil"/>
              <w:bottom w:val="single" w:sz="6" w:space="0" w:color="auto"/>
              <w:right w:val="nil"/>
            </w:tcBorders>
            <w:shd w:val="clear" w:color="auto" w:fill="FFFFFF"/>
          </w:tcPr>
          <w:p w:rsidR="002C39A3" w:rsidRPr="002A38F3"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w:t>
            </w:r>
          </w:p>
        </w:tc>
        <w:tc>
          <w:tcPr>
            <w:tcW w:w="850" w:type="dxa"/>
            <w:tcBorders>
              <w:top w:val="nil"/>
              <w:left w:val="nil"/>
              <w:bottom w:val="single" w:sz="6" w:space="0" w:color="auto"/>
              <w:right w:val="nil"/>
            </w:tcBorders>
            <w:shd w:val="clear" w:color="auto" w:fill="FFFFFF"/>
          </w:tcPr>
          <w:p w:rsidR="002C39A3" w:rsidRPr="002A38F3"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2A38F3">
              <w:rPr>
                <w:rFonts w:ascii="Calibri" w:eastAsiaTheme="minorEastAsia" w:hAnsi="Calibri" w:cs="Calibri"/>
                <w:color w:val="000000"/>
                <w:sz w:val="19"/>
                <w:szCs w:val="19"/>
                <w:lang w:eastAsia="en-AU"/>
              </w:rPr>
              <w:t>(33.5)</w:t>
            </w:r>
          </w:p>
        </w:tc>
      </w:tr>
      <w:tr w:rsidR="00AF5DDD" w:rsidRPr="002A38F3" w:rsidTr="00EA058F">
        <w:tc>
          <w:tcPr>
            <w:tcW w:w="7766" w:type="dxa"/>
            <w:gridSpan w:val="4"/>
            <w:tcBorders>
              <w:top w:val="single" w:sz="6" w:space="0" w:color="auto"/>
              <w:left w:val="nil"/>
              <w:right w:val="nil"/>
            </w:tcBorders>
            <w:shd w:val="clear" w:color="auto" w:fill="FFFFFF"/>
          </w:tcPr>
          <w:p w:rsidR="00AF5DDD" w:rsidRPr="002A38F3" w:rsidRDefault="00AF5DDD" w:rsidP="00AF5DDD">
            <w:pPr>
              <w:autoSpaceDE w:val="0"/>
              <w:autoSpaceDN w:val="0"/>
              <w:adjustRightInd w:val="0"/>
              <w:spacing w:after="0"/>
              <w:ind w:left="227" w:hanging="227"/>
              <w:rPr>
                <w:rFonts w:ascii="Calibri" w:eastAsiaTheme="minorEastAsia" w:hAnsi="Calibri" w:cs="Calibri"/>
                <w:color w:val="000000"/>
                <w:sz w:val="19"/>
                <w:szCs w:val="19"/>
                <w:lang w:eastAsia="en-AU"/>
              </w:rPr>
            </w:pPr>
            <w:r w:rsidRPr="002A38F3">
              <w:rPr>
                <w:rFonts w:ascii="Calibri" w:eastAsiaTheme="minorEastAsia" w:hAnsi="Calibri" w:cs="Calibri"/>
                <w:i/>
                <w:iCs/>
                <w:color w:val="000000"/>
                <w:sz w:val="19"/>
                <w:szCs w:val="19"/>
                <w:lang w:eastAsia="en-AU"/>
              </w:rPr>
              <w:t>Natural Disaster Relief</w:t>
            </w:r>
          </w:p>
        </w:tc>
      </w:tr>
      <w:tr w:rsidR="00AF5DDD" w:rsidRPr="002A38F3" w:rsidTr="00EA058F">
        <w:tc>
          <w:tcPr>
            <w:tcW w:w="7766" w:type="dxa"/>
            <w:gridSpan w:val="4"/>
            <w:tcBorders>
              <w:top w:val="nil"/>
              <w:left w:val="nil"/>
              <w:right w:val="nil"/>
            </w:tcBorders>
            <w:shd w:val="clear" w:color="auto" w:fill="FFFFFF"/>
          </w:tcPr>
          <w:p w:rsidR="00AF5DDD" w:rsidRPr="002A38F3" w:rsidRDefault="00AF5DDD" w:rsidP="00AF5DDD">
            <w:pPr>
              <w:spacing w:after="0"/>
              <w:rPr>
                <w:rFonts w:ascii="Calibri" w:eastAsiaTheme="minorEastAsia" w:hAnsi="Calibri" w:cs="Calibri"/>
                <w:color w:val="000000"/>
                <w:sz w:val="19"/>
                <w:szCs w:val="19"/>
                <w:lang w:eastAsia="en-AU"/>
              </w:rPr>
            </w:pPr>
            <w:r w:rsidRPr="002A38F3">
              <w:rPr>
                <w:rFonts w:ascii="Calibri" w:eastAsiaTheme="minorEastAsia" w:hAnsi="Calibri" w:cs="Calibri"/>
                <w:color w:val="000000"/>
                <w:sz w:val="19"/>
                <w:szCs w:val="19"/>
                <w:lang w:eastAsia="en-AU"/>
              </w:rPr>
              <w:t>Funding for natural disasters declared in Victoria.</w:t>
            </w:r>
          </w:p>
        </w:tc>
      </w:tr>
      <w:tr w:rsidR="002C39A3" w:rsidRPr="002A38F3" w:rsidTr="00AF5DDD">
        <w:tc>
          <w:tcPr>
            <w:tcW w:w="5213" w:type="dxa"/>
            <w:tcBorders>
              <w:top w:val="nil"/>
              <w:left w:val="nil"/>
              <w:bottom w:val="single" w:sz="12" w:space="0" w:color="auto"/>
              <w:right w:val="nil"/>
            </w:tcBorders>
            <w:shd w:val="clear" w:color="auto" w:fill="FFFFFF"/>
          </w:tcPr>
          <w:p w:rsidR="002C39A3" w:rsidRPr="002A38F3"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2A38F3">
              <w:rPr>
                <w:rFonts w:ascii="Calibri" w:eastAsiaTheme="minorEastAsia" w:hAnsi="Calibri" w:cs="Calibri"/>
                <w:color w:val="000000"/>
                <w:sz w:val="19"/>
                <w:szCs w:val="19"/>
                <w:lang w:eastAsia="en-AU"/>
              </w:rPr>
              <w:t xml:space="preserve"> </w:t>
            </w:r>
          </w:p>
        </w:tc>
        <w:tc>
          <w:tcPr>
            <w:tcW w:w="850" w:type="dxa"/>
            <w:tcBorders>
              <w:top w:val="nil"/>
              <w:left w:val="nil"/>
              <w:bottom w:val="single" w:sz="12" w:space="0" w:color="auto"/>
              <w:right w:val="nil"/>
            </w:tcBorders>
            <w:shd w:val="clear" w:color="auto" w:fill="FFFFFF"/>
          </w:tcPr>
          <w:p w:rsidR="002C39A3" w:rsidRPr="002A38F3" w:rsidRDefault="00AF5DDD"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30</w:t>
            </w:r>
          </w:p>
        </w:tc>
        <w:tc>
          <w:tcPr>
            <w:tcW w:w="853" w:type="dxa"/>
            <w:tcBorders>
              <w:top w:val="nil"/>
              <w:left w:val="nil"/>
              <w:bottom w:val="single" w:sz="12" w:space="0" w:color="auto"/>
              <w:right w:val="nil"/>
            </w:tcBorders>
            <w:shd w:val="clear" w:color="auto" w:fill="FFFFFF"/>
          </w:tcPr>
          <w:p w:rsidR="002C39A3" w:rsidRPr="002A38F3"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2A38F3">
              <w:rPr>
                <w:rFonts w:ascii="Calibri" w:eastAsiaTheme="minorEastAsia" w:hAnsi="Calibri" w:cs="Calibri"/>
                <w:color w:val="000000"/>
                <w:sz w:val="19"/>
                <w:szCs w:val="19"/>
                <w:lang w:eastAsia="en-AU"/>
              </w:rPr>
              <w:t>..</w:t>
            </w:r>
          </w:p>
        </w:tc>
        <w:tc>
          <w:tcPr>
            <w:tcW w:w="850" w:type="dxa"/>
            <w:tcBorders>
              <w:top w:val="nil"/>
              <w:left w:val="nil"/>
              <w:bottom w:val="single" w:sz="12" w:space="0" w:color="auto"/>
              <w:right w:val="nil"/>
            </w:tcBorders>
            <w:shd w:val="clear" w:color="auto" w:fill="FFFFFF"/>
          </w:tcPr>
          <w:p w:rsidR="002C39A3" w:rsidRPr="002A38F3"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2A38F3">
              <w:rPr>
                <w:rFonts w:ascii="Calibri" w:eastAsiaTheme="minorEastAsia" w:hAnsi="Calibri" w:cs="Calibri"/>
                <w:color w:val="000000"/>
                <w:sz w:val="19"/>
                <w:szCs w:val="19"/>
                <w:lang w:eastAsia="en-AU"/>
              </w:rPr>
              <w:t>(100.0)</w:t>
            </w:r>
          </w:p>
        </w:tc>
      </w:tr>
      <w:tr w:rsidR="002C39A3" w:rsidRPr="002A38F3" w:rsidTr="00AF5DDD">
        <w:tc>
          <w:tcPr>
            <w:tcW w:w="5213" w:type="dxa"/>
            <w:tcBorders>
              <w:top w:val="single" w:sz="12" w:space="0" w:color="auto"/>
              <w:left w:val="nil"/>
              <w:bottom w:val="single" w:sz="6" w:space="0" w:color="auto"/>
              <w:right w:val="nil"/>
            </w:tcBorders>
            <w:shd w:val="clear" w:color="auto" w:fill="FFFFFF"/>
          </w:tcPr>
          <w:p w:rsidR="002C39A3" w:rsidRPr="002A38F3" w:rsidRDefault="002C39A3" w:rsidP="00361FA9">
            <w:pPr>
              <w:autoSpaceDE w:val="0"/>
              <w:autoSpaceDN w:val="0"/>
              <w:adjustRightInd w:val="0"/>
              <w:spacing w:after="0"/>
              <w:ind w:left="227" w:hanging="227"/>
              <w:rPr>
                <w:rFonts w:ascii="Calibri" w:eastAsiaTheme="minorEastAsia" w:hAnsi="Calibri" w:cs="Calibri"/>
                <w:b/>
                <w:bCs/>
                <w:color w:val="000000"/>
                <w:sz w:val="19"/>
                <w:szCs w:val="19"/>
                <w:vertAlign w:val="superscript"/>
                <w:lang w:eastAsia="en-AU"/>
              </w:rPr>
            </w:pPr>
            <w:r w:rsidRPr="002A38F3">
              <w:rPr>
                <w:rFonts w:ascii="Calibri" w:eastAsiaTheme="minorEastAsia" w:hAnsi="Calibri" w:cs="Calibri"/>
                <w:b/>
                <w:bCs/>
                <w:color w:val="000000"/>
                <w:sz w:val="19"/>
                <w:szCs w:val="19"/>
                <w:lang w:eastAsia="en-AU"/>
              </w:rPr>
              <w:t xml:space="preserve">Other </w:t>
            </w:r>
            <w:r w:rsidRPr="002A38F3">
              <w:rPr>
                <w:rFonts w:ascii="Calibri" w:eastAsiaTheme="minorEastAsia" w:hAnsi="Calibri" w:cs="Calibri"/>
                <w:b/>
                <w:bCs/>
                <w:color w:val="000000"/>
                <w:sz w:val="19"/>
                <w:szCs w:val="19"/>
                <w:vertAlign w:val="superscript"/>
                <w:lang w:eastAsia="en-AU"/>
              </w:rPr>
              <w:t>(b)</w:t>
            </w:r>
          </w:p>
        </w:tc>
        <w:tc>
          <w:tcPr>
            <w:tcW w:w="850" w:type="dxa"/>
            <w:tcBorders>
              <w:top w:val="single" w:sz="12" w:space="0" w:color="auto"/>
              <w:left w:val="nil"/>
              <w:bottom w:val="single" w:sz="6" w:space="0" w:color="auto"/>
              <w:right w:val="nil"/>
            </w:tcBorders>
            <w:shd w:val="clear" w:color="auto" w:fill="FFFFFF"/>
          </w:tcPr>
          <w:p w:rsidR="002C39A3" w:rsidRPr="002A38F3" w:rsidRDefault="00AF5DDD"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993</w:t>
            </w:r>
          </w:p>
        </w:tc>
        <w:tc>
          <w:tcPr>
            <w:tcW w:w="853" w:type="dxa"/>
            <w:tcBorders>
              <w:top w:val="single" w:sz="12" w:space="0" w:color="auto"/>
              <w:left w:val="nil"/>
              <w:bottom w:val="single" w:sz="6" w:space="0" w:color="auto"/>
              <w:right w:val="nil"/>
            </w:tcBorders>
            <w:shd w:val="clear" w:color="auto" w:fill="FFFFFF"/>
          </w:tcPr>
          <w:p w:rsidR="002C39A3" w:rsidRPr="002A38F3"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2A38F3">
              <w:rPr>
                <w:rFonts w:ascii="Calibri" w:eastAsiaTheme="minorEastAsia" w:hAnsi="Calibri" w:cs="Calibri"/>
                <w:b/>
                <w:bCs/>
                <w:color w:val="000000"/>
                <w:sz w:val="19"/>
                <w:szCs w:val="19"/>
                <w:lang w:eastAsia="en-AU"/>
              </w:rPr>
              <w:t>1 379</w:t>
            </w:r>
          </w:p>
        </w:tc>
        <w:tc>
          <w:tcPr>
            <w:tcW w:w="850" w:type="dxa"/>
            <w:tcBorders>
              <w:top w:val="single" w:sz="12" w:space="0" w:color="auto"/>
              <w:left w:val="nil"/>
              <w:bottom w:val="single" w:sz="6" w:space="0" w:color="auto"/>
              <w:right w:val="nil"/>
            </w:tcBorders>
            <w:shd w:val="clear" w:color="auto" w:fill="FFFFFF"/>
          </w:tcPr>
          <w:p w:rsidR="002C39A3" w:rsidRPr="002A38F3"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2A38F3">
              <w:rPr>
                <w:rFonts w:ascii="Calibri" w:eastAsiaTheme="minorEastAsia" w:hAnsi="Calibri" w:cs="Calibri"/>
                <w:b/>
                <w:bCs/>
                <w:color w:val="000000"/>
                <w:sz w:val="19"/>
                <w:szCs w:val="19"/>
                <w:lang w:eastAsia="en-AU"/>
              </w:rPr>
              <w:t>38.8</w:t>
            </w:r>
          </w:p>
        </w:tc>
      </w:tr>
      <w:tr w:rsidR="002C39A3" w:rsidRPr="002A38F3" w:rsidTr="00AF5DDD">
        <w:tc>
          <w:tcPr>
            <w:tcW w:w="5213" w:type="dxa"/>
            <w:tcBorders>
              <w:top w:val="single" w:sz="6" w:space="0" w:color="auto"/>
              <w:left w:val="nil"/>
              <w:bottom w:val="single" w:sz="12" w:space="0" w:color="auto"/>
              <w:right w:val="nil"/>
            </w:tcBorders>
            <w:shd w:val="clear" w:color="auto" w:fill="FFFFFF"/>
          </w:tcPr>
          <w:p w:rsidR="002C39A3" w:rsidRPr="002A38F3"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2A38F3">
              <w:rPr>
                <w:rFonts w:ascii="Calibri" w:eastAsiaTheme="minorEastAsia" w:hAnsi="Calibri" w:cs="Calibri"/>
                <w:b/>
                <w:bCs/>
                <w:color w:val="000000"/>
                <w:sz w:val="19"/>
                <w:szCs w:val="19"/>
                <w:lang w:eastAsia="en-AU"/>
              </w:rPr>
              <w:t>Total other services</w:t>
            </w:r>
          </w:p>
        </w:tc>
        <w:tc>
          <w:tcPr>
            <w:tcW w:w="850" w:type="dxa"/>
            <w:tcBorders>
              <w:top w:val="single" w:sz="6" w:space="0" w:color="auto"/>
              <w:left w:val="nil"/>
              <w:bottom w:val="single" w:sz="12" w:space="0" w:color="auto"/>
              <w:right w:val="nil"/>
            </w:tcBorders>
            <w:shd w:val="clear" w:color="auto" w:fill="FFFFFF"/>
          </w:tcPr>
          <w:p w:rsidR="002C39A3" w:rsidRPr="002A38F3"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2A38F3">
              <w:rPr>
                <w:rFonts w:ascii="Calibri" w:eastAsiaTheme="minorEastAsia" w:hAnsi="Calibri" w:cs="Calibri"/>
                <w:b/>
                <w:bCs/>
                <w:color w:val="000000"/>
                <w:sz w:val="19"/>
                <w:szCs w:val="19"/>
                <w:lang w:eastAsia="en-AU"/>
              </w:rPr>
              <w:t>1 087</w:t>
            </w:r>
          </w:p>
        </w:tc>
        <w:tc>
          <w:tcPr>
            <w:tcW w:w="853" w:type="dxa"/>
            <w:tcBorders>
              <w:top w:val="single" w:sz="6" w:space="0" w:color="auto"/>
              <w:left w:val="nil"/>
              <w:bottom w:val="single" w:sz="12" w:space="0" w:color="auto"/>
              <w:right w:val="nil"/>
            </w:tcBorders>
            <w:shd w:val="clear" w:color="auto" w:fill="FFFFFF"/>
          </w:tcPr>
          <w:p w:rsidR="002C39A3" w:rsidRPr="002A38F3"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2A38F3">
              <w:rPr>
                <w:rFonts w:ascii="Calibri" w:eastAsiaTheme="minorEastAsia" w:hAnsi="Calibri" w:cs="Calibri"/>
                <w:b/>
                <w:bCs/>
                <w:color w:val="000000"/>
                <w:sz w:val="19"/>
                <w:szCs w:val="19"/>
                <w:lang w:eastAsia="en-AU"/>
              </w:rPr>
              <w:t>1 443</w:t>
            </w:r>
          </w:p>
        </w:tc>
        <w:tc>
          <w:tcPr>
            <w:tcW w:w="850" w:type="dxa"/>
            <w:tcBorders>
              <w:top w:val="single" w:sz="6" w:space="0" w:color="auto"/>
              <w:left w:val="nil"/>
              <w:bottom w:val="single" w:sz="12" w:space="0" w:color="auto"/>
              <w:right w:val="nil"/>
            </w:tcBorders>
            <w:shd w:val="clear" w:color="auto" w:fill="FFFFFF"/>
          </w:tcPr>
          <w:p w:rsidR="002C39A3" w:rsidRPr="002A38F3"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2A38F3">
              <w:rPr>
                <w:rFonts w:ascii="Calibri" w:eastAsiaTheme="minorEastAsia" w:hAnsi="Calibri" w:cs="Calibri"/>
                <w:b/>
                <w:bCs/>
                <w:color w:val="000000"/>
                <w:sz w:val="19"/>
                <w:szCs w:val="19"/>
                <w:lang w:eastAsia="en-AU"/>
              </w:rPr>
              <w:t>32.7</w:t>
            </w:r>
          </w:p>
        </w:tc>
      </w:tr>
    </w:tbl>
    <w:p w:rsidR="002C39A3" w:rsidRPr="009A1C06" w:rsidRDefault="002C39A3" w:rsidP="00361FA9">
      <w:pPr>
        <w:pStyle w:val="Source"/>
        <w:rPr>
          <w:rFonts w:eastAsiaTheme="minorHAnsi"/>
        </w:rPr>
      </w:pPr>
      <w:r w:rsidRPr="009A1C06">
        <w:rPr>
          <w:rFonts w:eastAsiaTheme="minorHAnsi"/>
        </w:rPr>
        <w:t>Source: Department of Treasury and Finance</w:t>
      </w:r>
    </w:p>
    <w:p w:rsidR="002C39A3" w:rsidRDefault="002C39A3" w:rsidP="00361FA9">
      <w:pPr>
        <w:pStyle w:val="Notes"/>
        <w:rPr>
          <w:rFonts w:eastAsiaTheme="minorHAnsi"/>
        </w:rPr>
      </w:pPr>
      <w:r>
        <w:rPr>
          <w:rFonts w:eastAsiaTheme="minorHAnsi"/>
        </w:rPr>
        <w:t>Notes:</w:t>
      </w:r>
    </w:p>
    <w:p w:rsidR="002C39A3" w:rsidRPr="00AB2FDC" w:rsidRDefault="002C39A3" w:rsidP="00361FA9">
      <w:pPr>
        <w:pStyle w:val="Notes"/>
        <w:rPr>
          <w:rFonts w:eastAsiaTheme="minorHAnsi"/>
        </w:rPr>
      </w:pPr>
      <w:r w:rsidRPr="00AB2FDC">
        <w:rPr>
          <w:rFonts w:eastAsiaTheme="minorHAnsi"/>
        </w:rPr>
        <w:t xml:space="preserve">(a) </w:t>
      </w:r>
      <w:r w:rsidRPr="00AB2FDC">
        <w:rPr>
          <w:rFonts w:eastAsiaTheme="minorHAnsi"/>
        </w:rPr>
        <w:tab/>
        <w:t>Per cent change between 2015-16 and 2016-17.</w:t>
      </w:r>
    </w:p>
    <w:p w:rsidR="002C39A3" w:rsidRPr="00ED255C" w:rsidRDefault="002C39A3" w:rsidP="00361FA9">
      <w:pPr>
        <w:pStyle w:val="Notes"/>
        <w:rPr>
          <w:rFonts w:eastAsiaTheme="minorHAnsi"/>
        </w:rPr>
      </w:pPr>
      <w:r w:rsidRPr="004F3846">
        <w:rPr>
          <w:rFonts w:eastAsiaTheme="minorHAnsi"/>
        </w:rPr>
        <w:t>(</w:t>
      </w:r>
      <w:r>
        <w:rPr>
          <w:rFonts w:eastAsiaTheme="minorHAnsi"/>
        </w:rPr>
        <w:t>b</w:t>
      </w:r>
      <w:r w:rsidRPr="004F3846">
        <w:rPr>
          <w:rFonts w:eastAsiaTheme="minorHAnsi"/>
        </w:rPr>
        <w:t xml:space="preserve">) </w:t>
      </w:r>
      <w:r w:rsidRPr="004F3846">
        <w:rPr>
          <w:rFonts w:eastAsiaTheme="minorHAnsi"/>
        </w:rPr>
        <w:tab/>
        <w:t>Includes payments from the Commonwealth yet to be allocated to specific purposes. The increase between 2015</w:t>
      </w:r>
      <w:r w:rsidRPr="004F3846">
        <w:rPr>
          <w:rFonts w:eastAsiaTheme="minorHAnsi"/>
        </w:rPr>
        <w:noBreakHyphen/>
        <w:t>16 and 2016</w:t>
      </w:r>
      <w:r w:rsidRPr="004F3846">
        <w:rPr>
          <w:rFonts w:eastAsiaTheme="minorHAnsi"/>
        </w:rPr>
        <w:noBreakHyphen/>
        <w:t>17 primarily reflects the expected rephasing of asset recycling incentive payments.</w:t>
      </w:r>
    </w:p>
    <w:p w:rsidR="002C39A3" w:rsidRPr="00ED255C" w:rsidRDefault="002C39A3" w:rsidP="00361FA9">
      <w:pPr>
        <w:pStyle w:val="Notes"/>
        <w:rPr>
          <w:rFonts w:eastAsiaTheme="minorHAnsi"/>
        </w:rPr>
      </w:pPr>
    </w:p>
    <w:p w:rsidR="002C39A3" w:rsidRDefault="002C39A3" w:rsidP="00361FA9">
      <w:pPr>
        <w:pStyle w:val="Notes"/>
        <w:rPr>
          <w:rFonts w:eastAsiaTheme="minorHAnsi"/>
          <w:b/>
          <w:caps/>
          <w:sz w:val="26"/>
          <w:szCs w:val="22"/>
        </w:rPr>
      </w:pPr>
      <w:r>
        <w:rPr>
          <w:rFonts w:eastAsiaTheme="minorHAnsi"/>
        </w:rPr>
        <w:br w:type="page"/>
      </w:r>
    </w:p>
    <w:p w:rsidR="002C39A3" w:rsidRDefault="002C39A3" w:rsidP="00361FA9">
      <w:pPr>
        <w:pStyle w:val="Heading1"/>
        <w:rPr>
          <w:rFonts w:eastAsiaTheme="minorHAnsi"/>
        </w:rPr>
      </w:pPr>
      <w:bookmarkStart w:id="50" w:name="_Toc449116208"/>
      <w:r>
        <w:rPr>
          <w:rFonts w:eastAsiaTheme="minorHAnsi"/>
        </w:rPr>
        <w:t>Sales of goods and services</w:t>
      </w:r>
      <w:bookmarkEnd w:id="50"/>
    </w:p>
    <w:p w:rsidR="002C39A3" w:rsidRDefault="002C39A3" w:rsidP="00361FA9">
      <w:pPr>
        <w:rPr>
          <w:rFonts w:eastAsiaTheme="minorHAnsi"/>
        </w:rPr>
      </w:pPr>
      <w:r>
        <w:rPr>
          <w:rFonts w:eastAsiaTheme="minorHAnsi"/>
        </w:rPr>
        <w:t xml:space="preserve">Revenue from the sales of goods and services is expected to grow by 3.0 per cent in </w:t>
      </w:r>
      <w:r w:rsidRPr="00822193">
        <w:rPr>
          <w:rFonts w:eastAsiaTheme="minorHAnsi"/>
        </w:rPr>
        <w:t>2016</w:t>
      </w:r>
      <w:r w:rsidRPr="00822193">
        <w:rPr>
          <w:rFonts w:eastAsiaTheme="minorHAnsi"/>
        </w:rPr>
        <w:noBreakHyphen/>
        <w:t xml:space="preserve">17 to $6.8 billion. The growth is driven by an increase in the capital asset charge </w:t>
      </w:r>
      <w:r w:rsidRPr="00FE54A3">
        <w:rPr>
          <w:rFonts w:eastAsiaTheme="minorHAnsi"/>
        </w:rPr>
        <w:t>from VicTrack</w:t>
      </w:r>
      <w:r>
        <w:rPr>
          <w:rFonts w:eastAsiaTheme="minorHAnsi"/>
        </w:rPr>
        <w:t xml:space="preserve"> associated with an increase in the capital asset base</w:t>
      </w:r>
      <w:r w:rsidRPr="00FE54A3">
        <w:rPr>
          <w:rFonts w:eastAsiaTheme="minorHAnsi"/>
        </w:rPr>
        <w:t>. Growth is</w:t>
      </w:r>
      <w:r w:rsidRPr="00822193">
        <w:rPr>
          <w:rFonts w:eastAsiaTheme="minorHAnsi"/>
        </w:rPr>
        <w:t xml:space="preserve"> expected to slow</w:t>
      </w:r>
      <w:r>
        <w:rPr>
          <w:rFonts w:eastAsiaTheme="minorHAnsi"/>
        </w:rPr>
        <w:t xml:space="preserve"> to an average of 1.9</w:t>
      </w:r>
      <w:r w:rsidRPr="00822193">
        <w:rPr>
          <w:rFonts w:eastAsiaTheme="minorHAnsi"/>
        </w:rPr>
        <w:t> per cent a year over the forward estimates.</w:t>
      </w:r>
    </w:p>
    <w:p w:rsidR="002C39A3" w:rsidRDefault="002C39A3" w:rsidP="00361FA9">
      <w:pPr>
        <w:pStyle w:val="Tableheading"/>
        <w:rPr>
          <w:rFonts w:eastAsiaTheme="minorHAnsi"/>
        </w:rPr>
      </w:pPr>
      <w:r>
        <w:rPr>
          <w:rFonts w:eastAsiaTheme="minorHAnsi"/>
        </w:rPr>
        <w:t xml:space="preserve">Table 4.15: </w:t>
      </w:r>
      <w:r>
        <w:rPr>
          <w:rFonts w:eastAsiaTheme="minorHAnsi"/>
        </w:rPr>
        <w:tab/>
        <w:t>Sales of goods and services</w:t>
      </w:r>
    </w:p>
    <w:p w:rsidR="002C39A3" w:rsidRPr="009D7C96" w:rsidRDefault="002C39A3" w:rsidP="00361FA9">
      <w:pPr>
        <w:pStyle w:val="million"/>
        <w:rPr>
          <w:rFonts w:ascii="Times New Roman" w:hAnsi="Times New Roman"/>
          <w:sz w:val="20"/>
          <w:lang w:eastAsia="en-AU"/>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AF5DDD" w:rsidRPr="009D7C96" w:rsidTr="00EA058F">
        <w:trPr>
          <w:trHeight w:val="464"/>
        </w:trPr>
        <w:tc>
          <w:tcPr>
            <w:tcW w:w="3515" w:type="dxa"/>
            <w:tcBorders>
              <w:right w:val="nil"/>
            </w:tcBorders>
            <w:shd w:val="solid" w:color="000000" w:fill="auto"/>
          </w:tcPr>
          <w:p w:rsidR="00AF5DDD" w:rsidRPr="009D7C96" w:rsidRDefault="00AF5DDD" w:rsidP="00AF5DDD">
            <w:pPr>
              <w:pStyle w:val="Tabletextheading"/>
              <w:jc w:val="left"/>
              <w:rPr>
                <w:rFonts w:eastAsiaTheme="minorEastAsia"/>
                <w:color w:val="FFFFFF"/>
                <w:sz w:val="19"/>
                <w:lang w:eastAsia="en-AU"/>
              </w:rPr>
            </w:pPr>
          </w:p>
        </w:tc>
        <w:tc>
          <w:tcPr>
            <w:tcW w:w="850" w:type="dxa"/>
            <w:tcBorders>
              <w:left w:val="nil"/>
              <w:right w:val="nil"/>
            </w:tcBorders>
            <w:shd w:val="solid" w:color="000000" w:fill="auto"/>
          </w:tcPr>
          <w:p w:rsidR="00AF5DDD" w:rsidRPr="009D7C96" w:rsidRDefault="00AF5DDD" w:rsidP="00361FA9">
            <w:pPr>
              <w:pStyle w:val="Tabletextheading"/>
              <w:rPr>
                <w:rFonts w:eastAsiaTheme="minorEastAsia"/>
                <w:color w:val="FFFFFF"/>
                <w:sz w:val="19"/>
                <w:lang w:eastAsia="en-AU"/>
              </w:rPr>
            </w:pPr>
            <w:r w:rsidRPr="009D7C96">
              <w:rPr>
                <w:rFonts w:eastAsiaTheme="minorEastAsia"/>
                <w:color w:val="FFFFFF"/>
                <w:sz w:val="19"/>
                <w:lang w:eastAsia="en-AU"/>
              </w:rPr>
              <w:t>2015-16</w:t>
            </w:r>
          </w:p>
          <w:p w:rsidR="00AF5DDD" w:rsidRPr="009D7C96" w:rsidRDefault="00AF5DDD" w:rsidP="00361FA9">
            <w:pPr>
              <w:pStyle w:val="Tabletextheading"/>
              <w:rPr>
                <w:rFonts w:eastAsiaTheme="minorEastAsia"/>
                <w:color w:val="FFFFFF"/>
                <w:sz w:val="19"/>
                <w:lang w:eastAsia="en-AU"/>
              </w:rPr>
            </w:pPr>
            <w:r w:rsidRPr="009D7C96">
              <w:rPr>
                <w:rFonts w:eastAsiaTheme="minorEastAsia"/>
                <w:color w:val="FFFFFF"/>
                <w:sz w:val="19"/>
                <w:lang w:eastAsia="en-AU"/>
              </w:rPr>
              <w:t>revised</w:t>
            </w:r>
          </w:p>
        </w:tc>
        <w:tc>
          <w:tcPr>
            <w:tcW w:w="850" w:type="dxa"/>
            <w:tcBorders>
              <w:left w:val="nil"/>
              <w:right w:val="nil"/>
            </w:tcBorders>
            <w:shd w:val="solid" w:color="000000" w:fill="auto"/>
          </w:tcPr>
          <w:p w:rsidR="00AF5DDD" w:rsidRPr="009D7C96" w:rsidRDefault="00AF5DDD" w:rsidP="00361FA9">
            <w:pPr>
              <w:pStyle w:val="Tabletextheading"/>
              <w:rPr>
                <w:rFonts w:eastAsiaTheme="minorEastAsia" w:cs="Calibri"/>
                <w:iCs/>
                <w:color w:val="FFFFFF"/>
                <w:sz w:val="19"/>
                <w:lang w:eastAsia="en-AU"/>
              </w:rPr>
            </w:pPr>
            <w:r w:rsidRPr="009D7C96">
              <w:rPr>
                <w:rFonts w:eastAsiaTheme="minorEastAsia"/>
                <w:color w:val="FFFFFF"/>
                <w:sz w:val="19"/>
                <w:lang w:eastAsia="en-AU"/>
              </w:rPr>
              <w:t xml:space="preserve">2016-17 </w:t>
            </w:r>
          </w:p>
          <w:p w:rsidR="00AF5DDD" w:rsidRPr="009D7C96" w:rsidRDefault="00AF5DDD" w:rsidP="00361FA9">
            <w:pPr>
              <w:pStyle w:val="Tabletextheading"/>
              <w:rPr>
                <w:rFonts w:eastAsiaTheme="minorEastAsia" w:cs="Calibri"/>
                <w:iCs/>
                <w:color w:val="FFFFFF"/>
                <w:sz w:val="19"/>
                <w:lang w:eastAsia="en-AU"/>
              </w:rPr>
            </w:pPr>
            <w:r w:rsidRPr="009D7C96">
              <w:rPr>
                <w:rFonts w:eastAsiaTheme="minorEastAsia"/>
                <w:color w:val="FFFFFF"/>
                <w:sz w:val="19"/>
                <w:lang w:eastAsia="en-AU"/>
              </w:rPr>
              <w:t>budget</w:t>
            </w:r>
          </w:p>
        </w:tc>
        <w:tc>
          <w:tcPr>
            <w:tcW w:w="850" w:type="dxa"/>
            <w:tcBorders>
              <w:left w:val="nil"/>
              <w:right w:val="nil"/>
            </w:tcBorders>
            <w:shd w:val="solid" w:color="000000" w:fill="auto"/>
          </w:tcPr>
          <w:p w:rsidR="00AF5DDD" w:rsidRPr="009D7C96" w:rsidRDefault="00AF5DDD" w:rsidP="00361FA9">
            <w:pPr>
              <w:pStyle w:val="Tabletextheading"/>
              <w:rPr>
                <w:rFonts w:eastAsiaTheme="minorEastAsia" w:cs="Calibri"/>
                <w:iCs/>
                <w:color w:val="FFFFFF"/>
                <w:sz w:val="19"/>
                <w:lang w:eastAsia="en-AU"/>
              </w:rPr>
            </w:pPr>
            <w:r w:rsidRPr="009D7C96">
              <w:rPr>
                <w:rFonts w:eastAsiaTheme="minorEastAsia"/>
                <w:color w:val="FFFFFF"/>
                <w:sz w:val="19"/>
                <w:lang w:eastAsia="en-AU"/>
              </w:rPr>
              <w:t xml:space="preserve">2017-18 </w:t>
            </w:r>
          </w:p>
          <w:p w:rsidR="00AF5DDD" w:rsidRPr="009D7C96" w:rsidRDefault="00AF5DDD" w:rsidP="00361FA9">
            <w:pPr>
              <w:pStyle w:val="Tabletextheading"/>
              <w:rPr>
                <w:rFonts w:eastAsiaTheme="minorEastAsia" w:cs="Calibri"/>
                <w:iCs/>
                <w:color w:val="FFFFFF"/>
                <w:sz w:val="19"/>
                <w:lang w:eastAsia="en-AU"/>
              </w:rPr>
            </w:pPr>
            <w:r w:rsidRPr="009D7C96">
              <w:rPr>
                <w:rFonts w:eastAsiaTheme="minorEastAsia"/>
                <w:color w:val="FFFFFF"/>
                <w:sz w:val="19"/>
                <w:lang w:eastAsia="en-AU"/>
              </w:rPr>
              <w:t>estimate</w:t>
            </w:r>
          </w:p>
        </w:tc>
        <w:tc>
          <w:tcPr>
            <w:tcW w:w="850" w:type="dxa"/>
            <w:tcBorders>
              <w:left w:val="nil"/>
              <w:right w:val="nil"/>
            </w:tcBorders>
            <w:shd w:val="solid" w:color="000000" w:fill="auto"/>
          </w:tcPr>
          <w:p w:rsidR="00AF5DDD" w:rsidRPr="009D7C96" w:rsidRDefault="00AF5DDD" w:rsidP="00361FA9">
            <w:pPr>
              <w:pStyle w:val="Tabletextheading"/>
              <w:rPr>
                <w:rFonts w:eastAsiaTheme="minorEastAsia" w:cs="Calibri"/>
                <w:iCs/>
                <w:color w:val="FFFFFF"/>
                <w:sz w:val="19"/>
                <w:lang w:eastAsia="en-AU"/>
              </w:rPr>
            </w:pPr>
            <w:r w:rsidRPr="009D7C96">
              <w:rPr>
                <w:rFonts w:eastAsiaTheme="minorEastAsia"/>
                <w:color w:val="FFFFFF"/>
                <w:sz w:val="19"/>
                <w:lang w:eastAsia="en-AU"/>
              </w:rPr>
              <w:t xml:space="preserve">2018-19 </w:t>
            </w:r>
          </w:p>
          <w:p w:rsidR="00AF5DDD" w:rsidRPr="009D7C96" w:rsidRDefault="00AF5DDD" w:rsidP="00361FA9">
            <w:pPr>
              <w:pStyle w:val="Tabletextheading"/>
              <w:rPr>
                <w:rFonts w:eastAsiaTheme="minorEastAsia" w:cs="Calibri"/>
                <w:iCs/>
                <w:color w:val="FFFFFF"/>
                <w:sz w:val="19"/>
                <w:lang w:eastAsia="en-AU"/>
              </w:rPr>
            </w:pPr>
            <w:r w:rsidRPr="009D7C96">
              <w:rPr>
                <w:rFonts w:eastAsiaTheme="minorEastAsia"/>
                <w:color w:val="FFFFFF"/>
                <w:sz w:val="19"/>
                <w:lang w:eastAsia="en-AU"/>
              </w:rPr>
              <w:t>estimate</w:t>
            </w:r>
          </w:p>
        </w:tc>
        <w:tc>
          <w:tcPr>
            <w:tcW w:w="850" w:type="dxa"/>
            <w:tcBorders>
              <w:left w:val="nil"/>
            </w:tcBorders>
            <w:shd w:val="solid" w:color="000000" w:fill="auto"/>
          </w:tcPr>
          <w:p w:rsidR="00AF5DDD" w:rsidRPr="009D7C96" w:rsidRDefault="00AF5DDD" w:rsidP="00361FA9">
            <w:pPr>
              <w:pStyle w:val="Tabletextheading"/>
              <w:rPr>
                <w:rFonts w:eastAsiaTheme="minorEastAsia" w:cs="Calibri"/>
                <w:iCs/>
                <w:color w:val="FFFFFF"/>
                <w:sz w:val="19"/>
                <w:lang w:eastAsia="en-AU"/>
              </w:rPr>
            </w:pPr>
            <w:r w:rsidRPr="009D7C96">
              <w:rPr>
                <w:rFonts w:eastAsiaTheme="minorEastAsia"/>
                <w:color w:val="FFFFFF"/>
                <w:sz w:val="19"/>
                <w:lang w:eastAsia="en-AU"/>
              </w:rPr>
              <w:t xml:space="preserve">2019-20 </w:t>
            </w:r>
          </w:p>
          <w:p w:rsidR="00AF5DDD" w:rsidRPr="009D7C96" w:rsidRDefault="00AF5DDD" w:rsidP="00361FA9">
            <w:pPr>
              <w:pStyle w:val="Tabletextheading"/>
              <w:rPr>
                <w:rFonts w:eastAsiaTheme="minorEastAsia" w:cs="Calibri"/>
                <w:iCs/>
                <w:color w:val="FFFFFF"/>
                <w:sz w:val="19"/>
                <w:lang w:eastAsia="en-AU"/>
              </w:rPr>
            </w:pPr>
            <w:r w:rsidRPr="009D7C96">
              <w:rPr>
                <w:rFonts w:eastAsiaTheme="minorEastAsia"/>
                <w:color w:val="FFFFFF"/>
                <w:sz w:val="19"/>
                <w:lang w:eastAsia="en-AU"/>
              </w:rPr>
              <w:t>estimate</w:t>
            </w:r>
          </w:p>
        </w:tc>
      </w:tr>
      <w:tr w:rsidR="002C39A3" w:rsidRPr="009D7C96" w:rsidTr="00361FA9">
        <w:tc>
          <w:tcPr>
            <w:tcW w:w="3515" w:type="dxa"/>
            <w:tcBorders>
              <w:top w:val="single" w:sz="6" w:space="0" w:color="auto"/>
              <w:left w:val="nil"/>
              <w:right w:val="nil"/>
            </w:tcBorders>
            <w:shd w:val="clear" w:color="auto" w:fill="FFFFFF"/>
          </w:tcPr>
          <w:p w:rsidR="002C39A3" w:rsidRPr="009D7C96" w:rsidRDefault="002C39A3" w:rsidP="00361FA9">
            <w:pPr>
              <w:pStyle w:val="Tabletext"/>
              <w:ind w:left="227" w:hanging="227"/>
              <w:rPr>
                <w:rFonts w:eastAsiaTheme="minorEastAsia"/>
                <w:color w:val="000000"/>
                <w:lang w:eastAsia="en-AU"/>
              </w:rPr>
            </w:pPr>
            <w:r w:rsidRPr="009D7C96">
              <w:rPr>
                <w:rFonts w:eastAsiaTheme="minorEastAsia"/>
                <w:color w:val="000000"/>
                <w:lang w:eastAsia="en-AU"/>
              </w:rPr>
              <w:t>Motor vehicle regulatory fees</w:t>
            </w:r>
          </w:p>
        </w:tc>
        <w:tc>
          <w:tcPr>
            <w:tcW w:w="850" w:type="dxa"/>
            <w:tcBorders>
              <w:top w:val="single" w:sz="6" w:space="0" w:color="auto"/>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241</w:t>
            </w:r>
          </w:p>
        </w:tc>
        <w:tc>
          <w:tcPr>
            <w:tcW w:w="850" w:type="dxa"/>
            <w:tcBorders>
              <w:top w:val="single" w:sz="6" w:space="0" w:color="auto"/>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216</w:t>
            </w:r>
          </w:p>
        </w:tc>
        <w:tc>
          <w:tcPr>
            <w:tcW w:w="850" w:type="dxa"/>
            <w:tcBorders>
              <w:top w:val="single" w:sz="6" w:space="0" w:color="auto"/>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192</w:t>
            </w:r>
          </w:p>
        </w:tc>
        <w:tc>
          <w:tcPr>
            <w:tcW w:w="850" w:type="dxa"/>
            <w:tcBorders>
              <w:top w:val="single" w:sz="6" w:space="0" w:color="auto"/>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203</w:t>
            </w:r>
          </w:p>
        </w:tc>
        <w:tc>
          <w:tcPr>
            <w:tcW w:w="850" w:type="dxa"/>
            <w:tcBorders>
              <w:top w:val="single" w:sz="6" w:space="0" w:color="auto"/>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211</w:t>
            </w:r>
          </w:p>
        </w:tc>
      </w:tr>
      <w:tr w:rsidR="002C39A3" w:rsidRPr="009D7C96" w:rsidTr="00361FA9">
        <w:tc>
          <w:tcPr>
            <w:tcW w:w="3515" w:type="dxa"/>
            <w:tcBorders>
              <w:top w:val="nil"/>
              <w:left w:val="nil"/>
              <w:right w:val="nil"/>
            </w:tcBorders>
            <w:shd w:val="clear" w:color="auto" w:fill="FFFFFF"/>
          </w:tcPr>
          <w:p w:rsidR="002C39A3" w:rsidRPr="009D7C96" w:rsidRDefault="002C39A3" w:rsidP="00361FA9">
            <w:pPr>
              <w:pStyle w:val="Tabletext"/>
              <w:ind w:left="227" w:hanging="227"/>
              <w:rPr>
                <w:rFonts w:eastAsiaTheme="minorEastAsia"/>
                <w:color w:val="000000"/>
                <w:lang w:eastAsia="en-AU"/>
              </w:rPr>
            </w:pPr>
            <w:r w:rsidRPr="009D7C96">
              <w:rPr>
                <w:rFonts w:eastAsiaTheme="minorEastAsia"/>
                <w:color w:val="000000"/>
                <w:lang w:eastAsia="en-AU"/>
              </w:rPr>
              <w:t>Other regulatory fees</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492</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499</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512</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518</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532</w:t>
            </w:r>
          </w:p>
        </w:tc>
      </w:tr>
      <w:tr w:rsidR="002C39A3" w:rsidRPr="009D7C96" w:rsidTr="00361FA9">
        <w:tc>
          <w:tcPr>
            <w:tcW w:w="3515" w:type="dxa"/>
            <w:tcBorders>
              <w:top w:val="nil"/>
              <w:left w:val="nil"/>
              <w:right w:val="nil"/>
            </w:tcBorders>
            <w:shd w:val="clear" w:color="auto" w:fill="FFFFFF"/>
          </w:tcPr>
          <w:p w:rsidR="002C39A3" w:rsidRPr="009D7C96" w:rsidRDefault="002C39A3" w:rsidP="00361FA9">
            <w:pPr>
              <w:pStyle w:val="Tabletext"/>
              <w:ind w:left="227" w:hanging="227"/>
              <w:rPr>
                <w:rFonts w:eastAsiaTheme="minorEastAsia"/>
                <w:color w:val="000000"/>
                <w:lang w:eastAsia="en-AU"/>
              </w:rPr>
            </w:pPr>
            <w:r w:rsidRPr="009D7C96">
              <w:rPr>
                <w:rFonts w:eastAsiaTheme="minorEastAsia"/>
                <w:color w:val="000000"/>
                <w:lang w:eastAsia="en-AU"/>
              </w:rPr>
              <w:t>Sale of goods</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70</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71</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73</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75</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77</w:t>
            </w:r>
          </w:p>
        </w:tc>
      </w:tr>
      <w:tr w:rsidR="002C39A3" w:rsidRPr="009D7C96" w:rsidTr="00361FA9">
        <w:tc>
          <w:tcPr>
            <w:tcW w:w="3515" w:type="dxa"/>
            <w:tcBorders>
              <w:top w:val="nil"/>
              <w:left w:val="nil"/>
              <w:right w:val="nil"/>
            </w:tcBorders>
            <w:shd w:val="clear" w:color="000000" w:fill="FFFFFF"/>
          </w:tcPr>
          <w:p w:rsidR="002C39A3" w:rsidRPr="009D7C96" w:rsidRDefault="002C39A3" w:rsidP="00361FA9">
            <w:pPr>
              <w:pStyle w:val="Tabletext"/>
              <w:ind w:left="227" w:hanging="227"/>
              <w:rPr>
                <w:rFonts w:eastAsiaTheme="minorEastAsia"/>
                <w:color w:val="000000"/>
                <w:vertAlign w:val="superscript"/>
                <w:lang w:eastAsia="en-AU"/>
              </w:rPr>
            </w:pPr>
            <w:r w:rsidRPr="009D7C96">
              <w:rPr>
                <w:rFonts w:eastAsiaTheme="minorEastAsia"/>
                <w:color w:val="000000"/>
                <w:lang w:eastAsia="en-AU"/>
              </w:rPr>
              <w:t>Provision of services</w:t>
            </w:r>
          </w:p>
        </w:tc>
        <w:tc>
          <w:tcPr>
            <w:tcW w:w="850" w:type="dxa"/>
            <w:tcBorders>
              <w:top w:val="nil"/>
              <w:left w:val="nil"/>
              <w:right w:val="nil"/>
            </w:tcBorders>
            <w:shd w:val="clear" w:color="000000" w:fill="FFFFFF"/>
          </w:tcPr>
          <w:p w:rsidR="002C39A3" w:rsidRPr="009D7C96" w:rsidRDefault="002C39A3" w:rsidP="00361FA9">
            <w:pPr>
              <w:pStyle w:val="TableofFigures"/>
              <w:rPr>
                <w:rFonts w:eastAsiaTheme="minorEastAsia" w:cs="Calibri"/>
                <w:color w:val="000000"/>
                <w:sz w:val="19"/>
                <w:lang w:eastAsia="en-AU"/>
              </w:rPr>
            </w:pPr>
            <w:r w:rsidRPr="009D7C96">
              <w:rPr>
                <w:rFonts w:eastAsiaTheme="minorEastAsia"/>
                <w:color w:val="000000"/>
                <w:sz w:val="19"/>
                <w:lang w:eastAsia="en-AU"/>
              </w:rPr>
              <w:t>3</w:t>
            </w:r>
            <w:r w:rsidRPr="009D7C96">
              <w:rPr>
                <w:rFonts w:eastAsiaTheme="minorEastAsia" w:cs="Calibri"/>
                <w:color w:val="000000"/>
                <w:sz w:val="19"/>
                <w:lang w:eastAsia="en-AU"/>
              </w:rPr>
              <w:t xml:space="preserve"> 979</w:t>
            </w:r>
          </w:p>
        </w:tc>
        <w:tc>
          <w:tcPr>
            <w:tcW w:w="850" w:type="dxa"/>
            <w:tcBorders>
              <w:top w:val="nil"/>
              <w:left w:val="nil"/>
              <w:right w:val="nil"/>
            </w:tcBorders>
            <w:shd w:val="clear" w:color="000000" w:fill="FFFFFF"/>
          </w:tcPr>
          <w:p w:rsidR="002C39A3" w:rsidRPr="009D7C96" w:rsidRDefault="002C39A3" w:rsidP="00361FA9">
            <w:pPr>
              <w:pStyle w:val="TableofFigures"/>
              <w:rPr>
                <w:rFonts w:eastAsiaTheme="minorEastAsia" w:cs="Calibri"/>
                <w:color w:val="000000"/>
                <w:sz w:val="19"/>
                <w:lang w:eastAsia="en-AU"/>
              </w:rPr>
            </w:pPr>
            <w:r w:rsidRPr="009D7C96">
              <w:rPr>
                <w:rFonts w:eastAsiaTheme="minorEastAsia"/>
                <w:color w:val="000000"/>
                <w:sz w:val="19"/>
                <w:lang w:eastAsia="en-AU"/>
              </w:rPr>
              <w:t>4</w:t>
            </w:r>
            <w:r w:rsidRPr="009D7C96">
              <w:rPr>
                <w:rFonts w:eastAsiaTheme="minorEastAsia" w:cs="Calibri"/>
                <w:color w:val="000000"/>
                <w:sz w:val="19"/>
                <w:lang w:eastAsia="en-AU"/>
              </w:rPr>
              <w:t xml:space="preserve"> 017</w:t>
            </w:r>
          </w:p>
        </w:tc>
        <w:tc>
          <w:tcPr>
            <w:tcW w:w="850" w:type="dxa"/>
            <w:tcBorders>
              <w:top w:val="nil"/>
              <w:left w:val="nil"/>
              <w:right w:val="nil"/>
            </w:tcBorders>
            <w:shd w:val="clear" w:color="000000" w:fill="FFFFFF"/>
          </w:tcPr>
          <w:p w:rsidR="002C39A3" w:rsidRPr="009D7C96" w:rsidRDefault="002C39A3" w:rsidP="00361FA9">
            <w:pPr>
              <w:pStyle w:val="TableofFigures"/>
              <w:rPr>
                <w:rFonts w:eastAsiaTheme="minorEastAsia" w:cs="Calibri"/>
                <w:color w:val="000000"/>
                <w:sz w:val="19"/>
                <w:lang w:eastAsia="en-AU"/>
              </w:rPr>
            </w:pPr>
            <w:r w:rsidRPr="009D7C96">
              <w:rPr>
                <w:rFonts w:eastAsiaTheme="minorEastAsia"/>
                <w:color w:val="000000"/>
                <w:sz w:val="19"/>
                <w:lang w:eastAsia="en-AU"/>
              </w:rPr>
              <w:t>4</w:t>
            </w:r>
            <w:r w:rsidRPr="009D7C96">
              <w:rPr>
                <w:rFonts w:eastAsiaTheme="minorEastAsia" w:cs="Calibri"/>
                <w:color w:val="000000"/>
                <w:sz w:val="19"/>
                <w:lang w:eastAsia="en-AU"/>
              </w:rPr>
              <w:t xml:space="preserve"> 071</w:t>
            </w:r>
          </w:p>
        </w:tc>
        <w:tc>
          <w:tcPr>
            <w:tcW w:w="850" w:type="dxa"/>
            <w:tcBorders>
              <w:top w:val="nil"/>
              <w:left w:val="nil"/>
              <w:right w:val="nil"/>
            </w:tcBorders>
            <w:shd w:val="clear" w:color="000000" w:fill="FFFFFF"/>
          </w:tcPr>
          <w:p w:rsidR="002C39A3" w:rsidRPr="009D7C96" w:rsidRDefault="002C39A3" w:rsidP="00361FA9">
            <w:pPr>
              <w:pStyle w:val="TableofFigures"/>
              <w:rPr>
                <w:rFonts w:eastAsiaTheme="minorEastAsia" w:cs="Calibri"/>
                <w:color w:val="000000"/>
                <w:sz w:val="19"/>
                <w:lang w:eastAsia="en-AU"/>
              </w:rPr>
            </w:pPr>
            <w:r w:rsidRPr="009D7C96">
              <w:rPr>
                <w:rFonts w:eastAsiaTheme="minorEastAsia"/>
                <w:color w:val="000000"/>
                <w:sz w:val="19"/>
                <w:lang w:eastAsia="en-AU"/>
              </w:rPr>
              <w:t>4</w:t>
            </w:r>
            <w:r w:rsidRPr="009D7C96">
              <w:rPr>
                <w:rFonts w:eastAsiaTheme="minorEastAsia" w:cs="Calibri"/>
                <w:color w:val="000000"/>
                <w:sz w:val="19"/>
                <w:lang w:eastAsia="en-AU"/>
              </w:rPr>
              <w:t xml:space="preserve"> 127</w:t>
            </w:r>
          </w:p>
        </w:tc>
        <w:tc>
          <w:tcPr>
            <w:tcW w:w="850" w:type="dxa"/>
            <w:tcBorders>
              <w:top w:val="nil"/>
              <w:left w:val="nil"/>
              <w:right w:val="nil"/>
            </w:tcBorders>
            <w:shd w:val="clear" w:color="000000" w:fill="FFFFFF"/>
          </w:tcPr>
          <w:p w:rsidR="002C39A3" w:rsidRPr="009D7C96" w:rsidRDefault="002C39A3" w:rsidP="00361FA9">
            <w:pPr>
              <w:pStyle w:val="TableofFigures"/>
              <w:rPr>
                <w:rFonts w:eastAsiaTheme="minorEastAsia" w:cs="Calibri"/>
                <w:color w:val="000000"/>
                <w:sz w:val="19"/>
                <w:lang w:eastAsia="en-AU"/>
              </w:rPr>
            </w:pPr>
            <w:r w:rsidRPr="009D7C96">
              <w:rPr>
                <w:rFonts w:eastAsiaTheme="minorEastAsia"/>
                <w:color w:val="000000"/>
                <w:sz w:val="19"/>
                <w:lang w:eastAsia="en-AU"/>
              </w:rPr>
              <w:t>4</w:t>
            </w:r>
            <w:r w:rsidRPr="009D7C96">
              <w:rPr>
                <w:rFonts w:eastAsiaTheme="minorEastAsia" w:cs="Calibri"/>
                <w:color w:val="000000"/>
                <w:sz w:val="19"/>
                <w:lang w:eastAsia="en-AU"/>
              </w:rPr>
              <w:t xml:space="preserve"> 122</w:t>
            </w:r>
          </w:p>
        </w:tc>
      </w:tr>
      <w:tr w:rsidR="002C39A3" w:rsidRPr="009D7C96" w:rsidTr="00361FA9">
        <w:tc>
          <w:tcPr>
            <w:tcW w:w="3515" w:type="dxa"/>
            <w:tcBorders>
              <w:top w:val="nil"/>
              <w:left w:val="nil"/>
              <w:right w:val="nil"/>
            </w:tcBorders>
            <w:shd w:val="clear" w:color="auto" w:fill="FFFFFF"/>
          </w:tcPr>
          <w:p w:rsidR="002C39A3" w:rsidRPr="009D7C96" w:rsidRDefault="002C39A3" w:rsidP="00361FA9">
            <w:pPr>
              <w:pStyle w:val="Tabletext"/>
              <w:ind w:left="227" w:hanging="227"/>
              <w:rPr>
                <w:rFonts w:eastAsiaTheme="minorEastAsia"/>
                <w:color w:val="000000"/>
                <w:lang w:eastAsia="en-AU"/>
              </w:rPr>
            </w:pPr>
            <w:r w:rsidRPr="009D7C96">
              <w:rPr>
                <w:rFonts w:eastAsiaTheme="minorEastAsia"/>
                <w:color w:val="000000"/>
                <w:lang w:eastAsia="en-AU"/>
              </w:rPr>
              <w:t>Rental</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61</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61</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62</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63</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64</w:t>
            </w:r>
          </w:p>
        </w:tc>
      </w:tr>
      <w:tr w:rsidR="002C39A3" w:rsidRPr="009D7C96" w:rsidTr="00361FA9">
        <w:tc>
          <w:tcPr>
            <w:tcW w:w="3515" w:type="dxa"/>
            <w:tcBorders>
              <w:top w:val="nil"/>
              <w:left w:val="nil"/>
              <w:right w:val="nil"/>
            </w:tcBorders>
            <w:shd w:val="clear" w:color="auto" w:fill="FFFFFF"/>
          </w:tcPr>
          <w:p w:rsidR="002C39A3" w:rsidRPr="009D7C96" w:rsidRDefault="002C39A3" w:rsidP="00361FA9">
            <w:pPr>
              <w:pStyle w:val="Tabletext"/>
              <w:ind w:left="227" w:hanging="227"/>
              <w:rPr>
                <w:rFonts w:eastAsiaTheme="minorEastAsia"/>
                <w:color w:val="000000"/>
                <w:lang w:eastAsia="en-AU"/>
              </w:rPr>
            </w:pPr>
            <w:r w:rsidRPr="009D7C96">
              <w:rPr>
                <w:rFonts w:eastAsiaTheme="minorEastAsia"/>
                <w:color w:val="000000"/>
                <w:lang w:eastAsia="en-AU"/>
              </w:rPr>
              <w:t>Refunds and reimbursements</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56</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56</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56</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56</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56</w:t>
            </w:r>
          </w:p>
        </w:tc>
      </w:tr>
      <w:tr w:rsidR="002C39A3" w:rsidRPr="009D7C96" w:rsidTr="00361FA9">
        <w:tc>
          <w:tcPr>
            <w:tcW w:w="3515" w:type="dxa"/>
            <w:tcBorders>
              <w:top w:val="nil"/>
              <w:left w:val="nil"/>
              <w:bottom w:val="single" w:sz="6" w:space="0" w:color="auto"/>
              <w:right w:val="nil"/>
            </w:tcBorders>
            <w:shd w:val="clear" w:color="auto" w:fill="FFFFFF"/>
          </w:tcPr>
          <w:p w:rsidR="002C39A3" w:rsidRPr="009D7C96" w:rsidRDefault="002C39A3" w:rsidP="00361FA9">
            <w:pPr>
              <w:pStyle w:val="Tabletext"/>
              <w:ind w:left="227" w:hanging="227"/>
              <w:rPr>
                <w:rFonts w:eastAsiaTheme="minorEastAsia"/>
                <w:color w:val="000000"/>
                <w:lang w:eastAsia="en-AU"/>
              </w:rPr>
            </w:pPr>
            <w:r w:rsidRPr="009D7C96">
              <w:rPr>
                <w:rFonts w:eastAsiaTheme="minorEastAsia"/>
                <w:color w:val="000000"/>
                <w:lang w:eastAsia="en-AU"/>
              </w:rPr>
              <w:t>Inter-sector capital asset charge</w:t>
            </w:r>
          </w:p>
        </w:tc>
        <w:tc>
          <w:tcPr>
            <w:tcW w:w="850" w:type="dxa"/>
            <w:tcBorders>
              <w:top w:val="nil"/>
              <w:left w:val="nil"/>
              <w:bottom w:val="single" w:sz="6" w:space="0" w:color="auto"/>
              <w:right w:val="nil"/>
            </w:tcBorders>
            <w:shd w:val="clear" w:color="auto" w:fill="FFFFFF"/>
          </w:tcPr>
          <w:p w:rsidR="002C39A3" w:rsidRPr="009D7C96" w:rsidRDefault="002C39A3" w:rsidP="00361FA9">
            <w:pPr>
              <w:pStyle w:val="TableofFigures"/>
              <w:rPr>
                <w:rFonts w:eastAsiaTheme="minorEastAsia" w:cs="Calibri"/>
                <w:color w:val="000000"/>
                <w:sz w:val="19"/>
                <w:lang w:eastAsia="en-AU"/>
              </w:rPr>
            </w:pPr>
            <w:r w:rsidRPr="009D7C96">
              <w:rPr>
                <w:rFonts w:eastAsiaTheme="minorEastAsia"/>
                <w:color w:val="000000"/>
                <w:sz w:val="19"/>
                <w:lang w:eastAsia="en-AU"/>
              </w:rPr>
              <w:t>1</w:t>
            </w:r>
            <w:r w:rsidRPr="009D7C96">
              <w:rPr>
                <w:rFonts w:eastAsiaTheme="minorEastAsia" w:cs="Calibri"/>
                <w:color w:val="000000"/>
                <w:sz w:val="19"/>
                <w:lang w:eastAsia="en-AU"/>
              </w:rPr>
              <w:t xml:space="preserve"> 744</w:t>
            </w:r>
          </w:p>
        </w:tc>
        <w:tc>
          <w:tcPr>
            <w:tcW w:w="850" w:type="dxa"/>
            <w:tcBorders>
              <w:top w:val="nil"/>
              <w:left w:val="nil"/>
              <w:bottom w:val="single" w:sz="6" w:space="0" w:color="auto"/>
              <w:right w:val="nil"/>
            </w:tcBorders>
            <w:shd w:val="clear" w:color="auto" w:fill="FFFFFF"/>
          </w:tcPr>
          <w:p w:rsidR="002C39A3" w:rsidRPr="009D7C96" w:rsidRDefault="002C39A3" w:rsidP="00361FA9">
            <w:pPr>
              <w:pStyle w:val="TableofFigures"/>
              <w:rPr>
                <w:rFonts w:eastAsiaTheme="minorEastAsia" w:cs="Calibri"/>
                <w:color w:val="000000"/>
                <w:sz w:val="19"/>
                <w:lang w:eastAsia="en-AU"/>
              </w:rPr>
            </w:pPr>
            <w:r w:rsidRPr="009D7C96">
              <w:rPr>
                <w:rFonts w:eastAsiaTheme="minorEastAsia"/>
                <w:color w:val="000000"/>
                <w:sz w:val="19"/>
                <w:lang w:eastAsia="en-AU"/>
              </w:rPr>
              <w:t>1</w:t>
            </w:r>
            <w:r w:rsidRPr="009D7C96">
              <w:rPr>
                <w:rFonts w:eastAsiaTheme="minorEastAsia" w:cs="Calibri"/>
                <w:color w:val="000000"/>
                <w:sz w:val="19"/>
                <w:lang w:eastAsia="en-AU"/>
              </w:rPr>
              <w:t xml:space="preserve"> 924</w:t>
            </w:r>
          </w:p>
        </w:tc>
        <w:tc>
          <w:tcPr>
            <w:tcW w:w="850" w:type="dxa"/>
            <w:tcBorders>
              <w:top w:val="nil"/>
              <w:left w:val="nil"/>
              <w:bottom w:val="single" w:sz="6" w:space="0" w:color="auto"/>
              <w:right w:val="nil"/>
            </w:tcBorders>
            <w:shd w:val="clear" w:color="auto" w:fill="FFFFFF"/>
          </w:tcPr>
          <w:p w:rsidR="002C39A3" w:rsidRPr="009D7C96" w:rsidRDefault="002C39A3" w:rsidP="00361FA9">
            <w:pPr>
              <w:pStyle w:val="TableofFigures"/>
              <w:rPr>
                <w:rFonts w:eastAsiaTheme="minorEastAsia" w:cs="Calibri"/>
                <w:color w:val="000000"/>
                <w:sz w:val="19"/>
                <w:lang w:eastAsia="en-AU"/>
              </w:rPr>
            </w:pPr>
            <w:r w:rsidRPr="009D7C96">
              <w:rPr>
                <w:rFonts w:eastAsiaTheme="minorEastAsia"/>
                <w:color w:val="000000"/>
                <w:sz w:val="19"/>
                <w:lang w:eastAsia="en-AU"/>
              </w:rPr>
              <w:t>2</w:t>
            </w:r>
            <w:r w:rsidRPr="009D7C96">
              <w:rPr>
                <w:rFonts w:eastAsiaTheme="minorEastAsia" w:cs="Calibri"/>
                <w:color w:val="000000"/>
                <w:sz w:val="19"/>
                <w:lang w:eastAsia="en-AU"/>
              </w:rPr>
              <w:t xml:space="preserve"> 071</w:t>
            </w:r>
          </w:p>
        </w:tc>
        <w:tc>
          <w:tcPr>
            <w:tcW w:w="850" w:type="dxa"/>
            <w:tcBorders>
              <w:top w:val="nil"/>
              <w:left w:val="nil"/>
              <w:bottom w:val="single" w:sz="6" w:space="0" w:color="auto"/>
              <w:right w:val="nil"/>
            </w:tcBorders>
            <w:shd w:val="clear" w:color="auto" w:fill="FFFFFF"/>
          </w:tcPr>
          <w:p w:rsidR="002C39A3" w:rsidRPr="009D7C96" w:rsidRDefault="002C39A3" w:rsidP="00361FA9">
            <w:pPr>
              <w:pStyle w:val="TableofFigures"/>
              <w:rPr>
                <w:rFonts w:eastAsiaTheme="minorEastAsia" w:cs="Calibri"/>
                <w:color w:val="000000"/>
                <w:sz w:val="19"/>
                <w:lang w:eastAsia="en-AU"/>
              </w:rPr>
            </w:pPr>
            <w:r w:rsidRPr="009D7C96">
              <w:rPr>
                <w:rFonts w:eastAsiaTheme="minorEastAsia"/>
                <w:color w:val="000000"/>
                <w:sz w:val="19"/>
                <w:lang w:eastAsia="en-AU"/>
              </w:rPr>
              <w:t>2</w:t>
            </w:r>
            <w:r w:rsidRPr="009D7C96">
              <w:rPr>
                <w:rFonts w:eastAsiaTheme="minorEastAsia" w:cs="Calibri"/>
                <w:color w:val="000000"/>
                <w:sz w:val="19"/>
                <w:lang w:eastAsia="en-AU"/>
              </w:rPr>
              <w:t xml:space="preserve"> 171</w:t>
            </w:r>
          </w:p>
        </w:tc>
        <w:tc>
          <w:tcPr>
            <w:tcW w:w="850" w:type="dxa"/>
            <w:tcBorders>
              <w:top w:val="nil"/>
              <w:left w:val="nil"/>
              <w:bottom w:val="single" w:sz="6" w:space="0" w:color="auto"/>
              <w:right w:val="nil"/>
            </w:tcBorders>
            <w:shd w:val="clear" w:color="auto" w:fill="FFFFFF"/>
          </w:tcPr>
          <w:p w:rsidR="002C39A3" w:rsidRPr="009D7C96" w:rsidRDefault="002C39A3" w:rsidP="00361FA9">
            <w:pPr>
              <w:pStyle w:val="TableofFigures"/>
              <w:rPr>
                <w:rFonts w:eastAsiaTheme="minorEastAsia" w:cs="Calibri"/>
                <w:color w:val="000000"/>
                <w:sz w:val="19"/>
                <w:lang w:eastAsia="en-AU"/>
              </w:rPr>
            </w:pPr>
            <w:r w:rsidRPr="009D7C96">
              <w:rPr>
                <w:rFonts w:eastAsiaTheme="minorEastAsia"/>
                <w:color w:val="000000"/>
                <w:sz w:val="19"/>
                <w:lang w:eastAsia="en-AU"/>
              </w:rPr>
              <w:t>2</w:t>
            </w:r>
            <w:r w:rsidRPr="009D7C96">
              <w:rPr>
                <w:rFonts w:eastAsiaTheme="minorEastAsia" w:cs="Calibri"/>
                <w:color w:val="000000"/>
                <w:sz w:val="19"/>
                <w:lang w:eastAsia="en-AU"/>
              </w:rPr>
              <w:t xml:space="preserve"> 179</w:t>
            </w:r>
          </w:p>
        </w:tc>
      </w:tr>
      <w:tr w:rsidR="002C39A3" w:rsidRPr="009D7C96" w:rsidTr="00361FA9">
        <w:tc>
          <w:tcPr>
            <w:tcW w:w="3515" w:type="dxa"/>
            <w:tcBorders>
              <w:top w:val="single" w:sz="6" w:space="0" w:color="auto"/>
              <w:left w:val="nil"/>
              <w:bottom w:val="single" w:sz="12" w:space="0" w:color="auto"/>
              <w:right w:val="nil"/>
            </w:tcBorders>
            <w:shd w:val="clear" w:color="auto" w:fill="FFFFFF"/>
          </w:tcPr>
          <w:p w:rsidR="002C39A3" w:rsidRPr="009D7C96" w:rsidRDefault="002C39A3" w:rsidP="00361FA9">
            <w:pPr>
              <w:pStyle w:val="Tabletext"/>
              <w:ind w:left="227" w:hanging="227"/>
              <w:rPr>
                <w:rFonts w:eastAsiaTheme="minorEastAsia"/>
                <w:b/>
                <w:bCs/>
                <w:color w:val="000000"/>
                <w:lang w:eastAsia="en-AU"/>
              </w:rPr>
            </w:pPr>
            <w:r w:rsidRPr="009D7C96">
              <w:rPr>
                <w:rFonts w:eastAsiaTheme="minorEastAsia"/>
                <w:b/>
                <w:bCs/>
                <w:color w:val="000000"/>
                <w:lang w:eastAsia="en-AU"/>
              </w:rPr>
              <w:t>Total sales of goods and services</w:t>
            </w:r>
          </w:p>
        </w:tc>
        <w:tc>
          <w:tcPr>
            <w:tcW w:w="850" w:type="dxa"/>
            <w:tcBorders>
              <w:top w:val="single" w:sz="6" w:space="0" w:color="auto"/>
              <w:left w:val="nil"/>
              <w:bottom w:val="single" w:sz="12" w:space="0" w:color="auto"/>
              <w:right w:val="nil"/>
            </w:tcBorders>
            <w:shd w:val="clear" w:color="auto" w:fill="FFFFFF"/>
          </w:tcPr>
          <w:p w:rsidR="002C39A3" w:rsidRPr="009D7C96" w:rsidRDefault="002C39A3" w:rsidP="00361FA9">
            <w:pPr>
              <w:pStyle w:val="TableofFigures"/>
              <w:rPr>
                <w:rFonts w:eastAsiaTheme="minorEastAsia" w:cs="Calibri"/>
                <w:b/>
                <w:bCs/>
                <w:color w:val="000000"/>
                <w:sz w:val="19"/>
                <w:lang w:eastAsia="en-AU"/>
              </w:rPr>
            </w:pPr>
            <w:r w:rsidRPr="009D7C96">
              <w:rPr>
                <w:rFonts w:eastAsiaTheme="minorEastAsia"/>
                <w:b/>
                <w:bCs/>
                <w:color w:val="000000"/>
                <w:sz w:val="19"/>
                <w:lang w:eastAsia="en-AU"/>
              </w:rPr>
              <w:t>6</w:t>
            </w:r>
            <w:r w:rsidRPr="009D7C96">
              <w:rPr>
                <w:rFonts w:eastAsiaTheme="minorEastAsia" w:cs="Calibri"/>
                <w:b/>
                <w:bCs/>
                <w:color w:val="000000"/>
                <w:sz w:val="19"/>
                <w:lang w:eastAsia="en-AU"/>
              </w:rPr>
              <w:t xml:space="preserve"> 643</w:t>
            </w:r>
          </w:p>
        </w:tc>
        <w:tc>
          <w:tcPr>
            <w:tcW w:w="850" w:type="dxa"/>
            <w:tcBorders>
              <w:top w:val="single" w:sz="6" w:space="0" w:color="auto"/>
              <w:left w:val="nil"/>
              <w:bottom w:val="single" w:sz="12" w:space="0" w:color="auto"/>
              <w:right w:val="nil"/>
            </w:tcBorders>
            <w:shd w:val="clear" w:color="auto" w:fill="FFFFFF"/>
          </w:tcPr>
          <w:p w:rsidR="002C39A3" w:rsidRPr="009D7C96" w:rsidRDefault="002C39A3" w:rsidP="00361FA9">
            <w:pPr>
              <w:pStyle w:val="TableofFigures"/>
              <w:rPr>
                <w:rFonts w:eastAsiaTheme="minorEastAsia" w:cs="Calibri"/>
                <w:b/>
                <w:bCs/>
                <w:color w:val="000000"/>
                <w:sz w:val="19"/>
                <w:lang w:eastAsia="en-AU"/>
              </w:rPr>
            </w:pPr>
            <w:r w:rsidRPr="009D7C96">
              <w:rPr>
                <w:rFonts w:eastAsiaTheme="minorEastAsia"/>
                <w:b/>
                <w:bCs/>
                <w:color w:val="000000"/>
                <w:sz w:val="19"/>
                <w:lang w:eastAsia="en-AU"/>
              </w:rPr>
              <w:t>6</w:t>
            </w:r>
            <w:r w:rsidRPr="009D7C96">
              <w:rPr>
                <w:rFonts w:eastAsiaTheme="minorEastAsia" w:cs="Calibri"/>
                <w:b/>
                <w:bCs/>
                <w:color w:val="000000"/>
                <w:sz w:val="19"/>
                <w:lang w:eastAsia="en-AU"/>
              </w:rPr>
              <w:t xml:space="preserve"> 843</w:t>
            </w:r>
          </w:p>
        </w:tc>
        <w:tc>
          <w:tcPr>
            <w:tcW w:w="850" w:type="dxa"/>
            <w:tcBorders>
              <w:top w:val="single" w:sz="6" w:space="0" w:color="auto"/>
              <w:left w:val="nil"/>
              <w:bottom w:val="single" w:sz="12" w:space="0" w:color="auto"/>
              <w:right w:val="nil"/>
            </w:tcBorders>
            <w:shd w:val="clear" w:color="auto" w:fill="FFFFFF"/>
          </w:tcPr>
          <w:p w:rsidR="002C39A3" w:rsidRPr="009D7C96" w:rsidRDefault="002C39A3" w:rsidP="00361FA9">
            <w:pPr>
              <w:pStyle w:val="TableofFigures"/>
              <w:rPr>
                <w:rFonts w:eastAsiaTheme="minorEastAsia" w:cs="Calibri"/>
                <w:b/>
                <w:bCs/>
                <w:color w:val="000000"/>
                <w:sz w:val="19"/>
                <w:lang w:eastAsia="en-AU"/>
              </w:rPr>
            </w:pPr>
            <w:r w:rsidRPr="009D7C96">
              <w:rPr>
                <w:rFonts w:eastAsiaTheme="minorEastAsia"/>
                <w:b/>
                <w:bCs/>
                <w:color w:val="000000"/>
                <w:sz w:val="19"/>
                <w:lang w:eastAsia="en-AU"/>
              </w:rPr>
              <w:t>7</w:t>
            </w:r>
            <w:r w:rsidRPr="009D7C96">
              <w:rPr>
                <w:rFonts w:eastAsiaTheme="minorEastAsia" w:cs="Calibri"/>
                <w:b/>
                <w:bCs/>
                <w:color w:val="000000"/>
                <w:sz w:val="19"/>
                <w:lang w:eastAsia="en-AU"/>
              </w:rPr>
              <w:t xml:space="preserve"> 036</w:t>
            </w:r>
          </w:p>
        </w:tc>
        <w:tc>
          <w:tcPr>
            <w:tcW w:w="850" w:type="dxa"/>
            <w:tcBorders>
              <w:top w:val="single" w:sz="6" w:space="0" w:color="auto"/>
              <w:left w:val="nil"/>
              <w:bottom w:val="single" w:sz="12" w:space="0" w:color="auto"/>
              <w:right w:val="nil"/>
            </w:tcBorders>
            <w:shd w:val="clear" w:color="auto" w:fill="FFFFFF"/>
          </w:tcPr>
          <w:p w:rsidR="002C39A3" w:rsidRPr="009D7C96" w:rsidRDefault="002C39A3" w:rsidP="00361FA9">
            <w:pPr>
              <w:pStyle w:val="TableofFigures"/>
              <w:rPr>
                <w:rFonts w:eastAsiaTheme="minorEastAsia" w:cs="Calibri"/>
                <w:b/>
                <w:bCs/>
                <w:color w:val="000000"/>
                <w:sz w:val="19"/>
                <w:lang w:eastAsia="en-AU"/>
              </w:rPr>
            </w:pPr>
            <w:r w:rsidRPr="009D7C96">
              <w:rPr>
                <w:rFonts w:eastAsiaTheme="minorEastAsia"/>
                <w:b/>
                <w:bCs/>
                <w:color w:val="000000"/>
                <w:sz w:val="19"/>
                <w:lang w:eastAsia="en-AU"/>
              </w:rPr>
              <w:t>7</w:t>
            </w:r>
            <w:r w:rsidRPr="009D7C96">
              <w:rPr>
                <w:rFonts w:eastAsiaTheme="minorEastAsia" w:cs="Calibri"/>
                <w:b/>
                <w:bCs/>
                <w:color w:val="000000"/>
                <w:sz w:val="19"/>
                <w:lang w:eastAsia="en-AU"/>
              </w:rPr>
              <w:t xml:space="preserve"> 212</w:t>
            </w:r>
          </w:p>
        </w:tc>
        <w:tc>
          <w:tcPr>
            <w:tcW w:w="850" w:type="dxa"/>
            <w:tcBorders>
              <w:top w:val="single" w:sz="6" w:space="0" w:color="auto"/>
              <w:left w:val="nil"/>
              <w:bottom w:val="single" w:sz="12" w:space="0" w:color="auto"/>
              <w:right w:val="nil"/>
            </w:tcBorders>
            <w:shd w:val="clear" w:color="auto" w:fill="FFFFFF"/>
          </w:tcPr>
          <w:p w:rsidR="002C39A3" w:rsidRPr="009D7C96" w:rsidRDefault="002C39A3" w:rsidP="00361FA9">
            <w:pPr>
              <w:pStyle w:val="TableofFigures"/>
              <w:rPr>
                <w:rFonts w:eastAsiaTheme="minorEastAsia" w:cs="Calibri"/>
                <w:b/>
                <w:bCs/>
                <w:color w:val="000000"/>
                <w:sz w:val="19"/>
                <w:lang w:eastAsia="en-AU"/>
              </w:rPr>
            </w:pPr>
            <w:r w:rsidRPr="009D7C96">
              <w:rPr>
                <w:rFonts w:eastAsiaTheme="minorEastAsia"/>
                <w:b/>
                <w:bCs/>
                <w:color w:val="000000"/>
                <w:sz w:val="19"/>
                <w:lang w:eastAsia="en-AU"/>
              </w:rPr>
              <w:t>7</w:t>
            </w:r>
            <w:r w:rsidRPr="009D7C96">
              <w:rPr>
                <w:rFonts w:eastAsiaTheme="minorEastAsia" w:cs="Calibri"/>
                <w:b/>
                <w:bCs/>
                <w:color w:val="000000"/>
                <w:sz w:val="19"/>
                <w:lang w:eastAsia="en-AU"/>
              </w:rPr>
              <w:t xml:space="preserve"> 240</w:t>
            </w:r>
          </w:p>
        </w:tc>
      </w:tr>
    </w:tbl>
    <w:p w:rsidR="002C39A3" w:rsidRDefault="002C39A3" w:rsidP="00361FA9">
      <w:pPr>
        <w:pStyle w:val="Source"/>
        <w:rPr>
          <w:rFonts w:eastAsiaTheme="minorHAnsi"/>
        </w:rPr>
      </w:pPr>
      <w:r w:rsidRPr="009A1C06">
        <w:rPr>
          <w:rFonts w:eastAsiaTheme="minorHAnsi"/>
        </w:rPr>
        <w:t>Source: Department of Treasury and Finance</w:t>
      </w:r>
    </w:p>
    <w:p w:rsidR="002C39A3" w:rsidRDefault="002C39A3" w:rsidP="00361FA9">
      <w:pPr>
        <w:pStyle w:val="Heading1"/>
        <w:rPr>
          <w:rFonts w:eastAsiaTheme="minorHAnsi"/>
        </w:rPr>
      </w:pPr>
      <w:bookmarkStart w:id="51" w:name="_Toc449116209"/>
      <w:r>
        <w:rPr>
          <w:rFonts w:eastAsiaTheme="minorHAnsi"/>
        </w:rPr>
        <w:t>Dividends, income tax equivalent and rate equivalent revenue</w:t>
      </w:r>
      <w:bookmarkEnd w:id="51"/>
    </w:p>
    <w:p w:rsidR="002C39A3" w:rsidRPr="00DC255A" w:rsidRDefault="002C39A3" w:rsidP="00361FA9">
      <w:pPr>
        <w:rPr>
          <w:rFonts w:eastAsiaTheme="minorHAnsi"/>
        </w:rPr>
      </w:pPr>
      <w:r w:rsidRPr="00DC255A">
        <w:rPr>
          <w:rFonts w:eastAsiaTheme="minorHAnsi"/>
        </w:rPr>
        <w:t>This category comprises dividends, income tax and rate equivalent revenue received by the State from government business enterprises. Details are shown in Table 4.</w:t>
      </w:r>
      <w:r>
        <w:rPr>
          <w:rFonts w:eastAsiaTheme="minorHAnsi"/>
        </w:rPr>
        <w:t>16</w:t>
      </w:r>
      <w:r w:rsidRPr="00DC255A">
        <w:rPr>
          <w:rFonts w:eastAsiaTheme="minorHAnsi"/>
        </w:rPr>
        <w:t>.</w:t>
      </w:r>
    </w:p>
    <w:p w:rsidR="002C39A3" w:rsidRDefault="002C39A3" w:rsidP="00361FA9">
      <w:pPr>
        <w:rPr>
          <w:rFonts w:eastAsiaTheme="minorHAnsi"/>
        </w:rPr>
      </w:pPr>
      <w:r>
        <w:rPr>
          <w:rFonts w:eastAsiaTheme="minorHAnsi"/>
        </w:rPr>
        <w:t>Dividend, income tax equivalent (</w:t>
      </w:r>
      <w:r w:rsidRPr="00E932AF">
        <w:rPr>
          <w:rFonts w:eastAsiaTheme="minorHAnsi"/>
        </w:rPr>
        <w:t>ITE</w:t>
      </w:r>
      <w:r>
        <w:rPr>
          <w:rFonts w:eastAsiaTheme="minorHAnsi"/>
        </w:rPr>
        <w:t>)</w:t>
      </w:r>
      <w:r w:rsidRPr="00E932AF">
        <w:rPr>
          <w:rFonts w:eastAsiaTheme="minorHAnsi"/>
        </w:rPr>
        <w:t xml:space="preserve"> </w:t>
      </w:r>
      <w:r>
        <w:rPr>
          <w:rFonts w:eastAsiaTheme="minorHAnsi"/>
        </w:rPr>
        <w:t xml:space="preserve">and rate equivalent </w:t>
      </w:r>
      <w:r w:rsidRPr="00E932AF">
        <w:rPr>
          <w:rFonts w:eastAsiaTheme="minorHAnsi"/>
        </w:rPr>
        <w:t>revenue is projected to increase b</w:t>
      </w:r>
      <w:r>
        <w:rPr>
          <w:rFonts w:eastAsiaTheme="minorHAnsi"/>
        </w:rPr>
        <w:t>y 39 per cent in 2016</w:t>
      </w:r>
      <w:r>
        <w:rPr>
          <w:rFonts w:eastAsiaTheme="minorHAnsi"/>
        </w:rPr>
        <w:noBreakHyphen/>
      </w:r>
      <w:r w:rsidRPr="00E932AF">
        <w:rPr>
          <w:rFonts w:eastAsiaTheme="minorHAnsi"/>
        </w:rPr>
        <w:t xml:space="preserve">17 to $1.1 billion. </w:t>
      </w:r>
      <w:r w:rsidRPr="00A90E6E">
        <w:rPr>
          <w:rFonts w:eastAsiaTheme="minorHAnsi"/>
        </w:rPr>
        <w:t>This growth rate is amplified</w:t>
      </w:r>
      <w:r w:rsidRPr="00E932AF">
        <w:rPr>
          <w:rFonts w:eastAsiaTheme="minorHAnsi"/>
        </w:rPr>
        <w:t xml:space="preserve"> by lower expected dividends from the Transp</w:t>
      </w:r>
      <w:r>
        <w:rPr>
          <w:rFonts w:eastAsiaTheme="minorHAnsi"/>
        </w:rPr>
        <w:t>ort Accident Commission in 2015</w:t>
      </w:r>
      <w:r>
        <w:rPr>
          <w:rFonts w:eastAsiaTheme="minorHAnsi"/>
        </w:rPr>
        <w:noBreakHyphen/>
      </w:r>
      <w:r w:rsidRPr="00E932AF">
        <w:rPr>
          <w:rFonts w:eastAsiaTheme="minorHAnsi"/>
        </w:rPr>
        <w:t>16. Over the forward estimates, aggregate dividend</w:t>
      </w:r>
      <w:r>
        <w:rPr>
          <w:rFonts w:eastAsiaTheme="minorHAnsi"/>
        </w:rPr>
        <w:t>,</w:t>
      </w:r>
      <w:r w:rsidRPr="00E932AF">
        <w:rPr>
          <w:rFonts w:eastAsiaTheme="minorHAnsi"/>
        </w:rPr>
        <w:t xml:space="preserve"> ITE </w:t>
      </w:r>
      <w:r>
        <w:rPr>
          <w:rFonts w:eastAsiaTheme="minorHAnsi"/>
        </w:rPr>
        <w:t xml:space="preserve">and rate equivalent </w:t>
      </w:r>
      <w:r w:rsidRPr="00E932AF">
        <w:rPr>
          <w:rFonts w:eastAsiaTheme="minorHAnsi"/>
        </w:rPr>
        <w:t xml:space="preserve">revenues are expected to decline by an average of 9.4 per cent a year largely due to lower expected dividends from the </w:t>
      </w:r>
      <w:r>
        <w:rPr>
          <w:rFonts w:eastAsiaTheme="minorHAnsi"/>
        </w:rPr>
        <w:t>public financial corporations</w:t>
      </w:r>
      <w:r w:rsidRPr="00E932AF">
        <w:rPr>
          <w:rFonts w:eastAsiaTheme="minorHAnsi"/>
        </w:rPr>
        <w:t xml:space="preserve"> sector. </w:t>
      </w:r>
    </w:p>
    <w:p w:rsidR="002C39A3" w:rsidRDefault="002C39A3" w:rsidP="00361FA9">
      <w:pPr>
        <w:pStyle w:val="Tableheading"/>
        <w:rPr>
          <w:rFonts w:eastAsiaTheme="minorHAnsi"/>
        </w:rPr>
      </w:pPr>
      <w:r>
        <w:rPr>
          <w:rFonts w:eastAsiaTheme="minorHAnsi"/>
        </w:rPr>
        <w:t xml:space="preserve">Table 4.16: </w:t>
      </w:r>
      <w:r>
        <w:rPr>
          <w:rFonts w:eastAsiaTheme="minorHAnsi"/>
        </w:rPr>
        <w:tab/>
        <w:t>Dividends, income tax equivalent and rate equivalent revenue</w:t>
      </w:r>
    </w:p>
    <w:p w:rsidR="002C39A3" w:rsidRPr="009D7C96" w:rsidRDefault="002C39A3" w:rsidP="00361FA9">
      <w:pPr>
        <w:pStyle w:val="million"/>
        <w:rPr>
          <w:rFonts w:ascii="Times New Roman" w:hAnsi="Times New Roman"/>
          <w:sz w:val="20"/>
          <w:lang w:eastAsia="en-AU"/>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AF5DDD" w:rsidRPr="009D7C96" w:rsidTr="00EA058F">
        <w:trPr>
          <w:trHeight w:val="464"/>
        </w:trPr>
        <w:tc>
          <w:tcPr>
            <w:tcW w:w="3515" w:type="dxa"/>
            <w:tcBorders>
              <w:right w:val="nil"/>
            </w:tcBorders>
            <w:shd w:val="solid" w:color="000000" w:fill="auto"/>
          </w:tcPr>
          <w:p w:rsidR="00AF5DDD" w:rsidRPr="009D7C96" w:rsidRDefault="00AF5DDD" w:rsidP="00361FA9">
            <w:pPr>
              <w:pStyle w:val="Tabletextheading"/>
              <w:rPr>
                <w:rFonts w:eastAsiaTheme="minorEastAsia"/>
                <w:color w:val="FFFFFF"/>
                <w:sz w:val="19"/>
                <w:lang w:eastAsia="en-AU"/>
              </w:rPr>
            </w:pPr>
            <w:r w:rsidRPr="009D7C96">
              <w:rPr>
                <w:rFonts w:eastAsiaTheme="minorEastAsia"/>
                <w:color w:val="FFFFFF"/>
                <w:sz w:val="19"/>
                <w:lang w:eastAsia="en-AU"/>
              </w:rPr>
              <w:t xml:space="preserve"> </w:t>
            </w:r>
          </w:p>
          <w:p w:rsidR="00AF5DDD" w:rsidRPr="009D7C96" w:rsidRDefault="00AF5DDD" w:rsidP="00361FA9">
            <w:pPr>
              <w:pStyle w:val="Tabletextheading"/>
              <w:rPr>
                <w:rFonts w:eastAsiaTheme="minorEastAsia"/>
                <w:color w:val="FFFFFF"/>
                <w:sz w:val="19"/>
                <w:lang w:eastAsia="en-AU"/>
              </w:rPr>
            </w:pPr>
            <w:r w:rsidRPr="009D7C96">
              <w:rPr>
                <w:rFonts w:eastAsiaTheme="minorEastAsia"/>
                <w:color w:val="FFFFFF"/>
                <w:sz w:val="19"/>
                <w:lang w:eastAsia="en-AU"/>
              </w:rPr>
              <w:t xml:space="preserve"> </w:t>
            </w:r>
          </w:p>
        </w:tc>
        <w:tc>
          <w:tcPr>
            <w:tcW w:w="850" w:type="dxa"/>
            <w:tcBorders>
              <w:left w:val="nil"/>
              <w:right w:val="nil"/>
            </w:tcBorders>
            <w:shd w:val="solid" w:color="000000" w:fill="auto"/>
          </w:tcPr>
          <w:p w:rsidR="00AF5DDD" w:rsidRPr="009D7C96" w:rsidRDefault="00AF5DDD" w:rsidP="00361FA9">
            <w:pPr>
              <w:pStyle w:val="Tabletextheading"/>
              <w:rPr>
                <w:rFonts w:eastAsiaTheme="minorEastAsia"/>
                <w:color w:val="FFFFFF"/>
                <w:sz w:val="19"/>
                <w:lang w:eastAsia="en-AU"/>
              </w:rPr>
            </w:pPr>
            <w:r w:rsidRPr="009D7C96">
              <w:rPr>
                <w:rFonts w:eastAsiaTheme="minorEastAsia"/>
                <w:color w:val="FFFFFF"/>
                <w:sz w:val="19"/>
                <w:lang w:eastAsia="en-AU"/>
              </w:rPr>
              <w:t>2015-16</w:t>
            </w:r>
          </w:p>
          <w:p w:rsidR="00AF5DDD" w:rsidRPr="009D7C96" w:rsidRDefault="00AF5DDD" w:rsidP="00361FA9">
            <w:pPr>
              <w:pStyle w:val="Tabletextheading"/>
              <w:rPr>
                <w:rFonts w:eastAsiaTheme="minorEastAsia"/>
                <w:color w:val="FFFFFF"/>
                <w:sz w:val="19"/>
                <w:lang w:eastAsia="en-AU"/>
              </w:rPr>
            </w:pPr>
            <w:r w:rsidRPr="009D7C96">
              <w:rPr>
                <w:rFonts w:eastAsiaTheme="minorEastAsia"/>
                <w:color w:val="FFFFFF"/>
                <w:sz w:val="19"/>
                <w:lang w:eastAsia="en-AU"/>
              </w:rPr>
              <w:t>revised</w:t>
            </w:r>
          </w:p>
        </w:tc>
        <w:tc>
          <w:tcPr>
            <w:tcW w:w="850" w:type="dxa"/>
            <w:tcBorders>
              <w:left w:val="nil"/>
              <w:right w:val="nil"/>
            </w:tcBorders>
            <w:shd w:val="solid" w:color="000000" w:fill="auto"/>
          </w:tcPr>
          <w:p w:rsidR="00AF5DDD" w:rsidRPr="009D7C96" w:rsidRDefault="00AF5DDD" w:rsidP="00361FA9">
            <w:pPr>
              <w:pStyle w:val="Tabletextheading"/>
              <w:rPr>
                <w:rFonts w:eastAsiaTheme="minorEastAsia" w:cs="Calibri"/>
                <w:iCs/>
                <w:color w:val="FFFFFF"/>
                <w:sz w:val="19"/>
                <w:lang w:eastAsia="en-AU"/>
              </w:rPr>
            </w:pPr>
            <w:r w:rsidRPr="009D7C96">
              <w:rPr>
                <w:rFonts w:eastAsiaTheme="minorEastAsia"/>
                <w:color w:val="FFFFFF"/>
                <w:sz w:val="19"/>
                <w:lang w:eastAsia="en-AU"/>
              </w:rPr>
              <w:t xml:space="preserve">2016-17 </w:t>
            </w:r>
          </w:p>
          <w:p w:rsidR="00AF5DDD" w:rsidRPr="009D7C96" w:rsidRDefault="00AF5DDD" w:rsidP="00361FA9">
            <w:pPr>
              <w:pStyle w:val="Tabletextheading"/>
              <w:rPr>
                <w:rFonts w:eastAsiaTheme="minorEastAsia" w:cs="Calibri"/>
                <w:iCs/>
                <w:color w:val="FFFFFF"/>
                <w:sz w:val="19"/>
                <w:lang w:eastAsia="en-AU"/>
              </w:rPr>
            </w:pPr>
            <w:r w:rsidRPr="009D7C96">
              <w:rPr>
                <w:rFonts w:eastAsiaTheme="minorEastAsia"/>
                <w:color w:val="FFFFFF"/>
                <w:sz w:val="19"/>
                <w:lang w:eastAsia="en-AU"/>
              </w:rPr>
              <w:t>budget</w:t>
            </w:r>
          </w:p>
        </w:tc>
        <w:tc>
          <w:tcPr>
            <w:tcW w:w="850" w:type="dxa"/>
            <w:tcBorders>
              <w:left w:val="nil"/>
              <w:right w:val="nil"/>
            </w:tcBorders>
            <w:shd w:val="solid" w:color="000000" w:fill="auto"/>
          </w:tcPr>
          <w:p w:rsidR="00AF5DDD" w:rsidRPr="009D7C96" w:rsidRDefault="00AF5DDD" w:rsidP="00361FA9">
            <w:pPr>
              <w:pStyle w:val="Tabletextheading"/>
              <w:rPr>
                <w:rFonts w:eastAsiaTheme="minorEastAsia" w:cs="Calibri"/>
                <w:iCs/>
                <w:color w:val="FFFFFF"/>
                <w:sz w:val="19"/>
                <w:lang w:eastAsia="en-AU"/>
              </w:rPr>
            </w:pPr>
            <w:r w:rsidRPr="009D7C96">
              <w:rPr>
                <w:rFonts w:eastAsiaTheme="minorEastAsia"/>
                <w:color w:val="FFFFFF"/>
                <w:sz w:val="19"/>
                <w:lang w:eastAsia="en-AU"/>
              </w:rPr>
              <w:t xml:space="preserve">2017-18 </w:t>
            </w:r>
          </w:p>
          <w:p w:rsidR="00AF5DDD" w:rsidRPr="009D7C96" w:rsidRDefault="00AF5DDD" w:rsidP="00361FA9">
            <w:pPr>
              <w:pStyle w:val="Tabletextheading"/>
              <w:rPr>
                <w:rFonts w:eastAsiaTheme="minorEastAsia" w:cs="Calibri"/>
                <w:iCs/>
                <w:color w:val="FFFFFF"/>
                <w:sz w:val="19"/>
                <w:lang w:eastAsia="en-AU"/>
              </w:rPr>
            </w:pPr>
            <w:r w:rsidRPr="009D7C96">
              <w:rPr>
                <w:rFonts w:eastAsiaTheme="minorEastAsia"/>
                <w:color w:val="FFFFFF"/>
                <w:sz w:val="19"/>
                <w:lang w:eastAsia="en-AU"/>
              </w:rPr>
              <w:t>estimate</w:t>
            </w:r>
          </w:p>
        </w:tc>
        <w:tc>
          <w:tcPr>
            <w:tcW w:w="850" w:type="dxa"/>
            <w:tcBorders>
              <w:left w:val="nil"/>
              <w:right w:val="nil"/>
            </w:tcBorders>
            <w:shd w:val="solid" w:color="000000" w:fill="auto"/>
          </w:tcPr>
          <w:p w:rsidR="00AF5DDD" w:rsidRPr="009D7C96" w:rsidRDefault="00AF5DDD" w:rsidP="00361FA9">
            <w:pPr>
              <w:pStyle w:val="Tabletextheading"/>
              <w:rPr>
                <w:rFonts w:eastAsiaTheme="minorEastAsia" w:cs="Calibri"/>
                <w:iCs/>
                <w:color w:val="FFFFFF"/>
                <w:sz w:val="19"/>
                <w:lang w:eastAsia="en-AU"/>
              </w:rPr>
            </w:pPr>
            <w:r w:rsidRPr="009D7C96">
              <w:rPr>
                <w:rFonts w:eastAsiaTheme="minorEastAsia"/>
                <w:color w:val="FFFFFF"/>
                <w:sz w:val="19"/>
                <w:lang w:eastAsia="en-AU"/>
              </w:rPr>
              <w:t xml:space="preserve">2018-19 </w:t>
            </w:r>
          </w:p>
          <w:p w:rsidR="00AF5DDD" w:rsidRPr="009D7C96" w:rsidRDefault="00AF5DDD" w:rsidP="00361FA9">
            <w:pPr>
              <w:pStyle w:val="Tabletextheading"/>
              <w:rPr>
                <w:rFonts w:eastAsiaTheme="minorEastAsia" w:cs="Calibri"/>
                <w:iCs/>
                <w:color w:val="FFFFFF"/>
                <w:sz w:val="19"/>
                <w:lang w:eastAsia="en-AU"/>
              </w:rPr>
            </w:pPr>
            <w:r w:rsidRPr="009D7C96">
              <w:rPr>
                <w:rFonts w:eastAsiaTheme="minorEastAsia"/>
                <w:color w:val="FFFFFF"/>
                <w:sz w:val="19"/>
                <w:lang w:eastAsia="en-AU"/>
              </w:rPr>
              <w:t>estimate</w:t>
            </w:r>
          </w:p>
        </w:tc>
        <w:tc>
          <w:tcPr>
            <w:tcW w:w="850" w:type="dxa"/>
            <w:tcBorders>
              <w:left w:val="nil"/>
            </w:tcBorders>
            <w:shd w:val="solid" w:color="000000" w:fill="auto"/>
          </w:tcPr>
          <w:p w:rsidR="00AF5DDD" w:rsidRPr="009D7C96" w:rsidRDefault="00AF5DDD" w:rsidP="00361FA9">
            <w:pPr>
              <w:pStyle w:val="Tabletextheading"/>
              <w:rPr>
                <w:rFonts w:eastAsiaTheme="minorEastAsia" w:cs="Calibri"/>
                <w:iCs/>
                <w:color w:val="FFFFFF"/>
                <w:sz w:val="19"/>
                <w:lang w:eastAsia="en-AU"/>
              </w:rPr>
            </w:pPr>
            <w:r w:rsidRPr="009D7C96">
              <w:rPr>
                <w:rFonts w:eastAsiaTheme="minorEastAsia"/>
                <w:color w:val="FFFFFF"/>
                <w:sz w:val="19"/>
                <w:lang w:eastAsia="en-AU"/>
              </w:rPr>
              <w:t xml:space="preserve">2019-20 </w:t>
            </w:r>
          </w:p>
          <w:p w:rsidR="00AF5DDD" w:rsidRPr="009D7C96" w:rsidRDefault="00AF5DDD" w:rsidP="00361FA9">
            <w:pPr>
              <w:pStyle w:val="Tabletextheading"/>
              <w:rPr>
                <w:rFonts w:eastAsiaTheme="minorEastAsia" w:cs="Calibri"/>
                <w:iCs/>
                <w:color w:val="FFFFFF"/>
                <w:sz w:val="19"/>
                <w:lang w:eastAsia="en-AU"/>
              </w:rPr>
            </w:pPr>
            <w:r w:rsidRPr="009D7C96">
              <w:rPr>
                <w:rFonts w:eastAsiaTheme="minorEastAsia"/>
                <w:color w:val="FFFFFF"/>
                <w:sz w:val="19"/>
                <w:lang w:eastAsia="en-AU"/>
              </w:rPr>
              <w:t>estimate</w:t>
            </w:r>
          </w:p>
        </w:tc>
      </w:tr>
      <w:tr w:rsidR="002C39A3" w:rsidRPr="009D7C96" w:rsidTr="00361FA9">
        <w:tc>
          <w:tcPr>
            <w:tcW w:w="3515" w:type="dxa"/>
            <w:tcBorders>
              <w:top w:val="single" w:sz="6" w:space="0" w:color="auto"/>
              <w:left w:val="nil"/>
              <w:right w:val="nil"/>
            </w:tcBorders>
            <w:shd w:val="clear" w:color="auto" w:fill="FFFFFF"/>
          </w:tcPr>
          <w:p w:rsidR="002C39A3" w:rsidRPr="009D7C96" w:rsidRDefault="002C39A3" w:rsidP="00361FA9">
            <w:pPr>
              <w:pStyle w:val="Tabletext"/>
              <w:ind w:left="227" w:hanging="227"/>
              <w:rPr>
                <w:rFonts w:eastAsiaTheme="minorEastAsia"/>
                <w:color w:val="000000"/>
                <w:lang w:eastAsia="en-AU"/>
              </w:rPr>
            </w:pPr>
            <w:r w:rsidRPr="009D7C96">
              <w:rPr>
                <w:rFonts w:eastAsiaTheme="minorEastAsia"/>
                <w:color w:val="000000"/>
                <w:lang w:eastAsia="en-AU"/>
              </w:rPr>
              <w:t>Dividends</w:t>
            </w:r>
          </w:p>
        </w:tc>
        <w:tc>
          <w:tcPr>
            <w:tcW w:w="850" w:type="dxa"/>
            <w:tcBorders>
              <w:top w:val="single" w:sz="6" w:space="0" w:color="auto"/>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416</w:t>
            </w:r>
          </w:p>
        </w:tc>
        <w:tc>
          <w:tcPr>
            <w:tcW w:w="850" w:type="dxa"/>
            <w:tcBorders>
              <w:top w:val="single" w:sz="6" w:space="0" w:color="auto"/>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805</w:t>
            </w:r>
          </w:p>
        </w:tc>
        <w:tc>
          <w:tcPr>
            <w:tcW w:w="850" w:type="dxa"/>
            <w:tcBorders>
              <w:top w:val="single" w:sz="6" w:space="0" w:color="auto"/>
              <w:left w:val="nil"/>
              <w:right w:val="nil"/>
            </w:tcBorders>
            <w:shd w:val="clear" w:color="auto" w:fill="FFFFFF"/>
          </w:tcPr>
          <w:p w:rsidR="002C39A3" w:rsidRPr="009D7C96" w:rsidRDefault="002C39A3" w:rsidP="00361FA9">
            <w:pPr>
              <w:pStyle w:val="TableofFigures"/>
              <w:rPr>
                <w:rFonts w:eastAsiaTheme="minorEastAsia" w:cs="Calibri"/>
                <w:color w:val="000000"/>
                <w:sz w:val="19"/>
                <w:szCs w:val="19"/>
                <w:lang w:eastAsia="en-AU"/>
              </w:rPr>
            </w:pPr>
            <w:r w:rsidRPr="009D7C96">
              <w:rPr>
                <w:rFonts w:eastAsiaTheme="minorEastAsia"/>
                <w:color w:val="000000"/>
                <w:sz w:val="19"/>
                <w:lang w:eastAsia="en-AU"/>
              </w:rPr>
              <w:t>1</w:t>
            </w:r>
            <w:r w:rsidRPr="009D7C96">
              <w:rPr>
                <w:rFonts w:eastAsiaTheme="minorEastAsia" w:cs="Calibri"/>
                <w:color w:val="000000"/>
                <w:sz w:val="19"/>
                <w:lang w:eastAsia="en-AU"/>
              </w:rPr>
              <w:t xml:space="preserve"> </w:t>
            </w:r>
            <w:r w:rsidRPr="009D7C96">
              <w:rPr>
                <w:rFonts w:eastAsiaTheme="minorEastAsia" w:cs="Calibri"/>
                <w:color w:val="000000"/>
                <w:sz w:val="19"/>
                <w:szCs w:val="19"/>
                <w:lang w:eastAsia="en-AU"/>
              </w:rPr>
              <w:t>084</w:t>
            </w:r>
          </w:p>
        </w:tc>
        <w:tc>
          <w:tcPr>
            <w:tcW w:w="850" w:type="dxa"/>
            <w:tcBorders>
              <w:top w:val="single" w:sz="6" w:space="0" w:color="auto"/>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526</w:t>
            </w:r>
          </w:p>
        </w:tc>
        <w:tc>
          <w:tcPr>
            <w:tcW w:w="850" w:type="dxa"/>
            <w:tcBorders>
              <w:top w:val="single" w:sz="6" w:space="0" w:color="auto"/>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388</w:t>
            </w:r>
          </w:p>
        </w:tc>
      </w:tr>
      <w:tr w:rsidR="002C39A3" w:rsidRPr="009D7C96" w:rsidTr="00361FA9">
        <w:tc>
          <w:tcPr>
            <w:tcW w:w="3515" w:type="dxa"/>
            <w:tcBorders>
              <w:top w:val="nil"/>
              <w:left w:val="nil"/>
              <w:right w:val="nil"/>
            </w:tcBorders>
            <w:shd w:val="clear" w:color="auto" w:fill="FFFFFF"/>
          </w:tcPr>
          <w:p w:rsidR="002C39A3" w:rsidRPr="009D7C96" w:rsidRDefault="002C39A3" w:rsidP="00361FA9">
            <w:pPr>
              <w:pStyle w:val="Tabletext"/>
              <w:ind w:left="227" w:hanging="227"/>
              <w:rPr>
                <w:rFonts w:eastAsiaTheme="minorEastAsia"/>
                <w:color w:val="000000"/>
                <w:lang w:eastAsia="en-AU"/>
              </w:rPr>
            </w:pPr>
            <w:r w:rsidRPr="009D7C96">
              <w:rPr>
                <w:rFonts w:eastAsiaTheme="minorEastAsia"/>
                <w:color w:val="000000"/>
                <w:lang w:eastAsia="en-AU"/>
              </w:rPr>
              <w:t>Income tax equivalent revenue</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336</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243</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282</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309</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387</w:t>
            </w:r>
          </w:p>
        </w:tc>
      </w:tr>
      <w:tr w:rsidR="002C39A3" w:rsidRPr="009D7C96" w:rsidTr="00361FA9">
        <w:tc>
          <w:tcPr>
            <w:tcW w:w="3515" w:type="dxa"/>
            <w:tcBorders>
              <w:top w:val="nil"/>
              <w:left w:val="nil"/>
              <w:bottom w:val="single" w:sz="6" w:space="0" w:color="auto"/>
              <w:right w:val="nil"/>
            </w:tcBorders>
            <w:shd w:val="clear" w:color="000000" w:fill="FFFFFF"/>
          </w:tcPr>
          <w:p w:rsidR="002C39A3" w:rsidRPr="009D7C96" w:rsidRDefault="002C39A3" w:rsidP="00361FA9">
            <w:pPr>
              <w:pStyle w:val="Tabletext"/>
              <w:ind w:left="227" w:hanging="227"/>
              <w:rPr>
                <w:rFonts w:eastAsiaTheme="minorEastAsia"/>
                <w:color w:val="000000"/>
                <w:lang w:eastAsia="en-AU"/>
              </w:rPr>
            </w:pPr>
            <w:r w:rsidRPr="009D7C96">
              <w:rPr>
                <w:rFonts w:eastAsiaTheme="minorEastAsia"/>
                <w:color w:val="000000"/>
                <w:lang w:eastAsia="en-AU"/>
              </w:rPr>
              <w:t>Local government rate equivalent revenue</w:t>
            </w:r>
          </w:p>
        </w:tc>
        <w:tc>
          <w:tcPr>
            <w:tcW w:w="850" w:type="dxa"/>
            <w:tcBorders>
              <w:top w:val="nil"/>
              <w:left w:val="nil"/>
              <w:bottom w:val="single" w:sz="6" w:space="0" w:color="auto"/>
              <w:right w:val="nil"/>
            </w:tcBorders>
            <w:shd w:val="clear" w:color="000000"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10</w:t>
            </w:r>
          </w:p>
        </w:tc>
        <w:tc>
          <w:tcPr>
            <w:tcW w:w="850" w:type="dxa"/>
            <w:tcBorders>
              <w:top w:val="nil"/>
              <w:left w:val="nil"/>
              <w:bottom w:val="single" w:sz="6" w:space="0" w:color="auto"/>
              <w:right w:val="nil"/>
            </w:tcBorders>
            <w:shd w:val="clear" w:color="000000"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11</w:t>
            </w:r>
          </w:p>
        </w:tc>
        <w:tc>
          <w:tcPr>
            <w:tcW w:w="850" w:type="dxa"/>
            <w:tcBorders>
              <w:top w:val="nil"/>
              <w:left w:val="nil"/>
              <w:bottom w:val="single" w:sz="6" w:space="0" w:color="auto"/>
              <w:right w:val="nil"/>
            </w:tcBorders>
            <w:shd w:val="clear" w:color="000000"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11</w:t>
            </w:r>
          </w:p>
        </w:tc>
        <w:tc>
          <w:tcPr>
            <w:tcW w:w="850" w:type="dxa"/>
            <w:tcBorders>
              <w:top w:val="nil"/>
              <w:left w:val="nil"/>
              <w:bottom w:val="single" w:sz="6" w:space="0" w:color="auto"/>
              <w:right w:val="nil"/>
            </w:tcBorders>
            <w:shd w:val="clear" w:color="000000"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12</w:t>
            </w:r>
          </w:p>
        </w:tc>
        <w:tc>
          <w:tcPr>
            <w:tcW w:w="850" w:type="dxa"/>
            <w:tcBorders>
              <w:top w:val="nil"/>
              <w:left w:val="nil"/>
              <w:bottom w:val="single" w:sz="6" w:space="0" w:color="auto"/>
              <w:right w:val="nil"/>
            </w:tcBorders>
            <w:shd w:val="clear" w:color="000000"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12</w:t>
            </w:r>
          </w:p>
        </w:tc>
      </w:tr>
      <w:tr w:rsidR="002C39A3" w:rsidRPr="009D7C96" w:rsidTr="00361FA9">
        <w:tc>
          <w:tcPr>
            <w:tcW w:w="3515" w:type="dxa"/>
            <w:tcBorders>
              <w:top w:val="single" w:sz="6" w:space="0" w:color="auto"/>
              <w:left w:val="nil"/>
              <w:bottom w:val="single" w:sz="12" w:space="0" w:color="auto"/>
              <w:right w:val="nil"/>
            </w:tcBorders>
            <w:shd w:val="clear" w:color="auto" w:fill="FFFFFF"/>
          </w:tcPr>
          <w:p w:rsidR="002C39A3" w:rsidRPr="009D7C96" w:rsidRDefault="002C39A3" w:rsidP="00361FA9">
            <w:pPr>
              <w:pStyle w:val="Tabletext"/>
              <w:ind w:left="227" w:hanging="227"/>
              <w:rPr>
                <w:rFonts w:eastAsiaTheme="minorEastAsia"/>
                <w:b/>
                <w:bCs/>
                <w:color w:val="000000"/>
                <w:lang w:eastAsia="en-AU"/>
              </w:rPr>
            </w:pPr>
            <w:r w:rsidRPr="009D7C96">
              <w:rPr>
                <w:rFonts w:eastAsiaTheme="minorEastAsia"/>
                <w:b/>
                <w:bCs/>
                <w:color w:val="000000"/>
                <w:lang w:eastAsia="en-AU"/>
              </w:rPr>
              <w:t>Total dividends, income tax equivalent and rate equivalent revenue</w:t>
            </w:r>
          </w:p>
        </w:tc>
        <w:tc>
          <w:tcPr>
            <w:tcW w:w="850" w:type="dxa"/>
            <w:tcBorders>
              <w:top w:val="single" w:sz="6" w:space="0" w:color="auto"/>
              <w:left w:val="nil"/>
              <w:bottom w:val="single" w:sz="12" w:space="0" w:color="auto"/>
              <w:right w:val="nil"/>
            </w:tcBorders>
            <w:shd w:val="clear" w:color="auto" w:fill="FFFFFF"/>
          </w:tcPr>
          <w:p w:rsidR="002C39A3" w:rsidRPr="009D7C96" w:rsidRDefault="00AF5DDD" w:rsidP="00361FA9">
            <w:pPr>
              <w:pStyle w:val="TableofFigures"/>
              <w:rPr>
                <w:rFonts w:eastAsiaTheme="minorEastAsia"/>
                <w:b/>
                <w:bCs/>
                <w:color w:val="000000"/>
                <w:sz w:val="19"/>
                <w:lang w:eastAsia="en-AU"/>
              </w:rPr>
            </w:pPr>
            <w:r>
              <w:rPr>
                <w:rFonts w:eastAsiaTheme="minorEastAsia"/>
                <w:b/>
                <w:bCs/>
                <w:color w:val="000000"/>
                <w:sz w:val="19"/>
                <w:lang w:eastAsia="en-AU"/>
              </w:rPr>
              <w:t>762</w:t>
            </w:r>
          </w:p>
        </w:tc>
        <w:tc>
          <w:tcPr>
            <w:tcW w:w="850" w:type="dxa"/>
            <w:tcBorders>
              <w:top w:val="single" w:sz="6" w:space="0" w:color="auto"/>
              <w:left w:val="nil"/>
              <w:bottom w:val="single" w:sz="12" w:space="0" w:color="auto"/>
              <w:right w:val="nil"/>
            </w:tcBorders>
            <w:shd w:val="clear" w:color="auto" w:fill="FFFFFF"/>
          </w:tcPr>
          <w:p w:rsidR="002C39A3" w:rsidRPr="009D7C96" w:rsidRDefault="002C39A3" w:rsidP="00361FA9">
            <w:pPr>
              <w:pStyle w:val="TableofFigures"/>
              <w:rPr>
                <w:rFonts w:eastAsiaTheme="minorEastAsia" w:cs="Calibri"/>
                <w:b/>
                <w:bCs/>
                <w:color w:val="000000"/>
                <w:sz w:val="19"/>
                <w:lang w:eastAsia="en-AU"/>
              </w:rPr>
            </w:pPr>
            <w:r w:rsidRPr="009D7C96">
              <w:rPr>
                <w:rFonts w:eastAsiaTheme="minorEastAsia"/>
                <w:b/>
                <w:bCs/>
                <w:color w:val="000000"/>
                <w:sz w:val="19"/>
                <w:lang w:eastAsia="en-AU"/>
              </w:rPr>
              <w:t>1 059</w:t>
            </w:r>
          </w:p>
        </w:tc>
        <w:tc>
          <w:tcPr>
            <w:tcW w:w="850" w:type="dxa"/>
            <w:tcBorders>
              <w:top w:val="single" w:sz="6" w:space="0" w:color="auto"/>
              <w:left w:val="nil"/>
              <w:bottom w:val="single" w:sz="12" w:space="0" w:color="auto"/>
              <w:right w:val="nil"/>
            </w:tcBorders>
            <w:shd w:val="clear" w:color="auto" w:fill="FFFFFF"/>
          </w:tcPr>
          <w:p w:rsidR="002C39A3" w:rsidRPr="009D7C96" w:rsidRDefault="002C39A3" w:rsidP="00361FA9">
            <w:pPr>
              <w:pStyle w:val="TableofFigures"/>
              <w:rPr>
                <w:rFonts w:eastAsiaTheme="minorEastAsia" w:cs="Calibri"/>
                <w:b/>
                <w:bCs/>
                <w:color w:val="000000"/>
                <w:sz w:val="19"/>
                <w:szCs w:val="19"/>
                <w:lang w:eastAsia="en-AU"/>
              </w:rPr>
            </w:pPr>
            <w:r w:rsidRPr="009D7C96">
              <w:rPr>
                <w:rFonts w:eastAsiaTheme="minorEastAsia"/>
                <w:b/>
                <w:bCs/>
                <w:color w:val="000000"/>
                <w:sz w:val="19"/>
                <w:lang w:eastAsia="en-AU"/>
              </w:rPr>
              <w:t xml:space="preserve">1 </w:t>
            </w:r>
            <w:r w:rsidRPr="009D7C96">
              <w:rPr>
                <w:rFonts w:eastAsiaTheme="minorEastAsia" w:cs="Calibri"/>
                <w:b/>
                <w:bCs/>
                <w:color w:val="000000"/>
                <w:sz w:val="19"/>
                <w:szCs w:val="19"/>
                <w:lang w:eastAsia="en-AU"/>
              </w:rPr>
              <w:t>377</w:t>
            </w:r>
          </w:p>
        </w:tc>
        <w:tc>
          <w:tcPr>
            <w:tcW w:w="850" w:type="dxa"/>
            <w:tcBorders>
              <w:top w:val="single" w:sz="6" w:space="0" w:color="auto"/>
              <w:left w:val="nil"/>
              <w:bottom w:val="single" w:sz="12" w:space="0" w:color="auto"/>
              <w:right w:val="nil"/>
            </w:tcBorders>
            <w:shd w:val="clear" w:color="auto" w:fill="FFFFFF"/>
          </w:tcPr>
          <w:p w:rsidR="002C39A3" w:rsidRPr="009D7C96" w:rsidRDefault="00AF5DDD" w:rsidP="00361FA9">
            <w:pPr>
              <w:pStyle w:val="TableofFigures"/>
              <w:rPr>
                <w:rFonts w:eastAsiaTheme="minorEastAsia" w:cs="Calibri"/>
                <w:b/>
                <w:bCs/>
                <w:color w:val="000000"/>
                <w:sz w:val="19"/>
                <w:szCs w:val="19"/>
                <w:lang w:eastAsia="en-AU"/>
              </w:rPr>
            </w:pPr>
            <w:r>
              <w:rPr>
                <w:rFonts w:eastAsiaTheme="minorEastAsia"/>
                <w:b/>
                <w:bCs/>
                <w:color w:val="000000"/>
                <w:sz w:val="19"/>
                <w:lang w:eastAsia="en-AU"/>
              </w:rPr>
              <w:t>846</w:t>
            </w:r>
          </w:p>
        </w:tc>
        <w:tc>
          <w:tcPr>
            <w:tcW w:w="850" w:type="dxa"/>
            <w:tcBorders>
              <w:top w:val="single" w:sz="6" w:space="0" w:color="auto"/>
              <w:left w:val="nil"/>
              <w:bottom w:val="single" w:sz="12" w:space="0" w:color="auto"/>
              <w:right w:val="nil"/>
            </w:tcBorders>
            <w:shd w:val="clear" w:color="auto" w:fill="FFFFFF"/>
          </w:tcPr>
          <w:p w:rsidR="002C39A3" w:rsidRPr="009D7C96" w:rsidRDefault="00AF5DDD" w:rsidP="00361FA9">
            <w:pPr>
              <w:pStyle w:val="TableofFigures"/>
              <w:rPr>
                <w:rFonts w:eastAsiaTheme="minorEastAsia" w:cs="Calibri"/>
                <w:b/>
                <w:bCs/>
                <w:color w:val="000000"/>
                <w:sz w:val="19"/>
                <w:szCs w:val="19"/>
                <w:lang w:eastAsia="en-AU"/>
              </w:rPr>
            </w:pPr>
            <w:r>
              <w:rPr>
                <w:rFonts w:eastAsiaTheme="minorEastAsia"/>
                <w:b/>
                <w:bCs/>
                <w:color w:val="000000"/>
                <w:sz w:val="19"/>
                <w:lang w:eastAsia="en-AU"/>
              </w:rPr>
              <w:t>787</w:t>
            </w:r>
          </w:p>
        </w:tc>
      </w:tr>
    </w:tbl>
    <w:p w:rsidR="002C39A3" w:rsidRPr="009D7E47" w:rsidRDefault="002C39A3" w:rsidP="00361FA9">
      <w:pPr>
        <w:pStyle w:val="Source"/>
        <w:rPr>
          <w:rFonts w:eastAsiaTheme="minorHAnsi"/>
        </w:rPr>
      </w:pPr>
      <w:r w:rsidRPr="009A1C06">
        <w:rPr>
          <w:rFonts w:eastAsiaTheme="minorHAnsi"/>
        </w:rPr>
        <w:t>Source: Department of Treasury and Finance</w:t>
      </w:r>
    </w:p>
    <w:p w:rsidR="002C39A3" w:rsidRDefault="002C39A3">
      <w:pPr>
        <w:spacing w:after="0"/>
        <w:rPr>
          <w:rFonts w:ascii="Calibri" w:eastAsiaTheme="minorHAnsi" w:hAnsi="Calibri"/>
          <w:b/>
          <w:caps/>
          <w:sz w:val="26"/>
          <w:szCs w:val="22"/>
        </w:rPr>
      </w:pPr>
      <w:r>
        <w:rPr>
          <w:rFonts w:eastAsiaTheme="minorHAnsi"/>
        </w:rPr>
        <w:br w:type="page"/>
      </w:r>
    </w:p>
    <w:p w:rsidR="002C39A3" w:rsidRDefault="002C39A3" w:rsidP="00361FA9">
      <w:pPr>
        <w:pStyle w:val="Heading1"/>
        <w:rPr>
          <w:rFonts w:eastAsiaTheme="minorHAnsi"/>
        </w:rPr>
      </w:pPr>
      <w:bookmarkStart w:id="52" w:name="_Toc449116210"/>
      <w:r>
        <w:rPr>
          <w:rFonts w:eastAsiaTheme="minorHAnsi"/>
        </w:rPr>
        <w:t>Interest revenue</w:t>
      </w:r>
      <w:bookmarkEnd w:id="52"/>
    </w:p>
    <w:p w:rsidR="002C39A3" w:rsidRDefault="002C39A3" w:rsidP="00361FA9">
      <w:pPr>
        <w:rPr>
          <w:rFonts w:eastAsiaTheme="minorHAnsi"/>
        </w:rPr>
      </w:pPr>
      <w:r>
        <w:rPr>
          <w:rFonts w:eastAsiaTheme="minorHAnsi"/>
        </w:rPr>
        <w:t>Interest revenue is earned on holdings of cash and deposits across a number of general government sector agencies, including departments, hospitals and schools.</w:t>
      </w:r>
    </w:p>
    <w:p w:rsidR="002C39A3" w:rsidRPr="002936D9" w:rsidRDefault="002C39A3" w:rsidP="00361FA9">
      <w:pPr>
        <w:rPr>
          <w:rFonts w:eastAsiaTheme="minorHAnsi"/>
        </w:rPr>
      </w:pPr>
      <w:r>
        <w:rPr>
          <w:rFonts w:eastAsiaTheme="minorHAnsi"/>
        </w:rPr>
        <w:t>Interest revenue is expected to be $881 million in 2016</w:t>
      </w:r>
      <w:r>
        <w:rPr>
          <w:rFonts w:eastAsiaTheme="minorHAnsi"/>
        </w:rPr>
        <w:noBreakHyphen/>
        <w:t>17, and increase by an average of 0.9 per cent a year over the forward estimates.</w:t>
      </w:r>
    </w:p>
    <w:p w:rsidR="002C39A3" w:rsidRDefault="002C39A3" w:rsidP="00361FA9">
      <w:pPr>
        <w:pStyle w:val="Heading1"/>
        <w:rPr>
          <w:rFonts w:eastAsiaTheme="minorHAnsi"/>
        </w:rPr>
      </w:pPr>
      <w:bookmarkStart w:id="53" w:name="_Toc449116211"/>
      <w:r>
        <w:rPr>
          <w:rFonts w:eastAsiaTheme="minorHAnsi"/>
        </w:rPr>
        <w:t>Other revenue</w:t>
      </w:r>
      <w:bookmarkEnd w:id="53"/>
    </w:p>
    <w:p w:rsidR="002C39A3" w:rsidRPr="00DC255A" w:rsidRDefault="002C39A3" w:rsidP="00361FA9">
      <w:pPr>
        <w:rPr>
          <w:rFonts w:eastAsiaTheme="minorHAnsi"/>
        </w:rPr>
      </w:pPr>
      <w:r>
        <w:rPr>
          <w:rFonts w:eastAsiaTheme="minorHAnsi"/>
        </w:rPr>
        <w:t xml:space="preserve">Other revenue includes fines, donations and </w:t>
      </w:r>
      <w:r w:rsidRPr="00A90E6E">
        <w:rPr>
          <w:rFonts w:eastAsiaTheme="minorHAnsi"/>
        </w:rPr>
        <w:t>gifts and royalties. These are shown</w:t>
      </w:r>
      <w:r>
        <w:rPr>
          <w:rFonts w:eastAsiaTheme="minorHAnsi"/>
        </w:rPr>
        <w:t xml:space="preserve"> in Table 4.17. Other revenue is projected to decrease by 9.2 per cent to $2.6 billion in 2016</w:t>
      </w:r>
      <w:r>
        <w:rPr>
          <w:rFonts w:eastAsiaTheme="minorHAnsi"/>
        </w:rPr>
        <w:noBreakHyphen/>
        <w:t>17,</w:t>
      </w:r>
      <w:r w:rsidRPr="00641EEC">
        <w:rPr>
          <w:rFonts w:eastAsiaTheme="minorHAnsi"/>
        </w:rPr>
        <w:t xml:space="preserve"> largely due to a large one</w:t>
      </w:r>
      <w:r>
        <w:rPr>
          <w:rFonts w:eastAsiaTheme="minorHAnsi"/>
        </w:rPr>
        <w:noBreakHyphen/>
        <w:t>off increase in revenue in 2015</w:t>
      </w:r>
      <w:r>
        <w:rPr>
          <w:rFonts w:eastAsiaTheme="minorHAnsi"/>
        </w:rPr>
        <w:noBreakHyphen/>
      </w:r>
      <w:r w:rsidRPr="00641EEC">
        <w:rPr>
          <w:rFonts w:eastAsiaTheme="minorHAnsi"/>
        </w:rPr>
        <w:t xml:space="preserve">16 associated with the </w:t>
      </w:r>
      <w:r w:rsidRPr="00DC255A">
        <w:rPr>
          <w:rFonts w:eastAsiaTheme="minorHAnsi"/>
        </w:rPr>
        <w:t xml:space="preserve">High Court ruling in favour of the </w:t>
      </w:r>
      <w:r>
        <w:rPr>
          <w:rFonts w:eastAsiaTheme="minorHAnsi"/>
        </w:rPr>
        <w:t>State</w:t>
      </w:r>
      <w:r w:rsidRPr="00DC255A">
        <w:rPr>
          <w:rFonts w:eastAsiaTheme="minorHAnsi"/>
        </w:rPr>
        <w:t xml:space="preserve"> on gaming licenses against Tattersalls.</w:t>
      </w:r>
    </w:p>
    <w:p w:rsidR="002C39A3" w:rsidRDefault="002C39A3" w:rsidP="00361FA9">
      <w:pPr>
        <w:rPr>
          <w:rFonts w:eastAsiaTheme="minorHAnsi"/>
        </w:rPr>
      </w:pPr>
      <w:r w:rsidRPr="00DC255A">
        <w:rPr>
          <w:rFonts w:eastAsiaTheme="minorHAnsi"/>
        </w:rPr>
        <w:t>The forecasts incorporate an increase in the brown coal royalty rate from 1 January 2017.</w:t>
      </w:r>
    </w:p>
    <w:p w:rsidR="002C39A3" w:rsidRDefault="002C39A3" w:rsidP="00361FA9">
      <w:pPr>
        <w:pStyle w:val="Tableheading"/>
        <w:rPr>
          <w:rFonts w:eastAsiaTheme="minorHAnsi"/>
        </w:rPr>
      </w:pPr>
      <w:r>
        <w:rPr>
          <w:rFonts w:eastAsiaTheme="minorHAnsi"/>
        </w:rPr>
        <w:t xml:space="preserve">Table 4.17: </w:t>
      </w:r>
      <w:r>
        <w:rPr>
          <w:rFonts w:eastAsiaTheme="minorHAnsi"/>
        </w:rPr>
        <w:tab/>
        <w:t>Other revenue</w:t>
      </w:r>
    </w:p>
    <w:p w:rsidR="002C39A3" w:rsidRPr="009D7C96" w:rsidRDefault="002C39A3" w:rsidP="00361FA9">
      <w:pPr>
        <w:pStyle w:val="million"/>
        <w:rPr>
          <w:rFonts w:ascii="Times New Roman" w:hAnsi="Times New Roman"/>
          <w:sz w:val="20"/>
          <w:lang w:eastAsia="en-AU"/>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AF5DDD" w:rsidRPr="009D7C96" w:rsidTr="00EA058F">
        <w:trPr>
          <w:trHeight w:val="464"/>
        </w:trPr>
        <w:tc>
          <w:tcPr>
            <w:tcW w:w="3515" w:type="dxa"/>
            <w:tcBorders>
              <w:right w:val="nil"/>
            </w:tcBorders>
            <w:shd w:val="solid" w:color="000000" w:fill="auto"/>
          </w:tcPr>
          <w:p w:rsidR="00AF5DDD" w:rsidRPr="009D7C96" w:rsidRDefault="00AF5DDD" w:rsidP="00AF5DDD">
            <w:pPr>
              <w:pStyle w:val="Tabletextheading"/>
              <w:jc w:val="left"/>
              <w:rPr>
                <w:rFonts w:eastAsiaTheme="minorEastAsia"/>
                <w:color w:val="FFFFFF"/>
                <w:sz w:val="19"/>
                <w:lang w:eastAsia="en-AU"/>
              </w:rPr>
            </w:pPr>
          </w:p>
        </w:tc>
        <w:tc>
          <w:tcPr>
            <w:tcW w:w="850" w:type="dxa"/>
            <w:tcBorders>
              <w:left w:val="nil"/>
              <w:right w:val="nil"/>
            </w:tcBorders>
            <w:shd w:val="solid" w:color="000000" w:fill="auto"/>
          </w:tcPr>
          <w:p w:rsidR="00AF5DDD" w:rsidRPr="009D7C96" w:rsidRDefault="00AF5DDD" w:rsidP="00361FA9">
            <w:pPr>
              <w:pStyle w:val="Tabletextheading"/>
              <w:rPr>
                <w:rFonts w:eastAsiaTheme="minorEastAsia"/>
                <w:iCs/>
                <w:color w:val="FFFFFF"/>
                <w:sz w:val="19"/>
                <w:lang w:eastAsia="en-AU"/>
              </w:rPr>
            </w:pPr>
            <w:r w:rsidRPr="009D7C96">
              <w:rPr>
                <w:rFonts w:eastAsiaTheme="minorEastAsia"/>
                <w:iCs/>
                <w:color w:val="FFFFFF"/>
                <w:sz w:val="19"/>
                <w:lang w:eastAsia="en-AU"/>
              </w:rPr>
              <w:t>2015-16</w:t>
            </w:r>
          </w:p>
          <w:p w:rsidR="00AF5DDD" w:rsidRPr="009D7C96" w:rsidRDefault="00AF5DDD" w:rsidP="00361FA9">
            <w:pPr>
              <w:pStyle w:val="Tabletextheading"/>
              <w:rPr>
                <w:rFonts w:eastAsiaTheme="minorEastAsia"/>
                <w:iCs/>
                <w:color w:val="FFFFFF"/>
                <w:sz w:val="19"/>
                <w:lang w:eastAsia="en-AU"/>
              </w:rPr>
            </w:pPr>
            <w:r w:rsidRPr="009D7C96">
              <w:rPr>
                <w:rFonts w:eastAsiaTheme="minorEastAsia"/>
                <w:iCs/>
                <w:color w:val="FFFFFF"/>
                <w:sz w:val="19"/>
                <w:lang w:eastAsia="en-AU"/>
              </w:rPr>
              <w:t>revised</w:t>
            </w:r>
          </w:p>
        </w:tc>
        <w:tc>
          <w:tcPr>
            <w:tcW w:w="850" w:type="dxa"/>
            <w:tcBorders>
              <w:left w:val="nil"/>
              <w:right w:val="nil"/>
            </w:tcBorders>
            <w:shd w:val="solid" w:color="000000" w:fill="auto"/>
          </w:tcPr>
          <w:p w:rsidR="00AF5DDD" w:rsidRPr="009D7C96" w:rsidRDefault="00AF5DDD" w:rsidP="00361FA9">
            <w:pPr>
              <w:pStyle w:val="Tabletextheading"/>
              <w:rPr>
                <w:rFonts w:eastAsiaTheme="minorEastAsia"/>
                <w:iCs/>
                <w:color w:val="FFFFFF"/>
                <w:sz w:val="19"/>
                <w:lang w:eastAsia="en-AU"/>
              </w:rPr>
            </w:pPr>
            <w:r w:rsidRPr="009D7C96">
              <w:rPr>
                <w:rFonts w:eastAsiaTheme="minorEastAsia"/>
                <w:iCs/>
                <w:color w:val="FFFFFF"/>
                <w:sz w:val="19"/>
                <w:lang w:eastAsia="en-AU"/>
              </w:rPr>
              <w:t>2016-17</w:t>
            </w:r>
          </w:p>
          <w:p w:rsidR="00AF5DDD" w:rsidRPr="009D7C96" w:rsidRDefault="00AF5DDD" w:rsidP="00361FA9">
            <w:pPr>
              <w:pStyle w:val="Tabletextheading"/>
              <w:rPr>
                <w:rFonts w:eastAsiaTheme="minorEastAsia"/>
                <w:iCs/>
                <w:color w:val="FFFFFF"/>
                <w:sz w:val="19"/>
                <w:lang w:eastAsia="en-AU"/>
              </w:rPr>
            </w:pPr>
            <w:r w:rsidRPr="009D7C96">
              <w:rPr>
                <w:rFonts w:eastAsiaTheme="minorEastAsia"/>
                <w:iCs/>
                <w:color w:val="FFFFFF"/>
                <w:sz w:val="19"/>
                <w:lang w:eastAsia="en-AU"/>
              </w:rPr>
              <w:t>budget</w:t>
            </w:r>
          </w:p>
        </w:tc>
        <w:tc>
          <w:tcPr>
            <w:tcW w:w="850" w:type="dxa"/>
            <w:tcBorders>
              <w:left w:val="nil"/>
              <w:right w:val="nil"/>
            </w:tcBorders>
            <w:shd w:val="solid" w:color="000000" w:fill="auto"/>
          </w:tcPr>
          <w:p w:rsidR="00AF5DDD" w:rsidRPr="009D7C96" w:rsidRDefault="00AF5DDD" w:rsidP="00361FA9">
            <w:pPr>
              <w:pStyle w:val="Tabletextheading"/>
              <w:rPr>
                <w:rFonts w:eastAsiaTheme="minorEastAsia"/>
                <w:iCs/>
                <w:color w:val="FFFFFF"/>
                <w:sz w:val="19"/>
                <w:lang w:eastAsia="en-AU"/>
              </w:rPr>
            </w:pPr>
            <w:r w:rsidRPr="009D7C96">
              <w:rPr>
                <w:rFonts w:eastAsiaTheme="minorEastAsia"/>
                <w:iCs/>
                <w:color w:val="FFFFFF"/>
                <w:sz w:val="19"/>
                <w:lang w:eastAsia="en-AU"/>
              </w:rPr>
              <w:t>2017-18</w:t>
            </w:r>
          </w:p>
          <w:p w:rsidR="00AF5DDD" w:rsidRPr="009D7C96" w:rsidRDefault="00AF5DDD" w:rsidP="00361FA9">
            <w:pPr>
              <w:pStyle w:val="Tabletextheading"/>
              <w:rPr>
                <w:rFonts w:eastAsiaTheme="minorEastAsia"/>
                <w:iCs/>
                <w:color w:val="FFFFFF"/>
                <w:sz w:val="19"/>
                <w:lang w:eastAsia="en-AU"/>
              </w:rPr>
            </w:pPr>
            <w:r w:rsidRPr="009D7C96">
              <w:rPr>
                <w:rFonts w:eastAsiaTheme="minorEastAsia"/>
                <w:iCs/>
                <w:color w:val="FFFFFF"/>
                <w:sz w:val="19"/>
                <w:lang w:eastAsia="en-AU"/>
              </w:rPr>
              <w:t>estimate</w:t>
            </w:r>
          </w:p>
        </w:tc>
        <w:tc>
          <w:tcPr>
            <w:tcW w:w="850" w:type="dxa"/>
            <w:tcBorders>
              <w:left w:val="nil"/>
              <w:right w:val="nil"/>
            </w:tcBorders>
            <w:shd w:val="solid" w:color="000000" w:fill="auto"/>
          </w:tcPr>
          <w:p w:rsidR="00AF5DDD" w:rsidRPr="009D7C96" w:rsidRDefault="00AF5DDD" w:rsidP="00361FA9">
            <w:pPr>
              <w:pStyle w:val="Tabletextheading"/>
              <w:rPr>
                <w:rFonts w:eastAsiaTheme="minorEastAsia"/>
                <w:iCs/>
                <w:color w:val="FFFFFF"/>
                <w:sz w:val="19"/>
                <w:lang w:eastAsia="en-AU"/>
              </w:rPr>
            </w:pPr>
            <w:r w:rsidRPr="009D7C96">
              <w:rPr>
                <w:rFonts w:eastAsiaTheme="minorEastAsia"/>
                <w:iCs/>
                <w:color w:val="FFFFFF"/>
                <w:sz w:val="19"/>
                <w:lang w:eastAsia="en-AU"/>
              </w:rPr>
              <w:t>2018-19</w:t>
            </w:r>
          </w:p>
          <w:p w:rsidR="00AF5DDD" w:rsidRPr="009D7C96" w:rsidRDefault="00AF5DDD" w:rsidP="00361FA9">
            <w:pPr>
              <w:pStyle w:val="Tabletextheading"/>
              <w:rPr>
                <w:rFonts w:eastAsiaTheme="minorEastAsia"/>
                <w:iCs/>
                <w:color w:val="FFFFFF"/>
                <w:sz w:val="19"/>
                <w:lang w:eastAsia="en-AU"/>
              </w:rPr>
            </w:pPr>
            <w:r w:rsidRPr="009D7C96">
              <w:rPr>
                <w:rFonts w:eastAsiaTheme="minorEastAsia"/>
                <w:iCs/>
                <w:color w:val="FFFFFF"/>
                <w:sz w:val="19"/>
                <w:lang w:eastAsia="en-AU"/>
              </w:rPr>
              <w:t>estimate</w:t>
            </w:r>
          </w:p>
        </w:tc>
        <w:tc>
          <w:tcPr>
            <w:tcW w:w="850" w:type="dxa"/>
            <w:tcBorders>
              <w:left w:val="nil"/>
            </w:tcBorders>
            <w:shd w:val="solid" w:color="000000" w:fill="auto"/>
          </w:tcPr>
          <w:p w:rsidR="00AF5DDD" w:rsidRPr="009D7C96" w:rsidRDefault="00AF5DDD" w:rsidP="00361FA9">
            <w:pPr>
              <w:pStyle w:val="Tabletextheading"/>
              <w:rPr>
                <w:rFonts w:eastAsiaTheme="minorEastAsia"/>
                <w:iCs/>
                <w:color w:val="FFFFFF"/>
                <w:sz w:val="19"/>
                <w:lang w:eastAsia="en-AU"/>
              </w:rPr>
            </w:pPr>
            <w:r w:rsidRPr="009D7C96">
              <w:rPr>
                <w:rFonts w:eastAsiaTheme="minorEastAsia"/>
                <w:iCs/>
                <w:color w:val="FFFFFF"/>
                <w:sz w:val="19"/>
                <w:lang w:eastAsia="en-AU"/>
              </w:rPr>
              <w:t>2019-20</w:t>
            </w:r>
          </w:p>
          <w:p w:rsidR="00AF5DDD" w:rsidRPr="009D7C96" w:rsidRDefault="00AF5DDD" w:rsidP="00361FA9">
            <w:pPr>
              <w:pStyle w:val="Tabletextheading"/>
              <w:rPr>
                <w:rFonts w:eastAsiaTheme="minorEastAsia"/>
                <w:iCs/>
                <w:color w:val="FFFFFF"/>
                <w:sz w:val="19"/>
                <w:lang w:eastAsia="en-AU"/>
              </w:rPr>
            </w:pPr>
            <w:r w:rsidRPr="009D7C96">
              <w:rPr>
                <w:rFonts w:eastAsiaTheme="minorEastAsia"/>
                <w:iCs/>
                <w:color w:val="FFFFFF"/>
                <w:sz w:val="19"/>
                <w:lang w:eastAsia="en-AU"/>
              </w:rPr>
              <w:t>estimate</w:t>
            </w:r>
          </w:p>
        </w:tc>
      </w:tr>
      <w:tr w:rsidR="00AF5DDD" w:rsidRPr="009D7C96" w:rsidTr="00EA058F">
        <w:tc>
          <w:tcPr>
            <w:tcW w:w="7765" w:type="dxa"/>
            <w:gridSpan w:val="6"/>
            <w:tcBorders>
              <w:top w:val="single" w:sz="6" w:space="0" w:color="auto"/>
              <w:left w:val="nil"/>
              <w:right w:val="nil"/>
            </w:tcBorders>
            <w:shd w:val="clear" w:color="auto" w:fill="FFFFFF"/>
          </w:tcPr>
          <w:p w:rsidR="00AF5DDD" w:rsidRPr="009D7C96" w:rsidRDefault="00AF5DDD" w:rsidP="00AF5DDD">
            <w:pPr>
              <w:pStyle w:val="Tabletext"/>
              <w:ind w:left="227" w:hanging="227"/>
              <w:rPr>
                <w:rFonts w:eastAsiaTheme="minorEastAsia" w:cs="Calibri"/>
                <w:color w:val="000000"/>
                <w:szCs w:val="19"/>
                <w:lang w:eastAsia="en-AU"/>
              </w:rPr>
            </w:pPr>
            <w:r w:rsidRPr="009D7C96">
              <w:rPr>
                <w:rFonts w:eastAsiaTheme="minorEastAsia"/>
                <w:b/>
                <w:color w:val="000000"/>
                <w:lang w:eastAsia="en-AU"/>
              </w:rPr>
              <w:t>Fines</w:t>
            </w:r>
          </w:p>
        </w:tc>
      </w:tr>
      <w:tr w:rsidR="002C39A3" w:rsidRPr="009D7C96" w:rsidTr="00361FA9">
        <w:tc>
          <w:tcPr>
            <w:tcW w:w="3515" w:type="dxa"/>
            <w:tcBorders>
              <w:top w:val="nil"/>
              <w:left w:val="nil"/>
              <w:right w:val="nil"/>
            </w:tcBorders>
            <w:shd w:val="clear" w:color="auto" w:fill="FFFFFF"/>
          </w:tcPr>
          <w:p w:rsidR="002C39A3" w:rsidRPr="009D7C96" w:rsidRDefault="002C39A3" w:rsidP="00361FA9">
            <w:pPr>
              <w:pStyle w:val="Tabletext"/>
              <w:ind w:left="227" w:hanging="227"/>
              <w:rPr>
                <w:rFonts w:eastAsiaTheme="minorEastAsia"/>
                <w:color w:val="000000"/>
                <w:lang w:eastAsia="en-AU"/>
              </w:rPr>
            </w:pPr>
            <w:r w:rsidRPr="009D7C96">
              <w:rPr>
                <w:rFonts w:eastAsiaTheme="minorEastAsia"/>
                <w:color w:val="000000"/>
                <w:lang w:eastAsia="en-AU"/>
              </w:rPr>
              <w:t>Road safety camera fines</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345</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347</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356</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366</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391</w:t>
            </w:r>
          </w:p>
        </w:tc>
      </w:tr>
      <w:tr w:rsidR="002C39A3" w:rsidRPr="009D7C96" w:rsidTr="00361FA9">
        <w:tc>
          <w:tcPr>
            <w:tcW w:w="3515" w:type="dxa"/>
            <w:tcBorders>
              <w:top w:val="nil"/>
              <w:left w:val="nil"/>
              <w:right w:val="nil"/>
            </w:tcBorders>
            <w:shd w:val="clear" w:color="auto" w:fill="FFFFFF"/>
          </w:tcPr>
          <w:p w:rsidR="002C39A3" w:rsidRPr="009D7C96" w:rsidRDefault="002C39A3" w:rsidP="00361FA9">
            <w:pPr>
              <w:pStyle w:val="Tabletext"/>
              <w:ind w:left="227" w:hanging="227"/>
              <w:rPr>
                <w:rFonts w:eastAsiaTheme="minorEastAsia"/>
                <w:color w:val="000000"/>
                <w:lang w:eastAsia="en-AU"/>
              </w:rPr>
            </w:pPr>
            <w:r w:rsidRPr="009D7C96">
              <w:rPr>
                <w:rFonts w:eastAsiaTheme="minorEastAsia"/>
                <w:color w:val="000000"/>
                <w:lang w:eastAsia="en-AU"/>
              </w:rPr>
              <w:t>Police on-the-spot fines</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135</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138</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142</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145</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149</w:t>
            </w:r>
          </w:p>
        </w:tc>
      </w:tr>
      <w:tr w:rsidR="002C39A3" w:rsidRPr="009D7C96" w:rsidTr="00361FA9">
        <w:tc>
          <w:tcPr>
            <w:tcW w:w="3515" w:type="dxa"/>
            <w:tcBorders>
              <w:top w:val="nil"/>
              <w:left w:val="nil"/>
              <w:right w:val="nil"/>
            </w:tcBorders>
            <w:shd w:val="clear" w:color="auto" w:fill="FFFFFF"/>
          </w:tcPr>
          <w:p w:rsidR="002C39A3" w:rsidRPr="009D7C96" w:rsidRDefault="002C39A3" w:rsidP="00361FA9">
            <w:pPr>
              <w:pStyle w:val="Tabletext"/>
              <w:ind w:left="227" w:hanging="227"/>
              <w:rPr>
                <w:rFonts w:eastAsiaTheme="minorEastAsia"/>
                <w:color w:val="000000"/>
                <w:lang w:eastAsia="en-AU"/>
              </w:rPr>
            </w:pPr>
            <w:r w:rsidRPr="009D7C96">
              <w:rPr>
                <w:rFonts w:eastAsiaTheme="minorEastAsia"/>
                <w:color w:val="000000"/>
                <w:lang w:eastAsia="en-AU"/>
              </w:rPr>
              <w:t>Toll road evasion fines</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166</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169</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174</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178</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183</w:t>
            </w:r>
          </w:p>
        </w:tc>
      </w:tr>
      <w:tr w:rsidR="002C39A3" w:rsidRPr="009D7C96" w:rsidTr="00361FA9">
        <w:tc>
          <w:tcPr>
            <w:tcW w:w="3515" w:type="dxa"/>
            <w:tcBorders>
              <w:top w:val="nil"/>
              <w:left w:val="nil"/>
              <w:bottom w:val="single" w:sz="6" w:space="0" w:color="auto"/>
              <w:right w:val="nil"/>
            </w:tcBorders>
            <w:shd w:val="clear" w:color="auto" w:fill="FFFFFF"/>
          </w:tcPr>
          <w:p w:rsidR="002C39A3" w:rsidRPr="009D7C96" w:rsidRDefault="002C39A3" w:rsidP="00361FA9">
            <w:pPr>
              <w:pStyle w:val="Tabletext"/>
              <w:ind w:left="227" w:hanging="227"/>
              <w:rPr>
                <w:rFonts w:eastAsiaTheme="minorEastAsia"/>
                <w:color w:val="000000"/>
                <w:lang w:eastAsia="en-AU"/>
              </w:rPr>
            </w:pPr>
            <w:r w:rsidRPr="009D7C96">
              <w:rPr>
                <w:rFonts w:eastAsiaTheme="minorEastAsia"/>
                <w:color w:val="000000"/>
                <w:lang w:eastAsia="en-AU"/>
              </w:rPr>
              <w:t xml:space="preserve">Non-traffic statutory and court fines </w:t>
            </w:r>
          </w:p>
        </w:tc>
        <w:tc>
          <w:tcPr>
            <w:tcW w:w="850" w:type="dxa"/>
            <w:tcBorders>
              <w:top w:val="nil"/>
              <w:left w:val="nil"/>
              <w:bottom w:val="single" w:sz="6" w:space="0" w:color="auto"/>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111</w:t>
            </w:r>
          </w:p>
        </w:tc>
        <w:tc>
          <w:tcPr>
            <w:tcW w:w="850" w:type="dxa"/>
            <w:tcBorders>
              <w:top w:val="nil"/>
              <w:left w:val="nil"/>
              <w:bottom w:val="single" w:sz="6" w:space="0" w:color="auto"/>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121</w:t>
            </w:r>
          </w:p>
        </w:tc>
        <w:tc>
          <w:tcPr>
            <w:tcW w:w="850" w:type="dxa"/>
            <w:tcBorders>
              <w:top w:val="nil"/>
              <w:left w:val="nil"/>
              <w:bottom w:val="single" w:sz="6" w:space="0" w:color="auto"/>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124</w:t>
            </w:r>
          </w:p>
        </w:tc>
        <w:tc>
          <w:tcPr>
            <w:tcW w:w="850" w:type="dxa"/>
            <w:tcBorders>
              <w:top w:val="nil"/>
              <w:left w:val="nil"/>
              <w:bottom w:val="single" w:sz="6" w:space="0" w:color="auto"/>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125</w:t>
            </w:r>
          </w:p>
        </w:tc>
        <w:tc>
          <w:tcPr>
            <w:tcW w:w="850" w:type="dxa"/>
            <w:tcBorders>
              <w:top w:val="nil"/>
              <w:left w:val="nil"/>
              <w:bottom w:val="single" w:sz="6" w:space="0" w:color="auto"/>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125</w:t>
            </w:r>
          </w:p>
        </w:tc>
      </w:tr>
      <w:tr w:rsidR="002C39A3" w:rsidRPr="009D7C96" w:rsidTr="00361FA9">
        <w:tc>
          <w:tcPr>
            <w:tcW w:w="3515" w:type="dxa"/>
            <w:tcBorders>
              <w:top w:val="single" w:sz="6" w:space="0" w:color="auto"/>
              <w:left w:val="nil"/>
              <w:right w:val="nil"/>
            </w:tcBorders>
            <w:shd w:val="clear" w:color="auto" w:fill="FFFFFF"/>
          </w:tcPr>
          <w:p w:rsidR="002C39A3" w:rsidRPr="009D7C96" w:rsidRDefault="002C39A3" w:rsidP="00361FA9">
            <w:pPr>
              <w:pStyle w:val="Tabletext"/>
              <w:ind w:left="227" w:hanging="227"/>
              <w:rPr>
                <w:rFonts w:eastAsiaTheme="minorEastAsia"/>
                <w:b/>
                <w:color w:val="000000"/>
                <w:lang w:eastAsia="en-AU"/>
              </w:rPr>
            </w:pPr>
            <w:r w:rsidRPr="009D7C96">
              <w:rPr>
                <w:rFonts w:eastAsiaTheme="minorEastAsia"/>
                <w:b/>
                <w:color w:val="000000"/>
                <w:lang w:eastAsia="en-AU"/>
              </w:rPr>
              <w:t xml:space="preserve">Total fines </w:t>
            </w:r>
          </w:p>
        </w:tc>
        <w:tc>
          <w:tcPr>
            <w:tcW w:w="850" w:type="dxa"/>
            <w:tcBorders>
              <w:top w:val="single" w:sz="6" w:space="0" w:color="auto"/>
              <w:left w:val="nil"/>
              <w:right w:val="nil"/>
            </w:tcBorders>
            <w:shd w:val="clear" w:color="auto" w:fill="FFFFFF"/>
          </w:tcPr>
          <w:p w:rsidR="002C39A3" w:rsidRPr="009D7C96" w:rsidRDefault="00AF5DDD" w:rsidP="00361FA9">
            <w:pPr>
              <w:pStyle w:val="TableofFigures"/>
              <w:rPr>
                <w:rFonts w:eastAsiaTheme="minorEastAsia" w:cs="Calibri"/>
                <w:b/>
                <w:bCs/>
                <w:color w:val="000000"/>
                <w:sz w:val="19"/>
                <w:szCs w:val="19"/>
                <w:lang w:eastAsia="en-AU"/>
              </w:rPr>
            </w:pPr>
            <w:r>
              <w:rPr>
                <w:rFonts w:eastAsiaTheme="minorEastAsia"/>
                <w:b/>
                <w:bCs/>
                <w:color w:val="000000"/>
                <w:sz w:val="19"/>
                <w:lang w:eastAsia="en-AU"/>
              </w:rPr>
              <w:t>757</w:t>
            </w:r>
          </w:p>
        </w:tc>
        <w:tc>
          <w:tcPr>
            <w:tcW w:w="850" w:type="dxa"/>
            <w:tcBorders>
              <w:top w:val="single" w:sz="6" w:space="0" w:color="auto"/>
              <w:left w:val="nil"/>
              <w:right w:val="nil"/>
            </w:tcBorders>
            <w:shd w:val="clear" w:color="auto" w:fill="FFFFFF"/>
          </w:tcPr>
          <w:p w:rsidR="002C39A3" w:rsidRPr="009D7C96" w:rsidRDefault="00AF5DDD" w:rsidP="00361FA9">
            <w:pPr>
              <w:pStyle w:val="TableofFigures"/>
              <w:rPr>
                <w:rFonts w:eastAsiaTheme="minorEastAsia" w:cs="Calibri"/>
                <w:b/>
                <w:bCs/>
                <w:color w:val="000000"/>
                <w:sz w:val="19"/>
                <w:szCs w:val="19"/>
                <w:lang w:eastAsia="en-AU"/>
              </w:rPr>
            </w:pPr>
            <w:r>
              <w:rPr>
                <w:rFonts w:eastAsiaTheme="minorEastAsia"/>
                <w:b/>
                <w:bCs/>
                <w:color w:val="000000"/>
                <w:sz w:val="19"/>
                <w:lang w:eastAsia="en-AU"/>
              </w:rPr>
              <w:t>776</w:t>
            </w:r>
          </w:p>
        </w:tc>
        <w:tc>
          <w:tcPr>
            <w:tcW w:w="850" w:type="dxa"/>
            <w:tcBorders>
              <w:top w:val="single" w:sz="6" w:space="0" w:color="auto"/>
              <w:left w:val="nil"/>
              <w:right w:val="nil"/>
            </w:tcBorders>
            <w:shd w:val="clear" w:color="auto" w:fill="FFFFFF"/>
          </w:tcPr>
          <w:p w:rsidR="002C39A3" w:rsidRPr="009D7C96" w:rsidRDefault="00AF5DDD" w:rsidP="00361FA9">
            <w:pPr>
              <w:pStyle w:val="TableofFigures"/>
              <w:rPr>
                <w:rFonts w:eastAsiaTheme="minorEastAsia" w:cs="Calibri"/>
                <w:b/>
                <w:bCs/>
                <w:color w:val="000000"/>
                <w:sz w:val="19"/>
                <w:szCs w:val="19"/>
                <w:lang w:eastAsia="en-AU"/>
              </w:rPr>
            </w:pPr>
            <w:r>
              <w:rPr>
                <w:rFonts w:eastAsiaTheme="minorEastAsia"/>
                <w:b/>
                <w:bCs/>
                <w:color w:val="000000"/>
                <w:sz w:val="19"/>
                <w:lang w:eastAsia="en-AU"/>
              </w:rPr>
              <w:t>796</w:t>
            </w:r>
          </w:p>
        </w:tc>
        <w:tc>
          <w:tcPr>
            <w:tcW w:w="850" w:type="dxa"/>
            <w:tcBorders>
              <w:top w:val="single" w:sz="6" w:space="0" w:color="auto"/>
              <w:left w:val="nil"/>
              <w:right w:val="nil"/>
            </w:tcBorders>
            <w:shd w:val="clear" w:color="auto" w:fill="FFFFFF"/>
          </w:tcPr>
          <w:p w:rsidR="002C39A3" w:rsidRPr="009D7C96" w:rsidRDefault="00AF5DDD" w:rsidP="00361FA9">
            <w:pPr>
              <w:pStyle w:val="TableofFigures"/>
              <w:rPr>
                <w:rFonts w:eastAsiaTheme="minorEastAsia" w:cs="Calibri"/>
                <w:b/>
                <w:bCs/>
                <w:color w:val="000000"/>
                <w:sz w:val="19"/>
                <w:szCs w:val="19"/>
                <w:lang w:eastAsia="en-AU"/>
              </w:rPr>
            </w:pPr>
            <w:r>
              <w:rPr>
                <w:rFonts w:eastAsiaTheme="minorEastAsia"/>
                <w:b/>
                <w:bCs/>
                <w:color w:val="000000"/>
                <w:sz w:val="19"/>
                <w:lang w:eastAsia="en-AU"/>
              </w:rPr>
              <w:t>814</w:t>
            </w:r>
          </w:p>
        </w:tc>
        <w:tc>
          <w:tcPr>
            <w:tcW w:w="850" w:type="dxa"/>
            <w:tcBorders>
              <w:top w:val="single" w:sz="6" w:space="0" w:color="auto"/>
              <w:left w:val="nil"/>
              <w:right w:val="nil"/>
            </w:tcBorders>
            <w:shd w:val="clear" w:color="auto" w:fill="FFFFFF"/>
          </w:tcPr>
          <w:p w:rsidR="002C39A3" w:rsidRPr="009D7C96" w:rsidRDefault="00AF5DDD" w:rsidP="00361FA9">
            <w:pPr>
              <w:pStyle w:val="TableofFigures"/>
              <w:rPr>
                <w:rFonts w:eastAsiaTheme="minorEastAsia" w:cs="Calibri"/>
                <w:b/>
                <w:bCs/>
                <w:color w:val="000000"/>
                <w:sz w:val="19"/>
                <w:szCs w:val="19"/>
                <w:lang w:eastAsia="en-AU"/>
              </w:rPr>
            </w:pPr>
            <w:r>
              <w:rPr>
                <w:rFonts w:eastAsiaTheme="minorEastAsia"/>
                <w:b/>
                <w:bCs/>
                <w:color w:val="000000"/>
                <w:sz w:val="19"/>
                <w:lang w:eastAsia="en-AU"/>
              </w:rPr>
              <w:t>847</w:t>
            </w:r>
          </w:p>
        </w:tc>
      </w:tr>
      <w:tr w:rsidR="002C39A3" w:rsidRPr="009D7C96" w:rsidTr="00361FA9">
        <w:tc>
          <w:tcPr>
            <w:tcW w:w="3515" w:type="dxa"/>
            <w:tcBorders>
              <w:top w:val="nil"/>
              <w:left w:val="nil"/>
              <w:right w:val="nil"/>
            </w:tcBorders>
            <w:shd w:val="clear" w:color="auto" w:fill="FFFFFF"/>
          </w:tcPr>
          <w:p w:rsidR="002C39A3" w:rsidRPr="009D7C96" w:rsidRDefault="002C39A3" w:rsidP="00361FA9">
            <w:pPr>
              <w:pStyle w:val="Tabletext"/>
              <w:ind w:left="227" w:hanging="227"/>
              <w:rPr>
                <w:rFonts w:eastAsiaTheme="minorEastAsia" w:cs="Calibri"/>
                <w:color w:val="000000"/>
                <w:szCs w:val="19"/>
                <w:vertAlign w:val="superscript"/>
                <w:lang w:eastAsia="en-AU"/>
              </w:rPr>
            </w:pPr>
            <w:r w:rsidRPr="009D7C96">
              <w:rPr>
                <w:rFonts w:eastAsiaTheme="minorEastAsia"/>
                <w:color w:val="000000"/>
                <w:lang w:eastAsia="en-AU"/>
              </w:rPr>
              <w:t xml:space="preserve">Fair value of assets received free of charge or for nominal consideration </w:t>
            </w:r>
            <w:r w:rsidRPr="009D7C96">
              <w:rPr>
                <w:rFonts w:eastAsiaTheme="minorEastAsia" w:cs="Calibri"/>
                <w:color w:val="000000"/>
                <w:szCs w:val="19"/>
                <w:vertAlign w:val="superscript"/>
                <w:lang w:eastAsia="en-AU"/>
              </w:rPr>
              <w:t>(a)</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96</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290</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55</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55</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55</w:t>
            </w:r>
          </w:p>
        </w:tc>
      </w:tr>
      <w:tr w:rsidR="002C39A3" w:rsidRPr="009D7C96" w:rsidTr="00361FA9">
        <w:tc>
          <w:tcPr>
            <w:tcW w:w="3515" w:type="dxa"/>
            <w:tcBorders>
              <w:top w:val="nil"/>
              <w:left w:val="nil"/>
              <w:right w:val="nil"/>
            </w:tcBorders>
            <w:shd w:val="clear" w:color="auto" w:fill="FFFFFF"/>
          </w:tcPr>
          <w:p w:rsidR="002C39A3" w:rsidRPr="009D7C96" w:rsidRDefault="002C39A3" w:rsidP="00361FA9">
            <w:pPr>
              <w:pStyle w:val="Tabletext"/>
              <w:ind w:left="227" w:hanging="227"/>
              <w:rPr>
                <w:rFonts w:eastAsiaTheme="minorEastAsia"/>
                <w:color w:val="000000"/>
                <w:lang w:eastAsia="en-AU"/>
              </w:rPr>
            </w:pPr>
            <w:r w:rsidRPr="009D7C96">
              <w:rPr>
                <w:rFonts w:eastAsiaTheme="minorEastAsia"/>
                <w:color w:val="000000"/>
                <w:lang w:eastAsia="en-AU"/>
              </w:rPr>
              <w:t>Royalties</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48</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85</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122</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118</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119</w:t>
            </w:r>
          </w:p>
        </w:tc>
      </w:tr>
      <w:tr w:rsidR="002C39A3" w:rsidRPr="009D7C96" w:rsidTr="00361FA9">
        <w:tc>
          <w:tcPr>
            <w:tcW w:w="3515" w:type="dxa"/>
            <w:tcBorders>
              <w:top w:val="nil"/>
              <w:left w:val="nil"/>
              <w:right w:val="nil"/>
            </w:tcBorders>
            <w:shd w:val="clear" w:color="auto" w:fill="FFFFFF"/>
          </w:tcPr>
          <w:p w:rsidR="002C39A3" w:rsidRPr="009D7C96" w:rsidRDefault="002C39A3" w:rsidP="00361FA9">
            <w:pPr>
              <w:pStyle w:val="Tabletext"/>
              <w:ind w:left="227" w:hanging="227"/>
              <w:rPr>
                <w:rFonts w:eastAsiaTheme="minorEastAsia"/>
                <w:color w:val="000000"/>
                <w:lang w:eastAsia="en-AU"/>
              </w:rPr>
            </w:pPr>
            <w:r w:rsidRPr="009D7C96">
              <w:rPr>
                <w:rFonts w:eastAsiaTheme="minorEastAsia"/>
                <w:color w:val="000000"/>
                <w:lang w:eastAsia="en-AU"/>
              </w:rPr>
              <w:t>Donations and gifts</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276</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312</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267</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269</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261</w:t>
            </w:r>
          </w:p>
        </w:tc>
      </w:tr>
      <w:tr w:rsidR="002C39A3" w:rsidRPr="009D7C96" w:rsidTr="00361FA9">
        <w:tc>
          <w:tcPr>
            <w:tcW w:w="3515" w:type="dxa"/>
            <w:tcBorders>
              <w:top w:val="nil"/>
              <w:left w:val="nil"/>
              <w:right w:val="nil"/>
            </w:tcBorders>
            <w:shd w:val="clear" w:color="auto" w:fill="FFFFFF"/>
          </w:tcPr>
          <w:p w:rsidR="002C39A3" w:rsidRPr="009D7C96" w:rsidRDefault="002C39A3" w:rsidP="00361FA9">
            <w:pPr>
              <w:pStyle w:val="Tabletext"/>
              <w:ind w:left="227" w:hanging="227"/>
              <w:rPr>
                <w:rFonts w:eastAsiaTheme="minorEastAsia"/>
                <w:color w:val="000000"/>
                <w:lang w:eastAsia="en-AU"/>
              </w:rPr>
            </w:pPr>
            <w:r w:rsidRPr="009D7C96">
              <w:rPr>
                <w:rFonts w:eastAsiaTheme="minorEastAsia"/>
                <w:color w:val="000000"/>
                <w:lang w:eastAsia="en-AU"/>
              </w:rPr>
              <w:t>Other non-property rental</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21</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22</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22</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22</w:t>
            </w:r>
          </w:p>
        </w:tc>
        <w:tc>
          <w:tcPr>
            <w:tcW w:w="850" w:type="dxa"/>
            <w:tcBorders>
              <w:top w:val="nil"/>
              <w:left w:val="nil"/>
              <w:right w:val="nil"/>
            </w:tcBorders>
            <w:shd w:val="clear" w:color="auto" w:fill="FFFFFF"/>
          </w:tcPr>
          <w:p w:rsidR="002C39A3" w:rsidRPr="009D7C96" w:rsidRDefault="00AF5DDD" w:rsidP="00361FA9">
            <w:pPr>
              <w:pStyle w:val="TableofFigures"/>
              <w:rPr>
                <w:rFonts w:eastAsiaTheme="minorEastAsia" w:cs="Calibri"/>
                <w:color w:val="000000"/>
                <w:sz w:val="19"/>
                <w:szCs w:val="19"/>
                <w:lang w:eastAsia="en-AU"/>
              </w:rPr>
            </w:pPr>
            <w:r>
              <w:rPr>
                <w:rFonts w:eastAsiaTheme="minorEastAsia"/>
                <w:color w:val="000000"/>
                <w:sz w:val="19"/>
                <w:lang w:eastAsia="en-AU"/>
              </w:rPr>
              <w:t>22</w:t>
            </w:r>
          </w:p>
        </w:tc>
      </w:tr>
      <w:tr w:rsidR="002C39A3" w:rsidRPr="009D7C96" w:rsidTr="00361FA9">
        <w:tc>
          <w:tcPr>
            <w:tcW w:w="3515" w:type="dxa"/>
            <w:tcBorders>
              <w:top w:val="nil"/>
              <w:left w:val="nil"/>
              <w:bottom w:val="single" w:sz="6" w:space="0" w:color="auto"/>
              <w:right w:val="nil"/>
            </w:tcBorders>
            <w:shd w:val="clear" w:color="auto" w:fill="FFFFFF"/>
          </w:tcPr>
          <w:p w:rsidR="002C39A3" w:rsidRPr="009D7C96" w:rsidRDefault="002C39A3" w:rsidP="00361FA9">
            <w:pPr>
              <w:pStyle w:val="Tabletext"/>
              <w:ind w:left="227" w:hanging="227"/>
              <w:rPr>
                <w:rFonts w:eastAsiaTheme="minorEastAsia"/>
                <w:color w:val="000000"/>
                <w:lang w:eastAsia="en-AU"/>
              </w:rPr>
            </w:pPr>
            <w:r w:rsidRPr="009D7C96">
              <w:rPr>
                <w:rFonts w:eastAsiaTheme="minorEastAsia"/>
                <w:color w:val="000000"/>
                <w:lang w:eastAsia="en-AU"/>
              </w:rPr>
              <w:t>Other miscellaneous revenue</w:t>
            </w:r>
          </w:p>
        </w:tc>
        <w:tc>
          <w:tcPr>
            <w:tcW w:w="850" w:type="dxa"/>
            <w:tcBorders>
              <w:top w:val="nil"/>
              <w:left w:val="nil"/>
              <w:bottom w:val="single" w:sz="6" w:space="0" w:color="auto"/>
              <w:right w:val="nil"/>
            </w:tcBorders>
            <w:shd w:val="clear" w:color="auto" w:fill="FFFFFF"/>
          </w:tcPr>
          <w:p w:rsidR="002C39A3" w:rsidRPr="009D7C96" w:rsidRDefault="002C39A3" w:rsidP="00361FA9">
            <w:pPr>
              <w:pStyle w:val="TableofFigures"/>
              <w:rPr>
                <w:rFonts w:eastAsiaTheme="minorEastAsia" w:cs="Calibri"/>
                <w:color w:val="000000"/>
                <w:sz w:val="19"/>
                <w:lang w:eastAsia="en-AU"/>
              </w:rPr>
            </w:pPr>
            <w:r w:rsidRPr="009D7C96">
              <w:rPr>
                <w:rFonts w:eastAsiaTheme="minorEastAsia"/>
                <w:color w:val="000000"/>
                <w:sz w:val="19"/>
                <w:lang w:eastAsia="en-AU"/>
              </w:rPr>
              <w:t>1 629</w:t>
            </w:r>
          </w:p>
        </w:tc>
        <w:tc>
          <w:tcPr>
            <w:tcW w:w="850" w:type="dxa"/>
            <w:tcBorders>
              <w:top w:val="nil"/>
              <w:left w:val="nil"/>
              <w:bottom w:val="single" w:sz="6" w:space="0" w:color="auto"/>
              <w:right w:val="nil"/>
            </w:tcBorders>
            <w:shd w:val="clear" w:color="auto" w:fill="FFFFFF"/>
          </w:tcPr>
          <w:p w:rsidR="002C39A3" w:rsidRPr="009D7C96" w:rsidRDefault="002C39A3" w:rsidP="00361FA9">
            <w:pPr>
              <w:pStyle w:val="TableofFigures"/>
              <w:rPr>
                <w:rFonts w:eastAsiaTheme="minorEastAsia" w:cs="Calibri"/>
                <w:color w:val="000000"/>
                <w:sz w:val="19"/>
                <w:lang w:eastAsia="en-AU"/>
              </w:rPr>
            </w:pPr>
            <w:r w:rsidRPr="009D7C96">
              <w:rPr>
                <w:rFonts w:eastAsiaTheme="minorEastAsia"/>
                <w:color w:val="000000"/>
                <w:sz w:val="19"/>
                <w:lang w:eastAsia="en-AU"/>
              </w:rPr>
              <w:t>1 084</w:t>
            </w:r>
          </w:p>
        </w:tc>
        <w:tc>
          <w:tcPr>
            <w:tcW w:w="850" w:type="dxa"/>
            <w:tcBorders>
              <w:top w:val="nil"/>
              <w:left w:val="nil"/>
              <w:bottom w:val="single" w:sz="6" w:space="0" w:color="auto"/>
              <w:right w:val="nil"/>
            </w:tcBorders>
            <w:shd w:val="clear" w:color="auto" w:fill="FFFFFF"/>
          </w:tcPr>
          <w:p w:rsidR="002C39A3" w:rsidRPr="009D7C96" w:rsidRDefault="002C39A3" w:rsidP="00361FA9">
            <w:pPr>
              <w:pStyle w:val="TableofFigures"/>
              <w:rPr>
                <w:rFonts w:eastAsiaTheme="minorEastAsia" w:cs="Calibri"/>
                <w:color w:val="000000"/>
                <w:sz w:val="19"/>
                <w:lang w:eastAsia="en-AU"/>
              </w:rPr>
            </w:pPr>
            <w:r w:rsidRPr="009D7C96">
              <w:rPr>
                <w:rFonts w:eastAsiaTheme="minorEastAsia"/>
                <w:color w:val="000000"/>
                <w:sz w:val="19"/>
                <w:lang w:eastAsia="en-AU"/>
              </w:rPr>
              <w:t>1 057</w:t>
            </w:r>
          </w:p>
        </w:tc>
        <w:tc>
          <w:tcPr>
            <w:tcW w:w="850" w:type="dxa"/>
            <w:tcBorders>
              <w:top w:val="nil"/>
              <w:left w:val="nil"/>
              <w:bottom w:val="single" w:sz="6" w:space="0" w:color="auto"/>
              <w:right w:val="nil"/>
            </w:tcBorders>
            <w:shd w:val="clear" w:color="auto" w:fill="FFFFFF"/>
          </w:tcPr>
          <w:p w:rsidR="002C39A3" w:rsidRPr="009D7C96" w:rsidRDefault="002C39A3" w:rsidP="00361FA9">
            <w:pPr>
              <w:pStyle w:val="TableofFigures"/>
              <w:rPr>
                <w:rFonts w:eastAsiaTheme="minorEastAsia"/>
                <w:color w:val="000000"/>
                <w:sz w:val="19"/>
                <w:lang w:eastAsia="en-AU"/>
              </w:rPr>
            </w:pPr>
            <w:r w:rsidRPr="009D7C96">
              <w:rPr>
                <w:rFonts w:eastAsiaTheme="minorEastAsia"/>
                <w:color w:val="000000"/>
                <w:sz w:val="19"/>
                <w:lang w:eastAsia="en-AU"/>
              </w:rPr>
              <w:t>1 053</w:t>
            </w:r>
          </w:p>
        </w:tc>
        <w:tc>
          <w:tcPr>
            <w:tcW w:w="850" w:type="dxa"/>
            <w:tcBorders>
              <w:top w:val="nil"/>
              <w:left w:val="nil"/>
              <w:bottom w:val="single" w:sz="6" w:space="0" w:color="auto"/>
              <w:right w:val="nil"/>
            </w:tcBorders>
            <w:shd w:val="clear" w:color="auto" w:fill="FFFFFF"/>
          </w:tcPr>
          <w:p w:rsidR="002C39A3" w:rsidRPr="009D7C96" w:rsidRDefault="002C39A3" w:rsidP="00361FA9">
            <w:pPr>
              <w:pStyle w:val="TableofFigures"/>
              <w:rPr>
                <w:rFonts w:eastAsiaTheme="minorEastAsia"/>
                <w:color w:val="000000"/>
                <w:sz w:val="19"/>
                <w:lang w:eastAsia="en-AU"/>
              </w:rPr>
            </w:pPr>
            <w:r w:rsidRPr="009D7C96">
              <w:rPr>
                <w:rFonts w:eastAsiaTheme="minorEastAsia"/>
                <w:color w:val="000000"/>
                <w:sz w:val="19"/>
                <w:lang w:eastAsia="en-AU"/>
              </w:rPr>
              <w:t>1 071</w:t>
            </w:r>
          </w:p>
        </w:tc>
      </w:tr>
      <w:tr w:rsidR="002C39A3" w:rsidRPr="009D7C96" w:rsidTr="00361FA9">
        <w:tc>
          <w:tcPr>
            <w:tcW w:w="3515" w:type="dxa"/>
            <w:tcBorders>
              <w:top w:val="single" w:sz="6" w:space="0" w:color="auto"/>
              <w:left w:val="nil"/>
              <w:bottom w:val="single" w:sz="12" w:space="0" w:color="auto"/>
              <w:right w:val="nil"/>
            </w:tcBorders>
            <w:shd w:val="clear" w:color="auto" w:fill="FFFFFF"/>
          </w:tcPr>
          <w:p w:rsidR="002C39A3" w:rsidRPr="009D7C96" w:rsidRDefault="002C39A3" w:rsidP="00361FA9">
            <w:pPr>
              <w:pStyle w:val="Tabletext"/>
              <w:ind w:left="227" w:hanging="227"/>
              <w:rPr>
                <w:rFonts w:eastAsiaTheme="minorEastAsia"/>
                <w:b/>
                <w:color w:val="000000"/>
                <w:lang w:eastAsia="en-AU"/>
              </w:rPr>
            </w:pPr>
            <w:r w:rsidRPr="009D7C96">
              <w:rPr>
                <w:rFonts w:eastAsiaTheme="minorEastAsia"/>
                <w:b/>
                <w:color w:val="000000"/>
                <w:lang w:eastAsia="en-AU"/>
              </w:rPr>
              <w:t>Total other revenue</w:t>
            </w:r>
          </w:p>
        </w:tc>
        <w:tc>
          <w:tcPr>
            <w:tcW w:w="850" w:type="dxa"/>
            <w:tcBorders>
              <w:top w:val="single" w:sz="6" w:space="0" w:color="auto"/>
              <w:left w:val="nil"/>
              <w:bottom w:val="single" w:sz="12" w:space="0" w:color="auto"/>
              <w:right w:val="nil"/>
            </w:tcBorders>
            <w:shd w:val="clear" w:color="auto" w:fill="FFFFFF"/>
          </w:tcPr>
          <w:p w:rsidR="002C39A3" w:rsidRPr="009D7C96" w:rsidRDefault="002C39A3" w:rsidP="00361FA9">
            <w:pPr>
              <w:pStyle w:val="TableofFigures"/>
              <w:rPr>
                <w:rFonts w:eastAsiaTheme="minorEastAsia"/>
                <w:b/>
                <w:bCs/>
                <w:color w:val="000000"/>
                <w:sz w:val="19"/>
                <w:lang w:eastAsia="en-AU"/>
              </w:rPr>
            </w:pPr>
            <w:r w:rsidRPr="009D7C96">
              <w:rPr>
                <w:rFonts w:eastAsiaTheme="minorEastAsia"/>
                <w:b/>
                <w:bCs/>
                <w:color w:val="000000"/>
                <w:sz w:val="19"/>
                <w:lang w:eastAsia="en-AU"/>
              </w:rPr>
              <w:t>2 828</w:t>
            </w:r>
          </w:p>
        </w:tc>
        <w:tc>
          <w:tcPr>
            <w:tcW w:w="850" w:type="dxa"/>
            <w:tcBorders>
              <w:top w:val="single" w:sz="6" w:space="0" w:color="auto"/>
              <w:left w:val="nil"/>
              <w:bottom w:val="single" w:sz="12" w:space="0" w:color="auto"/>
              <w:right w:val="nil"/>
            </w:tcBorders>
            <w:shd w:val="clear" w:color="auto" w:fill="FFFFFF"/>
          </w:tcPr>
          <w:p w:rsidR="002C39A3" w:rsidRPr="009D7C96" w:rsidRDefault="002C39A3" w:rsidP="00361FA9">
            <w:pPr>
              <w:pStyle w:val="TableofFigures"/>
              <w:rPr>
                <w:rFonts w:eastAsiaTheme="minorEastAsia"/>
                <w:b/>
                <w:bCs/>
                <w:color w:val="000000"/>
                <w:sz w:val="19"/>
                <w:lang w:eastAsia="en-AU"/>
              </w:rPr>
            </w:pPr>
            <w:r w:rsidRPr="009D7C96">
              <w:rPr>
                <w:rFonts w:eastAsiaTheme="minorEastAsia"/>
                <w:b/>
                <w:bCs/>
                <w:color w:val="000000"/>
                <w:sz w:val="19"/>
                <w:lang w:eastAsia="en-AU"/>
              </w:rPr>
              <w:t>2 569</w:t>
            </w:r>
          </w:p>
        </w:tc>
        <w:tc>
          <w:tcPr>
            <w:tcW w:w="850" w:type="dxa"/>
            <w:tcBorders>
              <w:top w:val="single" w:sz="6" w:space="0" w:color="auto"/>
              <w:left w:val="nil"/>
              <w:bottom w:val="single" w:sz="12" w:space="0" w:color="auto"/>
              <w:right w:val="nil"/>
            </w:tcBorders>
            <w:shd w:val="clear" w:color="auto" w:fill="FFFFFF"/>
          </w:tcPr>
          <w:p w:rsidR="002C39A3" w:rsidRPr="009D7C96" w:rsidRDefault="002C39A3" w:rsidP="00361FA9">
            <w:pPr>
              <w:pStyle w:val="TableofFigures"/>
              <w:rPr>
                <w:rFonts w:eastAsiaTheme="minorEastAsia"/>
                <w:b/>
                <w:bCs/>
                <w:color w:val="000000"/>
                <w:sz w:val="19"/>
                <w:lang w:eastAsia="en-AU"/>
              </w:rPr>
            </w:pPr>
            <w:r w:rsidRPr="009D7C96">
              <w:rPr>
                <w:rFonts w:eastAsiaTheme="minorEastAsia"/>
                <w:b/>
                <w:bCs/>
                <w:color w:val="000000"/>
                <w:sz w:val="19"/>
                <w:lang w:eastAsia="en-AU"/>
              </w:rPr>
              <w:t>2 320</w:t>
            </w:r>
          </w:p>
        </w:tc>
        <w:tc>
          <w:tcPr>
            <w:tcW w:w="850" w:type="dxa"/>
            <w:tcBorders>
              <w:top w:val="single" w:sz="6" w:space="0" w:color="auto"/>
              <w:left w:val="nil"/>
              <w:bottom w:val="single" w:sz="12" w:space="0" w:color="auto"/>
              <w:right w:val="nil"/>
            </w:tcBorders>
            <w:shd w:val="clear" w:color="auto" w:fill="FFFFFF"/>
          </w:tcPr>
          <w:p w:rsidR="002C39A3" w:rsidRPr="009D7C96" w:rsidRDefault="002C39A3" w:rsidP="00361FA9">
            <w:pPr>
              <w:pStyle w:val="TableofFigures"/>
              <w:rPr>
                <w:rFonts w:eastAsiaTheme="minorEastAsia"/>
                <w:b/>
                <w:bCs/>
                <w:color w:val="000000"/>
                <w:sz w:val="19"/>
                <w:lang w:eastAsia="en-AU"/>
              </w:rPr>
            </w:pPr>
            <w:r w:rsidRPr="009D7C96">
              <w:rPr>
                <w:rFonts w:eastAsiaTheme="minorEastAsia"/>
                <w:b/>
                <w:bCs/>
                <w:color w:val="000000"/>
                <w:sz w:val="19"/>
                <w:lang w:eastAsia="en-AU"/>
              </w:rPr>
              <w:t>2 331</w:t>
            </w:r>
          </w:p>
        </w:tc>
        <w:tc>
          <w:tcPr>
            <w:tcW w:w="850" w:type="dxa"/>
            <w:tcBorders>
              <w:top w:val="single" w:sz="6" w:space="0" w:color="auto"/>
              <w:left w:val="nil"/>
              <w:bottom w:val="single" w:sz="12" w:space="0" w:color="auto"/>
              <w:right w:val="nil"/>
            </w:tcBorders>
            <w:shd w:val="clear" w:color="auto" w:fill="FFFFFF"/>
          </w:tcPr>
          <w:p w:rsidR="002C39A3" w:rsidRPr="009D7C96" w:rsidRDefault="002C39A3" w:rsidP="00361FA9">
            <w:pPr>
              <w:pStyle w:val="TableofFigures"/>
              <w:rPr>
                <w:rFonts w:eastAsiaTheme="minorEastAsia"/>
                <w:b/>
                <w:bCs/>
                <w:color w:val="000000"/>
                <w:sz w:val="19"/>
                <w:lang w:eastAsia="en-AU"/>
              </w:rPr>
            </w:pPr>
            <w:r w:rsidRPr="009D7C96">
              <w:rPr>
                <w:rFonts w:eastAsiaTheme="minorEastAsia"/>
                <w:b/>
                <w:bCs/>
                <w:color w:val="000000"/>
                <w:sz w:val="19"/>
                <w:lang w:eastAsia="en-AU"/>
              </w:rPr>
              <w:t>2 374</w:t>
            </w:r>
          </w:p>
        </w:tc>
      </w:tr>
    </w:tbl>
    <w:p w:rsidR="002C39A3" w:rsidRDefault="002C39A3" w:rsidP="00361FA9">
      <w:pPr>
        <w:pStyle w:val="Source"/>
        <w:rPr>
          <w:rFonts w:eastAsiaTheme="minorHAnsi"/>
        </w:rPr>
      </w:pPr>
      <w:r w:rsidRPr="009A1C06">
        <w:rPr>
          <w:rFonts w:eastAsiaTheme="minorHAnsi"/>
        </w:rPr>
        <w:t>Source: Department of Treasury and Finance</w:t>
      </w:r>
    </w:p>
    <w:p w:rsidR="002C39A3" w:rsidRDefault="002C39A3" w:rsidP="00361FA9">
      <w:pPr>
        <w:pStyle w:val="Notes"/>
        <w:ind w:left="459" w:hanging="459"/>
        <w:rPr>
          <w:rFonts w:eastAsiaTheme="minorHAnsi"/>
        </w:rPr>
      </w:pPr>
      <w:r>
        <w:rPr>
          <w:rFonts w:eastAsiaTheme="minorHAnsi"/>
        </w:rPr>
        <w:t>Note:</w:t>
      </w:r>
    </w:p>
    <w:p w:rsidR="002C39A3" w:rsidRDefault="002C39A3" w:rsidP="00361FA9">
      <w:pPr>
        <w:pStyle w:val="Notes"/>
        <w:rPr>
          <w:rFonts w:eastAsiaTheme="minorHAnsi"/>
        </w:rPr>
      </w:pPr>
      <w:r>
        <w:rPr>
          <w:rFonts w:eastAsiaTheme="minorHAnsi"/>
        </w:rPr>
        <w:t xml:space="preserve">(a) </w:t>
      </w:r>
      <w:r>
        <w:rPr>
          <w:rFonts w:eastAsiaTheme="minorHAnsi"/>
        </w:rPr>
        <w:tab/>
        <w:t xml:space="preserve">Revenue for 2016-17 reflects assets received </w:t>
      </w:r>
      <w:r w:rsidRPr="0023255E">
        <w:rPr>
          <w:rFonts w:eastAsiaTheme="minorHAnsi"/>
        </w:rPr>
        <w:t xml:space="preserve">free of charge </w:t>
      </w:r>
      <w:r>
        <w:rPr>
          <w:rFonts w:eastAsiaTheme="minorHAnsi"/>
        </w:rPr>
        <w:t xml:space="preserve">associated with </w:t>
      </w:r>
      <w:r w:rsidRPr="0023255E">
        <w:rPr>
          <w:rFonts w:eastAsiaTheme="minorHAnsi"/>
        </w:rPr>
        <w:t>Simonds S</w:t>
      </w:r>
      <w:r>
        <w:rPr>
          <w:rFonts w:eastAsiaTheme="minorHAnsi"/>
        </w:rPr>
        <w:t>tadium from the Geelong City Council.</w:t>
      </w:r>
    </w:p>
    <w:p w:rsidR="002C39A3" w:rsidRPr="0023255E" w:rsidRDefault="002C39A3" w:rsidP="00361FA9">
      <w:pPr>
        <w:rPr>
          <w:rFonts w:eastAsiaTheme="minorHAnsi"/>
        </w:rPr>
      </w:pPr>
    </w:p>
    <w:p w:rsidR="002C39A3" w:rsidRDefault="002C39A3" w:rsidP="00273B20">
      <w:pPr>
        <w:rPr>
          <w:rFonts w:eastAsiaTheme="minorHAnsi"/>
        </w:rPr>
        <w:sectPr w:rsidR="002C39A3" w:rsidSect="00A5700A">
          <w:footerReference w:type="even" r:id="rId59"/>
          <w:footerReference w:type="default" r:id="rId60"/>
          <w:type w:val="oddPage"/>
          <w:pgSz w:w="9979" w:h="14181" w:code="34"/>
          <w:pgMar w:top="1140" w:right="1140" w:bottom="1140" w:left="1140" w:header="720" w:footer="431" w:gutter="0"/>
          <w:cols w:space="708"/>
          <w:docGrid w:linePitch="360"/>
        </w:sectPr>
      </w:pPr>
    </w:p>
    <w:p w:rsidR="002C39A3" w:rsidRDefault="002C39A3" w:rsidP="00361FA9">
      <w:pPr>
        <w:pStyle w:val="ChapterHeading"/>
        <w:rPr>
          <w:rFonts w:eastAsiaTheme="minorHAnsi"/>
        </w:rPr>
      </w:pPr>
      <w:bookmarkStart w:id="54" w:name="_Toc449116212"/>
      <w:r>
        <w:rPr>
          <w:rFonts w:eastAsiaTheme="minorHAnsi"/>
        </w:rPr>
        <w:t>Chapter 5 – Tax expenditures and concessions</w:t>
      </w:r>
      <w:bookmarkEnd w:id="54"/>
    </w:p>
    <w:p w:rsidR="002C39A3" w:rsidRDefault="002C39A3" w:rsidP="00361FA9">
      <w:pPr>
        <w:rPr>
          <w:rFonts w:eastAsiaTheme="minorHAnsi"/>
        </w:rPr>
      </w:pPr>
      <w:r>
        <w:rPr>
          <w:rFonts w:eastAsiaTheme="minorHAnsi"/>
        </w:rPr>
        <w:t>Tax expenditures and concessions are important because they represent foregone revenue to the State. They may take a number of different forms, for example, concessions, benefits and incentives delivered through the tax system. Regardless of form, they provide preferential financial benefit for certain taxpayers, activities or assets compared with normal taxation treatment.</w:t>
      </w:r>
    </w:p>
    <w:p w:rsidR="002C39A3" w:rsidRDefault="002C39A3" w:rsidP="00361FA9">
      <w:pPr>
        <w:pStyle w:val="Heading1"/>
        <w:rPr>
          <w:rFonts w:eastAsiaTheme="minorHAnsi"/>
        </w:rPr>
      </w:pPr>
      <w:bookmarkStart w:id="55" w:name="_Toc449116213"/>
      <w:r>
        <w:rPr>
          <w:rFonts w:eastAsiaTheme="minorHAnsi"/>
        </w:rPr>
        <w:t>Tax expenditures</w:t>
      </w:r>
      <w:bookmarkEnd w:id="55"/>
    </w:p>
    <w:p w:rsidR="002C39A3" w:rsidRDefault="002C39A3" w:rsidP="00361FA9">
      <w:pPr>
        <w:rPr>
          <w:rFonts w:eastAsiaTheme="minorHAnsi"/>
        </w:rPr>
      </w:pPr>
      <w:r>
        <w:rPr>
          <w:rFonts w:eastAsiaTheme="minorHAnsi"/>
        </w:rPr>
        <w:t>Over the past decade, the State has foregone $38.8 billion in revenue in the form of tax expenditures (excluding tax thresholds). In 2016-17, tax expenditures are forecast to be $6.0 billion, around a third of which will accrue to owner</w:t>
      </w:r>
      <w:r>
        <w:rPr>
          <w:rFonts w:eastAsiaTheme="minorHAnsi"/>
        </w:rPr>
        <w:noBreakHyphen/>
        <w:t>occupier households.</w:t>
      </w:r>
    </w:p>
    <w:p w:rsidR="002C39A3" w:rsidRDefault="002C39A3" w:rsidP="00361FA9">
      <w:pPr>
        <w:rPr>
          <w:rFonts w:eastAsiaTheme="minorHAnsi"/>
        </w:rPr>
      </w:pPr>
      <w:r>
        <w:rPr>
          <w:rFonts w:eastAsiaTheme="minorHAnsi"/>
        </w:rPr>
        <w:t>Tax expenditures outlined below can include exemptions, reduced rates, deductions or rebates of tax for a certain type of taxpayer, activity or asset. Benefits from marginal rates and tax</w:t>
      </w:r>
      <w:r>
        <w:rPr>
          <w:rFonts w:eastAsiaTheme="minorHAnsi"/>
        </w:rPr>
        <w:noBreakHyphen/>
        <w:t>free thresholds are not treated as tax expenditures, but are estimated in this chapter as well.</w:t>
      </w:r>
    </w:p>
    <w:p w:rsidR="002C39A3" w:rsidRDefault="002C39A3" w:rsidP="00361FA9">
      <w:pPr>
        <w:rPr>
          <w:rFonts w:eastAsiaTheme="minorHAnsi"/>
        </w:rPr>
      </w:pPr>
      <w:r>
        <w:rPr>
          <w:rFonts w:eastAsiaTheme="minorHAnsi"/>
        </w:rPr>
        <w:t>Tax expenditures are estimated by taking the difference between the reduced tax paid by a person or entity receiving preferential treatment and the tax paid by similar taxpayers who do not receive that treatment. Benefits arising from marginal tax rates and tax</w:t>
      </w:r>
      <w:r>
        <w:rPr>
          <w:rFonts w:eastAsiaTheme="minorHAnsi"/>
        </w:rPr>
        <w:noBreakHyphen/>
        <w:t>free thresholds are not included, since they apply to all taxpayers.</w:t>
      </w:r>
    </w:p>
    <w:p w:rsidR="002C39A3" w:rsidRDefault="002C39A3" w:rsidP="00361FA9">
      <w:pPr>
        <w:rPr>
          <w:rFonts w:eastAsiaTheme="minorHAnsi"/>
        </w:rPr>
      </w:pPr>
      <w:r>
        <w:rPr>
          <w:rFonts w:eastAsiaTheme="minorHAnsi"/>
        </w:rPr>
        <w:t>This Budget introduces three new tax concessions to provide additional incentives for employers and land owners. These tax expenditures apply from 2016-17:</w:t>
      </w:r>
    </w:p>
    <w:p w:rsidR="002C39A3" w:rsidRDefault="002C39A3" w:rsidP="00361FA9">
      <w:pPr>
        <w:pStyle w:val="BulletText"/>
        <w:rPr>
          <w:rFonts w:eastAsiaTheme="minorHAnsi"/>
        </w:rPr>
      </w:pPr>
      <w:r>
        <w:rPr>
          <w:rFonts w:eastAsiaTheme="minorHAnsi"/>
        </w:rPr>
        <w:t>payroll tax exemption for wages of displaced apprentices or trainees;</w:t>
      </w:r>
    </w:p>
    <w:p w:rsidR="002C39A3" w:rsidRDefault="002C39A3" w:rsidP="00361FA9">
      <w:pPr>
        <w:pStyle w:val="BulletText"/>
        <w:rPr>
          <w:rFonts w:eastAsiaTheme="minorHAnsi"/>
        </w:rPr>
      </w:pPr>
      <w:r>
        <w:rPr>
          <w:rFonts w:eastAsiaTheme="minorHAnsi"/>
        </w:rPr>
        <w:t>a staged increase in the payroll tax threshold from $550 000 to $650 000; and</w:t>
      </w:r>
    </w:p>
    <w:p w:rsidR="002C39A3" w:rsidRDefault="002C39A3" w:rsidP="00361FA9">
      <w:pPr>
        <w:pStyle w:val="BulletText"/>
        <w:rPr>
          <w:rFonts w:eastAsiaTheme="minorHAnsi"/>
        </w:rPr>
      </w:pPr>
      <w:r>
        <w:rPr>
          <w:rFonts w:eastAsiaTheme="minorHAnsi"/>
        </w:rPr>
        <w:t>an extension of the exemption</w:t>
      </w:r>
      <w:r w:rsidRPr="009B5887">
        <w:rPr>
          <w:rFonts w:eastAsiaTheme="minorHAnsi"/>
        </w:rPr>
        <w:t xml:space="preserve"> for primary production land in an urban zone </w:t>
      </w:r>
      <w:r>
        <w:rPr>
          <w:rFonts w:eastAsiaTheme="minorHAnsi"/>
        </w:rPr>
        <w:t xml:space="preserve">to land </w:t>
      </w:r>
      <w:r w:rsidRPr="009B5887">
        <w:rPr>
          <w:rFonts w:eastAsiaTheme="minorHAnsi"/>
        </w:rPr>
        <w:t>owned by certain family superannuation trusts.</w:t>
      </w:r>
    </w:p>
    <w:p w:rsidR="002C39A3" w:rsidRPr="000103E1" w:rsidRDefault="002C39A3" w:rsidP="00361FA9">
      <w:pPr>
        <w:rPr>
          <w:rFonts w:eastAsiaTheme="minorHAnsi"/>
        </w:rPr>
      </w:pPr>
      <w:r>
        <w:rPr>
          <w:rFonts w:eastAsiaTheme="minorHAnsi"/>
        </w:rPr>
        <w:t>Table 5.1 shows aggregate tax expenditure estimates by the main tax categories for the period 2014-15 to 2019-20, excluding the effect of tax-free thresholds for land tax and payroll tax. In estimating tax expenditures, the simplifying assumption is made that taxpayer behaviour is unchanged by the concession.</w:t>
      </w:r>
    </w:p>
    <w:p w:rsidR="002C39A3" w:rsidRDefault="002C39A3">
      <w:pPr>
        <w:spacing w:after="0"/>
        <w:rPr>
          <w:rFonts w:eastAsiaTheme="minorHAnsi"/>
        </w:rPr>
      </w:pPr>
      <w:r>
        <w:rPr>
          <w:rFonts w:eastAsiaTheme="minorHAnsi"/>
        </w:rPr>
        <w:br w:type="page"/>
      </w:r>
    </w:p>
    <w:p w:rsidR="002C39A3" w:rsidRDefault="002C39A3" w:rsidP="00361FA9">
      <w:pPr>
        <w:rPr>
          <w:rFonts w:eastAsiaTheme="minorHAnsi"/>
        </w:rPr>
      </w:pPr>
      <w:r w:rsidRPr="004865FD">
        <w:rPr>
          <w:rFonts w:eastAsiaTheme="minorHAnsi"/>
        </w:rPr>
        <w:t>Land tax expenditures form a significant portion of total estimated tax expenditures. The biennial land revaluation in Victoria determines a property</w:t>
      </w:r>
      <w:r w:rsidR="0097550F">
        <w:rPr>
          <w:rFonts w:eastAsiaTheme="minorHAnsi"/>
        </w:rPr>
        <w:t>’</w:t>
      </w:r>
      <w:r w:rsidRPr="004865FD">
        <w:rPr>
          <w:rFonts w:eastAsiaTheme="minorHAnsi"/>
        </w:rPr>
        <w:t>s latest site value which will be used in tax assessments for the next two years. Since the revaluation is performed on all land, including exempt land, increases arising from this revaluation would also raise land tax expenditures. As a result, the growth of total tax expenditures closely resembles the growth profile of land tax expenditure</w:t>
      </w:r>
      <w:r>
        <w:rPr>
          <w:rFonts w:eastAsiaTheme="minorHAnsi"/>
        </w:rPr>
        <w:t>.</w:t>
      </w:r>
      <w:r w:rsidRPr="004865FD">
        <w:rPr>
          <w:rFonts w:eastAsiaTheme="minorHAnsi"/>
        </w:rPr>
        <w:t xml:space="preserve"> For example, a revaluation year such as 2016-17 sees strong growth in expenditures, with more subdued growth in the following year, in this case 2017-18.</w:t>
      </w:r>
    </w:p>
    <w:p w:rsidR="002C39A3" w:rsidRDefault="002C39A3" w:rsidP="00361FA9">
      <w:pPr>
        <w:rPr>
          <w:rFonts w:eastAsiaTheme="minorHAnsi"/>
        </w:rPr>
      </w:pPr>
      <w:r>
        <w:rPr>
          <w:rFonts w:eastAsiaTheme="minorHAnsi"/>
        </w:rPr>
        <w:t>A significant deviation from this trend occurred in 2015</w:t>
      </w:r>
      <w:r>
        <w:rPr>
          <w:rFonts w:eastAsiaTheme="minorHAnsi"/>
        </w:rPr>
        <w:noBreakHyphen/>
        <w:t>16, as tax expenditures increased markedly from 2014</w:t>
      </w:r>
      <w:r>
        <w:rPr>
          <w:rFonts w:eastAsiaTheme="minorHAnsi"/>
        </w:rPr>
        <w:noBreakHyphen/>
        <w:t>15, and are forecast to decrease in 2016</w:t>
      </w:r>
      <w:r>
        <w:rPr>
          <w:rFonts w:eastAsiaTheme="minorHAnsi"/>
        </w:rPr>
        <w:noBreakHyphen/>
        <w:t xml:space="preserve">17. This is because land transfer duty tax expenditures were significantly higher than expected in 2015-16, due to a series of large corporate reconstruction exemptions. </w:t>
      </w:r>
      <w:r w:rsidRPr="00791BEE">
        <w:rPr>
          <w:rFonts w:eastAsiaTheme="minorHAnsi"/>
        </w:rPr>
        <w:t>Corporate reconstructions occur when there is a transfer of property, or a change in the beneficial ownership (including in land) from one member of a corporate group to another member of the group, or when there is an acquisition of a beneficial interest by a member of a corporate group from another member of the group</w:t>
      </w:r>
      <w:r>
        <w:rPr>
          <w:rFonts w:eastAsiaTheme="minorHAnsi"/>
        </w:rPr>
        <w:t xml:space="preserve"> arising from a legitimate corporate restructure</w:t>
      </w:r>
      <w:r w:rsidRPr="00791BEE">
        <w:rPr>
          <w:rFonts w:eastAsiaTheme="minorHAnsi"/>
        </w:rPr>
        <w:t>.</w:t>
      </w:r>
      <w:r>
        <w:rPr>
          <w:rFonts w:eastAsiaTheme="minorHAnsi"/>
        </w:rPr>
        <w:t xml:space="preserve"> The high value of exemptions was largely attributable to 12 separate transactions relating to land containing electricity distribution and sub-transmission networks. </w:t>
      </w:r>
    </w:p>
    <w:p w:rsidR="002C39A3" w:rsidRDefault="002C39A3" w:rsidP="00361FA9">
      <w:pPr>
        <w:pStyle w:val="Tableheading"/>
        <w:rPr>
          <w:rFonts w:eastAsiaTheme="minorHAnsi"/>
          <w:vertAlign w:val="superscript"/>
        </w:rPr>
      </w:pPr>
      <w:r>
        <w:rPr>
          <w:rFonts w:eastAsiaTheme="minorHAnsi"/>
        </w:rPr>
        <w:t>Table 5.1:</w:t>
      </w:r>
      <w:r>
        <w:rPr>
          <w:rFonts w:eastAsiaTheme="minorHAnsi"/>
        </w:rPr>
        <w:tab/>
        <w:t>Estimates of aggregate tax expenditures (excluding thresholds) by type of tax</w:t>
      </w:r>
      <w:r>
        <w:rPr>
          <w:rFonts w:eastAsiaTheme="minorHAnsi"/>
          <w:vertAlign w:val="superscript"/>
        </w:rPr>
        <w:t>(a)(b)</w:t>
      </w:r>
    </w:p>
    <w:p w:rsidR="002C39A3" w:rsidRPr="00363338" w:rsidRDefault="002C39A3" w:rsidP="00361FA9">
      <w:pPr>
        <w:pStyle w:val="million"/>
        <w:rPr>
          <w:rFonts w:eastAsiaTheme="minorHAnsi"/>
          <w:b/>
          <w:bCs/>
          <w:sz w:val="15"/>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2665"/>
        <w:gridCol w:w="170"/>
        <w:gridCol w:w="680"/>
        <w:gridCol w:w="850"/>
        <w:gridCol w:w="850"/>
        <w:gridCol w:w="850"/>
        <w:gridCol w:w="850"/>
        <w:gridCol w:w="850"/>
      </w:tblGrid>
      <w:tr w:rsidR="002C39A3" w:rsidRPr="00363338" w:rsidTr="00361FA9">
        <w:tc>
          <w:tcPr>
            <w:tcW w:w="2665" w:type="dxa"/>
            <w:tcBorders>
              <w:top w:val="nil"/>
              <w:left w:val="nil"/>
              <w:right w:val="nil"/>
            </w:tcBorders>
            <w:shd w:val="solid" w:color="000000" w:fill="auto"/>
          </w:tcPr>
          <w:p w:rsidR="002C39A3" w:rsidRPr="00363338" w:rsidRDefault="002C39A3" w:rsidP="00361FA9">
            <w:pPr>
              <w:pStyle w:val="Source"/>
              <w:spacing w:after="0"/>
              <w:rPr>
                <w:rFonts w:eastAsiaTheme="minorEastAsia" w:cs="Calibri"/>
                <w:iCs/>
                <w:color w:val="FFFFFF"/>
                <w:sz w:val="19"/>
                <w:szCs w:val="19"/>
                <w:lang w:eastAsia="en-AU"/>
              </w:rPr>
            </w:pPr>
            <w:r w:rsidRPr="00363338">
              <w:rPr>
                <w:rFonts w:eastAsiaTheme="minorEastAsia" w:cs="Calibri"/>
                <w:iCs/>
                <w:color w:val="FFFFFF"/>
                <w:sz w:val="19"/>
                <w:szCs w:val="19"/>
                <w:lang w:eastAsia="en-AU"/>
              </w:rPr>
              <w:t>Description</w:t>
            </w:r>
          </w:p>
        </w:tc>
        <w:tc>
          <w:tcPr>
            <w:tcW w:w="850" w:type="dxa"/>
            <w:gridSpan w:val="2"/>
            <w:tcBorders>
              <w:top w:val="nil"/>
              <w:left w:val="nil"/>
              <w:right w:val="nil"/>
            </w:tcBorders>
            <w:shd w:val="solid" w:color="000000" w:fill="auto"/>
          </w:tcPr>
          <w:p w:rsidR="002C39A3" w:rsidRPr="00363338"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63338">
              <w:rPr>
                <w:rFonts w:ascii="Calibri" w:eastAsiaTheme="minorEastAsia" w:hAnsi="Calibri" w:cs="Calibri"/>
                <w:i/>
                <w:iCs/>
                <w:color w:val="FFFFFF"/>
                <w:sz w:val="19"/>
                <w:szCs w:val="19"/>
                <w:lang w:eastAsia="en-AU"/>
              </w:rPr>
              <w:t>2014-15</w:t>
            </w:r>
          </w:p>
        </w:tc>
        <w:tc>
          <w:tcPr>
            <w:tcW w:w="850" w:type="dxa"/>
            <w:tcBorders>
              <w:top w:val="nil"/>
              <w:left w:val="nil"/>
              <w:right w:val="nil"/>
            </w:tcBorders>
            <w:shd w:val="solid" w:color="000000" w:fill="auto"/>
          </w:tcPr>
          <w:p w:rsidR="002C39A3" w:rsidRPr="00363338"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63338">
              <w:rPr>
                <w:rFonts w:ascii="Calibri" w:eastAsiaTheme="minorEastAsia" w:hAnsi="Calibri" w:cs="Calibri"/>
                <w:i/>
                <w:iCs/>
                <w:color w:val="FFFFFF"/>
                <w:sz w:val="19"/>
                <w:szCs w:val="19"/>
                <w:lang w:eastAsia="en-AU"/>
              </w:rPr>
              <w:t>2015-16</w:t>
            </w:r>
          </w:p>
        </w:tc>
        <w:tc>
          <w:tcPr>
            <w:tcW w:w="850" w:type="dxa"/>
            <w:tcBorders>
              <w:top w:val="nil"/>
              <w:left w:val="nil"/>
              <w:right w:val="nil"/>
            </w:tcBorders>
            <w:shd w:val="solid" w:color="000000" w:fill="auto"/>
          </w:tcPr>
          <w:p w:rsidR="002C39A3" w:rsidRPr="00363338"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63338">
              <w:rPr>
                <w:rFonts w:ascii="Calibri" w:eastAsiaTheme="minorEastAsia" w:hAnsi="Calibri" w:cs="Calibri"/>
                <w:i/>
                <w:iCs/>
                <w:color w:val="FFFFFF"/>
                <w:sz w:val="19"/>
                <w:szCs w:val="19"/>
                <w:lang w:eastAsia="en-AU"/>
              </w:rPr>
              <w:t>2016-17</w:t>
            </w:r>
          </w:p>
        </w:tc>
        <w:tc>
          <w:tcPr>
            <w:tcW w:w="850" w:type="dxa"/>
            <w:tcBorders>
              <w:top w:val="nil"/>
              <w:left w:val="nil"/>
              <w:right w:val="nil"/>
            </w:tcBorders>
            <w:shd w:val="solid" w:color="000000" w:fill="auto"/>
          </w:tcPr>
          <w:p w:rsidR="002C39A3" w:rsidRPr="00363338"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63338">
              <w:rPr>
                <w:rFonts w:ascii="Calibri" w:eastAsiaTheme="minorEastAsia" w:hAnsi="Calibri" w:cs="Calibri"/>
                <w:i/>
                <w:iCs/>
                <w:color w:val="FFFFFF"/>
                <w:sz w:val="19"/>
                <w:szCs w:val="19"/>
                <w:lang w:eastAsia="en-AU"/>
              </w:rPr>
              <w:t>2017-18</w:t>
            </w:r>
          </w:p>
        </w:tc>
        <w:tc>
          <w:tcPr>
            <w:tcW w:w="850" w:type="dxa"/>
            <w:tcBorders>
              <w:top w:val="nil"/>
              <w:left w:val="nil"/>
              <w:right w:val="nil"/>
            </w:tcBorders>
            <w:shd w:val="solid" w:color="000000" w:fill="auto"/>
          </w:tcPr>
          <w:p w:rsidR="002C39A3" w:rsidRPr="00363338"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63338">
              <w:rPr>
                <w:rFonts w:ascii="Calibri" w:eastAsiaTheme="minorEastAsia" w:hAnsi="Calibri" w:cs="Calibri"/>
                <w:i/>
                <w:iCs/>
                <w:color w:val="FFFFFF"/>
                <w:sz w:val="19"/>
                <w:szCs w:val="19"/>
                <w:lang w:eastAsia="en-AU"/>
              </w:rPr>
              <w:t>2018-19</w:t>
            </w:r>
          </w:p>
        </w:tc>
        <w:tc>
          <w:tcPr>
            <w:tcW w:w="850" w:type="dxa"/>
            <w:tcBorders>
              <w:top w:val="nil"/>
              <w:left w:val="nil"/>
              <w:right w:val="nil"/>
            </w:tcBorders>
            <w:shd w:val="solid" w:color="000000" w:fill="auto"/>
          </w:tcPr>
          <w:p w:rsidR="002C39A3" w:rsidRPr="00363338"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63338">
              <w:rPr>
                <w:rFonts w:ascii="Calibri" w:eastAsiaTheme="minorEastAsia" w:hAnsi="Calibri" w:cs="Calibri"/>
                <w:i/>
                <w:iCs/>
                <w:color w:val="FFFFFF"/>
                <w:sz w:val="19"/>
                <w:szCs w:val="19"/>
                <w:lang w:eastAsia="en-AU"/>
              </w:rPr>
              <w:t>2019-20</w:t>
            </w:r>
          </w:p>
        </w:tc>
      </w:tr>
      <w:tr w:rsidR="002C39A3" w:rsidRPr="00363338" w:rsidTr="00361FA9">
        <w:tc>
          <w:tcPr>
            <w:tcW w:w="2665"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Land tax</w:t>
            </w:r>
          </w:p>
        </w:tc>
        <w:tc>
          <w:tcPr>
            <w:tcW w:w="850" w:type="dxa"/>
            <w:gridSpan w:val="2"/>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2 988</w:t>
            </w:r>
          </w:p>
        </w:tc>
        <w:tc>
          <w:tcPr>
            <w:tcW w:w="850"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2 990</w:t>
            </w:r>
          </w:p>
        </w:tc>
        <w:tc>
          <w:tcPr>
            <w:tcW w:w="850"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3 821</w:t>
            </w:r>
          </w:p>
        </w:tc>
        <w:tc>
          <w:tcPr>
            <w:tcW w:w="850"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3 736</w:t>
            </w:r>
          </w:p>
        </w:tc>
        <w:tc>
          <w:tcPr>
            <w:tcW w:w="850"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4 227</w:t>
            </w:r>
          </w:p>
        </w:tc>
        <w:tc>
          <w:tcPr>
            <w:tcW w:w="850"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4 125</w:t>
            </w:r>
          </w:p>
        </w:tc>
      </w:tr>
      <w:tr w:rsidR="002C39A3" w:rsidRPr="00363338" w:rsidTr="00361FA9">
        <w:tc>
          <w:tcPr>
            <w:tcW w:w="2665"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Fire Services Property Levy</w:t>
            </w:r>
          </w:p>
        </w:tc>
        <w:tc>
          <w:tcPr>
            <w:tcW w:w="850" w:type="dxa"/>
            <w:gridSpan w:val="2"/>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22</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22</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22</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22</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22</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22</w:t>
            </w:r>
          </w:p>
        </w:tc>
      </w:tr>
      <w:tr w:rsidR="002C39A3" w:rsidRPr="00363338" w:rsidTr="00361FA9">
        <w:tc>
          <w:tcPr>
            <w:tcW w:w="2665"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Payroll tax</w:t>
            </w:r>
          </w:p>
        </w:tc>
        <w:tc>
          <w:tcPr>
            <w:tcW w:w="850" w:type="dxa"/>
            <w:gridSpan w:val="2"/>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1 144</w:t>
            </w:r>
          </w:p>
        </w:tc>
        <w:tc>
          <w:tcPr>
            <w:tcW w:w="850"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1 199</w:t>
            </w:r>
          </w:p>
        </w:tc>
        <w:tc>
          <w:tcPr>
            <w:tcW w:w="850"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1 270</w:t>
            </w:r>
          </w:p>
        </w:tc>
        <w:tc>
          <w:tcPr>
            <w:tcW w:w="850"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1 342</w:t>
            </w:r>
          </w:p>
        </w:tc>
        <w:tc>
          <w:tcPr>
            <w:tcW w:w="850"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1 413</w:t>
            </w:r>
          </w:p>
        </w:tc>
        <w:tc>
          <w:tcPr>
            <w:tcW w:w="850"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1 487</w:t>
            </w:r>
          </w:p>
        </w:tc>
      </w:tr>
      <w:tr w:rsidR="002C39A3" w:rsidRPr="00363338" w:rsidTr="00361FA9">
        <w:tc>
          <w:tcPr>
            <w:tcW w:w="2665"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Gambling tax</w:t>
            </w:r>
          </w:p>
        </w:tc>
        <w:tc>
          <w:tcPr>
            <w:tcW w:w="850" w:type="dxa"/>
            <w:gridSpan w:val="2"/>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72</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74</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75</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77</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78</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79</w:t>
            </w:r>
          </w:p>
        </w:tc>
      </w:tr>
      <w:tr w:rsidR="002C39A3" w:rsidRPr="00363338" w:rsidTr="00361FA9">
        <w:tc>
          <w:tcPr>
            <w:tcW w:w="2665"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Motor vehicle taxes</w:t>
            </w:r>
          </w:p>
        </w:tc>
        <w:tc>
          <w:tcPr>
            <w:tcW w:w="850" w:type="dxa"/>
            <w:gridSpan w:val="2"/>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166</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178</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190</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198</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205</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216</w:t>
            </w:r>
          </w:p>
        </w:tc>
      </w:tr>
      <w:tr w:rsidR="002C39A3" w:rsidRPr="00363338" w:rsidTr="00361FA9">
        <w:tc>
          <w:tcPr>
            <w:tcW w:w="2665"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363338">
              <w:rPr>
                <w:rFonts w:ascii="Calibri" w:eastAsiaTheme="minorEastAsia" w:hAnsi="Calibri" w:cs="Calibri"/>
                <w:color w:val="000000"/>
                <w:sz w:val="19"/>
                <w:szCs w:val="19"/>
                <w:lang w:eastAsia="en-AU"/>
              </w:rPr>
              <w:t xml:space="preserve">Land transfer duties </w:t>
            </w:r>
            <w:r w:rsidRPr="00363338">
              <w:rPr>
                <w:rFonts w:ascii="Calibri" w:eastAsiaTheme="minorEastAsia" w:hAnsi="Calibri" w:cs="Calibri"/>
                <w:color w:val="000000"/>
                <w:sz w:val="19"/>
                <w:szCs w:val="19"/>
                <w:vertAlign w:val="superscript"/>
                <w:lang w:eastAsia="en-AU"/>
              </w:rPr>
              <w:t>(c)</w:t>
            </w:r>
          </w:p>
        </w:tc>
        <w:tc>
          <w:tcPr>
            <w:tcW w:w="850" w:type="dxa"/>
            <w:gridSpan w:val="2"/>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670</w:t>
            </w:r>
          </w:p>
        </w:tc>
        <w:tc>
          <w:tcPr>
            <w:tcW w:w="850"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1 871</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617</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633</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658</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689</w:t>
            </w:r>
          </w:p>
        </w:tc>
      </w:tr>
      <w:tr w:rsidR="002C39A3" w:rsidRPr="00363338" w:rsidTr="00361FA9">
        <w:tc>
          <w:tcPr>
            <w:tcW w:w="2665" w:type="dxa"/>
            <w:tcBorders>
              <w:top w:val="nil"/>
              <w:left w:val="nil"/>
              <w:bottom w:val="single" w:sz="6" w:space="0" w:color="auto"/>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Congestion levy</w:t>
            </w:r>
          </w:p>
        </w:tc>
        <w:tc>
          <w:tcPr>
            <w:tcW w:w="850" w:type="dxa"/>
            <w:gridSpan w:val="2"/>
            <w:tcBorders>
              <w:top w:val="nil"/>
              <w:left w:val="nil"/>
              <w:bottom w:val="single" w:sz="6" w:space="0" w:color="auto"/>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40</w:t>
            </w:r>
          </w:p>
        </w:tc>
        <w:tc>
          <w:tcPr>
            <w:tcW w:w="850" w:type="dxa"/>
            <w:tcBorders>
              <w:top w:val="nil"/>
              <w:left w:val="nil"/>
              <w:bottom w:val="single" w:sz="6" w:space="0" w:color="auto"/>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52</w:t>
            </w:r>
          </w:p>
        </w:tc>
        <w:tc>
          <w:tcPr>
            <w:tcW w:w="850" w:type="dxa"/>
            <w:tcBorders>
              <w:top w:val="nil"/>
              <w:left w:val="nil"/>
              <w:bottom w:val="single" w:sz="6" w:space="0" w:color="auto"/>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53</w:t>
            </w:r>
          </w:p>
        </w:tc>
        <w:tc>
          <w:tcPr>
            <w:tcW w:w="850" w:type="dxa"/>
            <w:tcBorders>
              <w:top w:val="nil"/>
              <w:left w:val="nil"/>
              <w:bottom w:val="single" w:sz="6" w:space="0" w:color="auto"/>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54</w:t>
            </w:r>
          </w:p>
        </w:tc>
        <w:tc>
          <w:tcPr>
            <w:tcW w:w="850" w:type="dxa"/>
            <w:tcBorders>
              <w:top w:val="nil"/>
              <w:left w:val="nil"/>
              <w:bottom w:val="single" w:sz="6" w:space="0" w:color="auto"/>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55</w:t>
            </w:r>
          </w:p>
        </w:tc>
        <w:tc>
          <w:tcPr>
            <w:tcW w:w="850" w:type="dxa"/>
            <w:tcBorders>
              <w:top w:val="nil"/>
              <w:left w:val="nil"/>
              <w:bottom w:val="single" w:sz="6" w:space="0" w:color="auto"/>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57</w:t>
            </w:r>
          </w:p>
        </w:tc>
      </w:tr>
      <w:tr w:rsidR="002C39A3" w:rsidRPr="00363338" w:rsidTr="00361FA9">
        <w:tc>
          <w:tcPr>
            <w:tcW w:w="2835" w:type="dxa"/>
            <w:gridSpan w:val="2"/>
            <w:tcBorders>
              <w:top w:val="single" w:sz="6" w:space="0" w:color="auto"/>
              <w:left w:val="nil"/>
              <w:bottom w:val="single" w:sz="12" w:space="0" w:color="auto"/>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Total estimated tax expenditures</w:t>
            </w:r>
          </w:p>
        </w:tc>
        <w:tc>
          <w:tcPr>
            <w:tcW w:w="680" w:type="dxa"/>
            <w:tcBorders>
              <w:top w:val="single" w:sz="6" w:space="0" w:color="auto"/>
              <w:left w:val="nil"/>
              <w:bottom w:val="single" w:sz="12" w:space="0" w:color="auto"/>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5 102</w:t>
            </w:r>
          </w:p>
        </w:tc>
        <w:tc>
          <w:tcPr>
            <w:tcW w:w="850" w:type="dxa"/>
            <w:tcBorders>
              <w:top w:val="single" w:sz="6" w:space="0" w:color="auto"/>
              <w:left w:val="nil"/>
              <w:bottom w:val="single" w:sz="12" w:space="0" w:color="auto"/>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6 386</w:t>
            </w:r>
          </w:p>
        </w:tc>
        <w:tc>
          <w:tcPr>
            <w:tcW w:w="850" w:type="dxa"/>
            <w:tcBorders>
              <w:top w:val="single" w:sz="6" w:space="0" w:color="auto"/>
              <w:left w:val="nil"/>
              <w:bottom w:val="single" w:sz="12" w:space="0" w:color="auto"/>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6 049</w:t>
            </w:r>
          </w:p>
        </w:tc>
        <w:tc>
          <w:tcPr>
            <w:tcW w:w="850" w:type="dxa"/>
            <w:tcBorders>
              <w:top w:val="single" w:sz="6" w:space="0" w:color="auto"/>
              <w:left w:val="nil"/>
              <w:bottom w:val="single" w:sz="12" w:space="0" w:color="auto"/>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6 061</w:t>
            </w:r>
          </w:p>
        </w:tc>
        <w:tc>
          <w:tcPr>
            <w:tcW w:w="850" w:type="dxa"/>
            <w:tcBorders>
              <w:top w:val="single" w:sz="6" w:space="0" w:color="auto"/>
              <w:left w:val="nil"/>
              <w:bottom w:val="single" w:sz="12" w:space="0" w:color="auto"/>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6 659</w:t>
            </w:r>
          </w:p>
        </w:tc>
        <w:tc>
          <w:tcPr>
            <w:tcW w:w="850" w:type="dxa"/>
            <w:tcBorders>
              <w:top w:val="single" w:sz="6" w:space="0" w:color="auto"/>
              <w:left w:val="nil"/>
              <w:bottom w:val="single" w:sz="12" w:space="0" w:color="auto"/>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6 675</w:t>
            </w:r>
          </w:p>
        </w:tc>
      </w:tr>
    </w:tbl>
    <w:p w:rsidR="002C39A3" w:rsidRDefault="002C39A3" w:rsidP="00361FA9">
      <w:pPr>
        <w:pStyle w:val="Source"/>
        <w:rPr>
          <w:rFonts w:eastAsiaTheme="minorHAnsi"/>
        </w:rPr>
      </w:pPr>
      <w:r>
        <w:rPr>
          <w:rFonts w:eastAsiaTheme="minorHAnsi"/>
        </w:rPr>
        <w:t>Source: Department of Treasury and Finance</w:t>
      </w:r>
    </w:p>
    <w:p w:rsidR="002C39A3" w:rsidRDefault="002C39A3" w:rsidP="00361FA9">
      <w:pPr>
        <w:pStyle w:val="Notes"/>
        <w:rPr>
          <w:rFonts w:eastAsiaTheme="minorHAnsi"/>
        </w:rPr>
      </w:pPr>
      <w:r>
        <w:rPr>
          <w:rFonts w:eastAsiaTheme="minorHAnsi"/>
        </w:rPr>
        <w:t>Note:</w:t>
      </w:r>
    </w:p>
    <w:p w:rsidR="002C39A3" w:rsidRDefault="002C39A3" w:rsidP="00361FA9">
      <w:pPr>
        <w:pStyle w:val="Notes"/>
        <w:rPr>
          <w:rFonts w:eastAsiaTheme="minorHAnsi"/>
        </w:rPr>
      </w:pPr>
      <w:r>
        <w:rPr>
          <w:rFonts w:eastAsiaTheme="minorHAnsi"/>
        </w:rPr>
        <w:t>(a)</w:t>
      </w:r>
      <w:r>
        <w:rPr>
          <w:rFonts w:eastAsiaTheme="minorHAnsi"/>
        </w:rPr>
        <w:tab/>
        <w:t xml:space="preserve">Tax expenditures associated with thresholds are excluded due to the different nature of these expenditures to other taxation expenditures. Expenditures are benefits that target certain taxpayers or activities, whereas thresholds exclude transactions below a certain size. </w:t>
      </w:r>
    </w:p>
    <w:p w:rsidR="002C39A3" w:rsidRDefault="002C39A3" w:rsidP="00361FA9">
      <w:pPr>
        <w:pStyle w:val="Notes"/>
        <w:rPr>
          <w:rFonts w:eastAsiaTheme="minorHAnsi"/>
        </w:rPr>
      </w:pPr>
      <w:r>
        <w:rPr>
          <w:rFonts w:eastAsiaTheme="minorHAnsi"/>
        </w:rPr>
        <w:t>(b)</w:t>
      </w:r>
      <w:r>
        <w:rPr>
          <w:rFonts w:eastAsiaTheme="minorHAnsi"/>
        </w:rPr>
        <w:tab/>
        <w:t>All amounts have been rounded to the nearest $1 million unless otherwise stated. Figures may not add due to rounding.</w:t>
      </w:r>
    </w:p>
    <w:p w:rsidR="002C39A3" w:rsidRDefault="002C39A3" w:rsidP="00361FA9">
      <w:pPr>
        <w:pStyle w:val="Notes"/>
        <w:rPr>
          <w:rFonts w:eastAsiaTheme="minorHAnsi"/>
        </w:rPr>
      </w:pPr>
      <w:r>
        <w:rPr>
          <w:rFonts w:eastAsiaTheme="minorHAnsi"/>
        </w:rPr>
        <w:t>(c)</w:t>
      </w:r>
      <w:r>
        <w:rPr>
          <w:rFonts w:eastAsiaTheme="minorHAnsi"/>
        </w:rPr>
        <w:tab/>
      </w:r>
      <w:r w:rsidRPr="000F4782">
        <w:rPr>
          <w:rFonts w:eastAsiaTheme="minorHAnsi"/>
        </w:rPr>
        <w:t>The h</w:t>
      </w:r>
      <w:r>
        <w:rPr>
          <w:rFonts w:eastAsiaTheme="minorHAnsi"/>
        </w:rPr>
        <w:t>igh level of land transfer duty</w:t>
      </w:r>
      <w:r w:rsidRPr="000F4782">
        <w:rPr>
          <w:rFonts w:eastAsiaTheme="minorHAnsi"/>
        </w:rPr>
        <w:t xml:space="preserve"> tax expenditures in 2015-16 is due to a significant increase in the value of corporate reconstruction exemptions. In December 2015</w:t>
      </w:r>
      <w:r>
        <w:rPr>
          <w:rFonts w:eastAsiaTheme="minorHAnsi"/>
        </w:rPr>
        <w:t xml:space="preserve">, </w:t>
      </w:r>
      <w:r w:rsidRPr="000F4782">
        <w:rPr>
          <w:rFonts w:eastAsiaTheme="minorHAnsi"/>
        </w:rPr>
        <w:t>the S</w:t>
      </w:r>
      <w:r>
        <w:rPr>
          <w:rFonts w:eastAsiaTheme="minorHAnsi"/>
        </w:rPr>
        <w:t xml:space="preserve">tate </w:t>
      </w:r>
      <w:r w:rsidRPr="000F4782">
        <w:rPr>
          <w:rFonts w:eastAsiaTheme="minorHAnsi"/>
        </w:rPr>
        <w:t>R</w:t>
      </w:r>
      <w:r>
        <w:rPr>
          <w:rFonts w:eastAsiaTheme="minorHAnsi"/>
        </w:rPr>
        <w:t xml:space="preserve">evenue </w:t>
      </w:r>
      <w:r w:rsidRPr="000F4782">
        <w:rPr>
          <w:rFonts w:eastAsiaTheme="minorHAnsi"/>
        </w:rPr>
        <w:t>O</w:t>
      </w:r>
      <w:r>
        <w:rPr>
          <w:rFonts w:eastAsiaTheme="minorHAnsi"/>
        </w:rPr>
        <w:t>ffice</w:t>
      </w:r>
      <w:r w:rsidRPr="000F4782">
        <w:rPr>
          <w:rFonts w:eastAsiaTheme="minorHAnsi"/>
        </w:rPr>
        <w:t xml:space="preserve"> reviewed a series of related high value transactions that were subsequently found to be exempt under section 250 of the </w:t>
      </w:r>
      <w:r w:rsidRPr="00986C5D">
        <w:rPr>
          <w:rFonts w:eastAsiaTheme="minorHAnsi"/>
          <w:i w:val="0"/>
        </w:rPr>
        <w:t>Duties Act 2000</w:t>
      </w:r>
      <w:r w:rsidRPr="000F4782">
        <w:rPr>
          <w:rFonts w:eastAsiaTheme="minorHAnsi"/>
        </w:rPr>
        <w:t xml:space="preserve"> (corporate reconstruction).</w:t>
      </w:r>
    </w:p>
    <w:p w:rsidR="002C39A3" w:rsidRPr="00E40BE5" w:rsidRDefault="002C39A3" w:rsidP="00361FA9">
      <w:pPr>
        <w:rPr>
          <w:rFonts w:eastAsiaTheme="minorHAnsi"/>
        </w:rPr>
      </w:pPr>
    </w:p>
    <w:p w:rsidR="002C39A3" w:rsidRDefault="002C39A3" w:rsidP="00361FA9">
      <w:pPr>
        <w:rPr>
          <w:rFonts w:eastAsiaTheme="minorHAnsi"/>
        </w:rPr>
      </w:pPr>
      <w:r>
        <w:rPr>
          <w:rFonts w:eastAsiaTheme="minorHAnsi"/>
        </w:rPr>
        <w:t>Table 5.2 lists a breakdown of the aggregate tax expenditures that can be costed by type of tax, including benefits arising from tax</w:t>
      </w:r>
      <w:r>
        <w:rPr>
          <w:rFonts w:eastAsiaTheme="minorHAnsi"/>
        </w:rPr>
        <w:noBreakHyphen/>
        <w:t xml:space="preserve">free thresholds. The 2016 revaluation cycle is expected to result in strong growth in land tax expenditures in 2016-17. </w:t>
      </w:r>
      <w:r>
        <w:rPr>
          <w:rFonts w:eastAsiaTheme="minorHAnsi"/>
        </w:rPr>
        <w:br w:type="page"/>
      </w:r>
    </w:p>
    <w:p w:rsidR="002C39A3" w:rsidRPr="00E82B1C" w:rsidRDefault="002C39A3" w:rsidP="00361FA9">
      <w:pPr>
        <w:pStyle w:val="Tableheading"/>
        <w:rPr>
          <w:rFonts w:eastAsiaTheme="minorHAnsi"/>
          <w:vertAlign w:val="superscript"/>
        </w:rPr>
      </w:pPr>
      <w:r>
        <w:rPr>
          <w:rFonts w:eastAsiaTheme="minorHAnsi"/>
        </w:rPr>
        <w:t>Table 5.2:</w:t>
      </w:r>
      <w:r>
        <w:rPr>
          <w:rFonts w:eastAsiaTheme="minorHAnsi"/>
        </w:rPr>
        <w:tab/>
        <w:t>Estimates of tax expenditures that can be costed (including thresholds)</w:t>
      </w:r>
      <w:r>
        <w:rPr>
          <w:rFonts w:eastAsiaTheme="minorHAnsi"/>
          <w:vertAlign w:val="superscript"/>
        </w:rPr>
        <w:t>(a)</w:t>
      </w:r>
    </w:p>
    <w:p w:rsidR="002C39A3" w:rsidRPr="00C02A24" w:rsidRDefault="002C39A3" w:rsidP="00361FA9">
      <w:pPr>
        <w:pStyle w:val="million"/>
        <w:rPr>
          <w:rFonts w:eastAsiaTheme="minorHAnsi"/>
          <w:b/>
          <w:bCs/>
          <w:sz w:val="15"/>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3119"/>
        <w:gridCol w:w="142"/>
        <w:gridCol w:w="632"/>
        <w:gridCol w:w="774"/>
        <w:gridCol w:w="775"/>
        <w:gridCol w:w="774"/>
        <w:gridCol w:w="774"/>
        <w:gridCol w:w="775"/>
      </w:tblGrid>
      <w:tr w:rsidR="002C39A3" w:rsidRPr="00C02A24" w:rsidTr="00361FA9">
        <w:trPr>
          <w:tblHeader/>
        </w:trPr>
        <w:tc>
          <w:tcPr>
            <w:tcW w:w="3119" w:type="dxa"/>
            <w:tcBorders>
              <w:top w:val="nil"/>
              <w:left w:val="nil"/>
              <w:right w:val="nil"/>
            </w:tcBorders>
            <w:shd w:val="solid" w:color="000000" w:fill="auto"/>
            <w:vAlign w:val="bottom"/>
          </w:tcPr>
          <w:p w:rsidR="002C39A3" w:rsidRPr="00C02A24" w:rsidRDefault="002C39A3" w:rsidP="00361FA9">
            <w:pPr>
              <w:pStyle w:val="Source"/>
              <w:spacing w:after="0"/>
              <w:rPr>
                <w:rFonts w:eastAsiaTheme="minorEastAsia" w:cs="Calibri"/>
                <w:iCs/>
                <w:color w:val="FFFFFF"/>
                <w:sz w:val="19"/>
                <w:szCs w:val="19"/>
                <w:lang w:eastAsia="en-AU"/>
              </w:rPr>
            </w:pPr>
            <w:r w:rsidRPr="00C02A24">
              <w:rPr>
                <w:rFonts w:eastAsiaTheme="minorEastAsia" w:cs="Calibri"/>
                <w:iCs/>
                <w:color w:val="FFFFFF"/>
                <w:sz w:val="19"/>
                <w:szCs w:val="19"/>
                <w:lang w:eastAsia="en-AU"/>
              </w:rPr>
              <w:t>Description</w:t>
            </w:r>
          </w:p>
        </w:tc>
        <w:tc>
          <w:tcPr>
            <w:tcW w:w="774" w:type="dxa"/>
            <w:gridSpan w:val="2"/>
            <w:tcBorders>
              <w:top w:val="nil"/>
              <w:left w:val="nil"/>
              <w:right w:val="nil"/>
            </w:tcBorders>
            <w:shd w:val="solid" w:color="000000" w:fill="auto"/>
            <w:vAlign w:val="bottom"/>
          </w:tcPr>
          <w:p w:rsidR="002C39A3" w:rsidRPr="00C02A24"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C02A24">
              <w:rPr>
                <w:rFonts w:ascii="Calibri" w:eastAsiaTheme="minorEastAsia" w:hAnsi="Calibri" w:cs="Calibri"/>
                <w:i/>
                <w:iCs/>
                <w:color w:val="FFFFFF"/>
                <w:sz w:val="19"/>
                <w:szCs w:val="19"/>
                <w:lang w:eastAsia="en-AU"/>
              </w:rPr>
              <w:t>2014-15</w:t>
            </w:r>
          </w:p>
        </w:tc>
        <w:tc>
          <w:tcPr>
            <w:tcW w:w="774" w:type="dxa"/>
            <w:tcBorders>
              <w:top w:val="nil"/>
              <w:left w:val="nil"/>
              <w:right w:val="nil"/>
            </w:tcBorders>
            <w:shd w:val="solid" w:color="000000" w:fill="auto"/>
            <w:vAlign w:val="bottom"/>
          </w:tcPr>
          <w:p w:rsidR="002C39A3" w:rsidRPr="00C02A24"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C02A24">
              <w:rPr>
                <w:rFonts w:ascii="Calibri" w:eastAsiaTheme="minorEastAsia" w:hAnsi="Calibri" w:cs="Calibri"/>
                <w:i/>
                <w:iCs/>
                <w:color w:val="FFFFFF"/>
                <w:sz w:val="19"/>
                <w:szCs w:val="19"/>
                <w:lang w:eastAsia="en-AU"/>
              </w:rPr>
              <w:t>2015-16</w:t>
            </w:r>
          </w:p>
        </w:tc>
        <w:tc>
          <w:tcPr>
            <w:tcW w:w="775" w:type="dxa"/>
            <w:tcBorders>
              <w:top w:val="nil"/>
              <w:left w:val="nil"/>
              <w:right w:val="nil"/>
            </w:tcBorders>
            <w:shd w:val="solid" w:color="000000" w:fill="auto"/>
            <w:vAlign w:val="bottom"/>
          </w:tcPr>
          <w:p w:rsidR="002C39A3" w:rsidRPr="00C02A24"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C02A24">
              <w:rPr>
                <w:rFonts w:ascii="Calibri" w:eastAsiaTheme="minorEastAsia" w:hAnsi="Calibri" w:cs="Calibri"/>
                <w:i/>
                <w:iCs/>
                <w:color w:val="FFFFFF"/>
                <w:sz w:val="19"/>
                <w:szCs w:val="19"/>
                <w:lang w:eastAsia="en-AU"/>
              </w:rPr>
              <w:t>2016-17</w:t>
            </w:r>
          </w:p>
        </w:tc>
        <w:tc>
          <w:tcPr>
            <w:tcW w:w="774" w:type="dxa"/>
            <w:tcBorders>
              <w:top w:val="nil"/>
              <w:left w:val="nil"/>
              <w:right w:val="nil"/>
            </w:tcBorders>
            <w:shd w:val="solid" w:color="000000" w:fill="auto"/>
            <w:vAlign w:val="bottom"/>
          </w:tcPr>
          <w:p w:rsidR="002C39A3" w:rsidRPr="00C02A24"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C02A24">
              <w:rPr>
                <w:rFonts w:ascii="Calibri" w:eastAsiaTheme="minorEastAsia" w:hAnsi="Calibri" w:cs="Calibri"/>
                <w:i/>
                <w:iCs/>
                <w:color w:val="FFFFFF"/>
                <w:sz w:val="19"/>
                <w:szCs w:val="19"/>
                <w:lang w:eastAsia="en-AU"/>
              </w:rPr>
              <w:t>2017-18</w:t>
            </w:r>
          </w:p>
        </w:tc>
        <w:tc>
          <w:tcPr>
            <w:tcW w:w="774" w:type="dxa"/>
            <w:tcBorders>
              <w:top w:val="nil"/>
              <w:left w:val="nil"/>
              <w:right w:val="nil"/>
            </w:tcBorders>
            <w:shd w:val="solid" w:color="000000" w:fill="auto"/>
            <w:vAlign w:val="bottom"/>
          </w:tcPr>
          <w:p w:rsidR="002C39A3" w:rsidRPr="00C02A24"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C02A24">
              <w:rPr>
                <w:rFonts w:ascii="Calibri" w:eastAsiaTheme="minorEastAsia" w:hAnsi="Calibri" w:cs="Calibri"/>
                <w:i/>
                <w:iCs/>
                <w:color w:val="FFFFFF"/>
                <w:sz w:val="19"/>
                <w:szCs w:val="19"/>
                <w:lang w:eastAsia="en-AU"/>
              </w:rPr>
              <w:t>2018-19</w:t>
            </w:r>
          </w:p>
        </w:tc>
        <w:tc>
          <w:tcPr>
            <w:tcW w:w="775" w:type="dxa"/>
            <w:tcBorders>
              <w:top w:val="nil"/>
              <w:left w:val="nil"/>
              <w:right w:val="nil"/>
            </w:tcBorders>
            <w:shd w:val="solid" w:color="000000" w:fill="auto"/>
            <w:vAlign w:val="bottom"/>
          </w:tcPr>
          <w:p w:rsidR="002C39A3" w:rsidRPr="00C02A24"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C02A24">
              <w:rPr>
                <w:rFonts w:ascii="Calibri" w:eastAsiaTheme="minorEastAsia" w:hAnsi="Calibri" w:cs="Calibri"/>
                <w:i/>
                <w:iCs/>
                <w:color w:val="FFFFFF"/>
                <w:sz w:val="19"/>
                <w:szCs w:val="19"/>
                <w:lang w:eastAsia="en-AU"/>
              </w:rPr>
              <w:t>2019-20</w:t>
            </w:r>
          </w:p>
        </w:tc>
      </w:tr>
      <w:tr w:rsidR="00EA058F" w:rsidRPr="00C02A24" w:rsidTr="00EA058F">
        <w:tc>
          <w:tcPr>
            <w:tcW w:w="7765" w:type="dxa"/>
            <w:gridSpan w:val="8"/>
            <w:tcBorders>
              <w:top w:val="nil"/>
              <w:left w:val="nil"/>
              <w:right w:val="nil"/>
            </w:tcBorders>
            <w:shd w:val="solid" w:color="FFFFFF" w:fill="FFFFFF"/>
          </w:tcPr>
          <w:p w:rsidR="00EA058F" w:rsidRPr="00C02A24" w:rsidRDefault="00EA058F" w:rsidP="00EA058F">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b/>
                <w:bCs/>
                <w:color w:val="000000"/>
                <w:sz w:val="19"/>
                <w:szCs w:val="19"/>
                <w:lang w:eastAsia="en-AU"/>
              </w:rPr>
              <w:t>Land tax</w:t>
            </w:r>
          </w:p>
        </w:tc>
      </w:tr>
      <w:tr w:rsidR="002C39A3" w:rsidRPr="00C02A24" w:rsidTr="00361FA9">
        <w:tc>
          <w:tcPr>
            <w:tcW w:w="3119" w:type="dxa"/>
            <w:tcBorders>
              <w:top w:val="nil"/>
              <w:left w:val="nil"/>
              <w:right w:val="nil"/>
            </w:tcBorders>
            <w:shd w:val="clear" w:color="auto"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Crown property (right of Victoria)</w:t>
            </w:r>
          </w:p>
        </w:tc>
        <w:tc>
          <w:tcPr>
            <w:tcW w:w="774" w:type="dxa"/>
            <w:gridSpan w:val="2"/>
            <w:tcBorders>
              <w:top w:val="nil"/>
              <w:left w:val="nil"/>
              <w:right w:val="nil"/>
            </w:tcBorders>
            <w:shd w:val="clear" w:color="auto"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395</w:t>
            </w:r>
          </w:p>
        </w:tc>
        <w:tc>
          <w:tcPr>
            <w:tcW w:w="774" w:type="dxa"/>
            <w:tcBorders>
              <w:top w:val="nil"/>
              <w:left w:val="nil"/>
              <w:right w:val="nil"/>
            </w:tcBorders>
            <w:shd w:val="clear" w:color="auto"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405</w:t>
            </w:r>
          </w:p>
        </w:tc>
        <w:tc>
          <w:tcPr>
            <w:tcW w:w="775" w:type="dxa"/>
            <w:tcBorders>
              <w:top w:val="nil"/>
              <w:left w:val="nil"/>
              <w:right w:val="nil"/>
            </w:tcBorders>
            <w:shd w:val="clear" w:color="auto"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517</w:t>
            </w:r>
          </w:p>
        </w:tc>
        <w:tc>
          <w:tcPr>
            <w:tcW w:w="774" w:type="dxa"/>
            <w:tcBorders>
              <w:top w:val="nil"/>
              <w:left w:val="nil"/>
              <w:right w:val="nil"/>
            </w:tcBorders>
            <w:shd w:val="clear" w:color="auto"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506</w:t>
            </w:r>
          </w:p>
        </w:tc>
        <w:tc>
          <w:tcPr>
            <w:tcW w:w="774" w:type="dxa"/>
            <w:tcBorders>
              <w:top w:val="nil"/>
              <w:left w:val="nil"/>
              <w:right w:val="nil"/>
            </w:tcBorders>
            <w:shd w:val="clear" w:color="auto"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572</w:t>
            </w:r>
          </w:p>
        </w:tc>
        <w:tc>
          <w:tcPr>
            <w:tcW w:w="775" w:type="dxa"/>
            <w:tcBorders>
              <w:top w:val="nil"/>
              <w:left w:val="nil"/>
              <w:right w:val="nil"/>
            </w:tcBorders>
            <w:shd w:val="clear" w:color="auto"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558</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Principal place of residence</w:t>
            </w:r>
          </w:p>
        </w:tc>
        <w:tc>
          <w:tcPr>
            <w:tcW w:w="774" w:type="dxa"/>
            <w:gridSpan w:val="2"/>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1 369</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1 363</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1 740</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1 701</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1 925</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1 878</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Land held in trust for public or municipal purposes or vested in any municipality</w:t>
            </w:r>
          </w:p>
        </w:tc>
        <w:tc>
          <w:tcPr>
            <w:tcW w:w="774" w:type="dxa"/>
            <w:gridSpan w:val="2"/>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207</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210</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268</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262</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296</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289</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Land used by charitable institutions</w:t>
            </w:r>
          </w:p>
        </w:tc>
        <w:tc>
          <w:tcPr>
            <w:tcW w:w="774" w:type="dxa"/>
            <w:gridSpan w:val="2"/>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138</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145</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185</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181</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205</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200</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Commonwealth land</w:t>
            </w:r>
          </w:p>
        </w:tc>
        <w:tc>
          <w:tcPr>
            <w:tcW w:w="774" w:type="dxa"/>
            <w:gridSpan w:val="2"/>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212</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212</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270</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264</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299</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292</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Land used for primary production</w:t>
            </w:r>
          </w:p>
        </w:tc>
        <w:tc>
          <w:tcPr>
            <w:tcW w:w="774" w:type="dxa"/>
            <w:gridSpan w:val="2"/>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363</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350</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450</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440</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498</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486</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Land vested in public statutory authorities</w:t>
            </w:r>
          </w:p>
        </w:tc>
        <w:tc>
          <w:tcPr>
            <w:tcW w:w="774" w:type="dxa"/>
            <w:gridSpan w:val="2"/>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170</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174</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222</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218</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246</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240</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Land used for the CityLink network</w:t>
            </w:r>
          </w:p>
        </w:tc>
        <w:tc>
          <w:tcPr>
            <w:tcW w:w="774" w:type="dxa"/>
            <w:gridSpan w:val="2"/>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26</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26</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33</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32</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36</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35</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 xml:space="preserve">Assessment on a single holding basis for land owned by a municipality </w:t>
            </w:r>
          </w:p>
        </w:tc>
        <w:tc>
          <w:tcPr>
            <w:tcW w:w="774" w:type="dxa"/>
            <w:gridSpan w:val="2"/>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11</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8</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10</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10</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11</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11</w:t>
            </w:r>
          </w:p>
        </w:tc>
      </w:tr>
      <w:tr w:rsidR="002C39A3" w:rsidRPr="00C02A24" w:rsidTr="00361FA9">
        <w:tc>
          <w:tcPr>
            <w:tcW w:w="3261" w:type="dxa"/>
            <w:gridSpan w:val="2"/>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Partial exemption for non-profit organisations solely for social, sporting, cultural or literary purposes; or horse, pony or harness racing</w:t>
            </w:r>
          </w:p>
        </w:tc>
        <w:tc>
          <w:tcPr>
            <w:tcW w:w="632"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9</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11</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14</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14</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16</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16</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Assessment on a single holding basis for land owned by charities</w:t>
            </w:r>
          </w:p>
        </w:tc>
        <w:tc>
          <w:tcPr>
            <w:tcW w:w="774" w:type="dxa"/>
            <w:gridSpan w:val="2"/>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18</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14</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18</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18</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20</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20</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Retirement villages</w:t>
            </w:r>
          </w:p>
        </w:tc>
        <w:tc>
          <w:tcPr>
            <w:tcW w:w="774" w:type="dxa"/>
            <w:gridSpan w:val="2"/>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21</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21</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27</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27</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30</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29</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Non-profit organisations providing outdoor cultural or sporting recreation (excluding horse, pony or harness racing)</w:t>
            </w:r>
          </w:p>
        </w:tc>
        <w:tc>
          <w:tcPr>
            <w:tcW w:w="774" w:type="dxa"/>
            <w:gridSpan w:val="2"/>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31</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31</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40</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39</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44</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43</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Land tax exemption for friendly societies</w:t>
            </w:r>
          </w:p>
        </w:tc>
        <w:tc>
          <w:tcPr>
            <w:tcW w:w="774" w:type="dxa"/>
            <w:gridSpan w:val="2"/>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Associations of ex-servicemen</w:t>
            </w:r>
          </w:p>
        </w:tc>
        <w:tc>
          <w:tcPr>
            <w:tcW w:w="774" w:type="dxa"/>
            <w:gridSpan w:val="2"/>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Aggregated site value below tax-free threshold</w:t>
            </w:r>
          </w:p>
        </w:tc>
        <w:tc>
          <w:tcPr>
            <w:tcW w:w="774" w:type="dxa"/>
            <w:gridSpan w:val="2"/>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71</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74</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94</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92</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104</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102</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Caravan parks</w:t>
            </w:r>
          </w:p>
        </w:tc>
        <w:tc>
          <w:tcPr>
            <w:tcW w:w="774" w:type="dxa"/>
            <w:gridSpan w:val="2"/>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5</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5</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6</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6</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7</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6</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Residential care facilities</w:t>
            </w:r>
          </w:p>
        </w:tc>
        <w:tc>
          <w:tcPr>
            <w:tcW w:w="774" w:type="dxa"/>
            <w:gridSpan w:val="2"/>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10</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12</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16</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15</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17</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17</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Low cost accommodation</w:t>
            </w:r>
          </w:p>
        </w:tc>
        <w:tc>
          <w:tcPr>
            <w:tcW w:w="774" w:type="dxa"/>
            <w:gridSpan w:val="2"/>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w:t>
            </w:r>
          </w:p>
        </w:tc>
      </w:tr>
      <w:tr w:rsidR="002C39A3" w:rsidRPr="00C02A24" w:rsidTr="00361FA9">
        <w:tc>
          <w:tcPr>
            <w:tcW w:w="3119"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Land tax exemption for mining</w:t>
            </w:r>
          </w:p>
        </w:tc>
        <w:tc>
          <w:tcPr>
            <w:tcW w:w="774" w:type="dxa"/>
            <w:gridSpan w:val="2"/>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w:t>
            </w:r>
          </w:p>
        </w:tc>
        <w:tc>
          <w:tcPr>
            <w:tcW w:w="774"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w:t>
            </w:r>
          </w:p>
        </w:tc>
        <w:tc>
          <w:tcPr>
            <w:tcW w:w="775"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w:t>
            </w:r>
          </w:p>
        </w:tc>
        <w:tc>
          <w:tcPr>
            <w:tcW w:w="774"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w:t>
            </w:r>
          </w:p>
        </w:tc>
        <w:tc>
          <w:tcPr>
            <w:tcW w:w="774"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w:t>
            </w:r>
          </w:p>
        </w:tc>
        <w:tc>
          <w:tcPr>
            <w:tcW w:w="775"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w:t>
            </w:r>
          </w:p>
        </w:tc>
      </w:tr>
      <w:tr w:rsidR="002C39A3" w:rsidRPr="00C02A24" w:rsidTr="00361FA9">
        <w:tc>
          <w:tcPr>
            <w:tcW w:w="3119"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Total land tax expenditures</w:t>
            </w:r>
          </w:p>
        </w:tc>
        <w:tc>
          <w:tcPr>
            <w:tcW w:w="774" w:type="dxa"/>
            <w:gridSpan w:val="2"/>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3 058</w:t>
            </w:r>
          </w:p>
        </w:tc>
        <w:tc>
          <w:tcPr>
            <w:tcW w:w="774"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3 064</w:t>
            </w:r>
          </w:p>
        </w:tc>
        <w:tc>
          <w:tcPr>
            <w:tcW w:w="775"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3 915</w:t>
            </w:r>
          </w:p>
        </w:tc>
        <w:tc>
          <w:tcPr>
            <w:tcW w:w="774"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3 828</w:t>
            </w:r>
          </w:p>
        </w:tc>
        <w:tc>
          <w:tcPr>
            <w:tcW w:w="774"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4 332</w:t>
            </w:r>
          </w:p>
        </w:tc>
        <w:tc>
          <w:tcPr>
            <w:tcW w:w="775"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4 226</w:t>
            </w:r>
          </w:p>
        </w:tc>
      </w:tr>
    </w:tbl>
    <w:p w:rsidR="002C39A3" w:rsidRDefault="002C39A3" w:rsidP="00361FA9">
      <w:pPr>
        <w:pStyle w:val="Tableheadingcontinued"/>
      </w:pPr>
    </w:p>
    <w:p w:rsidR="002C39A3" w:rsidRDefault="002C39A3" w:rsidP="00361FA9">
      <w:pPr>
        <w:pStyle w:val="Heading1"/>
      </w:pPr>
      <w:r>
        <w:br w:type="page"/>
      </w:r>
    </w:p>
    <w:p w:rsidR="002C39A3" w:rsidRDefault="002C39A3" w:rsidP="00361FA9">
      <w:pPr>
        <w:pStyle w:val="Tableheadingcontinued"/>
      </w:pPr>
      <w:r>
        <w:t>Table 5.2:</w:t>
      </w:r>
      <w:r>
        <w:tab/>
        <w:t>Estimates of tax expenditures that can be costed (including thresholds)</w:t>
      </w:r>
      <w:r w:rsidRPr="0087101F">
        <w:rPr>
          <w:vertAlign w:val="superscript"/>
        </w:rPr>
        <w:t>(a)</w:t>
      </w:r>
      <w:r>
        <w:t xml:space="preserve"> </w:t>
      </w:r>
      <w:r w:rsidRPr="0087101F">
        <w:rPr>
          <w:i/>
        </w:rPr>
        <w:t>(continued)</w:t>
      </w:r>
    </w:p>
    <w:p w:rsidR="002C39A3" w:rsidRDefault="002C39A3" w:rsidP="00361FA9">
      <w:pPr>
        <w:pStyle w:val="million"/>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119"/>
        <w:gridCol w:w="101"/>
        <w:gridCol w:w="41"/>
        <w:gridCol w:w="632"/>
        <w:gridCol w:w="774"/>
        <w:gridCol w:w="775"/>
        <w:gridCol w:w="774"/>
        <w:gridCol w:w="774"/>
        <w:gridCol w:w="775"/>
      </w:tblGrid>
      <w:tr w:rsidR="002C39A3" w:rsidRPr="00C02A24" w:rsidTr="00361FA9">
        <w:trPr>
          <w:tblHeader/>
        </w:trPr>
        <w:tc>
          <w:tcPr>
            <w:tcW w:w="3119" w:type="dxa"/>
            <w:tcBorders>
              <w:top w:val="nil"/>
              <w:left w:val="nil"/>
              <w:right w:val="nil"/>
            </w:tcBorders>
            <w:shd w:val="solid" w:color="000000" w:fill="auto"/>
            <w:vAlign w:val="bottom"/>
          </w:tcPr>
          <w:p w:rsidR="002C39A3" w:rsidRPr="00C02A24" w:rsidRDefault="002C39A3" w:rsidP="00361FA9">
            <w:pPr>
              <w:pStyle w:val="Source"/>
              <w:spacing w:after="0"/>
              <w:rPr>
                <w:rFonts w:eastAsiaTheme="minorEastAsia" w:cs="Calibri"/>
                <w:iCs/>
                <w:color w:val="FFFFFF"/>
                <w:sz w:val="19"/>
                <w:szCs w:val="19"/>
                <w:lang w:eastAsia="en-AU"/>
              </w:rPr>
            </w:pPr>
            <w:r w:rsidRPr="00C02A24">
              <w:rPr>
                <w:rFonts w:eastAsiaTheme="minorEastAsia" w:cs="Calibri"/>
                <w:iCs/>
                <w:color w:val="FFFFFF"/>
                <w:sz w:val="19"/>
                <w:szCs w:val="19"/>
                <w:lang w:eastAsia="en-AU"/>
              </w:rPr>
              <w:t>Description</w:t>
            </w:r>
          </w:p>
        </w:tc>
        <w:tc>
          <w:tcPr>
            <w:tcW w:w="774" w:type="dxa"/>
            <w:gridSpan w:val="3"/>
            <w:tcBorders>
              <w:top w:val="nil"/>
              <w:left w:val="nil"/>
              <w:right w:val="nil"/>
            </w:tcBorders>
            <w:shd w:val="solid" w:color="000000" w:fill="auto"/>
            <w:vAlign w:val="bottom"/>
          </w:tcPr>
          <w:p w:rsidR="002C39A3" w:rsidRPr="00C02A24"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C02A24">
              <w:rPr>
                <w:rFonts w:ascii="Calibri" w:eastAsiaTheme="minorEastAsia" w:hAnsi="Calibri" w:cs="Calibri"/>
                <w:i/>
                <w:iCs/>
                <w:color w:val="FFFFFF"/>
                <w:sz w:val="19"/>
                <w:szCs w:val="19"/>
                <w:lang w:eastAsia="en-AU"/>
              </w:rPr>
              <w:t>2014-15</w:t>
            </w:r>
          </w:p>
        </w:tc>
        <w:tc>
          <w:tcPr>
            <w:tcW w:w="774" w:type="dxa"/>
            <w:tcBorders>
              <w:top w:val="nil"/>
              <w:left w:val="nil"/>
              <w:right w:val="nil"/>
            </w:tcBorders>
            <w:shd w:val="solid" w:color="000000" w:fill="auto"/>
            <w:vAlign w:val="bottom"/>
          </w:tcPr>
          <w:p w:rsidR="002C39A3" w:rsidRPr="00C02A24"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C02A24">
              <w:rPr>
                <w:rFonts w:ascii="Calibri" w:eastAsiaTheme="minorEastAsia" w:hAnsi="Calibri" w:cs="Calibri"/>
                <w:i/>
                <w:iCs/>
                <w:color w:val="FFFFFF"/>
                <w:sz w:val="19"/>
                <w:szCs w:val="19"/>
                <w:lang w:eastAsia="en-AU"/>
              </w:rPr>
              <w:t>2015-16</w:t>
            </w:r>
          </w:p>
        </w:tc>
        <w:tc>
          <w:tcPr>
            <w:tcW w:w="775" w:type="dxa"/>
            <w:tcBorders>
              <w:top w:val="nil"/>
              <w:left w:val="nil"/>
              <w:right w:val="nil"/>
            </w:tcBorders>
            <w:shd w:val="solid" w:color="000000" w:fill="auto"/>
            <w:vAlign w:val="bottom"/>
          </w:tcPr>
          <w:p w:rsidR="002C39A3" w:rsidRPr="00C02A24"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C02A24">
              <w:rPr>
                <w:rFonts w:ascii="Calibri" w:eastAsiaTheme="minorEastAsia" w:hAnsi="Calibri" w:cs="Calibri"/>
                <w:i/>
                <w:iCs/>
                <w:color w:val="FFFFFF"/>
                <w:sz w:val="19"/>
                <w:szCs w:val="19"/>
                <w:lang w:eastAsia="en-AU"/>
              </w:rPr>
              <w:t>2016-17</w:t>
            </w:r>
          </w:p>
        </w:tc>
        <w:tc>
          <w:tcPr>
            <w:tcW w:w="774" w:type="dxa"/>
            <w:tcBorders>
              <w:top w:val="nil"/>
              <w:left w:val="nil"/>
              <w:right w:val="nil"/>
            </w:tcBorders>
            <w:shd w:val="solid" w:color="000000" w:fill="auto"/>
            <w:vAlign w:val="bottom"/>
          </w:tcPr>
          <w:p w:rsidR="002C39A3" w:rsidRPr="00C02A24"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C02A24">
              <w:rPr>
                <w:rFonts w:ascii="Calibri" w:eastAsiaTheme="minorEastAsia" w:hAnsi="Calibri" w:cs="Calibri"/>
                <w:i/>
                <w:iCs/>
                <w:color w:val="FFFFFF"/>
                <w:sz w:val="19"/>
                <w:szCs w:val="19"/>
                <w:lang w:eastAsia="en-AU"/>
              </w:rPr>
              <w:t>2017-18</w:t>
            </w:r>
          </w:p>
        </w:tc>
        <w:tc>
          <w:tcPr>
            <w:tcW w:w="774" w:type="dxa"/>
            <w:tcBorders>
              <w:top w:val="nil"/>
              <w:left w:val="nil"/>
              <w:right w:val="nil"/>
            </w:tcBorders>
            <w:shd w:val="solid" w:color="000000" w:fill="auto"/>
            <w:vAlign w:val="bottom"/>
          </w:tcPr>
          <w:p w:rsidR="002C39A3" w:rsidRPr="00C02A24"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C02A24">
              <w:rPr>
                <w:rFonts w:ascii="Calibri" w:eastAsiaTheme="minorEastAsia" w:hAnsi="Calibri" w:cs="Calibri"/>
                <w:i/>
                <w:iCs/>
                <w:color w:val="FFFFFF"/>
                <w:sz w:val="19"/>
                <w:szCs w:val="19"/>
                <w:lang w:eastAsia="en-AU"/>
              </w:rPr>
              <w:t>2018-19</w:t>
            </w:r>
          </w:p>
        </w:tc>
        <w:tc>
          <w:tcPr>
            <w:tcW w:w="775" w:type="dxa"/>
            <w:tcBorders>
              <w:top w:val="nil"/>
              <w:left w:val="nil"/>
              <w:right w:val="nil"/>
            </w:tcBorders>
            <w:shd w:val="solid" w:color="000000" w:fill="auto"/>
            <w:vAlign w:val="bottom"/>
          </w:tcPr>
          <w:p w:rsidR="002C39A3" w:rsidRPr="00C02A24"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C02A24">
              <w:rPr>
                <w:rFonts w:ascii="Calibri" w:eastAsiaTheme="minorEastAsia" w:hAnsi="Calibri" w:cs="Calibri"/>
                <w:i/>
                <w:iCs/>
                <w:color w:val="FFFFFF"/>
                <w:sz w:val="19"/>
                <w:szCs w:val="19"/>
                <w:lang w:eastAsia="en-AU"/>
              </w:rPr>
              <w:t>2019-20</w:t>
            </w:r>
          </w:p>
        </w:tc>
      </w:tr>
      <w:tr w:rsidR="00EA058F" w:rsidRPr="00C02A24" w:rsidTr="00EA058F">
        <w:tc>
          <w:tcPr>
            <w:tcW w:w="7765" w:type="dxa"/>
            <w:gridSpan w:val="9"/>
            <w:tcBorders>
              <w:top w:val="nil"/>
              <w:left w:val="nil"/>
              <w:right w:val="nil"/>
            </w:tcBorders>
            <w:shd w:val="clear" w:color="000000" w:fill="FFFFFF"/>
          </w:tcPr>
          <w:p w:rsidR="00EA058F" w:rsidRPr="00C02A24" w:rsidRDefault="00EA058F" w:rsidP="00EA058F">
            <w:pPr>
              <w:pStyle w:val="Heading6"/>
              <w:pageBreakBefore w:val="0"/>
              <w:rPr>
                <w:b w:val="0"/>
                <w:bCs w:val="0"/>
              </w:rPr>
            </w:pPr>
            <w:r w:rsidRPr="00C02A24">
              <w:t>Fire Services Property Levy</w:t>
            </w:r>
          </w:p>
        </w:tc>
      </w:tr>
      <w:tr w:rsidR="002C39A3" w:rsidRPr="00C02A24" w:rsidTr="00361FA9">
        <w:tc>
          <w:tcPr>
            <w:tcW w:w="3119"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Fire Services Property Levy concession for pensioners and Department of Veterans</w:t>
            </w:r>
            <w:r w:rsidR="0097550F">
              <w:rPr>
                <w:rFonts w:ascii="Calibri" w:eastAsiaTheme="minorEastAsia" w:hAnsi="Calibri" w:cs="Calibri"/>
                <w:color w:val="000000"/>
                <w:sz w:val="19"/>
                <w:szCs w:val="19"/>
                <w:lang w:eastAsia="en-AU"/>
              </w:rPr>
              <w:t>’</w:t>
            </w:r>
            <w:r w:rsidRPr="00C02A24">
              <w:rPr>
                <w:rFonts w:ascii="Calibri" w:eastAsiaTheme="minorEastAsia" w:hAnsi="Calibri" w:cs="Calibri"/>
                <w:color w:val="000000"/>
                <w:sz w:val="19"/>
                <w:szCs w:val="19"/>
                <w:lang w:eastAsia="en-AU"/>
              </w:rPr>
              <w:t xml:space="preserve"> Affairs cardholders</w:t>
            </w:r>
          </w:p>
        </w:tc>
        <w:tc>
          <w:tcPr>
            <w:tcW w:w="774" w:type="dxa"/>
            <w:gridSpan w:val="3"/>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22</w:t>
            </w:r>
          </w:p>
        </w:tc>
        <w:tc>
          <w:tcPr>
            <w:tcW w:w="774"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22</w:t>
            </w:r>
          </w:p>
        </w:tc>
        <w:tc>
          <w:tcPr>
            <w:tcW w:w="775"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22</w:t>
            </w:r>
          </w:p>
        </w:tc>
        <w:tc>
          <w:tcPr>
            <w:tcW w:w="774"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22</w:t>
            </w:r>
          </w:p>
        </w:tc>
        <w:tc>
          <w:tcPr>
            <w:tcW w:w="774"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22</w:t>
            </w:r>
          </w:p>
        </w:tc>
        <w:tc>
          <w:tcPr>
            <w:tcW w:w="775"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22</w:t>
            </w:r>
          </w:p>
        </w:tc>
      </w:tr>
      <w:tr w:rsidR="002C39A3" w:rsidRPr="00C02A24" w:rsidTr="00361FA9">
        <w:tc>
          <w:tcPr>
            <w:tcW w:w="3119" w:type="dxa"/>
            <w:tcBorders>
              <w:top w:val="single" w:sz="6" w:space="0" w:color="auto"/>
              <w:left w:val="nil"/>
              <w:bottom w:val="single" w:sz="4" w:space="0" w:color="auto"/>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Total Fire Services Property Levy expenditures</w:t>
            </w:r>
          </w:p>
        </w:tc>
        <w:tc>
          <w:tcPr>
            <w:tcW w:w="774" w:type="dxa"/>
            <w:gridSpan w:val="3"/>
            <w:tcBorders>
              <w:top w:val="single" w:sz="6" w:space="0" w:color="auto"/>
              <w:left w:val="nil"/>
              <w:bottom w:val="single" w:sz="4"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22</w:t>
            </w:r>
          </w:p>
        </w:tc>
        <w:tc>
          <w:tcPr>
            <w:tcW w:w="774" w:type="dxa"/>
            <w:tcBorders>
              <w:top w:val="single" w:sz="6" w:space="0" w:color="auto"/>
              <w:left w:val="nil"/>
              <w:bottom w:val="single" w:sz="4"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22</w:t>
            </w:r>
          </w:p>
        </w:tc>
        <w:tc>
          <w:tcPr>
            <w:tcW w:w="775" w:type="dxa"/>
            <w:tcBorders>
              <w:top w:val="single" w:sz="6" w:space="0" w:color="auto"/>
              <w:left w:val="nil"/>
              <w:bottom w:val="single" w:sz="4"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22</w:t>
            </w:r>
          </w:p>
        </w:tc>
        <w:tc>
          <w:tcPr>
            <w:tcW w:w="774" w:type="dxa"/>
            <w:tcBorders>
              <w:top w:val="single" w:sz="6" w:space="0" w:color="auto"/>
              <w:left w:val="nil"/>
              <w:bottom w:val="single" w:sz="4"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22</w:t>
            </w:r>
          </w:p>
        </w:tc>
        <w:tc>
          <w:tcPr>
            <w:tcW w:w="774" w:type="dxa"/>
            <w:tcBorders>
              <w:top w:val="single" w:sz="6" w:space="0" w:color="auto"/>
              <w:left w:val="nil"/>
              <w:bottom w:val="single" w:sz="4"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22</w:t>
            </w:r>
          </w:p>
        </w:tc>
        <w:tc>
          <w:tcPr>
            <w:tcW w:w="775" w:type="dxa"/>
            <w:tcBorders>
              <w:top w:val="single" w:sz="6" w:space="0" w:color="auto"/>
              <w:left w:val="nil"/>
              <w:bottom w:val="single" w:sz="4"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22</w:t>
            </w:r>
          </w:p>
        </w:tc>
      </w:tr>
      <w:tr w:rsidR="00EA058F" w:rsidRPr="00C02A24" w:rsidTr="00EA058F">
        <w:trPr>
          <w:trHeight w:hRule="exact" w:val="120"/>
        </w:trPr>
        <w:tc>
          <w:tcPr>
            <w:tcW w:w="7765" w:type="dxa"/>
            <w:gridSpan w:val="9"/>
            <w:tcBorders>
              <w:top w:val="single" w:sz="4" w:space="0" w:color="auto"/>
              <w:left w:val="nil"/>
              <w:right w:val="nil"/>
            </w:tcBorders>
            <w:shd w:val="clear" w:color="000000" w:fill="FFFFFF"/>
          </w:tcPr>
          <w:p w:rsidR="00EA058F" w:rsidRPr="00C02A24"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p>
        </w:tc>
      </w:tr>
      <w:tr w:rsidR="00EA058F" w:rsidRPr="00C02A24" w:rsidTr="00EA058F">
        <w:tc>
          <w:tcPr>
            <w:tcW w:w="7765" w:type="dxa"/>
            <w:gridSpan w:val="9"/>
            <w:tcBorders>
              <w:top w:val="nil"/>
              <w:left w:val="nil"/>
              <w:right w:val="nil"/>
            </w:tcBorders>
            <w:shd w:val="clear" w:color="000000" w:fill="FFFFFF"/>
          </w:tcPr>
          <w:p w:rsidR="00EA058F" w:rsidRPr="00C02A24" w:rsidRDefault="00EA058F" w:rsidP="00EA058F">
            <w:pPr>
              <w:pStyle w:val="Heading6"/>
              <w:pageBreakBefore w:val="0"/>
            </w:pPr>
            <w:r w:rsidRPr="00C02A24">
              <w:t>Payroll tax</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Wages paid by public hospitals</w:t>
            </w:r>
          </w:p>
        </w:tc>
        <w:tc>
          <w:tcPr>
            <w:tcW w:w="774" w:type="dxa"/>
            <w:gridSpan w:val="3"/>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363</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381</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403</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424</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446</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470</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Wages paid by public benevolent institutions/charities</w:t>
            </w:r>
          </w:p>
        </w:tc>
        <w:tc>
          <w:tcPr>
            <w:tcW w:w="774" w:type="dxa"/>
            <w:gridSpan w:val="3"/>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309</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324</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343</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361</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380</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399</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Wages paid by non-profit non-government schools</w:t>
            </w:r>
          </w:p>
        </w:tc>
        <w:tc>
          <w:tcPr>
            <w:tcW w:w="774" w:type="dxa"/>
            <w:gridSpan w:val="3"/>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169</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177</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187</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197</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208</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218</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Commonwealth departments/agencies (excluding transport and communication)</w:t>
            </w:r>
          </w:p>
        </w:tc>
        <w:tc>
          <w:tcPr>
            <w:tcW w:w="774" w:type="dxa"/>
            <w:gridSpan w:val="3"/>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72</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76</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80</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84</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89</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93</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Wages paid by non-profit hospitals</w:t>
            </w:r>
          </w:p>
        </w:tc>
        <w:tc>
          <w:tcPr>
            <w:tcW w:w="774" w:type="dxa"/>
            <w:gridSpan w:val="3"/>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37</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39</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41</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43</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46</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48</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Municipal councils (not wages for trading activities)</w:t>
            </w:r>
          </w:p>
        </w:tc>
        <w:tc>
          <w:tcPr>
            <w:tcW w:w="774" w:type="dxa"/>
            <w:gridSpan w:val="3"/>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150</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158</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167</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175</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185</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194</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i/>
                <w:iCs/>
                <w:color w:val="000000"/>
                <w:sz w:val="19"/>
                <w:szCs w:val="19"/>
                <w:lang w:eastAsia="en-AU"/>
              </w:rPr>
            </w:pPr>
            <w:r w:rsidRPr="00C02A24">
              <w:rPr>
                <w:rFonts w:ascii="Calibri" w:eastAsiaTheme="minorEastAsia" w:hAnsi="Calibri" w:cs="Calibri"/>
                <w:color w:val="000000"/>
                <w:sz w:val="19"/>
                <w:szCs w:val="19"/>
                <w:lang w:eastAsia="en-AU"/>
              </w:rPr>
              <w:t xml:space="preserve">Fringe benefits excluded from </w:t>
            </w:r>
            <w:r w:rsidRPr="00C02A24">
              <w:rPr>
                <w:rFonts w:ascii="Calibri" w:eastAsiaTheme="minorEastAsia" w:hAnsi="Calibri" w:cs="Calibri"/>
                <w:i/>
                <w:iCs/>
                <w:color w:val="000000"/>
                <w:sz w:val="19"/>
                <w:szCs w:val="19"/>
                <w:lang w:eastAsia="en-AU"/>
              </w:rPr>
              <w:t>Fringe Benefits Tax Assessment Act 1986 (Commonwealth)</w:t>
            </w:r>
          </w:p>
        </w:tc>
        <w:tc>
          <w:tcPr>
            <w:tcW w:w="774" w:type="dxa"/>
            <w:gridSpan w:val="3"/>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13</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13</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14</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16</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17</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18</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Religious institutions</w:t>
            </w:r>
          </w:p>
        </w:tc>
        <w:tc>
          <w:tcPr>
            <w:tcW w:w="774" w:type="dxa"/>
            <w:gridSpan w:val="3"/>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Construction industry leave entitlements paid by CoINVEST</w:t>
            </w:r>
          </w:p>
        </w:tc>
        <w:tc>
          <w:tcPr>
            <w:tcW w:w="774" w:type="dxa"/>
            <w:gridSpan w:val="3"/>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5</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5</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Paid maternity leave</w:t>
            </w:r>
          </w:p>
        </w:tc>
        <w:tc>
          <w:tcPr>
            <w:tcW w:w="774" w:type="dxa"/>
            <w:gridSpan w:val="3"/>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22</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23</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24</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25</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27</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28</w:t>
            </w:r>
          </w:p>
        </w:tc>
      </w:tr>
      <w:tr w:rsidR="002C39A3" w:rsidRPr="00C02A24" w:rsidTr="00361FA9">
        <w:tc>
          <w:tcPr>
            <w:tcW w:w="3220" w:type="dxa"/>
            <w:gridSpan w:val="2"/>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Wages paid to employees participating in voluntary emergency service work</w:t>
            </w:r>
          </w:p>
        </w:tc>
        <w:tc>
          <w:tcPr>
            <w:tcW w:w="673" w:type="dxa"/>
            <w:gridSpan w:val="2"/>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Displaced apprentices and trainees</w:t>
            </w:r>
          </w:p>
        </w:tc>
        <w:tc>
          <w:tcPr>
            <w:tcW w:w="774" w:type="dxa"/>
            <w:gridSpan w:val="3"/>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 xml:space="preserve"> </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 xml:space="preserve"> </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6</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8</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9</w:t>
            </w:r>
          </w:p>
        </w:tc>
      </w:tr>
      <w:tr w:rsidR="002C39A3" w:rsidRPr="00C02A24" w:rsidTr="00361FA9">
        <w:tc>
          <w:tcPr>
            <w:tcW w:w="3119"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Employers</w:t>
            </w:r>
            <w:r w:rsidR="0097550F">
              <w:rPr>
                <w:rFonts w:ascii="Calibri" w:eastAsiaTheme="minorEastAsia" w:hAnsi="Calibri" w:cs="Calibri"/>
                <w:color w:val="000000"/>
                <w:sz w:val="19"/>
                <w:szCs w:val="19"/>
                <w:lang w:eastAsia="en-AU"/>
              </w:rPr>
              <w:t>’</w:t>
            </w:r>
            <w:r w:rsidRPr="00C02A24">
              <w:rPr>
                <w:rFonts w:ascii="Calibri" w:eastAsiaTheme="minorEastAsia" w:hAnsi="Calibri" w:cs="Calibri"/>
                <w:color w:val="000000"/>
                <w:sz w:val="19"/>
                <w:szCs w:val="19"/>
                <w:lang w:eastAsia="en-AU"/>
              </w:rPr>
              <w:t xml:space="preserve"> payroll below threshold</w:t>
            </w:r>
          </w:p>
        </w:tc>
        <w:tc>
          <w:tcPr>
            <w:tcW w:w="774" w:type="dxa"/>
            <w:gridSpan w:val="3"/>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2 016</w:t>
            </w:r>
          </w:p>
        </w:tc>
        <w:tc>
          <w:tcPr>
            <w:tcW w:w="774"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2 120</w:t>
            </w:r>
          </w:p>
        </w:tc>
        <w:tc>
          <w:tcPr>
            <w:tcW w:w="775"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2 256</w:t>
            </w:r>
          </w:p>
        </w:tc>
        <w:tc>
          <w:tcPr>
            <w:tcW w:w="774"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2 400</w:t>
            </w:r>
          </w:p>
        </w:tc>
        <w:tc>
          <w:tcPr>
            <w:tcW w:w="774"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2 548</w:t>
            </w:r>
          </w:p>
        </w:tc>
        <w:tc>
          <w:tcPr>
            <w:tcW w:w="775"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2 706</w:t>
            </w:r>
          </w:p>
        </w:tc>
      </w:tr>
      <w:tr w:rsidR="002C39A3" w:rsidRPr="00C02A24" w:rsidTr="00361FA9">
        <w:tc>
          <w:tcPr>
            <w:tcW w:w="3119" w:type="dxa"/>
            <w:tcBorders>
              <w:top w:val="single" w:sz="6" w:space="0" w:color="auto"/>
              <w:left w:val="nil"/>
              <w:bottom w:val="single" w:sz="4" w:space="0" w:color="auto"/>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Total payroll tax expenditures</w:t>
            </w:r>
          </w:p>
        </w:tc>
        <w:tc>
          <w:tcPr>
            <w:tcW w:w="774" w:type="dxa"/>
            <w:gridSpan w:val="3"/>
            <w:tcBorders>
              <w:top w:val="single" w:sz="6" w:space="0" w:color="auto"/>
              <w:left w:val="nil"/>
              <w:bottom w:val="single" w:sz="4"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3 159</w:t>
            </w:r>
          </w:p>
        </w:tc>
        <w:tc>
          <w:tcPr>
            <w:tcW w:w="774" w:type="dxa"/>
            <w:tcBorders>
              <w:top w:val="single" w:sz="6" w:space="0" w:color="auto"/>
              <w:left w:val="nil"/>
              <w:bottom w:val="single" w:sz="4"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3 319</w:t>
            </w:r>
          </w:p>
        </w:tc>
        <w:tc>
          <w:tcPr>
            <w:tcW w:w="775" w:type="dxa"/>
            <w:tcBorders>
              <w:top w:val="single" w:sz="6" w:space="0" w:color="auto"/>
              <w:left w:val="nil"/>
              <w:bottom w:val="single" w:sz="4"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3 526</w:t>
            </w:r>
          </w:p>
        </w:tc>
        <w:tc>
          <w:tcPr>
            <w:tcW w:w="774" w:type="dxa"/>
            <w:tcBorders>
              <w:top w:val="single" w:sz="6" w:space="0" w:color="auto"/>
              <w:left w:val="nil"/>
              <w:bottom w:val="single" w:sz="4"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3 742</w:t>
            </w:r>
          </w:p>
        </w:tc>
        <w:tc>
          <w:tcPr>
            <w:tcW w:w="774" w:type="dxa"/>
            <w:tcBorders>
              <w:top w:val="single" w:sz="6" w:space="0" w:color="auto"/>
              <w:left w:val="nil"/>
              <w:bottom w:val="single" w:sz="4"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3 961</w:t>
            </w:r>
          </w:p>
        </w:tc>
        <w:tc>
          <w:tcPr>
            <w:tcW w:w="775" w:type="dxa"/>
            <w:tcBorders>
              <w:top w:val="single" w:sz="6" w:space="0" w:color="auto"/>
              <w:left w:val="nil"/>
              <w:bottom w:val="single" w:sz="4"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4 193</w:t>
            </w:r>
          </w:p>
        </w:tc>
      </w:tr>
      <w:tr w:rsidR="00EA058F" w:rsidRPr="00C02A24" w:rsidTr="00EA058F">
        <w:trPr>
          <w:trHeight w:hRule="exact" w:val="120"/>
        </w:trPr>
        <w:tc>
          <w:tcPr>
            <w:tcW w:w="7765" w:type="dxa"/>
            <w:gridSpan w:val="9"/>
            <w:tcBorders>
              <w:top w:val="single" w:sz="4" w:space="0" w:color="auto"/>
              <w:left w:val="nil"/>
              <w:right w:val="nil"/>
            </w:tcBorders>
            <w:shd w:val="clear" w:color="000000" w:fill="FFFFFF"/>
          </w:tcPr>
          <w:p w:rsidR="00EA058F" w:rsidRPr="00C02A24"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p>
        </w:tc>
      </w:tr>
      <w:tr w:rsidR="00EA058F" w:rsidRPr="00C02A24" w:rsidTr="00EA058F">
        <w:tc>
          <w:tcPr>
            <w:tcW w:w="7765" w:type="dxa"/>
            <w:gridSpan w:val="9"/>
            <w:tcBorders>
              <w:top w:val="nil"/>
              <w:left w:val="nil"/>
              <w:right w:val="nil"/>
            </w:tcBorders>
            <w:shd w:val="clear" w:color="000000" w:fill="FFFFFF"/>
          </w:tcPr>
          <w:p w:rsidR="00EA058F" w:rsidRPr="00C02A24" w:rsidRDefault="00EA058F" w:rsidP="00EA058F">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b/>
                <w:bCs/>
                <w:color w:val="000000"/>
                <w:sz w:val="19"/>
                <w:szCs w:val="19"/>
                <w:lang w:eastAsia="en-AU"/>
              </w:rPr>
              <w:t>Congestion levy tax</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Residential</w:t>
            </w:r>
          </w:p>
        </w:tc>
        <w:tc>
          <w:tcPr>
            <w:tcW w:w="774" w:type="dxa"/>
            <w:gridSpan w:val="3"/>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5</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6</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6</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6</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6</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7</w:t>
            </w:r>
          </w:p>
        </w:tc>
      </w:tr>
      <w:tr w:rsidR="002C39A3" w:rsidRPr="00C02A24" w:rsidTr="00361FA9">
        <w:tc>
          <w:tcPr>
            <w:tcW w:w="3119"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Commercial and private</w:t>
            </w:r>
          </w:p>
        </w:tc>
        <w:tc>
          <w:tcPr>
            <w:tcW w:w="774" w:type="dxa"/>
            <w:gridSpan w:val="3"/>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35</w:t>
            </w:r>
          </w:p>
        </w:tc>
        <w:tc>
          <w:tcPr>
            <w:tcW w:w="774"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46</w:t>
            </w:r>
          </w:p>
        </w:tc>
        <w:tc>
          <w:tcPr>
            <w:tcW w:w="775"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47</w:t>
            </w:r>
          </w:p>
        </w:tc>
        <w:tc>
          <w:tcPr>
            <w:tcW w:w="774"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48</w:t>
            </w:r>
          </w:p>
        </w:tc>
        <w:tc>
          <w:tcPr>
            <w:tcW w:w="774"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49</w:t>
            </w:r>
          </w:p>
        </w:tc>
        <w:tc>
          <w:tcPr>
            <w:tcW w:w="775"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50</w:t>
            </w:r>
          </w:p>
        </w:tc>
      </w:tr>
      <w:tr w:rsidR="002C39A3" w:rsidRPr="00C02A24" w:rsidTr="00361FA9">
        <w:tc>
          <w:tcPr>
            <w:tcW w:w="3119" w:type="dxa"/>
            <w:tcBorders>
              <w:top w:val="single" w:sz="6" w:space="0" w:color="auto"/>
              <w:left w:val="nil"/>
              <w:bottom w:val="single" w:sz="4" w:space="0" w:color="auto"/>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Total congestion levy tax expenditures</w:t>
            </w:r>
          </w:p>
        </w:tc>
        <w:tc>
          <w:tcPr>
            <w:tcW w:w="774" w:type="dxa"/>
            <w:gridSpan w:val="3"/>
            <w:tcBorders>
              <w:top w:val="single" w:sz="6" w:space="0" w:color="auto"/>
              <w:left w:val="nil"/>
              <w:bottom w:val="single" w:sz="4"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40</w:t>
            </w:r>
          </w:p>
        </w:tc>
        <w:tc>
          <w:tcPr>
            <w:tcW w:w="774" w:type="dxa"/>
            <w:tcBorders>
              <w:top w:val="single" w:sz="6" w:space="0" w:color="auto"/>
              <w:left w:val="nil"/>
              <w:bottom w:val="single" w:sz="4"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52</w:t>
            </w:r>
          </w:p>
        </w:tc>
        <w:tc>
          <w:tcPr>
            <w:tcW w:w="775" w:type="dxa"/>
            <w:tcBorders>
              <w:top w:val="single" w:sz="6" w:space="0" w:color="auto"/>
              <w:left w:val="nil"/>
              <w:bottom w:val="single" w:sz="4"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53</w:t>
            </w:r>
          </w:p>
        </w:tc>
        <w:tc>
          <w:tcPr>
            <w:tcW w:w="774" w:type="dxa"/>
            <w:tcBorders>
              <w:top w:val="single" w:sz="6" w:space="0" w:color="auto"/>
              <w:left w:val="nil"/>
              <w:bottom w:val="single" w:sz="4"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54</w:t>
            </w:r>
          </w:p>
        </w:tc>
        <w:tc>
          <w:tcPr>
            <w:tcW w:w="774" w:type="dxa"/>
            <w:tcBorders>
              <w:top w:val="single" w:sz="6" w:space="0" w:color="auto"/>
              <w:left w:val="nil"/>
              <w:bottom w:val="single" w:sz="4"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55</w:t>
            </w:r>
          </w:p>
        </w:tc>
        <w:tc>
          <w:tcPr>
            <w:tcW w:w="775" w:type="dxa"/>
            <w:tcBorders>
              <w:top w:val="single" w:sz="6" w:space="0" w:color="auto"/>
              <w:left w:val="nil"/>
              <w:bottom w:val="single" w:sz="4"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57</w:t>
            </w:r>
          </w:p>
        </w:tc>
      </w:tr>
      <w:tr w:rsidR="00EA058F" w:rsidRPr="00C02A24" w:rsidTr="00EA058F">
        <w:trPr>
          <w:trHeight w:hRule="exact" w:val="120"/>
        </w:trPr>
        <w:tc>
          <w:tcPr>
            <w:tcW w:w="7765" w:type="dxa"/>
            <w:gridSpan w:val="9"/>
            <w:tcBorders>
              <w:top w:val="single" w:sz="4" w:space="0" w:color="auto"/>
              <w:left w:val="nil"/>
              <w:right w:val="nil"/>
            </w:tcBorders>
            <w:shd w:val="clear" w:color="000000" w:fill="FFFFFF"/>
          </w:tcPr>
          <w:p w:rsidR="00EA058F" w:rsidRPr="00C02A24"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p>
        </w:tc>
      </w:tr>
      <w:tr w:rsidR="00EA058F" w:rsidRPr="00C02A24" w:rsidTr="00EA058F">
        <w:tc>
          <w:tcPr>
            <w:tcW w:w="7765" w:type="dxa"/>
            <w:gridSpan w:val="9"/>
            <w:tcBorders>
              <w:top w:val="nil"/>
              <w:left w:val="nil"/>
              <w:right w:val="nil"/>
            </w:tcBorders>
            <w:shd w:val="clear" w:color="000000" w:fill="FFFFFF"/>
          </w:tcPr>
          <w:p w:rsidR="00EA058F" w:rsidRPr="00C02A24" w:rsidRDefault="00EA058F" w:rsidP="00EA058F">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b/>
                <w:bCs/>
                <w:color w:val="000000"/>
                <w:sz w:val="19"/>
                <w:szCs w:val="19"/>
                <w:lang w:eastAsia="en-AU"/>
              </w:rPr>
              <w:t>Gambling tax</w:t>
            </w:r>
          </w:p>
        </w:tc>
      </w:tr>
      <w:tr w:rsidR="002C39A3" w:rsidRPr="00C02A24" w:rsidTr="00361FA9">
        <w:tc>
          <w:tcPr>
            <w:tcW w:w="3261" w:type="dxa"/>
            <w:gridSpan w:val="3"/>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Clubs pay lower tax rate on net cash balance (electronic gaming machines)</w:t>
            </w:r>
          </w:p>
        </w:tc>
        <w:tc>
          <w:tcPr>
            <w:tcW w:w="632"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72</w:t>
            </w:r>
          </w:p>
        </w:tc>
        <w:tc>
          <w:tcPr>
            <w:tcW w:w="774"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74</w:t>
            </w:r>
          </w:p>
        </w:tc>
        <w:tc>
          <w:tcPr>
            <w:tcW w:w="775"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75</w:t>
            </w:r>
          </w:p>
        </w:tc>
        <w:tc>
          <w:tcPr>
            <w:tcW w:w="774"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77</w:t>
            </w:r>
          </w:p>
        </w:tc>
        <w:tc>
          <w:tcPr>
            <w:tcW w:w="774"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78</w:t>
            </w:r>
          </w:p>
        </w:tc>
        <w:tc>
          <w:tcPr>
            <w:tcW w:w="775"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79</w:t>
            </w:r>
          </w:p>
        </w:tc>
      </w:tr>
      <w:tr w:rsidR="002C39A3" w:rsidRPr="00C02A24" w:rsidTr="00361FA9">
        <w:tc>
          <w:tcPr>
            <w:tcW w:w="3119"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Total gambling tax expenditures</w:t>
            </w:r>
          </w:p>
        </w:tc>
        <w:tc>
          <w:tcPr>
            <w:tcW w:w="774" w:type="dxa"/>
            <w:gridSpan w:val="3"/>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72</w:t>
            </w:r>
          </w:p>
        </w:tc>
        <w:tc>
          <w:tcPr>
            <w:tcW w:w="774"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74</w:t>
            </w:r>
          </w:p>
        </w:tc>
        <w:tc>
          <w:tcPr>
            <w:tcW w:w="775"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75</w:t>
            </w:r>
          </w:p>
        </w:tc>
        <w:tc>
          <w:tcPr>
            <w:tcW w:w="774"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77</w:t>
            </w:r>
          </w:p>
        </w:tc>
        <w:tc>
          <w:tcPr>
            <w:tcW w:w="774"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78</w:t>
            </w:r>
          </w:p>
        </w:tc>
        <w:tc>
          <w:tcPr>
            <w:tcW w:w="775"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79</w:t>
            </w:r>
          </w:p>
        </w:tc>
      </w:tr>
    </w:tbl>
    <w:p w:rsidR="002C39A3" w:rsidRDefault="002C39A3"/>
    <w:p w:rsidR="002C39A3" w:rsidRDefault="002C39A3"/>
    <w:p w:rsidR="002C39A3" w:rsidRDefault="002C39A3"/>
    <w:p w:rsidR="002C39A3" w:rsidRDefault="002C39A3" w:rsidP="00361FA9">
      <w:pPr>
        <w:pStyle w:val="Tableheadingcontinued"/>
      </w:pPr>
      <w:r>
        <w:t>Table 5.2:</w:t>
      </w:r>
      <w:r>
        <w:tab/>
        <w:t>Estimates of tax expenditures that can be costed (including thresholds)</w:t>
      </w:r>
      <w:r w:rsidRPr="0087101F">
        <w:rPr>
          <w:vertAlign w:val="superscript"/>
        </w:rPr>
        <w:t>(a)</w:t>
      </w:r>
      <w:r>
        <w:t xml:space="preserve"> </w:t>
      </w:r>
      <w:r w:rsidRPr="0087101F">
        <w:rPr>
          <w:i/>
        </w:rPr>
        <w:t>(continued)</w:t>
      </w:r>
    </w:p>
    <w:p w:rsidR="002C39A3" w:rsidRDefault="002C39A3" w:rsidP="00361FA9">
      <w:pPr>
        <w:pStyle w:val="million"/>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119"/>
        <w:gridCol w:w="774"/>
        <w:gridCol w:w="774"/>
        <w:gridCol w:w="775"/>
        <w:gridCol w:w="774"/>
        <w:gridCol w:w="774"/>
        <w:gridCol w:w="775"/>
      </w:tblGrid>
      <w:tr w:rsidR="002C39A3" w:rsidRPr="00C02A24" w:rsidTr="00361FA9">
        <w:trPr>
          <w:tblHeader/>
        </w:trPr>
        <w:tc>
          <w:tcPr>
            <w:tcW w:w="3119" w:type="dxa"/>
            <w:tcBorders>
              <w:top w:val="nil"/>
              <w:left w:val="nil"/>
              <w:right w:val="nil"/>
            </w:tcBorders>
            <w:shd w:val="solid" w:color="000000" w:fill="auto"/>
            <w:vAlign w:val="bottom"/>
          </w:tcPr>
          <w:p w:rsidR="002C39A3" w:rsidRPr="00C02A24" w:rsidRDefault="002C39A3" w:rsidP="00361FA9">
            <w:pPr>
              <w:pStyle w:val="Source"/>
              <w:spacing w:after="0"/>
              <w:rPr>
                <w:rFonts w:eastAsiaTheme="minorEastAsia" w:cs="Calibri"/>
                <w:iCs/>
                <w:color w:val="FFFFFF"/>
                <w:sz w:val="19"/>
                <w:szCs w:val="19"/>
                <w:lang w:eastAsia="en-AU"/>
              </w:rPr>
            </w:pPr>
            <w:r w:rsidRPr="00C02A24">
              <w:rPr>
                <w:rFonts w:eastAsiaTheme="minorEastAsia" w:cs="Calibri"/>
                <w:iCs/>
                <w:color w:val="FFFFFF"/>
                <w:sz w:val="19"/>
                <w:szCs w:val="19"/>
                <w:lang w:eastAsia="en-AU"/>
              </w:rPr>
              <w:t>Description</w:t>
            </w:r>
          </w:p>
        </w:tc>
        <w:tc>
          <w:tcPr>
            <w:tcW w:w="774" w:type="dxa"/>
            <w:tcBorders>
              <w:top w:val="nil"/>
              <w:left w:val="nil"/>
              <w:right w:val="nil"/>
            </w:tcBorders>
            <w:shd w:val="solid" w:color="000000" w:fill="auto"/>
            <w:vAlign w:val="bottom"/>
          </w:tcPr>
          <w:p w:rsidR="002C39A3" w:rsidRPr="00C02A24"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C02A24">
              <w:rPr>
                <w:rFonts w:ascii="Calibri" w:eastAsiaTheme="minorEastAsia" w:hAnsi="Calibri" w:cs="Calibri"/>
                <w:i/>
                <w:iCs/>
                <w:color w:val="FFFFFF"/>
                <w:sz w:val="19"/>
                <w:szCs w:val="19"/>
                <w:lang w:eastAsia="en-AU"/>
              </w:rPr>
              <w:t>2014-15</w:t>
            </w:r>
          </w:p>
        </w:tc>
        <w:tc>
          <w:tcPr>
            <w:tcW w:w="774" w:type="dxa"/>
            <w:tcBorders>
              <w:top w:val="nil"/>
              <w:left w:val="nil"/>
              <w:right w:val="nil"/>
            </w:tcBorders>
            <w:shd w:val="solid" w:color="000000" w:fill="auto"/>
            <w:vAlign w:val="bottom"/>
          </w:tcPr>
          <w:p w:rsidR="002C39A3" w:rsidRPr="00C02A24"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C02A24">
              <w:rPr>
                <w:rFonts w:ascii="Calibri" w:eastAsiaTheme="minorEastAsia" w:hAnsi="Calibri" w:cs="Calibri"/>
                <w:i/>
                <w:iCs/>
                <w:color w:val="FFFFFF"/>
                <w:sz w:val="19"/>
                <w:szCs w:val="19"/>
                <w:lang w:eastAsia="en-AU"/>
              </w:rPr>
              <w:t>2015-16</w:t>
            </w:r>
          </w:p>
        </w:tc>
        <w:tc>
          <w:tcPr>
            <w:tcW w:w="775" w:type="dxa"/>
            <w:tcBorders>
              <w:top w:val="nil"/>
              <w:left w:val="nil"/>
              <w:right w:val="nil"/>
            </w:tcBorders>
            <w:shd w:val="solid" w:color="000000" w:fill="auto"/>
            <w:vAlign w:val="bottom"/>
          </w:tcPr>
          <w:p w:rsidR="002C39A3" w:rsidRPr="00C02A24"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C02A24">
              <w:rPr>
                <w:rFonts w:ascii="Calibri" w:eastAsiaTheme="minorEastAsia" w:hAnsi="Calibri" w:cs="Calibri"/>
                <w:i/>
                <w:iCs/>
                <w:color w:val="FFFFFF"/>
                <w:sz w:val="19"/>
                <w:szCs w:val="19"/>
                <w:lang w:eastAsia="en-AU"/>
              </w:rPr>
              <w:t>2016-17</w:t>
            </w:r>
          </w:p>
        </w:tc>
        <w:tc>
          <w:tcPr>
            <w:tcW w:w="774" w:type="dxa"/>
            <w:tcBorders>
              <w:top w:val="nil"/>
              <w:left w:val="nil"/>
              <w:right w:val="nil"/>
            </w:tcBorders>
            <w:shd w:val="solid" w:color="000000" w:fill="auto"/>
            <w:vAlign w:val="bottom"/>
          </w:tcPr>
          <w:p w:rsidR="002C39A3" w:rsidRPr="00C02A24"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C02A24">
              <w:rPr>
                <w:rFonts w:ascii="Calibri" w:eastAsiaTheme="minorEastAsia" w:hAnsi="Calibri" w:cs="Calibri"/>
                <w:i/>
                <w:iCs/>
                <w:color w:val="FFFFFF"/>
                <w:sz w:val="19"/>
                <w:szCs w:val="19"/>
                <w:lang w:eastAsia="en-AU"/>
              </w:rPr>
              <w:t>2017-18</w:t>
            </w:r>
          </w:p>
        </w:tc>
        <w:tc>
          <w:tcPr>
            <w:tcW w:w="774" w:type="dxa"/>
            <w:tcBorders>
              <w:top w:val="nil"/>
              <w:left w:val="nil"/>
              <w:right w:val="nil"/>
            </w:tcBorders>
            <w:shd w:val="solid" w:color="000000" w:fill="auto"/>
            <w:vAlign w:val="bottom"/>
          </w:tcPr>
          <w:p w:rsidR="002C39A3" w:rsidRPr="00C02A24"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C02A24">
              <w:rPr>
                <w:rFonts w:ascii="Calibri" w:eastAsiaTheme="minorEastAsia" w:hAnsi="Calibri" w:cs="Calibri"/>
                <w:i/>
                <w:iCs/>
                <w:color w:val="FFFFFF"/>
                <w:sz w:val="19"/>
                <w:szCs w:val="19"/>
                <w:lang w:eastAsia="en-AU"/>
              </w:rPr>
              <w:t>2018-19</w:t>
            </w:r>
          </w:p>
        </w:tc>
        <w:tc>
          <w:tcPr>
            <w:tcW w:w="775" w:type="dxa"/>
            <w:tcBorders>
              <w:top w:val="nil"/>
              <w:left w:val="nil"/>
              <w:right w:val="nil"/>
            </w:tcBorders>
            <w:shd w:val="solid" w:color="000000" w:fill="auto"/>
            <w:vAlign w:val="bottom"/>
          </w:tcPr>
          <w:p w:rsidR="002C39A3" w:rsidRPr="00C02A24"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C02A24">
              <w:rPr>
                <w:rFonts w:ascii="Calibri" w:eastAsiaTheme="minorEastAsia" w:hAnsi="Calibri" w:cs="Calibri"/>
                <w:i/>
                <w:iCs/>
                <w:color w:val="FFFFFF"/>
                <w:sz w:val="19"/>
                <w:szCs w:val="19"/>
                <w:lang w:eastAsia="en-AU"/>
              </w:rPr>
              <w:t>2019-20</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pStyle w:val="Heading6"/>
              <w:pageBreakBefore w:val="0"/>
            </w:pPr>
            <w:r w:rsidRPr="00C02A24">
              <w:t>Motor vehicle taxes</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 xml:space="preserve"> </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 xml:space="preserve"> </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 xml:space="preserve"> </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 xml:space="preserve"> </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 xml:space="preserve"> </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 xml:space="preserve"> </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Discounted registration fee for vehicles operated by Health Care Card holders and pensioners</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118</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125</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132</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138</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145</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153</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Discounted registration fee for vehicles operated by totally and permanently incapacitated persons</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 xml:space="preserve">Discounted registration fee for light vehicles operated by primary producers </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7</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8</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8</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8</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8</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9</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 xml:space="preserve">Discounted registration fee for heavy vehicles operated by primary producers </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37</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38</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41</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41</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41</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43</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Discounted registration for hybrid or electric cars</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4</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Discounted registration fee for trade apprentices</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 xml:space="preserve"> </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w:t>
            </w:r>
          </w:p>
        </w:tc>
      </w:tr>
      <w:tr w:rsidR="002C39A3" w:rsidRPr="00C02A24" w:rsidTr="00361FA9">
        <w:tc>
          <w:tcPr>
            <w:tcW w:w="3119"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Stamp duty exemption on mobile plant registration</w:t>
            </w:r>
          </w:p>
        </w:tc>
        <w:tc>
          <w:tcPr>
            <w:tcW w:w="774"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 xml:space="preserve"> </w:t>
            </w:r>
          </w:p>
        </w:tc>
        <w:tc>
          <w:tcPr>
            <w:tcW w:w="774"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w:t>
            </w:r>
          </w:p>
        </w:tc>
        <w:tc>
          <w:tcPr>
            <w:tcW w:w="775"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w:t>
            </w:r>
          </w:p>
        </w:tc>
        <w:tc>
          <w:tcPr>
            <w:tcW w:w="774"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w:t>
            </w:r>
          </w:p>
        </w:tc>
        <w:tc>
          <w:tcPr>
            <w:tcW w:w="774"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w:t>
            </w:r>
          </w:p>
        </w:tc>
        <w:tc>
          <w:tcPr>
            <w:tcW w:w="775"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3</w:t>
            </w:r>
          </w:p>
        </w:tc>
      </w:tr>
      <w:tr w:rsidR="002C39A3" w:rsidRPr="00C02A24" w:rsidTr="00361FA9">
        <w:tc>
          <w:tcPr>
            <w:tcW w:w="3119"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Total motor vehicle taxes expenditures</w:t>
            </w:r>
          </w:p>
        </w:tc>
        <w:tc>
          <w:tcPr>
            <w:tcW w:w="774"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166</w:t>
            </w:r>
          </w:p>
        </w:tc>
        <w:tc>
          <w:tcPr>
            <w:tcW w:w="774"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178</w:t>
            </w:r>
          </w:p>
        </w:tc>
        <w:tc>
          <w:tcPr>
            <w:tcW w:w="775"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190</w:t>
            </w:r>
          </w:p>
        </w:tc>
        <w:tc>
          <w:tcPr>
            <w:tcW w:w="774"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198</w:t>
            </w:r>
          </w:p>
        </w:tc>
        <w:tc>
          <w:tcPr>
            <w:tcW w:w="774"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205</w:t>
            </w:r>
          </w:p>
        </w:tc>
        <w:tc>
          <w:tcPr>
            <w:tcW w:w="775"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216</w:t>
            </w:r>
          </w:p>
        </w:tc>
      </w:tr>
      <w:tr w:rsidR="00EA058F" w:rsidRPr="00C02A24" w:rsidTr="00EA058F">
        <w:trPr>
          <w:trHeight w:hRule="exact" w:val="120"/>
        </w:trPr>
        <w:tc>
          <w:tcPr>
            <w:tcW w:w="7765" w:type="dxa"/>
            <w:gridSpan w:val="7"/>
            <w:tcBorders>
              <w:top w:val="single" w:sz="6" w:space="0" w:color="auto"/>
              <w:left w:val="nil"/>
              <w:right w:val="nil"/>
            </w:tcBorders>
            <w:shd w:val="clear" w:color="000000" w:fill="FFFFFF"/>
          </w:tcPr>
          <w:p w:rsidR="00EA058F" w:rsidRPr="00C02A24"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p>
        </w:tc>
      </w:tr>
      <w:tr w:rsidR="00EA058F" w:rsidRPr="00C02A24" w:rsidTr="00EA058F">
        <w:tc>
          <w:tcPr>
            <w:tcW w:w="7765" w:type="dxa"/>
            <w:gridSpan w:val="7"/>
            <w:tcBorders>
              <w:top w:val="nil"/>
              <w:left w:val="nil"/>
              <w:right w:val="nil"/>
            </w:tcBorders>
            <w:shd w:val="clear" w:color="000000" w:fill="FFFFFF"/>
          </w:tcPr>
          <w:p w:rsidR="00EA058F" w:rsidRPr="00C02A24" w:rsidRDefault="00EA058F" w:rsidP="00EA058F">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b/>
                <w:bCs/>
                <w:color w:val="000000"/>
                <w:sz w:val="19"/>
                <w:szCs w:val="19"/>
                <w:lang w:eastAsia="en-AU"/>
              </w:rPr>
              <w:t>Land transfer duties</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Land transfer duty concession for first homebuyers of properties valued up to $600 000</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170</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195</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181</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185</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193</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205</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Land transfer duty concession for farmers under 35 years of age</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Stamp duty for corporate reconstruction</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267</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1 430</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217</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223</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229</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235</w:t>
            </w:r>
          </w:p>
        </w:tc>
      </w:tr>
      <w:tr w:rsidR="002C39A3" w:rsidRPr="00C02A24" w:rsidTr="00361FA9">
        <w:tc>
          <w:tcPr>
            <w:tcW w:w="3119" w:type="dxa"/>
            <w:tcBorders>
              <w:top w:val="nil"/>
              <w:left w:val="nil"/>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Conveyance duty concession for pensioners and concession cardholders</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118</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129</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110</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113</w:t>
            </w:r>
          </w:p>
        </w:tc>
        <w:tc>
          <w:tcPr>
            <w:tcW w:w="774"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118</w:t>
            </w:r>
          </w:p>
        </w:tc>
        <w:tc>
          <w:tcPr>
            <w:tcW w:w="775" w:type="dxa"/>
            <w:tcBorders>
              <w:top w:val="nil"/>
              <w:left w:val="nil"/>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125</w:t>
            </w:r>
          </w:p>
        </w:tc>
      </w:tr>
      <w:tr w:rsidR="002C39A3" w:rsidRPr="00C02A24" w:rsidTr="00361FA9">
        <w:tc>
          <w:tcPr>
            <w:tcW w:w="3119"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Stamp duty for principal place of residence</w:t>
            </w:r>
          </w:p>
        </w:tc>
        <w:tc>
          <w:tcPr>
            <w:tcW w:w="774"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113</w:t>
            </w:r>
          </w:p>
        </w:tc>
        <w:tc>
          <w:tcPr>
            <w:tcW w:w="774"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116</w:t>
            </w:r>
          </w:p>
        </w:tc>
        <w:tc>
          <w:tcPr>
            <w:tcW w:w="775"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107</w:t>
            </w:r>
          </w:p>
        </w:tc>
        <w:tc>
          <w:tcPr>
            <w:tcW w:w="774"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110</w:t>
            </w:r>
          </w:p>
        </w:tc>
        <w:tc>
          <w:tcPr>
            <w:tcW w:w="774"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115</w:t>
            </w:r>
          </w:p>
        </w:tc>
        <w:tc>
          <w:tcPr>
            <w:tcW w:w="775" w:type="dxa"/>
            <w:tcBorders>
              <w:top w:val="nil"/>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C02A24">
              <w:rPr>
                <w:rFonts w:ascii="Calibri" w:eastAsiaTheme="minorEastAsia" w:hAnsi="Calibri" w:cs="Calibri"/>
                <w:color w:val="000000"/>
                <w:sz w:val="19"/>
                <w:szCs w:val="19"/>
                <w:lang w:eastAsia="en-AU"/>
              </w:rPr>
              <w:t>122</w:t>
            </w:r>
          </w:p>
        </w:tc>
      </w:tr>
      <w:tr w:rsidR="002C39A3" w:rsidRPr="00C02A24" w:rsidTr="00361FA9">
        <w:tc>
          <w:tcPr>
            <w:tcW w:w="3119"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Total land transfer duties expenditures</w:t>
            </w:r>
          </w:p>
        </w:tc>
        <w:tc>
          <w:tcPr>
            <w:tcW w:w="774"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670</w:t>
            </w:r>
          </w:p>
        </w:tc>
        <w:tc>
          <w:tcPr>
            <w:tcW w:w="774"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1 871</w:t>
            </w:r>
          </w:p>
        </w:tc>
        <w:tc>
          <w:tcPr>
            <w:tcW w:w="775"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617</w:t>
            </w:r>
          </w:p>
        </w:tc>
        <w:tc>
          <w:tcPr>
            <w:tcW w:w="774"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633</w:t>
            </w:r>
          </w:p>
        </w:tc>
        <w:tc>
          <w:tcPr>
            <w:tcW w:w="774"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658</w:t>
            </w:r>
          </w:p>
        </w:tc>
        <w:tc>
          <w:tcPr>
            <w:tcW w:w="775" w:type="dxa"/>
            <w:tcBorders>
              <w:top w:val="single" w:sz="6" w:space="0" w:color="auto"/>
              <w:left w:val="nil"/>
              <w:bottom w:val="single" w:sz="6"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689</w:t>
            </w:r>
          </w:p>
        </w:tc>
      </w:tr>
      <w:tr w:rsidR="002C39A3" w:rsidRPr="00C02A24" w:rsidTr="00361FA9">
        <w:tc>
          <w:tcPr>
            <w:tcW w:w="3119" w:type="dxa"/>
            <w:tcBorders>
              <w:top w:val="single" w:sz="6" w:space="0" w:color="auto"/>
              <w:left w:val="nil"/>
              <w:bottom w:val="single" w:sz="12" w:space="0" w:color="auto"/>
              <w:right w:val="nil"/>
            </w:tcBorders>
            <w:shd w:val="clear" w:color="000000" w:fill="FFFFFF"/>
          </w:tcPr>
          <w:p w:rsidR="002C39A3" w:rsidRPr="00C02A24"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Total estimated tax expenditures</w:t>
            </w:r>
          </w:p>
        </w:tc>
        <w:tc>
          <w:tcPr>
            <w:tcW w:w="774" w:type="dxa"/>
            <w:tcBorders>
              <w:top w:val="single" w:sz="6" w:space="0" w:color="auto"/>
              <w:left w:val="nil"/>
              <w:bottom w:val="single" w:sz="12"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7 188</w:t>
            </w:r>
          </w:p>
        </w:tc>
        <w:tc>
          <w:tcPr>
            <w:tcW w:w="774" w:type="dxa"/>
            <w:tcBorders>
              <w:top w:val="single" w:sz="6" w:space="0" w:color="auto"/>
              <w:left w:val="nil"/>
              <w:bottom w:val="single" w:sz="12"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8 580</w:t>
            </w:r>
          </w:p>
        </w:tc>
        <w:tc>
          <w:tcPr>
            <w:tcW w:w="775" w:type="dxa"/>
            <w:tcBorders>
              <w:top w:val="single" w:sz="6" w:space="0" w:color="auto"/>
              <w:left w:val="nil"/>
              <w:bottom w:val="single" w:sz="12"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8 399</w:t>
            </w:r>
          </w:p>
        </w:tc>
        <w:tc>
          <w:tcPr>
            <w:tcW w:w="774" w:type="dxa"/>
            <w:tcBorders>
              <w:top w:val="single" w:sz="6" w:space="0" w:color="auto"/>
              <w:left w:val="nil"/>
              <w:bottom w:val="single" w:sz="12"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8 554</w:t>
            </w:r>
          </w:p>
        </w:tc>
        <w:tc>
          <w:tcPr>
            <w:tcW w:w="774" w:type="dxa"/>
            <w:tcBorders>
              <w:top w:val="single" w:sz="6" w:space="0" w:color="auto"/>
              <w:left w:val="nil"/>
              <w:bottom w:val="single" w:sz="12"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9 311</w:t>
            </w:r>
          </w:p>
        </w:tc>
        <w:tc>
          <w:tcPr>
            <w:tcW w:w="775" w:type="dxa"/>
            <w:tcBorders>
              <w:top w:val="single" w:sz="6" w:space="0" w:color="auto"/>
              <w:left w:val="nil"/>
              <w:bottom w:val="single" w:sz="12" w:space="0" w:color="auto"/>
              <w:right w:val="nil"/>
            </w:tcBorders>
            <w:shd w:val="clear" w:color="000000" w:fill="FFFFFF"/>
          </w:tcPr>
          <w:p w:rsidR="002C39A3" w:rsidRPr="00C02A2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C02A24">
              <w:rPr>
                <w:rFonts w:ascii="Calibri" w:eastAsiaTheme="minorEastAsia" w:hAnsi="Calibri" w:cs="Calibri"/>
                <w:b/>
                <w:bCs/>
                <w:color w:val="000000"/>
                <w:sz w:val="19"/>
                <w:szCs w:val="19"/>
                <w:lang w:eastAsia="en-AU"/>
              </w:rPr>
              <w:t>9 483</w:t>
            </w:r>
          </w:p>
        </w:tc>
      </w:tr>
    </w:tbl>
    <w:p w:rsidR="002C39A3" w:rsidRDefault="002C39A3" w:rsidP="00361FA9">
      <w:pPr>
        <w:pStyle w:val="Source"/>
        <w:rPr>
          <w:rFonts w:eastAsiaTheme="minorHAnsi"/>
        </w:rPr>
      </w:pPr>
      <w:r>
        <w:rPr>
          <w:rFonts w:eastAsiaTheme="minorHAnsi"/>
        </w:rPr>
        <w:t>Source: Department of Treasury and Finance</w:t>
      </w:r>
    </w:p>
    <w:p w:rsidR="002C39A3" w:rsidRDefault="002C39A3" w:rsidP="00361FA9">
      <w:pPr>
        <w:pStyle w:val="Notes"/>
        <w:rPr>
          <w:rFonts w:eastAsiaTheme="minorHAnsi"/>
        </w:rPr>
      </w:pPr>
      <w:r>
        <w:rPr>
          <w:rFonts w:eastAsiaTheme="minorHAnsi"/>
        </w:rPr>
        <w:t>Note:</w:t>
      </w:r>
    </w:p>
    <w:p w:rsidR="002C39A3" w:rsidRDefault="002C39A3" w:rsidP="00361FA9">
      <w:pPr>
        <w:pStyle w:val="Notes"/>
        <w:rPr>
          <w:rFonts w:eastAsiaTheme="minorHAnsi"/>
        </w:rPr>
      </w:pPr>
      <w:r>
        <w:rPr>
          <w:rFonts w:eastAsiaTheme="minorHAnsi"/>
        </w:rPr>
        <w:t>(a)</w:t>
      </w:r>
      <w:r>
        <w:rPr>
          <w:rFonts w:eastAsiaTheme="minorHAnsi"/>
        </w:rPr>
        <w:tab/>
      </w:r>
      <w:r w:rsidRPr="00E82B1C">
        <w:rPr>
          <w:rFonts w:eastAsiaTheme="minorHAnsi"/>
        </w:rPr>
        <w:t>All amounts have been rounded to the nearest $1 million unless otherwise stated. Figures may not add due to rounding.</w:t>
      </w:r>
      <w:r>
        <w:rPr>
          <w:rFonts w:eastAsiaTheme="minorHAnsi"/>
        </w:rPr>
        <w:br w:type="page"/>
      </w:r>
    </w:p>
    <w:p w:rsidR="002C39A3" w:rsidRDefault="002C39A3" w:rsidP="00361FA9">
      <w:pPr>
        <w:rPr>
          <w:rFonts w:eastAsiaTheme="minorHAnsi"/>
        </w:rPr>
      </w:pPr>
      <w:r>
        <w:rPr>
          <w:rFonts w:eastAsiaTheme="minorHAnsi"/>
        </w:rPr>
        <w:t>Table 5.3 shows the ratio of tax expenditures to revenue by the main categories of tax in 2016-17. Overall the ratio is 28 per cent in 2016-17, down from 32 per cent in 2015-16. The 2015-16 ratio was significantly higher than previously estimated due to the high level of corporate reconstruction expenditures for land transfer duty. The overall ratio of tax expenditures for 2016-17 is higher than estimates over the past decade, which have risen from around 20 per cent in 2006-07.</w:t>
      </w:r>
    </w:p>
    <w:p w:rsidR="002C39A3" w:rsidRDefault="002C39A3" w:rsidP="00361FA9">
      <w:pPr>
        <w:pStyle w:val="Tableheading"/>
        <w:rPr>
          <w:rFonts w:eastAsiaTheme="minorHAnsi"/>
          <w:vertAlign w:val="superscript"/>
        </w:rPr>
      </w:pPr>
      <w:r>
        <w:rPr>
          <w:rFonts w:eastAsiaTheme="minorHAnsi"/>
        </w:rPr>
        <w:t>Table 5.3:</w:t>
      </w:r>
      <w:r>
        <w:rPr>
          <w:rFonts w:eastAsiaTheme="minorHAnsi"/>
        </w:rPr>
        <w:tab/>
        <w:t>Estimated aggregate tax expenditures (excluding thresholds) and tax revenue in 2016-17</w:t>
      </w:r>
      <w:r>
        <w:rPr>
          <w:rFonts w:eastAsiaTheme="minorHAnsi"/>
          <w:vertAlign w:val="superscript"/>
        </w:rPr>
        <w:t>(a)(b)</w:t>
      </w:r>
    </w:p>
    <w:p w:rsidR="002C39A3" w:rsidRPr="00363338" w:rsidRDefault="002C39A3" w:rsidP="00361FA9">
      <w:pPr>
        <w:pStyle w:val="million"/>
        <w:rPr>
          <w:rFonts w:eastAsiaTheme="minorHAnsi"/>
          <w:b/>
          <w:bCs/>
          <w:sz w:val="15"/>
          <w:lang w:val="en-US"/>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4820"/>
        <w:gridCol w:w="1246"/>
        <w:gridCol w:w="850"/>
        <w:gridCol w:w="850"/>
      </w:tblGrid>
      <w:tr w:rsidR="00EA058F" w:rsidRPr="00363338" w:rsidTr="00EA058F">
        <w:trPr>
          <w:trHeight w:val="464"/>
        </w:trPr>
        <w:tc>
          <w:tcPr>
            <w:tcW w:w="4820" w:type="dxa"/>
            <w:tcBorders>
              <w:top w:val="nil"/>
              <w:left w:val="nil"/>
              <w:right w:val="nil"/>
            </w:tcBorders>
            <w:shd w:val="solid" w:color="000000" w:fill="auto"/>
            <w:vAlign w:val="bottom"/>
          </w:tcPr>
          <w:p w:rsidR="00EA058F" w:rsidRPr="00EA058F" w:rsidRDefault="00EA058F" w:rsidP="00EA058F">
            <w:pPr>
              <w:pStyle w:val="Source"/>
              <w:spacing w:after="0"/>
              <w:rPr>
                <w:rFonts w:eastAsiaTheme="minorEastAsia" w:cs="Calibri"/>
                <w:iCs/>
                <w:color w:val="FFFFFF"/>
                <w:sz w:val="19"/>
                <w:szCs w:val="19"/>
                <w:lang w:eastAsia="en-AU"/>
              </w:rPr>
            </w:pPr>
            <w:r w:rsidRPr="00EA058F">
              <w:rPr>
                <w:rFonts w:eastAsiaTheme="minorEastAsia" w:cs="Calibri"/>
                <w:iCs/>
                <w:color w:val="FFFFFF"/>
                <w:sz w:val="19"/>
                <w:szCs w:val="19"/>
                <w:lang w:eastAsia="en-AU"/>
              </w:rPr>
              <w:t>Description</w:t>
            </w:r>
          </w:p>
        </w:tc>
        <w:tc>
          <w:tcPr>
            <w:tcW w:w="1246" w:type="dxa"/>
            <w:tcBorders>
              <w:top w:val="nil"/>
              <w:left w:val="nil"/>
              <w:right w:val="nil"/>
            </w:tcBorders>
            <w:shd w:val="solid" w:color="000000" w:fill="auto"/>
          </w:tcPr>
          <w:p w:rsidR="00EA058F" w:rsidRPr="00363338" w:rsidRDefault="00EA058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63338">
              <w:rPr>
                <w:rFonts w:ascii="Calibri" w:eastAsiaTheme="minorEastAsia" w:hAnsi="Calibri" w:cs="Calibri"/>
                <w:i/>
                <w:iCs/>
                <w:color w:val="FFFFFF"/>
                <w:sz w:val="19"/>
                <w:szCs w:val="19"/>
                <w:lang w:eastAsia="en-AU"/>
              </w:rPr>
              <w:t>Tax</w:t>
            </w:r>
          </w:p>
          <w:p w:rsidR="00EA058F" w:rsidRPr="00363338" w:rsidRDefault="00EA058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63338">
              <w:rPr>
                <w:rFonts w:ascii="Calibri" w:eastAsiaTheme="minorEastAsia" w:hAnsi="Calibri" w:cs="Calibri"/>
                <w:i/>
                <w:iCs/>
                <w:color w:val="FFFFFF"/>
                <w:sz w:val="19"/>
                <w:szCs w:val="19"/>
                <w:lang w:eastAsia="en-AU"/>
              </w:rPr>
              <w:t>expenditure</w:t>
            </w:r>
          </w:p>
        </w:tc>
        <w:tc>
          <w:tcPr>
            <w:tcW w:w="850" w:type="dxa"/>
            <w:tcBorders>
              <w:top w:val="nil"/>
              <w:left w:val="nil"/>
              <w:right w:val="nil"/>
            </w:tcBorders>
            <w:shd w:val="solid" w:color="000000" w:fill="auto"/>
          </w:tcPr>
          <w:p w:rsidR="00EA058F" w:rsidRPr="00363338" w:rsidRDefault="00EA058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63338">
              <w:rPr>
                <w:rFonts w:ascii="Calibri" w:eastAsiaTheme="minorEastAsia" w:hAnsi="Calibri" w:cs="Calibri"/>
                <w:i/>
                <w:iCs/>
                <w:color w:val="FFFFFF"/>
                <w:sz w:val="19"/>
                <w:szCs w:val="19"/>
                <w:lang w:eastAsia="en-AU"/>
              </w:rPr>
              <w:t>Tax</w:t>
            </w:r>
          </w:p>
          <w:p w:rsidR="00EA058F" w:rsidRPr="00363338" w:rsidRDefault="00EA058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63338">
              <w:rPr>
                <w:rFonts w:ascii="Calibri" w:eastAsiaTheme="minorEastAsia" w:hAnsi="Calibri" w:cs="Calibri"/>
                <w:i/>
                <w:iCs/>
                <w:color w:val="FFFFFF"/>
                <w:sz w:val="19"/>
                <w:szCs w:val="19"/>
                <w:lang w:eastAsia="en-AU"/>
              </w:rPr>
              <w:t>revenue</w:t>
            </w:r>
          </w:p>
        </w:tc>
        <w:tc>
          <w:tcPr>
            <w:tcW w:w="850" w:type="dxa"/>
            <w:tcBorders>
              <w:top w:val="nil"/>
              <w:left w:val="nil"/>
              <w:right w:val="nil"/>
            </w:tcBorders>
            <w:shd w:val="solid" w:color="000000" w:fill="auto"/>
          </w:tcPr>
          <w:p w:rsidR="00EA058F" w:rsidRPr="00363338" w:rsidRDefault="00EA058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63338">
              <w:rPr>
                <w:rFonts w:ascii="Calibri" w:eastAsiaTheme="minorEastAsia" w:hAnsi="Calibri" w:cs="Calibri"/>
                <w:i/>
                <w:iCs/>
                <w:color w:val="FFFFFF"/>
                <w:sz w:val="19"/>
                <w:szCs w:val="19"/>
                <w:lang w:eastAsia="en-AU"/>
              </w:rPr>
              <w:t xml:space="preserve"> </w:t>
            </w:r>
          </w:p>
          <w:p w:rsidR="00EA058F" w:rsidRPr="00363338" w:rsidRDefault="00EA058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63338">
              <w:rPr>
                <w:rFonts w:ascii="Calibri" w:eastAsiaTheme="minorEastAsia" w:hAnsi="Calibri" w:cs="Calibri"/>
                <w:i/>
                <w:iCs/>
                <w:color w:val="FFFFFF"/>
                <w:sz w:val="19"/>
                <w:szCs w:val="19"/>
                <w:lang w:eastAsia="en-AU"/>
              </w:rPr>
              <w:t>Ratio</w:t>
            </w:r>
          </w:p>
        </w:tc>
      </w:tr>
      <w:tr w:rsidR="002C39A3" w:rsidRPr="00363338" w:rsidTr="00361FA9">
        <w:tc>
          <w:tcPr>
            <w:tcW w:w="4820"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Land tax</w:t>
            </w:r>
          </w:p>
        </w:tc>
        <w:tc>
          <w:tcPr>
            <w:tcW w:w="1246"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3 821</w:t>
            </w:r>
          </w:p>
        </w:tc>
        <w:tc>
          <w:tcPr>
            <w:tcW w:w="850"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2 225</w:t>
            </w:r>
          </w:p>
        </w:tc>
        <w:tc>
          <w:tcPr>
            <w:tcW w:w="850"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1.72</w:t>
            </w:r>
          </w:p>
        </w:tc>
      </w:tr>
      <w:tr w:rsidR="002C39A3" w:rsidRPr="00363338" w:rsidTr="00361FA9">
        <w:tc>
          <w:tcPr>
            <w:tcW w:w="4820"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Payroll tax</w:t>
            </w:r>
          </w:p>
        </w:tc>
        <w:tc>
          <w:tcPr>
            <w:tcW w:w="1246"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1 270</w:t>
            </w:r>
          </w:p>
        </w:tc>
        <w:tc>
          <w:tcPr>
            <w:tcW w:w="850"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5 671</w:t>
            </w:r>
          </w:p>
        </w:tc>
        <w:tc>
          <w:tcPr>
            <w:tcW w:w="850"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0.22</w:t>
            </w:r>
          </w:p>
        </w:tc>
      </w:tr>
      <w:tr w:rsidR="002C39A3" w:rsidRPr="00363338" w:rsidTr="00361FA9">
        <w:tc>
          <w:tcPr>
            <w:tcW w:w="4820"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Gambling tax</w:t>
            </w:r>
          </w:p>
        </w:tc>
        <w:tc>
          <w:tcPr>
            <w:tcW w:w="1246"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75</w:t>
            </w:r>
          </w:p>
        </w:tc>
        <w:tc>
          <w:tcPr>
            <w:tcW w:w="850"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1 911</w:t>
            </w:r>
          </w:p>
        </w:tc>
        <w:tc>
          <w:tcPr>
            <w:tcW w:w="850"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0.04</w:t>
            </w:r>
          </w:p>
        </w:tc>
      </w:tr>
      <w:tr w:rsidR="002C39A3" w:rsidRPr="00363338" w:rsidTr="00361FA9">
        <w:tc>
          <w:tcPr>
            <w:tcW w:w="4820"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Motor vehicle taxes</w:t>
            </w:r>
          </w:p>
        </w:tc>
        <w:tc>
          <w:tcPr>
            <w:tcW w:w="1246"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190</w:t>
            </w:r>
          </w:p>
        </w:tc>
        <w:tc>
          <w:tcPr>
            <w:tcW w:w="850"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2 334</w:t>
            </w:r>
          </w:p>
        </w:tc>
        <w:tc>
          <w:tcPr>
            <w:tcW w:w="850"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0.08</w:t>
            </w:r>
          </w:p>
        </w:tc>
      </w:tr>
      <w:tr w:rsidR="002C39A3" w:rsidRPr="00363338" w:rsidTr="00361FA9">
        <w:tc>
          <w:tcPr>
            <w:tcW w:w="4820"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Land transfer duties</w:t>
            </w:r>
          </w:p>
        </w:tc>
        <w:tc>
          <w:tcPr>
            <w:tcW w:w="1246"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617</w:t>
            </w:r>
          </w:p>
        </w:tc>
        <w:tc>
          <w:tcPr>
            <w:tcW w:w="850"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5 677</w:t>
            </w:r>
          </w:p>
        </w:tc>
        <w:tc>
          <w:tcPr>
            <w:tcW w:w="850"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0.11</w:t>
            </w:r>
          </w:p>
        </w:tc>
      </w:tr>
      <w:tr w:rsidR="002C39A3" w:rsidRPr="00363338" w:rsidTr="00361FA9">
        <w:tc>
          <w:tcPr>
            <w:tcW w:w="4820"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Congestion levy</w:t>
            </w:r>
          </w:p>
        </w:tc>
        <w:tc>
          <w:tcPr>
            <w:tcW w:w="1246"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53</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115</w:t>
            </w:r>
          </w:p>
        </w:tc>
        <w:tc>
          <w:tcPr>
            <w:tcW w:w="850"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0.46</w:t>
            </w:r>
          </w:p>
        </w:tc>
      </w:tr>
      <w:tr w:rsidR="002C39A3" w:rsidRPr="00363338" w:rsidTr="00361FA9">
        <w:tc>
          <w:tcPr>
            <w:tcW w:w="4820"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Fire Services Property Levy</w:t>
            </w:r>
          </w:p>
        </w:tc>
        <w:tc>
          <w:tcPr>
            <w:tcW w:w="1246"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22</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674</w:t>
            </w:r>
          </w:p>
        </w:tc>
        <w:tc>
          <w:tcPr>
            <w:tcW w:w="850" w:type="dxa"/>
            <w:tcBorders>
              <w:top w:val="nil"/>
              <w:left w:val="nil"/>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0.03</w:t>
            </w:r>
          </w:p>
        </w:tc>
      </w:tr>
      <w:tr w:rsidR="002C39A3" w:rsidRPr="00363338" w:rsidTr="00361FA9">
        <w:tc>
          <w:tcPr>
            <w:tcW w:w="4820" w:type="dxa"/>
            <w:tcBorders>
              <w:top w:val="nil"/>
              <w:left w:val="nil"/>
              <w:bottom w:val="single" w:sz="6" w:space="0" w:color="auto"/>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Other/miscellaneous</w:t>
            </w:r>
          </w:p>
        </w:tc>
        <w:tc>
          <w:tcPr>
            <w:tcW w:w="1246" w:type="dxa"/>
            <w:tcBorders>
              <w:top w:val="nil"/>
              <w:left w:val="nil"/>
              <w:bottom w:val="single" w:sz="6" w:space="0" w:color="auto"/>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auto"/>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2 987</w:t>
            </w:r>
          </w:p>
        </w:tc>
        <w:tc>
          <w:tcPr>
            <w:tcW w:w="850" w:type="dxa"/>
            <w:tcBorders>
              <w:top w:val="nil"/>
              <w:left w:val="nil"/>
              <w:bottom w:val="single" w:sz="6" w:space="0" w:color="auto"/>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w:t>
            </w:r>
          </w:p>
        </w:tc>
      </w:tr>
      <w:tr w:rsidR="002C39A3" w:rsidRPr="00363338" w:rsidTr="00361FA9">
        <w:tc>
          <w:tcPr>
            <w:tcW w:w="4820" w:type="dxa"/>
            <w:tcBorders>
              <w:top w:val="single" w:sz="6" w:space="0" w:color="auto"/>
              <w:left w:val="nil"/>
              <w:bottom w:val="single" w:sz="12" w:space="0" w:color="auto"/>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Total for items estimated</w:t>
            </w:r>
          </w:p>
        </w:tc>
        <w:tc>
          <w:tcPr>
            <w:tcW w:w="1246" w:type="dxa"/>
            <w:tcBorders>
              <w:top w:val="single" w:sz="6" w:space="0" w:color="auto"/>
              <w:left w:val="nil"/>
              <w:bottom w:val="single" w:sz="12" w:space="0" w:color="auto"/>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6 049</w:t>
            </w:r>
          </w:p>
        </w:tc>
        <w:tc>
          <w:tcPr>
            <w:tcW w:w="850" w:type="dxa"/>
            <w:tcBorders>
              <w:top w:val="single" w:sz="6" w:space="0" w:color="auto"/>
              <w:left w:val="nil"/>
              <w:bottom w:val="single" w:sz="12" w:space="0" w:color="auto"/>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21 594</w:t>
            </w:r>
          </w:p>
        </w:tc>
        <w:tc>
          <w:tcPr>
            <w:tcW w:w="850" w:type="dxa"/>
            <w:tcBorders>
              <w:top w:val="single" w:sz="6" w:space="0" w:color="auto"/>
              <w:left w:val="nil"/>
              <w:bottom w:val="single" w:sz="12" w:space="0" w:color="auto"/>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0.28</w:t>
            </w:r>
          </w:p>
        </w:tc>
      </w:tr>
    </w:tbl>
    <w:p w:rsidR="002C39A3" w:rsidRDefault="002C39A3" w:rsidP="00361FA9">
      <w:pPr>
        <w:pStyle w:val="Source"/>
        <w:rPr>
          <w:rFonts w:eastAsiaTheme="minorHAnsi"/>
        </w:rPr>
      </w:pPr>
      <w:r>
        <w:rPr>
          <w:rFonts w:eastAsiaTheme="minorHAnsi"/>
        </w:rPr>
        <w:t>Source: Department of Treasury and Finance</w:t>
      </w:r>
    </w:p>
    <w:p w:rsidR="002C39A3" w:rsidRDefault="002C39A3" w:rsidP="00361FA9">
      <w:pPr>
        <w:pStyle w:val="Notes"/>
        <w:rPr>
          <w:rFonts w:eastAsiaTheme="minorHAnsi"/>
        </w:rPr>
      </w:pPr>
      <w:r>
        <w:rPr>
          <w:rFonts w:eastAsiaTheme="minorHAnsi"/>
        </w:rPr>
        <w:t>Note:</w:t>
      </w:r>
    </w:p>
    <w:p w:rsidR="002C39A3" w:rsidRDefault="002C39A3" w:rsidP="00361FA9">
      <w:pPr>
        <w:pStyle w:val="Notes"/>
        <w:rPr>
          <w:rFonts w:eastAsiaTheme="minorHAnsi"/>
        </w:rPr>
      </w:pPr>
      <w:r>
        <w:rPr>
          <w:rFonts w:eastAsiaTheme="minorHAnsi"/>
        </w:rPr>
        <w:t>(a)</w:t>
      </w:r>
      <w:r>
        <w:rPr>
          <w:rFonts w:eastAsiaTheme="minorHAnsi"/>
        </w:rPr>
        <w:tab/>
        <w:t xml:space="preserve">Tax expenditures associated with thresholds are excluded due to the different nature of these expenditures to other taxation expenditures. Expenditures are benefits that target certain taxpayers or activities, whereas thresholds exclude transactions below a certain size. </w:t>
      </w:r>
    </w:p>
    <w:p w:rsidR="002C39A3" w:rsidRPr="000045BF" w:rsidRDefault="002C39A3" w:rsidP="00361FA9">
      <w:pPr>
        <w:pStyle w:val="Notes"/>
        <w:rPr>
          <w:rFonts w:eastAsiaTheme="minorHAnsi"/>
        </w:rPr>
      </w:pPr>
      <w:r>
        <w:rPr>
          <w:rFonts w:eastAsiaTheme="minorHAnsi"/>
        </w:rPr>
        <w:t>(b)</w:t>
      </w:r>
      <w:r>
        <w:rPr>
          <w:rFonts w:eastAsiaTheme="minorHAnsi"/>
        </w:rPr>
        <w:tab/>
      </w:r>
      <w:r w:rsidRPr="00E82B1C">
        <w:rPr>
          <w:rFonts w:eastAsiaTheme="minorHAnsi"/>
        </w:rPr>
        <w:t>All amounts have been rounded to the nearest $1 million unless otherwise stated. Figures may not add due to rounding.</w:t>
      </w:r>
    </w:p>
    <w:p w:rsidR="002C39A3" w:rsidRDefault="002C39A3">
      <w:pPr>
        <w:spacing w:after="0"/>
        <w:rPr>
          <w:rFonts w:eastAsiaTheme="minorHAnsi"/>
        </w:rPr>
      </w:pPr>
      <w:r>
        <w:rPr>
          <w:rFonts w:eastAsiaTheme="minorHAnsi"/>
        </w:rPr>
        <w:br w:type="page"/>
      </w:r>
    </w:p>
    <w:p w:rsidR="002C39A3" w:rsidRDefault="002C39A3" w:rsidP="00361FA9">
      <w:pPr>
        <w:rPr>
          <w:rFonts w:eastAsiaTheme="minorHAnsi"/>
        </w:rPr>
      </w:pPr>
      <w:r>
        <w:rPr>
          <w:rFonts w:eastAsiaTheme="minorHAnsi"/>
        </w:rPr>
        <w:t>Table 5.4 provides an estimate of tax expenditures for groups of potential taxpayers based on the legal incidence of state taxes.</w:t>
      </w:r>
    </w:p>
    <w:p w:rsidR="002C39A3" w:rsidRDefault="002C39A3" w:rsidP="00361FA9">
      <w:pPr>
        <w:rPr>
          <w:rFonts w:eastAsiaTheme="minorHAnsi"/>
        </w:rPr>
      </w:pPr>
      <w:r>
        <w:rPr>
          <w:rFonts w:eastAsiaTheme="minorHAnsi"/>
        </w:rPr>
        <w:t>The largest beneficiaries of Victorian tax expenditures are owner occupier households, mainly in the form of the principal place of residence being exempt from land tax. Revenue foregone for this group is expected to be around $2.0 billion in 2016-17, an increase of $354 million from 2015-16. This is driven by the biennial land revaluation, which is forecast to increase the value of land exempt under the principal place of residence exemption. The land revaluation is also forecast to increase tax expenditures for primary producers by increasing the value of land exempt under the land tax exemption for land used for primary production.</w:t>
      </w:r>
    </w:p>
    <w:p w:rsidR="002C39A3" w:rsidRDefault="002C39A3" w:rsidP="00361FA9">
      <w:pPr>
        <w:rPr>
          <w:rFonts w:eastAsiaTheme="minorHAnsi"/>
        </w:rPr>
      </w:pPr>
      <w:r>
        <w:rPr>
          <w:rFonts w:eastAsiaTheme="minorHAnsi"/>
        </w:rPr>
        <w:t xml:space="preserve">Revenue foregone for business not elsewhere included was $1.5 billion in 2015-16, which is significantly higher than previously estimated. This is due to the series of large corporate reconstruction exemptions under land transfer duty tax expenditures, which was identified in </w:t>
      </w:r>
      <w:r w:rsidR="00361FA9">
        <w:rPr>
          <w:rFonts w:eastAsiaTheme="minorHAnsi"/>
        </w:rPr>
        <w:t>T</w:t>
      </w:r>
      <w:r>
        <w:rPr>
          <w:rFonts w:eastAsiaTheme="minorHAnsi"/>
        </w:rPr>
        <w:t>able 5.1 (footnote c).</w:t>
      </w:r>
    </w:p>
    <w:p w:rsidR="002C39A3" w:rsidRDefault="002C39A3" w:rsidP="00361FA9">
      <w:pPr>
        <w:pStyle w:val="Tableheading"/>
        <w:rPr>
          <w:rFonts w:eastAsiaTheme="minorHAnsi"/>
          <w:vertAlign w:val="superscript"/>
        </w:rPr>
      </w:pPr>
      <w:r>
        <w:rPr>
          <w:rFonts w:eastAsiaTheme="minorHAnsi"/>
        </w:rPr>
        <w:t>Table 5.4:</w:t>
      </w:r>
      <w:r>
        <w:rPr>
          <w:rFonts w:eastAsiaTheme="minorHAnsi"/>
        </w:rPr>
        <w:tab/>
        <w:t>Estimated aggregate tax expenditures (excluding thresholds) classified by persons or entities affected</w:t>
      </w:r>
      <w:r>
        <w:rPr>
          <w:rFonts w:eastAsiaTheme="minorHAnsi"/>
          <w:vertAlign w:val="superscript"/>
        </w:rPr>
        <w:t>(a)(b)</w:t>
      </w:r>
    </w:p>
    <w:p w:rsidR="002C39A3" w:rsidRPr="00363338" w:rsidRDefault="002C39A3" w:rsidP="00361FA9">
      <w:pPr>
        <w:pStyle w:val="million"/>
        <w:rPr>
          <w:rFonts w:eastAsiaTheme="minorHAnsi"/>
          <w:b/>
          <w:bCs/>
          <w:sz w:val="15"/>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2835"/>
        <w:gridCol w:w="821"/>
        <w:gridCol w:w="822"/>
        <w:gridCol w:w="822"/>
        <w:gridCol w:w="821"/>
        <w:gridCol w:w="822"/>
        <w:gridCol w:w="822"/>
      </w:tblGrid>
      <w:tr w:rsidR="002C39A3" w:rsidRPr="00363338" w:rsidTr="00361FA9">
        <w:tc>
          <w:tcPr>
            <w:tcW w:w="2835" w:type="dxa"/>
            <w:tcBorders>
              <w:top w:val="nil"/>
              <w:left w:val="nil"/>
              <w:right w:val="nil"/>
            </w:tcBorders>
            <w:shd w:val="solid" w:color="000000" w:fill="auto"/>
          </w:tcPr>
          <w:p w:rsidR="002C39A3" w:rsidRPr="00363338" w:rsidRDefault="002C39A3" w:rsidP="00361FA9">
            <w:pPr>
              <w:pStyle w:val="Source"/>
              <w:spacing w:after="0"/>
              <w:rPr>
                <w:rFonts w:eastAsiaTheme="minorEastAsia" w:cs="Calibri"/>
                <w:iCs/>
                <w:color w:val="FFFFFF"/>
                <w:sz w:val="19"/>
                <w:szCs w:val="19"/>
                <w:lang w:eastAsia="en-AU"/>
              </w:rPr>
            </w:pPr>
            <w:r w:rsidRPr="00363338">
              <w:rPr>
                <w:rFonts w:eastAsiaTheme="minorEastAsia" w:cs="Calibri"/>
                <w:iCs/>
                <w:color w:val="FFFFFF"/>
                <w:sz w:val="19"/>
                <w:szCs w:val="19"/>
                <w:lang w:eastAsia="en-AU"/>
              </w:rPr>
              <w:t>Description</w:t>
            </w:r>
          </w:p>
        </w:tc>
        <w:tc>
          <w:tcPr>
            <w:tcW w:w="821" w:type="dxa"/>
            <w:tcBorders>
              <w:top w:val="nil"/>
              <w:left w:val="nil"/>
              <w:right w:val="nil"/>
            </w:tcBorders>
            <w:shd w:val="solid" w:color="000000" w:fill="auto"/>
          </w:tcPr>
          <w:p w:rsidR="002C39A3" w:rsidRPr="00363338"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63338">
              <w:rPr>
                <w:rFonts w:ascii="Calibri" w:eastAsiaTheme="minorEastAsia" w:hAnsi="Calibri" w:cs="Calibri"/>
                <w:i/>
                <w:iCs/>
                <w:color w:val="FFFFFF"/>
                <w:sz w:val="19"/>
                <w:szCs w:val="19"/>
                <w:lang w:eastAsia="en-AU"/>
              </w:rPr>
              <w:t>2014-15</w:t>
            </w:r>
          </w:p>
        </w:tc>
        <w:tc>
          <w:tcPr>
            <w:tcW w:w="822" w:type="dxa"/>
            <w:tcBorders>
              <w:top w:val="nil"/>
              <w:left w:val="nil"/>
              <w:right w:val="nil"/>
            </w:tcBorders>
            <w:shd w:val="solid" w:color="000000" w:fill="auto"/>
          </w:tcPr>
          <w:p w:rsidR="002C39A3" w:rsidRPr="00363338"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63338">
              <w:rPr>
                <w:rFonts w:ascii="Calibri" w:eastAsiaTheme="minorEastAsia" w:hAnsi="Calibri" w:cs="Calibri"/>
                <w:i/>
                <w:iCs/>
                <w:color w:val="FFFFFF"/>
                <w:sz w:val="19"/>
                <w:szCs w:val="19"/>
                <w:lang w:eastAsia="en-AU"/>
              </w:rPr>
              <w:t>2015-16</w:t>
            </w:r>
          </w:p>
        </w:tc>
        <w:tc>
          <w:tcPr>
            <w:tcW w:w="822" w:type="dxa"/>
            <w:tcBorders>
              <w:top w:val="nil"/>
              <w:left w:val="nil"/>
              <w:right w:val="nil"/>
            </w:tcBorders>
            <w:shd w:val="solid" w:color="000000" w:fill="auto"/>
          </w:tcPr>
          <w:p w:rsidR="002C39A3" w:rsidRPr="00363338"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63338">
              <w:rPr>
                <w:rFonts w:ascii="Calibri" w:eastAsiaTheme="minorEastAsia" w:hAnsi="Calibri" w:cs="Calibri"/>
                <w:i/>
                <w:iCs/>
                <w:color w:val="FFFFFF"/>
                <w:sz w:val="19"/>
                <w:szCs w:val="19"/>
                <w:lang w:eastAsia="en-AU"/>
              </w:rPr>
              <w:t>2016-17</w:t>
            </w:r>
          </w:p>
        </w:tc>
        <w:tc>
          <w:tcPr>
            <w:tcW w:w="821" w:type="dxa"/>
            <w:tcBorders>
              <w:top w:val="nil"/>
              <w:left w:val="nil"/>
              <w:right w:val="nil"/>
            </w:tcBorders>
            <w:shd w:val="solid" w:color="000000" w:fill="auto"/>
          </w:tcPr>
          <w:p w:rsidR="002C39A3" w:rsidRPr="00363338"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63338">
              <w:rPr>
                <w:rFonts w:ascii="Calibri" w:eastAsiaTheme="minorEastAsia" w:hAnsi="Calibri" w:cs="Calibri"/>
                <w:i/>
                <w:iCs/>
                <w:color w:val="FFFFFF"/>
                <w:sz w:val="19"/>
                <w:szCs w:val="19"/>
                <w:lang w:eastAsia="en-AU"/>
              </w:rPr>
              <w:t>2017-18</w:t>
            </w:r>
          </w:p>
        </w:tc>
        <w:tc>
          <w:tcPr>
            <w:tcW w:w="822" w:type="dxa"/>
            <w:tcBorders>
              <w:top w:val="nil"/>
              <w:left w:val="nil"/>
              <w:right w:val="nil"/>
            </w:tcBorders>
            <w:shd w:val="solid" w:color="000000" w:fill="auto"/>
          </w:tcPr>
          <w:p w:rsidR="002C39A3" w:rsidRPr="00363338"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63338">
              <w:rPr>
                <w:rFonts w:ascii="Calibri" w:eastAsiaTheme="minorEastAsia" w:hAnsi="Calibri" w:cs="Calibri"/>
                <w:i/>
                <w:iCs/>
                <w:color w:val="FFFFFF"/>
                <w:sz w:val="19"/>
                <w:szCs w:val="19"/>
                <w:lang w:eastAsia="en-AU"/>
              </w:rPr>
              <w:t>2018-19</w:t>
            </w:r>
          </w:p>
        </w:tc>
        <w:tc>
          <w:tcPr>
            <w:tcW w:w="822" w:type="dxa"/>
            <w:tcBorders>
              <w:top w:val="nil"/>
              <w:left w:val="nil"/>
              <w:right w:val="nil"/>
            </w:tcBorders>
            <w:shd w:val="solid" w:color="000000" w:fill="auto"/>
          </w:tcPr>
          <w:p w:rsidR="002C39A3" w:rsidRPr="00363338"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63338">
              <w:rPr>
                <w:rFonts w:ascii="Calibri" w:eastAsiaTheme="minorEastAsia" w:hAnsi="Calibri" w:cs="Calibri"/>
                <w:i/>
                <w:iCs/>
                <w:color w:val="FFFFFF"/>
                <w:sz w:val="19"/>
                <w:szCs w:val="19"/>
                <w:lang w:eastAsia="en-AU"/>
              </w:rPr>
              <w:t>2019-20</w:t>
            </w:r>
          </w:p>
        </w:tc>
      </w:tr>
      <w:tr w:rsidR="002C39A3" w:rsidRPr="00363338" w:rsidTr="00361FA9">
        <w:tc>
          <w:tcPr>
            <w:tcW w:w="2835" w:type="dxa"/>
            <w:tcBorders>
              <w:top w:val="nil"/>
              <w:left w:val="nil"/>
              <w:right w:val="nil"/>
            </w:tcBorders>
            <w:shd w:val="clear" w:color="auto"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 xml:space="preserve">Business not elsewhere included </w:t>
            </w:r>
          </w:p>
        </w:tc>
        <w:tc>
          <w:tcPr>
            <w:tcW w:w="821"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361</w:t>
            </w:r>
          </w:p>
        </w:tc>
        <w:tc>
          <w:tcPr>
            <w:tcW w:w="822" w:type="dxa"/>
            <w:tcBorders>
              <w:top w:val="nil"/>
              <w:left w:val="nil"/>
              <w:right w:val="nil"/>
            </w:tcBorders>
            <w:shd w:val="clear" w:color="auto"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1 540</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344</w:t>
            </w:r>
          </w:p>
        </w:tc>
        <w:tc>
          <w:tcPr>
            <w:tcW w:w="821"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356</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373</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381</w:t>
            </w:r>
          </w:p>
        </w:tc>
      </w:tr>
      <w:tr w:rsidR="002C39A3" w:rsidRPr="00363338" w:rsidTr="00361FA9">
        <w:tc>
          <w:tcPr>
            <w:tcW w:w="2835" w:type="dxa"/>
            <w:tcBorders>
              <w:top w:val="nil"/>
              <w:left w:val="nil"/>
              <w:right w:val="nil"/>
            </w:tcBorders>
            <w:shd w:val="clear" w:color="auto"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Construction industry</w:t>
            </w:r>
          </w:p>
        </w:tc>
        <w:tc>
          <w:tcPr>
            <w:tcW w:w="821"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w:t>
            </w:r>
          </w:p>
        </w:tc>
        <w:tc>
          <w:tcPr>
            <w:tcW w:w="821"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w:t>
            </w:r>
          </w:p>
        </w:tc>
      </w:tr>
      <w:tr w:rsidR="002C39A3" w:rsidRPr="00363338" w:rsidTr="00361FA9">
        <w:tc>
          <w:tcPr>
            <w:tcW w:w="2835" w:type="dxa"/>
            <w:tcBorders>
              <w:top w:val="nil"/>
              <w:left w:val="nil"/>
              <w:right w:val="nil"/>
            </w:tcBorders>
            <w:shd w:val="clear" w:color="auto"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Charitable organisations other than religious institutions</w:t>
            </w:r>
          </w:p>
        </w:tc>
        <w:tc>
          <w:tcPr>
            <w:tcW w:w="821"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464</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484</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546</w:t>
            </w:r>
          </w:p>
        </w:tc>
        <w:tc>
          <w:tcPr>
            <w:tcW w:w="821"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560</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605</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619</w:t>
            </w:r>
          </w:p>
        </w:tc>
      </w:tr>
      <w:tr w:rsidR="002C39A3" w:rsidRPr="00363338" w:rsidTr="00361FA9">
        <w:tc>
          <w:tcPr>
            <w:tcW w:w="2835" w:type="dxa"/>
            <w:tcBorders>
              <w:top w:val="nil"/>
              <w:left w:val="nil"/>
              <w:right w:val="nil"/>
            </w:tcBorders>
            <w:shd w:val="clear" w:color="auto"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Educational institutions</w:t>
            </w:r>
          </w:p>
        </w:tc>
        <w:tc>
          <w:tcPr>
            <w:tcW w:w="821"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169</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177</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187</w:t>
            </w:r>
          </w:p>
        </w:tc>
        <w:tc>
          <w:tcPr>
            <w:tcW w:w="821"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197</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208</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218</w:t>
            </w:r>
          </w:p>
        </w:tc>
      </w:tr>
      <w:tr w:rsidR="002C39A3" w:rsidRPr="00363338" w:rsidTr="00361FA9">
        <w:tc>
          <w:tcPr>
            <w:tcW w:w="2835" w:type="dxa"/>
            <w:tcBorders>
              <w:top w:val="nil"/>
              <w:left w:val="nil"/>
              <w:right w:val="nil"/>
            </w:tcBorders>
            <w:shd w:val="clear" w:color="auto"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Gambling clubs</w:t>
            </w:r>
          </w:p>
        </w:tc>
        <w:tc>
          <w:tcPr>
            <w:tcW w:w="821"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72</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74</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75</w:t>
            </w:r>
          </w:p>
        </w:tc>
        <w:tc>
          <w:tcPr>
            <w:tcW w:w="821"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77</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78</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79</w:t>
            </w:r>
          </w:p>
        </w:tc>
      </w:tr>
      <w:tr w:rsidR="002C39A3" w:rsidRPr="00363338" w:rsidTr="00361FA9">
        <w:tc>
          <w:tcPr>
            <w:tcW w:w="2835" w:type="dxa"/>
            <w:tcBorders>
              <w:top w:val="nil"/>
              <w:left w:val="nil"/>
              <w:right w:val="nil"/>
            </w:tcBorders>
            <w:shd w:val="clear" w:color="auto" w:fill="FFFFFF"/>
          </w:tcPr>
          <w:p w:rsidR="002C39A3" w:rsidRPr="00363338" w:rsidRDefault="00EA058F"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Commonwealth and State </w:t>
            </w:r>
            <w:r w:rsidR="002C39A3" w:rsidRPr="00363338">
              <w:rPr>
                <w:rFonts w:ascii="Calibri" w:eastAsiaTheme="minorEastAsia" w:hAnsi="Calibri" w:cs="Calibri"/>
                <w:color w:val="000000"/>
                <w:sz w:val="19"/>
                <w:szCs w:val="19"/>
                <w:lang w:eastAsia="en-AU"/>
              </w:rPr>
              <w:t>governments</w:t>
            </w:r>
          </w:p>
        </w:tc>
        <w:tc>
          <w:tcPr>
            <w:tcW w:w="821"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850</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867</w:t>
            </w:r>
          </w:p>
        </w:tc>
        <w:tc>
          <w:tcPr>
            <w:tcW w:w="822" w:type="dxa"/>
            <w:tcBorders>
              <w:top w:val="nil"/>
              <w:left w:val="nil"/>
              <w:right w:val="nil"/>
            </w:tcBorders>
            <w:shd w:val="clear" w:color="auto"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1 090</w:t>
            </w:r>
          </w:p>
        </w:tc>
        <w:tc>
          <w:tcPr>
            <w:tcW w:w="821" w:type="dxa"/>
            <w:tcBorders>
              <w:top w:val="nil"/>
              <w:left w:val="nil"/>
              <w:right w:val="nil"/>
            </w:tcBorders>
            <w:shd w:val="clear" w:color="auto"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1 072</w:t>
            </w:r>
          </w:p>
        </w:tc>
        <w:tc>
          <w:tcPr>
            <w:tcW w:w="822" w:type="dxa"/>
            <w:tcBorders>
              <w:top w:val="nil"/>
              <w:left w:val="nil"/>
              <w:right w:val="nil"/>
            </w:tcBorders>
            <w:shd w:val="clear" w:color="auto"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1 206</w:t>
            </w:r>
          </w:p>
        </w:tc>
        <w:tc>
          <w:tcPr>
            <w:tcW w:w="822" w:type="dxa"/>
            <w:tcBorders>
              <w:top w:val="nil"/>
              <w:left w:val="nil"/>
              <w:right w:val="nil"/>
            </w:tcBorders>
            <w:shd w:val="clear" w:color="auto"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1 183</w:t>
            </w:r>
          </w:p>
        </w:tc>
      </w:tr>
      <w:tr w:rsidR="002C39A3" w:rsidRPr="00363338" w:rsidTr="00361FA9">
        <w:tc>
          <w:tcPr>
            <w:tcW w:w="2835" w:type="dxa"/>
            <w:tcBorders>
              <w:top w:val="nil"/>
              <w:left w:val="nil"/>
              <w:right w:val="nil"/>
            </w:tcBorders>
            <w:shd w:val="clear" w:color="auto"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Local government</w:t>
            </w:r>
          </w:p>
        </w:tc>
        <w:tc>
          <w:tcPr>
            <w:tcW w:w="821"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369</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375</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445</w:t>
            </w:r>
          </w:p>
        </w:tc>
        <w:tc>
          <w:tcPr>
            <w:tcW w:w="821"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447</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492</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494</w:t>
            </w:r>
          </w:p>
        </w:tc>
      </w:tr>
      <w:tr w:rsidR="002C39A3" w:rsidRPr="00363338" w:rsidTr="00361FA9">
        <w:tc>
          <w:tcPr>
            <w:tcW w:w="2835" w:type="dxa"/>
            <w:tcBorders>
              <w:top w:val="nil"/>
              <w:left w:val="nil"/>
              <w:right w:val="nil"/>
            </w:tcBorders>
            <w:shd w:val="clear" w:color="auto"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Hospitals</w:t>
            </w:r>
          </w:p>
        </w:tc>
        <w:tc>
          <w:tcPr>
            <w:tcW w:w="821"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401</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420</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444</w:t>
            </w:r>
          </w:p>
        </w:tc>
        <w:tc>
          <w:tcPr>
            <w:tcW w:w="821"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468</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492</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518</w:t>
            </w:r>
          </w:p>
        </w:tc>
      </w:tr>
      <w:tr w:rsidR="002C39A3" w:rsidRPr="00363338" w:rsidTr="00361FA9">
        <w:tc>
          <w:tcPr>
            <w:tcW w:w="2835" w:type="dxa"/>
            <w:tcBorders>
              <w:top w:val="nil"/>
              <w:left w:val="nil"/>
              <w:right w:val="nil"/>
            </w:tcBorders>
            <w:shd w:val="clear" w:color="auto"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Pensioners/concession cardholders</w:t>
            </w:r>
          </w:p>
        </w:tc>
        <w:tc>
          <w:tcPr>
            <w:tcW w:w="821"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283</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300</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296</w:t>
            </w:r>
          </w:p>
        </w:tc>
        <w:tc>
          <w:tcPr>
            <w:tcW w:w="821"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304</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320</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334</w:t>
            </w:r>
          </w:p>
        </w:tc>
      </w:tr>
      <w:tr w:rsidR="002C39A3" w:rsidRPr="00363338" w:rsidTr="00361FA9">
        <w:tc>
          <w:tcPr>
            <w:tcW w:w="2835" w:type="dxa"/>
            <w:tcBorders>
              <w:top w:val="nil"/>
              <w:left w:val="nil"/>
              <w:right w:val="nil"/>
            </w:tcBorders>
            <w:shd w:val="clear" w:color="auto"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363338">
              <w:rPr>
                <w:rFonts w:ascii="Calibri" w:eastAsiaTheme="minorEastAsia" w:hAnsi="Calibri" w:cs="Calibri"/>
                <w:color w:val="000000"/>
                <w:sz w:val="19"/>
                <w:szCs w:val="19"/>
                <w:lang w:eastAsia="en-AU"/>
              </w:rPr>
              <w:t xml:space="preserve">Owner occupier households </w:t>
            </w:r>
            <w:r w:rsidRPr="00363338">
              <w:rPr>
                <w:rFonts w:ascii="Calibri" w:eastAsiaTheme="minorEastAsia" w:hAnsi="Calibri" w:cs="Calibri"/>
                <w:color w:val="000000"/>
                <w:sz w:val="19"/>
                <w:szCs w:val="19"/>
                <w:vertAlign w:val="superscript"/>
                <w:lang w:eastAsia="en-AU"/>
              </w:rPr>
              <w:t>(c)</w:t>
            </w:r>
          </w:p>
        </w:tc>
        <w:tc>
          <w:tcPr>
            <w:tcW w:w="821" w:type="dxa"/>
            <w:tcBorders>
              <w:top w:val="nil"/>
              <w:left w:val="nil"/>
              <w:right w:val="nil"/>
            </w:tcBorders>
            <w:shd w:val="clear" w:color="auto"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1 652</w:t>
            </w:r>
          </w:p>
        </w:tc>
        <w:tc>
          <w:tcPr>
            <w:tcW w:w="822" w:type="dxa"/>
            <w:tcBorders>
              <w:top w:val="nil"/>
              <w:left w:val="nil"/>
              <w:right w:val="nil"/>
            </w:tcBorders>
            <w:shd w:val="clear" w:color="auto"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1 674</w:t>
            </w:r>
          </w:p>
        </w:tc>
        <w:tc>
          <w:tcPr>
            <w:tcW w:w="822" w:type="dxa"/>
            <w:tcBorders>
              <w:top w:val="nil"/>
              <w:left w:val="nil"/>
              <w:right w:val="nil"/>
            </w:tcBorders>
            <w:shd w:val="clear" w:color="auto"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2 028</w:t>
            </w:r>
          </w:p>
        </w:tc>
        <w:tc>
          <w:tcPr>
            <w:tcW w:w="821" w:type="dxa"/>
            <w:tcBorders>
              <w:top w:val="nil"/>
              <w:left w:val="nil"/>
              <w:right w:val="nil"/>
            </w:tcBorders>
            <w:shd w:val="clear" w:color="auto"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1 996</w:t>
            </w:r>
          </w:p>
        </w:tc>
        <w:tc>
          <w:tcPr>
            <w:tcW w:w="822" w:type="dxa"/>
            <w:tcBorders>
              <w:top w:val="nil"/>
              <w:left w:val="nil"/>
              <w:right w:val="nil"/>
            </w:tcBorders>
            <w:shd w:val="clear" w:color="auto"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2 233</w:t>
            </w:r>
          </w:p>
        </w:tc>
        <w:tc>
          <w:tcPr>
            <w:tcW w:w="822" w:type="dxa"/>
            <w:tcBorders>
              <w:top w:val="nil"/>
              <w:left w:val="nil"/>
              <w:right w:val="nil"/>
            </w:tcBorders>
            <w:shd w:val="clear" w:color="auto" w:fill="FFFFFF"/>
          </w:tcPr>
          <w:p w:rsidR="002C39A3" w:rsidRPr="00363338"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2 204</w:t>
            </w:r>
          </w:p>
        </w:tc>
      </w:tr>
      <w:tr w:rsidR="002C39A3" w:rsidRPr="00363338" w:rsidTr="00361FA9">
        <w:tc>
          <w:tcPr>
            <w:tcW w:w="2835" w:type="dxa"/>
            <w:tcBorders>
              <w:top w:val="nil"/>
              <w:left w:val="nil"/>
              <w:right w:val="nil"/>
            </w:tcBorders>
            <w:shd w:val="clear" w:color="auto"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Primary producers</w:t>
            </w:r>
          </w:p>
        </w:tc>
        <w:tc>
          <w:tcPr>
            <w:tcW w:w="821"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408</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397</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500</w:t>
            </w:r>
          </w:p>
        </w:tc>
        <w:tc>
          <w:tcPr>
            <w:tcW w:w="821"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491</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549</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539</w:t>
            </w:r>
          </w:p>
        </w:tc>
      </w:tr>
      <w:tr w:rsidR="002C39A3" w:rsidRPr="00363338" w:rsidTr="00361FA9">
        <w:tc>
          <w:tcPr>
            <w:tcW w:w="2835" w:type="dxa"/>
            <w:tcBorders>
              <w:top w:val="nil"/>
              <w:left w:val="nil"/>
              <w:right w:val="nil"/>
            </w:tcBorders>
            <w:shd w:val="clear" w:color="auto"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Religious institutions</w:t>
            </w:r>
          </w:p>
        </w:tc>
        <w:tc>
          <w:tcPr>
            <w:tcW w:w="821"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w:t>
            </w:r>
          </w:p>
        </w:tc>
        <w:tc>
          <w:tcPr>
            <w:tcW w:w="821"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w:t>
            </w:r>
          </w:p>
        </w:tc>
      </w:tr>
      <w:tr w:rsidR="002C39A3" w:rsidRPr="00363338" w:rsidTr="00361FA9">
        <w:tc>
          <w:tcPr>
            <w:tcW w:w="2835" w:type="dxa"/>
            <w:tcBorders>
              <w:top w:val="nil"/>
              <w:left w:val="nil"/>
              <w:right w:val="nil"/>
            </w:tcBorders>
            <w:shd w:val="clear" w:color="auto"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Sp</w:t>
            </w:r>
            <w:r w:rsidR="00EA058F">
              <w:rPr>
                <w:rFonts w:ascii="Calibri" w:eastAsiaTheme="minorEastAsia" w:hAnsi="Calibri" w:cs="Calibri"/>
                <w:color w:val="000000"/>
                <w:sz w:val="19"/>
                <w:szCs w:val="19"/>
                <w:lang w:eastAsia="en-AU"/>
              </w:rPr>
              <w:t>orting, recreation and cultural </w:t>
            </w:r>
            <w:r w:rsidRPr="00363338">
              <w:rPr>
                <w:rFonts w:ascii="Calibri" w:eastAsiaTheme="minorEastAsia" w:hAnsi="Calibri" w:cs="Calibri"/>
                <w:color w:val="000000"/>
                <w:sz w:val="19"/>
                <w:szCs w:val="19"/>
                <w:lang w:eastAsia="en-AU"/>
              </w:rPr>
              <w:t>organisations</w:t>
            </w:r>
          </w:p>
        </w:tc>
        <w:tc>
          <w:tcPr>
            <w:tcW w:w="821"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39</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42</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54</w:t>
            </w:r>
          </w:p>
        </w:tc>
        <w:tc>
          <w:tcPr>
            <w:tcW w:w="821"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53</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60</w:t>
            </w:r>
          </w:p>
        </w:tc>
        <w:tc>
          <w:tcPr>
            <w:tcW w:w="822" w:type="dxa"/>
            <w:tcBorders>
              <w:top w:val="nil"/>
              <w:left w:val="nil"/>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58</w:t>
            </w:r>
          </w:p>
        </w:tc>
      </w:tr>
      <w:tr w:rsidR="002C39A3" w:rsidRPr="00363338" w:rsidTr="00361FA9">
        <w:tc>
          <w:tcPr>
            <w:tcW w:w="2835" w:type="dxa"/>
            <w:tcBorders>
              <w:top w:val="nil"/>
              <w:left w:val="nil"/>
              <w:bottom w:val="single" w:sz="6" w:space="0" w:color="auto"/>
              <w:right w:val="nil"/>
            </w:tcBorders>
            <w:shd w:val="clear" w:color="auto"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Other</w:t>
            </w:r>
          </w:p>
        </w:tc>
        <w:tc>
          <w:tcPr>
            <w:tcW w:w="821" w:type="dxa"/>
            <w:tcBorders>
              <w:top w:val="nil"/>
              <w:left w:val="nil"/>
              <w:bottom w:val="single" w:sz="6" w:space="0" w:color="auto"/>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25</w:t>
            </w:r>
          </w:p>
        </w:tc>
        <w:tc>
          <w:tcPr>
            <w:tcW w:w="822" w:type="dxa"/>
            <w:tcBorders>
              <w:top w:val="nil"/>
              <w:left w:val="nil"/>
              <w:bottom w:val="single" w:sz="6" w:space="0" w:color="auto"/>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28</w:t>
            </w:r>
          </w:p>
        </w:tc>
        <w:tc>
          <w:tcPr>
            <w:tcW w:w="822" w:type="dxa"/>
            <w:tcBorders>
              <w:top w:val="nil"/>
              <w:left w:val="nil"/>
              <w:bottom w:val="single" w:sz="6" w:space="0" w:color="auto"/>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31</w:t>
            </w:r>
          </w:p>
        </w:tc>
        <w:tc>
          <w:tcPr>
            <w:tcW w:w="821" w:type="dxa"/>
            <w:tcBorders>
              <w:top w:val="nil"/>
              <w:left w:val="nil"/>
              <w:bottom w:val="single" w:sz="6" w:space="0" w:color="auto"/>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33</w:t>
            </w:r>
          </w:p>
        </w:tc>
        <w:tc>
          <w:tcPr>
            <w:tcW w:w="822" w:type="dxa"/>
            <w:tcBorders>
              <w:top w:val="nil"/>
              <w:left w:val="nil"/>
              <w:bottom w:val="single" w:sz="6" w:space="0" w:color="auto"/>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35</w:t>
            </w:r>
          </w:p>
        </w:tc>
        <w:tc>
          <w:tcPr>
            <w:tcW w:w="822" w:type="dxa"/>
            <w:tcBorders>
              <w:top w:val="nil"/>
              <w:left w:val="nil"/>
              <w:bottom w:val="single" w:sz="6" w:space="0" w:color="auto"/>
              <w:right w:val="nil"/>
            </w:tcBorders>
            <w:shd w:val="clear" w:color="auto"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36</w:t>
            </w:r>
          </w:p>
        </w:tc>
      </w:tr>
      <w:tr w:rsidR="002C39A3" w:rsidRPr="00363338" w:rsidTr="00361FA9">
        <w:tc>
          <w:tcPr>
            <w:tcW w:w="2835" w:type="dxa"/>
            <w:tcBorders>
              <w:top w:val="single" w:sz="6" w:space="0" w:color="auto"/>
              <w:left w:val="nil"/>
              <w:bottom w:val="single" w:sz="12" w:space="0" w:color="auto"/>
              <w:right w:val="nil"/>
            </w:tcBorders>
            <w:shd w:val="clear" w:color="auto"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Total for items estimated</w:t>
            </w:r>
          </w:p>
        </w:tc>
        <w:tc>
          <w:tcPr>
            <w:tcW w:w="821" w:type="dxa"/>
            <w:tcBorders>
              <w:top w:val="single" w:sz="6" w:space="0" w:color="auto"/>
              <w:left w:val="nil"/>
              <w:bottom w:val="single" w:sz="12" w:space="0" w:color="auto"/>
              <w:right w:val="nil"/>
            </w:tcBorders>
            <w:shd w:val="clear" w:color="auto" w:fill="FFFFFF"/>
          </w:tcPr>
          <w:p w:rsidR="002C39A3" w:rsidRPr="00363338"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5 102</w:t>
            </w:r>
          </w:p>
        </w:tc>
        <w:tc>
          <w:tcPr>
            <w:tcW w:w="822" w:type="dxa"/>
            <w:tcBorders>
              <w:top w:val="single" w:sz="6" w:space="0" w:color="auto"/>
              <w:left w:val="nil"/>
              <w:bottom w:val="single" w:sz="12" w:space="0" w:color="auto"/>
              <w:right w:val="nil"/>
            </w:tcBorders>
            <w:shd w:val="clear" w:color="auto" w:fill="FFFFFF"/>
          </w:tcPr>
          <w:p w:rsidR="002C39A3" w:rsidRPr="00363338"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6 386</w:t>
            </w:r>
          </w:p>
        </w:tc>
        <w:tc>
          <w:tcPr>
            <w:tcW w:w="822" w:type="dxa"/>
            <w:tcBorders>
              <w:top w:val="single" w:sz="6" w:space="0" w:color="auto"/>
              <w:left w:val="nil"/>
              <w:bottom w:val="single" w:sz="12" w:space="0" w:color="auto"/>
              <w:right w:val="nil"/>
            </w:tcBorders>
            <w:shd w:val="clear" w:color="auto" w:fill="FFFFFF"/>
          </w:tcPr>
          <w:p w:rsidR="002C39A3" w:rsidRPr="00363338"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6 049</w:t>
            </w:r>
          </w:p>
        </w:tc>
        <w:tc>
          <w:tcPr>
            <w:tcW w:w="821" w:type="dxa"/>
            <w:tcBorders>
              <w:top w:val="single" w:sz="6" w:space="0" w:color="auto"/>
              <w:left w:val="nil"/>
              <w:bottom w:val="single" w:sz="12" w:space="0" w:color="auto"/>
              <w:right w:val="nil"/>
            </w:tcBorders>
            <w:shd w:val="clear" w:color="auto" w:fill="FFFFFF"/>
          </w:tcPr>
          <w:p w:rsidR="002C39A3" w:rsidRPr="00363338"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6 061</w:t>
            </w:r>
          </w:p>
        </w:tc>
        <w:tc>
          <w:tcPr>
            <w:tcW w:w="822" w:type="dxa"/>
            <w:tcBorders>
              <w:top w:val="single" w:sz="6" w:space="0" w:color="auto"/>
              <w:left w:val="nil"/>
              <w:bottom w:val="single" w:sz="12" w:space="0" w:color="auto"/>
              <w:right w:val="nil"/>
            </w:tcBorders>
            <w:shd w:val="clear" w:color="auto" w:fill="FFFFFF"/>
          </w:tcPr>
          <w:p w:rsidR="002C39A3" w:rsidRPr="00363338"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6 659</w:t>
            </w:r>
          </w:p>
        </w:tc>
        <w:tc>
          <w:tcPr>
            <w:tcW w:w="822" w:type="dxa"/>
            <w:tcBorders>
              <w:top w:val="single" w:sz="6" w:space="0" w:color="auto"/>
              <w:left w:val="nil"/>
              <w:bottom w:val="single" w:sz="12" w:space="0" w:color="auto"/>
              <w:right w:val="nil"/>
            </w:tcBorders>
            <w:shd w:val="clear" w:color="auto" w:fill="FFFFFF"/>
          </w:tcPr>
          <w:p w:rsidR="002C39A3" w:rsidRPr="00363338"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6 675</w:t>
            </w:r>
          </w:p>
        </w:tc>
      </w:tr>
    </w:tbl>
    <w:p w:rsidR="002C39A3" w:rsidRDefault="002C39A3" w:rsidP="00361FA9">
      <w:pPr>
        <w:pStyle w:val="Source"/>
        <w:rPr>
          <w:rFonts w:eastAsiaTheme="minorHAnsi"/>
        </w:rPr>
      </w:pPr>
      <w:r>
        <w:rPr>
          <w:rFonts w:eastAsiaTheme="minorHAnsi"/>
        </w:rPr>
        <w:t>Source: Department of Treasury and Finance</w:t>
      </w:r>
    </w:p>
    <w:p w:rsidR="002C39A3" w:rsidRDefault="002C39A3" w:rsidP="00361FA9">
      <w:pPr>
        <w:pStyle w:val="Notes"/>
        <w:rPr>
          <w:rFonts w:eastAsiaTheme="minorHAnsi"/>
        </w:rPr>
      </w:pPr>
      <w:r>
        <w:rPr>
          <w:rFonts w:eastAsiaTheme="minorHAnsi"/>
        </w:rPr>
        <w:t>Note</w:t>
      </w:r>
      <w:r w:rsidR="00EA058F">
        <w:rPr>
          <w:rFonts w:eastAsiaTheme="minorHAnsi"/>
        </w:rPr>
        <w:t>s</w:t>
      </w:r>
      <w:r>
        <w:rPr>
          <w:rFonts w:eastAsiaTheme="minorHAnsi"/>
        </w:rPr>
        <w:t>:</w:t>
      </w:r>
    </w:p>
    <w:p w:rsidR="002C39A3" w:rsidRDefault="002C39A3" w:rsidP="00361FA9">
      <w:pPr>
        <w:pStyle w:val="Notes"/>
        <w:rPr>
          <w:rFonts w:eastAsiaTheme="minorHAnsi"/>
        </w:rPr>
      </w:pPr>
      <w:r>
        <w:rPr>
          <w:rFonts w:eastAsiaTheme="minorHAnsi"/>
        </w:rPr>
        <w:t>(a)</w:t>
      </w:r>
      <w:r>
        <w:rPr>
          <w:rFonts w:eastAsiaTheme="minorHAnsi"/>
        </w:rPr>
        <w:tab/>
        <w:t xml:space="preserve">Tax expenditures associated with thresholds are excluded due to the different nature of these expenditures to other taxation expenditures. Expenditures are benefits that target certain taxpayers or activities, whereas thresholds exclude transactions below a certain size. </w:t>
      </w:r>
    </w:p>
    <w:p w:rsidR="002C39A3" w:rsidRPr="000045BF" w:rsidRDefault="002C39A3" w:rsidP="00361FA9">
      <w:pPr>
        <w:pStyle w:val="Notes"/>
        <w:rPr>
          <w:rFonts w:eastAsiaTheme="minorHAnsi"/>
        </w:rPr>
      </w:pPr>
      <w:r>
        <w:rPr>
          <w:rFonts w:eastAsiaTheme="minorHAnsi"/>
        </w:rPr>
        <w:t>(b)</w:t>
      </w:r>
      <w:r>
        <w:rPr>
          <w:rFonts w:eastAsiaTheme="minorHAnsi"/>
        </w:rPr>
        <w:tab/>
      </w:r>
      <w:r w:rsidRPr="00E82B1C">
        <w:rPr>
          <w:rFonts w:eastAsiaTheme="minorHAnsi"/>
        </w:rPr>
        <w:t>All amounts have been rounded to the nearest $1 million unless otherwise stated. Figures may not add due to rounding.</w:t>
      </w:r>
    </w:p>
    <w:p w:rsidR="002C39A3" w:rsidRDefault="002C39A3" w:rsidP="00361FA9">
      <w:pPr>
        <w:pStyle w:val="Notes"/>
        <w:rPr>
          <w:rFonts w:eastAsiaTheme="minorHAnsi"/>
        </w:rPr>
      </w:pPr>
      <w:r>
        <w:rPr>
          <w:rFonts w:eastAsiaTheme="minorHAnsi"/>
        </w:rPr>
        <w:t>(c)</w:t>
      </w:r>
      <w:r>
        <w:rPr>
          <w:rFonts w:eastAsiaTheme="minorHAnsi"/>
        </w:rPr>
        <w:tab/>
        <w:t>For Budget 2016-17, the category of Property owners has been renamed Owner occupier households. In previous budgets, tax expenditures accruing to Property owners included the principal place of residence exemption for land tax, the principal place of residence and first home buyer concessions for land transfer duty, and land tax exemptions for aged care facilities and low cost accommodation. Owner occupier households now excludes land tax exemptions for aged care facilities which has been allocated to Business not elsewhere included and low cost accommodation, which has been allocated to Other.</w:t>
      </w:r>
      <w:r>
        <w:rPr>
          <w:rFonts w:eastAsiaTheme="minorHAnsi"/>
        </w:rPr>
        <w:br w:type="page"/>
      </w:r>
    </w:p>
    <w:p w:rsidR="002C39A3" w:rsidRDefault="002C39A3" w:rsidP="00361FA9">
      <w:pPr>
        <w:pStyle w:val="Heading1"/>
        <w:rPr>
          <w:rFonts w:eastAsiaTheme="minorHAnsi"/>
        </w:rPr>
      </w:pPr>
      <w:bookmarkStart w:id="56" w:name="_Toc449116214"/>
      <w:r>
        <w:rPr>
          <w:rFonts w:eastAsiaTheme="minorHAnsi"/>
        </w:rPr>
        <w:t>Concessions</w:t>
      </w:r>
      <w:bookmarkEnd w:id="56"/>
    </w:p>
    <w:p w:rsidR="002C39A3" w:rsidRDefault="002C39A3" w:rsidP="00361FA9">
      <w:pPr>
        <w:rPr>
          <w:rFonts w:eastAsiaTheme="minorHAnsi"/>
        </w:rPr>
      </w:pPr>
      <w:r>
        <w:rPr>
          <w:rFonts w:eastAsiaTheme="minorHAnsi"/>
        </w:rPr>
        <w:t>Concessions are a direct budget outlay or reduction in government charges that have the effect of reducing the price of a good or service for particular groups. Over the past decade, the state has provided $13.9 billion in concessions expenditure.</w:t>
      </w:r>
    </w:p>
    <w:p w:rsidR="002C39A3" w:rsidRDefault="002C39A3" w:rsidP="00361FA9">
      <w:pPr>
        <w:rPr>
          <w:rFonts w:eastAsiaTheme="minorHAnsi"/>
        </w:rPr>
      </w:pPr>
      <w:r>
        <w:rPr>
          <w:rFonts w:eastAsiaTheme="minorHAnsi"/>
        </w:rPr>
        <w:t xml:space="preserve">Certain characteristics of the consumer, such as possession of a Commonwealth Government pension card or health care card, are the basis for entitlement. Concessions allow certain groups in the community to access or purchase important amenities like energy, education, health and transportation at a reduced or zero cost. </w:t>
      </w:r>
    </w:p>
    <w:p w:rsidR="002C39A3" w:rsidRDefault="002C39A3" w:rsidP="00361FA9">
      <w:pPr>
        <w:rPr>
          <w:rFonts w:eastAsiaTheme="minorHAnsi"/>
        </w:rPr>
      </w:pPr>
      <w:r>
        <w:rPr>
          <w:rFonts w:eastAsiaTheme="minorHAnsi"/>
        </w:rPr>
        <w:t xml:space="preserve">Changes to the eligibility requirements of the Commonwealth Government age pension will have an impact on Victorian concessions in 2017-18. The reduction in the asset threshold from $1.15 million to $823 000 from </w:t>
      </w:r>
      <w:r w:rsidR="00361FA9">
        <w:rPr>
          <w:rFonts w:eastAsiaTheme="minorHAnsi"/>
        </w:rPr>
        <w:t xml:space="preserve">1 </w:t>
      </w:r>
      <w:r>
        <w:rPr>
          <w:rFonts w:eastAsiaTheme="minorHAnsi"/>
        </w:rPr>
        <w:t xml:space="preserve">January 2017 will allow fewer retirees to access the pension card and the concessions that it provides. </w:t>
      </w:r>
    </w:p>
    <w:p w:rsidR="002C39A3" w:rsidRDefault="002C39A3" w:rsidP="00361FA9">
      <w:pPr>
        <w:rPr>
          <w:rFonts w:eastAsiaTheme="minorHAnsi"/>
        </w:rPr>
      </w:pPr>
      <w:r>
        <w:rPr>
          <w:rFonts w:eastAsiaTheme="minorHAnsi"/>
        </w:rPr>
        <w:t>Chart 5.1 shows the estimated distribution of concessions by category for 2016-17. The two largest concession categories account for more than two</w:t>
      </w:r>
      <w:r>
        <w:rPr>
          <w:rFonts w:eastAsiaTheme="minorHAnsi"/>
        </w:rPr>
        <w:noBreakHyphen/>
        <w:t>thirds of total concessions:</w:t>
      </w:r>
    </w:p>
    <w:p w:rsidR="002C39A3" w:rsidRDefault="002C39A3" w:rsidP="00361FA9">
      <w:pPr>
        <w:pStyle w:val="BulletText"/>
        <w:rPr>
          <w:rFonts w:eastAsiaTheme="minorHAnsi"/>
        </w:rPr>
      </w:pPr>
      <w:r>
        <w:rPr>
          <w:rFonts w:eastAsiaTheme="minorHAnsi"/>
        </w:rPr>
        <w:t>health (including ambulance, dental and community health programs); and</w:t>
      </w:r>
    </w:p>
    <w:p w:rsidR="002C39A3" w:rsidRDefault="002C39A3" w:rsidP="00361FA9">
      <w:pPr>
        <w:pStyle w:val="BulletText"/>
        <w:rPr>
          <w:rFonts w:eastAsiaTheme="minorHAnsi"/>
        </w:rPr>
      </w:pPr>
      <w:r>
        <w:rPr>
          <w:rFonts w:eastAsiaTheme="minorHAnsi"/>
        </w:rPr>
        <w:t>energy, municipal rates, water and sewerage.</w:t>
      </w:r>
    </w:p>
    <w:p w:rsidR="002C39A3" w:rsidRPr="00026A93" w:rsidRDefault="002C39A3" w:rsidP="00361FA9">
      <w:pPr>
        <w:pStyle w:val="Chartheading"/>
        <w:rPr>
          <w:rFonts w:eastAsiaTheme="minorHAnsi"/>
        </w:rPr>
      </w:pPr>
      <w:r>
        <w:rPr>
          <w:rFonts w:eastAsiaTheme="minorHAnsi"/>
        </w:rPr>
        <w:t>Chart 5.1:</w:t>
      </w:r>
      <w:r>
        <w:rPr>
          <w:rFonts w:eastAsiaTheme="minorHAnsi"/>
        </w:rPr>
        <w:tab/>
        <w:t>Estimated concessions by category 2016-17</w:t>
      </w:r>
    </w:p>
    <w:p w:rsidR="002C39A3" w:rsidRDefault="00A854D5" w:rsidP="00361FA9">
      <w:pPr>
        <w:rPr>
          <w:rFonts w:eastAsiaTheme="minorHAnsi"/>
        </w:rPr>
      </w:pPr>
      <w:r>
        <w:rPr>
          <w:rFonts w:eastAsiaTheme="minorHAnsi"/>
        </w:rPr>
        <w:pict>
          <v:shape id="_x0000_i1027" type="#_x0000_t75" style="width:402.6pt;height:232.15pt">
            <v:imagedata r:id="rId61" o:title=""/>
          </v:shape>
        </w:pict>
      </w:r>
    </w:p>
    <w:p w:rsidR="002C39A3" w:rsidRDefault="002C39A3">
      <w:pPr>
        <w:spacing w:after="0"/>
        <w:rPr>
          <w:rFonts w:eastAsiaTheme="minorHAnsi"/>
        </w:rPr>
      </w:pPr>
      <w:r>
        <w:rPr>
          <w:rFonts w:eastAsiaTheme="minorHAnsi"/>
        </w:rPr>
        <w:br w:type="page"/>
      </w:r>
    </w:p>
    <w:p w:rsidR="002C39A3" w:rsidRDefault="002C39A3" w:rsidP="00361FA9">
      <w:pPr>
        <w:rPr>
          <w:rFonts w:eastAsiaTheme="minorHAnsi"/>
        </w:rPr>
      </w:pPr>
      <w:r>
        <w:rPr>
          <w:rFonts w:eastAsiaTheme="minorHAnsi"/>
        </w:rPr>
        <w:t>Table 5.5. classifies the major concessions by category.</w:t>
      </w:r>
    </w:p>
    <w:p w:rsidR="002C39A3" w:rsidRDefault="002C39A3" w:rsidP="00361FA9">
      <w:pPr>
        <w:rPr>
          <w:rFonts w:eastAsiaTheme="minorHAnsi"/>
        </w:rPr>
      </w:pPr>
      <w:r>
        <w:rPr>
          <w:rFonts w:eastAsiaTheme="minorHAnsi"/>
        </w:rPr>
        <w:t>Eligible concession card holders receive reduced bills for energy, municipal rates, water and sewerage, funded by the state and paid to service providers.</w:t>
      </w:r>
    </w:p>
    <w:p w:rsidR="002C39A3" w:rsidRDefault="002C39A3" w:rsidP="00361FA9">
      <w:pPr>
        <w:rPr>
          <w:rFonts w:eastAsiaTheme="minorHAnsi"/>
        </w:rPr>
      </w:pPr>
      <w:r>
        <w:rPr>
          <w:rFonts w:eastAsiaTheme="minorHAnsi"/>
        </w:rPr>
        <w:t>Education concessions include concessions for preschool and for vocational education and training.</w:t>
      </w:r>
    </w:p>
    <w:p w:rsidR="002C39A3" w:rsidRDefault="002C39A3" w:rsidP="00361FA9">
      <w:pPr>
        <w:rPr>
          <w:rFonts w:eastAsiaTheme="minorHAnsi"/>
        </w:rPr>
      </w:pPr>
      <w:r>
        <w:rPr>
          <w:rFonts w:eastAsiaTheme="minorHAnsi"/>
        </w:rPr>
        <w:t xml:space="preserve">Hardship schemes include the Utility Relief Grants Scheme and payment to State Trustees through a Community Service Agreement. The Utility Relief Grants Scheme assists Victorians unable to pay utility bills due to temporary financial crisis. State Trustees provide trustee services, including managing the legal and financial affairs of Victorians unable to do so independently. </w:t>
      </w:r>
    </w:p>
    <w:p w:rsidR="002C39A3" w:rsidRDefault="002C39A3" w:rsidP="00361FA9">
      <w:pPr>
        <w:rPr>
          <w:rFonts w:eastAsiaTheme="minorHAnsi"/>
        </w:rPr>
      </w:pPr>
      <w:r>
        <w:rPr>
          <w:rFonts w:eastAsiaTheme="minorHAnsi"/>
        </w:rPr>
        <w:t>The social and community services category includes assistance to non-profit organisations such as Bereavement Assistance Limited, the Charity Freight Service and food relief organisations.</w:t>
      </w:r>
    </w:p>
    <w:p w:rsidR="002C39A3" w:rsidRDefault="002C39A3" w:rsidP="00361FA9">
      <w:pPr>
        <w:rPr>
          <w:rFonts w:eastAsiaTheme="minorHAnsi"/>
        </w:rPr>
      </w:pPr>
      <w:r>
        <w:rPr>
          <w:rFonts w:eastAsiaTheme="minorHAnsi"/>
        </w:rPr>
        <w:t xml:space="preserve">Private transport concessions consist of a discount on Transport Accident Commission premiums and funding of the Multi Purpose Taxi Program. </w:t>
      </w:r>
    </w:p>
    <w:p w:rsidR="002C39A3" w:rsidRDefault="002C39A3" w:rsidP="00361FA9">
      <w:pPr>
        <w:pStyle w:val="Tableheading"/>
        <w:rPr>
          <w:rFonts w:eastAsiaTheme="minorHAnsi"/>
          <w:vertAlign w:val="superscript"/>
        </w:rPr>
      </w:pPr>
      <w:r>
        <w:rPr>
          <w:rFonts w:eastAsiaTheme="minorHAnsi"/>
        </w:rPr>
        <w:t>Table 5.5:</w:t>
      </w:r>
      <w:r>
        <w:rPr>
          <w:rFonts w:eastAsiaTheme="minorHAnsi"/>
        </w:rPr>
        <w:tab/>
        <w:t>Concessions by category</w:t>
      </w:r>
      <w:r w:rsidR="00EA058F">
        <w:rPr>
          <w:rFonts w:eastAsiaTheme="minorHAnsi"/>
        </w:rPr>
        <w:t xml:space="preserve"> </w:t>
      </w:r>
      <w:r>
        <w:rPr>
          <w:rFonts w:eastAsiaTheme="minorHAnsi"/>
          <w:vertAlign w:val="superscript"/>
        </w:rPr>
        <w:t>(a)(b)(c)</w:t>
      </w:r>
    </w:p>
    <w:p w:rsidR="002C39A3" w:rsidRPr="00363338" w:rsidRDefault="002C39A3" w:rsidP="00361FA9">
      <w:pPr>
        <w:pStyle w:val="million"/>
        <w:rPr>
          <w:rFonts w:eastAsiaTheme="minorHAnsi"/>
          <w:b/>
          <w:bCs/>
          <w:sz w:val="15"/>
          <w:lang w:val="en-US"/>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5216"/>
        <w:gridCol w:w="850"/>
        <w:gridCol w:w="850"/>
        <w:gridCol w:w="850"/>
      </w:tblGrid>
      <w:tr w:rsidR="002C39A3" w:rsidRPr="00363338" w:rsidTr="00361FA9">
        <w:tc>
          <w:tcPr>
            <w:tcW w:w="5216" w:type="dxa"/>
            <w:tcBorders>
              <w:top w:val="nil"/>
              <w:left w:val="nil"/>
              <w:right w:val="nil"/>
            </w:tcBorders>
            <w:shd w:val="solid" w:color="000000" w:fill="auto"/>
          </w:tcPr>
          <w:p w:rsidR="002C39A3" w:rsidRPr="00363338" w:rsidRDefault="002C39A3" w:rsidP="00361FA9">
            <w:pPr>
              <w:pStyle w:val="Source"/>
              <w:spacing w:after="0"/>
              <w:rPr>
                <w:rFonts w:eastAsiaTheme="minorEastAsia" w:cs="Calibri"/>
                <w:iCs/>
                <w:color w:val="FFFFFF"/>
                <w:sz w:val="19"/>
                <w:szCs w:val="19"/>
                <w:lang w:eastAsia="en-AU"/>
              </w:rPr>
            </w:pPr>
            <w:r w:rsidRPr="00363338">
              <w:rPr>
                <w:rFonts w:eastAsiaTheme="minorEastAsia" w:cs="Calibri"/>
                <w:iCs/>
                <w:color w:val="FFFFFF"/>
                <w:sz w:val="19"/>
                <w:szCs w:val="19"/>
                <w:lang w:eastAsia="en-AU"/>
              </w:rPr>
              <w:t>Description</w:t>
            </w:r>
          </w:p>
        </w:tc>
        <w:tc>
          <w:tcPr>
            <w:tcW w:w="850" w:type="dxa"/>
            <w:tcBorders>
              <w:top w:val="nil"/>
              <w:left w:val="nil"/>
              <w:right w:val="nil"/>
            </w:tcBorders>
            <w:shd w:val="solid" w:color="000000" w:fill="auto"/>
          </w:tcPr>
          <w:p w:rsidR="002C39A3" w:rsidRPr="00363338"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63338">
              <w:rPr>
                <w:rFonts w:ascii="Calibri" w:eastAsiaTheme="minorEastAsia" w:hAnsi="Calibri" w:cs="Calibri"/>
                <w:i/>
                <w:iCs/>
                <w:color w:val="FFFFFF"/>
                <w:sz w:val="19"/>
                <w:szCs w:val="19"/>
                <w:lang w:eastAsia="en-AU"/>
              </w:rPr>
              <w:t>2014-15</w:t>
            </w:r>
          </w:p>
        </w:tc>
        <w:tc>
          <w:tcPr>
            <w:tcW w:w="850" w:type="dxa"/>
            <w:tcBorders>
              <w:top w:val="nil"/>
              <w:left w:val="nil"/>
              <w:right w:val="nil"/>
            </w:tcBorders>
            <w:shd w:val="solid" w:color="000000" w:fill="auto"/>
          </w:tcPr>
          <w:p w:rsidR="002C39A3" w:rsidRPr="00363338"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63338">
              <w:rPr>
                <w:rFonts w:ascii="Calibri" w:eastAsiaTheme="minorEastAsia" w:hAnsi="Calibri" w:cs="Calibri"/>
                <w:i/>
                <w:iCs/>
                <w:color w:val="FFFFFF"/>
                <w:sz w:val="19"/>
                <w:szCs w:val="19"/>
                <w:lang w:eastAsia="en-AU"/>
              </w:rPr>
              <w:t xml:space="preserve">2015-16 </w:t>
            </w:r>
          </w:p>
        </w:tc>
        <w:tc>
          <w:tcPr>
            <w:tcW w:w="850" w:type="dxa"/>
            <w:tcBorders>
              <w:top w:val="nil"/>
              <w:left w:val="nil"/>
              <w:right w:val="nil"/>
            </w:tcBorders>
            <w:shd w:val="solid" w:color="000000" w:fill="auto"/>
          </w:tcPr>
          <w:p w:rsidR="002C39A3" w:rsidRPr="00363338"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63338">
              <w:rPr>
                <w:rFonts w:ascii="Calibri" w:eastAsiaTheme="minorEastAsia" w:hAnsi="Calibri" w:cs="Calibri"/>
                <w:i/>
                <w:iCs/>
                <w:color w:val="FFFFFF"/>
                <w:sz w:val="19"/>
                <w:szCs w:val="19"/>
                <w:lang w:eastAsia="en-AU"/>
              </w:rPr>
              <w:t>2016-17</w:t>
            </w:r>
          </w:p>
        </w:tc>
      </w:tr>
      <w:tr w:rsidR="002C39A3" w:rsidRPr="00363338" w:rsidTr="00361FA9">
        <w:tc>
          <w:tcPr>
            <w:tcW w:w="5216"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Electricity</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151</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165</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134</w:t>
            </w:r>
          </w:p>
        </w:tc>
      </w:tr>
      <w:tr w:rsidR="002C39A3" w:rsidRPr="00363338" w:rsidTr="00361FA9">
        <w:tc>
          <w:tcPr>
            <w:tcW w:w="5216"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Mains gas</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55</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64</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62</w:t>
            </w:r>
          </w:p>
        </w:tc>
      </w:tr>
      <w:tr w:rsidR="002C39A3" w:rsidRPr="00363338" w:rsidTr="00361FA9">
        <w:tc>
          <w:tcPr>
            <w:tcW w:w="5216"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Municipal rates</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91</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94</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95</w:t>
            </w:r>
          </w:p>
        </w:tc>
      </w:tr>
      <w:tr w:rsidR="002C39A3" w:rsidRPr="00363338" w:rsidTr="00361FA9">
        <w:tc>
          <w:tcPr>
            <w:tcW w:w="5216"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Water and sewerage</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161</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167</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166</w:t>
            </w:r>
          </w:p>
        </w:tc>
      </w:tr>
      <w:tr w:rsidR="002C39A3" w:rsidRPr="00363338" w:rsidTr="00361FA9">
        <w:tc>
          <w:tcPr>
            <w:tcW w:w="5216"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b/>
                <w:bCs/>
                <w:color w:val="000000"/>
                <w:sz w:val="19"/>
                <w:szCs w:val="19"/>
                <w:vertAlign w:val="superscript"/>
                <w:lang w:eastAsia="en-AU"/>
              </w:rPr>
            </w:pPr>
            <w:r w:rsidRPr="00363338">
              <w:rPr>
                <w:rFonts w:ascii="Calibri" w:eastAsiaTheme="minorEastAsia" w:hAnsi="Calibri" w:cs="Calibri"/>
                <w:b/>
                <w:bCs/>
                <w:color w:val="000000"/>
                <w:sz w:val="19"/>
                <w:szCs w:val="19"/>
                <w:lang w:eastAsia="en-AU"/>
              </w:rPr>
              <w:t xml:space="preserve">Total energy, municipal rates, water and sewerage </w:t>
            </w:r>
            <w:r w:rsidRPr="00363338">
              <w:rPr>
                <w:rFonts w:ascii="Calibri" w:eastAsiaTheme="minorEastAsia" w:hAnsi="Calibri" w:cs="Calibri"/>
                <w:b/>
                <w:bCs/>
                <w:color w:val="000000"/>
                <w:sz w:val="19"/>
                <w:szCs w:val="19"/>
                <w:vertAlign w:val="superscript"/>
                <w:lang w:eastAsia="en-AU"/>
              </w:rPr>
              <w:t>(d)</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458</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490</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456</w:t>
            </w:r>
          </w:p>
        </w:tc>
      </w:tr>
      <w:tr w:rsidR="002C39A3" w:rsidRPr="00363338" w:rsidTr="00361FA9">
        <w:tc>
          <w:tcPr>
            <w:tcW w:w="5216"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Ambulance</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338</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377</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389</w:t>
            </w:r>
          </w:p>
        </w:tc>
      </w:tr>
      <w:tr w:rsidR="002C39A3" w:rsidRPr="00363338" w:rsidTr="00361FA9">
        <w:tc>
          <w:tcPr>
            <w:tcW w:w="5216"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363338">
              <w:rPr>
                <w:rFonts w:ascii="Calibri" w:eastAsiaTheme="minorEastAsia" w:hAnsi="Calibri" w:cs="Calibri"/>
                <w:color w:val="000000"/>
                <w:sz w:val="19"/>
                <w:szCs w:val="19"/>
                <w:lang w:eastAsia="en-AU"/>
              </w:rPr>
              <w:t>Dental services and spectacles</w:t>
            </w:r>
            <w:r w:rsidR="00EA058F">
              <w:rPr>
                <w:rFonts w:ascii="Calibri" w:eastAsiaTheme="minorEastAsia" w:hAnsi="Calibri" w:cs="Calibri"/>
                <w:color w:val="000000"/>
                <w:sz w:val="19"/>
                <w:szCs w:val="19"/>
                <w:lang w:eastAsia="en-AU"/>
              </w:rPr>
              <w:t xml:space="preserve"> </w:t>
            </w:r>
            <w:r w:rsidRPr="00363338">
              <w:rPr>
                <w:rFonts w:ascii="Calibri" w:eastAsiaTheme="minorEastAsia" w:hAnsi="Calibri" w:cs="Calibri"/>
                <w:color w:val="000000"/>
                <w:sz w:val="19"/>
                <w:szCs w:val="19"/>
                <w:vertAlign w:val="superscript"/>
                <w:lang w:eastAsia="en-AU"/>
              </w:rPr>
              <w:t>(e)</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159</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154</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121</w:t>
            </w:r>
          </w:p>
        </w:tc>
      </w:tr>
      <w:tr w:rsidR="002C39A3" w:rsidRPr="00363338" w:rsidTr="00361FA9">
        <w:tc>
          <w:tcPr>
            <w:tcW w:w="5216"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63338">
              <w:rPr>
                <w:rFonts w:ascii="Calibri" w:eastAsiaTheme="minorEastAsia" w:hAnsi="Calibri" w:cs="Calibri"/>
                <w:color w:val="000000"/>
                <w:sz w:val="19"/>
                <w:szCs w:val="19"/>
                <w:lang w:eastAsia="en-AU"/>
              </w:rPr>
              <w:t>Community health programs</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102</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110</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108</w:t>
            </w:r>
          </w:p>
        </w:tc>
      </w:tr>
      <w:tr w:rsidR="002C39A3" w:rsidRPr="00363338" w:rsidTr="00361FA9">
        <w:tc>
          <w:tcPr>
            <w:tcW w:w="5216"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Total health</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599</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641</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617</w:t>
            </w:r>
          </w:p>
        </w:tc>
      </w:tr>
      <w:tr w:rsidR="002C39A3" w:rsidRPr="00363338" w:rsidTr="00361FA9">
        <w:tc>
          <w:tcPr>
            <w:tcW w:w="5216"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b/>
                <w:bCs/>
                <w:color w:val="000000"/>
                <w:sz w:val="19"/>
                <w:szCs w:val="19"/>
                <w:vertAlign w:val="superscript"/>
                <w:lang w:eastAsia="en-AU"/>
              </w:rPr>
            </w:pPr>
            <w:r w:rsidRPr="00363338">
              <w:rPr>
                <w:rFonts w:ascii="Calibri" w:eastAsiaTheme="minorEastAsia" w:hAnsi="Calibri" w:cs="Calibri"/>
                <w:b/>
                <w:bCs/>
                <w:color w:val="000000"/>
                <w:sz w:val="19"/>
                <w:szCs w:val="19"/>
                <w:lang w:eastAsia="en-AU"/>
              </w:rPr>
              <w:t>Education</w:t>
            </w:r>
            <w:r w:rsidRPr="00363338">
              <w:rPr>
                <w:rFonts w:ascii="Calibri" w:eastAsiaTheme="minorEastAsia" w:hAnsi="Calibri" w:cs="Calibri"/>
                <w:b/>
                <w:bCs/>
                <w:color w:val="000000"/>
                <w:sz w:val="19"/>
                <w:szCs w:val="19"/>
                <w:vertAlign w:val="superscript"/>
                <w:lang w:eastAsia="en-AU"/>
              </w:rPr>
              <w:t xml:space="preserve"> (d)(f)</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82</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110</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72</w:t>
            </w:r>
          </w:p>
        </w:tc>
      </w:tr>
      <w:tr w:rsidR="002C39A3" w:rsidRPr="00363338" w:rsidTr="00361FA9">
        <w:tc>
          <w:tcPr>
            <w:tcW w:w="5216"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Hardship schemes</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37</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40</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39</w:t>
            </w:r>
          </w:p>
        </w:tc>
      </w:tr>
      <w:tr w:rsidR="002C39A3" w:rsidRPr="00363338" w:rsidTr="00361FA9">
        <w:tc>
          <w:tcPr>
            <w:tcW w:w="5216"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Social and community services</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5</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5</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6</w:t>
            </w:r>
          </w:p>
        </w:tc>
      </w:tr>
      <w:tr w:rsidR="002C39A3" w:rsidRPr="00363338" w:rsidTr="00361FA9">
        <w:tc>
          <w:tcPr>
            <w:tcW w:w="5216" w:type="dxa"/>
            <w:tcBorders>
              <w:top w:val="nil"/>
              <w:left w:val="nil"/>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Private transport</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192</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203</w:t>
            </w:r>
          </w:p>
        </w:tc>
        <w:tc>
          <w:tcPr>
            <w:tcW w:w="850" w:type="dxa"/>
            <w:tcBorders>
              <w:top w:val="nil"/>
              <w:left w:val="nil"/>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212</w:t>
            </w:r>
          </w:p>
        </w:tc>
      </w:tr>
      <w:tr w:rsidR="002C39A3" w:rsidRPr="00363338" w:rsidTr="00361FA9">
        <w:tc>
          <w:tcPr>
            <w:tcW w:w="5216" w:type="dxa"/>
            <w:tcBorders>
              <w:top w:val="nil"/>
              <w:left w:val="nil"/>
              <w:bottom w:val="single" w:sz="6" w:space="0" w:color="auto"/>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Public transport</w:t>
            </w:r>
          </w:p>
        </w:tc>
        <w:tc>
          <w:tcPr>
            <w:tcW w:w="850" w:type="dxa"/>
            <w:tcBorders>
              <w:top w:val="nil"/>
              <w:left w:val="nil"/>
              <w:bottom w:val="single" w:sz="6" w:space="0" w:color="auto"/>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141</w:t>
            </w:r>
          </w:p>
        </w:tc>
        <w:tc>
          <w:tcPr>
            <w:tcW w:w="850" w:type="dxa"/>
            <w:tcBorders>
              <w:top w:val="nil"/>
              <w:left w:val="nil"/>
              <w:bottom w:val="single" w:sz="6" w:space="0" w:color="auto"/>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147</w:t>
            </w:r>
          </w:p>
        </w:tc>
        <w:tc>
          <w:tcPr>
            <w:tcW w:w="850" w:type="dxa"/>
            <w:tcBorders>
              <w:top w:val="nil"/>
              <w:left w:val="nil"/>
              <w:bottom w:val="single" w:sz="6" w:space="0" w:color="auto"/>
              <w:right w:val="nil"/>
            </w:tcBorders>
            <w:shd w:val="solid" w:color="FFFFFF" w:fill="FFFFFF"/>
          </w:tcPr>
          <w:p w:rsidR="002C39A3" w:rsidRPr="00363338"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154</w:t>
            </w:r>
          </w:p>
        </w:tc>
      </w:tr>
      <w:tr w:rsidR="002C39A3" w:rsidRPr="00363338" w:rsidTr="00361FA9">
        <w:tc>
          <w:tcPr>
            <w:tcW w:w="5216" w:type="dxa"/>
            <w:tcBorders>
              <w:top w:val="single" w:sz="6" w:space="0" w:color="auto"/>
              <w:left w:val="nil"/>
              <w:bottom w:val="single" w:sz="12" w:space="0" w:color="auto"/>
              <w:right w:val="nil"/>
            </w:tcBorders>
            <w:shd w:val="solid" w:color="FFFFFF" w:fill="FFFFFF"/>
          </w:tcPr>
          <w:p w:rsidR="002C39A3" w:rsidRPr="00363338"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Total for items estimated</w:t>
            </w:r>
          </w:p>
        </w:tc>
        <w:tc>
          <w:tcPr>
            <w:tcW w:w="850" w:type="dxa"/>
            <w:tcBorders>
              <w:top w:val="single" w:sz="6" w:space="0" w:color="auto"/>
              <w:left w:val="nil"/>
              <w:bottom w:val="single" w:sz="12" w:space="0" w:color="auto"/>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1 514</w:t>
            </w:r>
          </w:p>
        </w:tc>
        <w:tc>
          <w:tcPr>
            <w:tcW w:w="850" w:type="dxa"/>
            <w:tcBorders>
              <w:top w:val="single" w:sz="6" w:space="0" w:color="auto"/>
              <w:left w:val="nil"/>
              <w:bottom w:val="single" w:sz="12" w:space="0" w:color="auto"/>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1 637</w:t>
            </w:r>
          </w:p>
        </w:tc>
        <w:tc>
          <w:tcPr>
            <w:tcW w:w="850" w:type="dxa"/>
            <w:tcBorders>
              <w:top w:val="single" w:sz="6" w:space="0" w:color="auto"/>
              <w:left w:val="nil"/>
              <w:bottom w:val="single" w:sz="12" w:space="0" w:color="auto"/>
              <w:right w:val="nil"/>
            </w:tcBorders>
            <w:shd w:val="solid" w:color="FFFFFF" w:fill="FFFFFF"/>
          </w:tcPr>
          <w:p w:rsidR="002C39A3" w:rsidRPr="00363338"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63338">
              <w:rPr>
                <w:rFonts w:ascii="Calibri" w:eastAsiaTheme="minorEastAsia" w:hAnsi="Calibri" w:cs="Calibri"/>
                <w:b/>
                <w:bCs/>
                <w:color w:val="000000"/>
                <w:sz w:val="19"/>
                <w:szCs w:val="19"/>
                <w:lang w:eastAsia="en-AU"/>
              </w:rPr>
              <w:t>1 555</w:t>
            </w:r>
          </w:p>
        </w:tc>
      </w:tr>
    </w:tbl>
    <w:p w:rsidR="002C39A3" w:rsidRDefault="002C39A3" w:rsidP="00361FA9">
      <w:pPr>
        <w:pStyle w:val="Source"/>
        <w:rPr>
          <w:rFonts w:eastAsiaTheme="minorHAnsi"/>
        </w:rPr>
      </w:pPr>
      <w:r>
        <w:rPr>
          <w:rFonts w:eastAsiaTheme="minorHAnsi"/>
        </w:rPr>
        <w:t>Source: Department of Treasury and Finance</w:t>
      </w:r>
    </w:p>
    <w:p w:rsidR="002C39A3" w:rsidRDefault="002C39A3" w:rsidP="00361FA9">
      <w:pPr>
        <w:pStyle w:val="Notes"/>
        <w:rPr>
          <w:rFonts w:eastAsiaTheme="minorHAnsi"/>
        </w:rPr>
      </w:pPr>
      <w:r>
        <w:rPr>
          <w:rFonts w:eastAsiaTheme="minorHAnsi"/>
        </w:rPr>
        <w:t>Notes:</w:t>
      </w:r>
    </w:p>
    <w:p w:rsidR="002C39A3" w:rsidRDefault="002C39A3" w:rsidP="00361FA9">
      <w:pPr>
        <w:pStyle w:val="Notes"/>
        <w:rPr>
          <w:rFonts w:eastAsiaTheme="minorHAnsi"/>
        </w:rPr>
      </w:pPr>
      <w:r>
        <w:rPr>
          <w:rFonts w:eastAsiaTheme="minorHAnsi"/>
        </w:rPr>
        <w:t>(a)</w:t>
      </w:r>
      <w:r>
        <w:rPr>
          <w:rFonts w:eastAsiaTheme="minorHAnsi"/>
        </w:rPr>
        <w:tab/>
      </w:r>
      <w:r w:rsidRPr="00026A93">
        <w:rPr>
          <w:rFonts w:eastAsiaTheme="minorHAnsi"/>
        </w:rPr>
        <w:t>Some concessions are unable to be directly measured and ar</w:t>
      </w:r>
      <w:r>
        <w:rPr>
          <w:rFonts w:eastAsiaTheme="minorHAnsi"/>
        </w:rPr>
        <w:t>e estimates only (including 2014-15</w:t>
      </w:r>
      <w:r w:rsidRPr="00026A93">
        <w:rPr>
          <w:rFonts w:eastAsiaTheme="minorHAnsi"/>
        </w:rPr>
        <w:t>)</w:t>
      </w:r>
      <w:r>
        <w:rPr>
          <w:rFonts w:eastAsiaTheme="minorHAnsi"/>
        </w:rPr>
        <w:t>.</w:t>
      </w:r>
    </w:p>
    <w:p w:rsidR="002C39A3" w:rsidRDefault="002C39A3" w:rsidP="00361FA9">
      <w:pPr>
        <w:pStyle w:val="Notes"/>
        <w:rPr>
          <w:rFonts w:eastAsiaTheme="minorHAnsi"/>
        </w:rPr>
      </w:pPr>
      <w:r>
        <w:rPr>
          <w:rFonts w:eastAsiaTheme="minorHAnsi"/>
        </w:rPr>
        <w:t>(b)</w:t>
      </w:r>
      <w:r>
        <w:rPr>
          <w:rFonts w:eastAsiaTheme="minorHAnsi"/>
        </w:rPr>
        <w:tab/>
        <w:t xml:space="preserve">Estimates for 2014-15 are consistent with those published in the </w:t>
      </w:r>
      <w:r w:rsidRPr="000C6688">
        <w:rPr>
          <w:rFonts w:eastAsiaTheme="minorHAnsi"/>
          <w:i w:val="0"/>
        </w:rPr>
        <w:t>2015</w:t>
      </w:r>
      <w:r w:rsidRPr="000C6688">
        <w:rPr>
          <w:rFonts w:eastAsiaTheme="minorHAnsi"/>
          <w:i w:val="0"/>
        </w:rPr>
        <w:noBreakHyphen/>
        <w:t>16 Budget Update</w:t>
      </w:r>
      <w:r>
        <w:rPr>
          <w:rFonts w:eastAsiaTheme="minorHAnsi"/>
        </w:rPr>
        <w:t>.</w:t>
      </w:r>
    </w:p>
    <w:p w:rsidR="002C39A3" w:rsidRDefault="002C39A3" w:rsidP="00361FA9">
      <w:pPr>
        <w:pStyle w:val="Notes"/>
        <w:rPr>
          <w:rFonts w:eastAsiaTheme="minorHAnsi"/>
        </w:rPr>
      </w:pPr>
      <w:r>
        <w:rPr>
          <w:rFonts w:eastAsiaTheme="minorHAnsi"/>
        </w:rPr>
        <w:t>(c)</w:t>
      </w:r>
      <w:r>
        <w:rPr>
          <w:rFonts w:eastAsiaTheme="minorHAnsi"/>
        </w:rPr>
        <w:tab/>
      </w:r>
      <w:r w:rsidRPr="00E82B1C">
        <w:rPr>
          <w:rFonts w:eastAsiaTheme="minorHAnsi"/>
        </w:rPr>
        <w:t>All amounts have been rounded to the nearest $1 million unless otherwise stated. Figures may not add due to rounding.</w:t>
      </w:r>
    </w:p>
    <w:p w:rsidR="002C39A3" w:rsidRDefault="002C39A3" w:rsidP="00361FA9">
      <w:pPr>
        <w:pStyle w:val="Notes"/>
        <w:rPr>
          <w:rFonts w:eastAsiaTheme="minorHAnsi"/>
        </w:rPr>
      </w:pPr>
      <w:r>
        <w:rPr>
          <w:rFonts w:eastAsiaTheme="minorHAnsi"/>
        </w:rPr>
        <w:t>(d)</w:t>
      </w:r>
      <w:r>
        <w:rPr>
          <w:rFonts w:eastAsiaTheme="minorHAnsi"/>
        </w:rPr>
        <w:tab/>
        <w:t xml:space="preserve">The lower concessions </w:t>
      </w:r>
      <w:r w:rsidRPr="00026A93">
        <w:rPr>
          <w:rFonts w:eastAsiaTheme="minorHAnsi"/>
        </w:rPr>
        <w:t xml:space="preserve">reflects </w:t>
      </w:r>
      <w:r>
        <w:rPr>
          <w:rFonts w:eastAsiaTheme="minorHAnsi"/>
        </w:rPr>
        <w:t>better alignment of funding and demand.</w:t>
      </w:r>
    </w:p>
    <w:p w:rsidR="002C39A3" w:rsidRDefault="002C39A3" w:rsidP="00361FA9">
      <w:pPr>
        <w:pStyle w:val="Notes"/>
        <w:rPr>
          <w:rFonts w:eastAsiaTheme="minorHAnsi"/>
        </w:rPr>
      </w:pPr>
      <w:r>
        <w:rPr>
          <w:rFonts w:eastAsiaTheme="minorHAnsi"/>
        </w:rPr>
        <w:t>(e)</w:t>
      </w:r>
      <w:r>
        <w:rPr>
          <w:rFonts w:eastAsiaTheme="minorHAnsi"/>
        </w:rPr>
        <w:tab/>
      </w:r>
      <w:r w:rsidRPr="00DD08C4">
        <w:rPr>
          <w:rFonts w:eastAsiaTheme="minorHAnsi"/>
        </w:rPr>
        <w:t xml:space="preserve">The lower concession expenditure estimated </w:t>
      </w:r>
      <w:r>
        <w:rPr>
          <w:rFonts w:eastAsiaTheme="minorHAnsi"/>
        </w:rPr>
        <w:t xml:space="preserve">for dental services in 2016-17 is </w:t>
      </w:r>
      <w:r w:rsidRPr="00DD08C4">
        <w:rPr>
          <w:rFonts w:eastAsiaTheme="minorHAnsi"/>
        </w:rPr>
        <w:t xml:space="preserve">a result of the </w:t>
      </w:r>
      <w:r>
        <w:rPr>
          <w:rFonts w:eastAsiaTheme="minorHAnsi"/>
        </w:rPr>
        <w:t xml:space="preserve">National Partnership Agreement </w:t>
      </w:r>
      <w:r w:rsidRPr="00DD08C4">
        <w:rPr>
          <w:rFonts w:eastAsiaTheme="minorHAnsi"/>
        </w:rPr>
        <w:t>on Adult Public Dental Services ceasing in June 2016. The State</w:t>
      </w:r>
      <w:r w:rsidR="0097550F">
        <w:rPr>
          <w:rFonts w:eastAsiaTheme="minorHAnsi"/>
        </w:rPr>
        <w:t>’</w:t>
      </w:r>
      <w:r w:rsidRPr="00DD08C4">
        <w:rPr>
          <w:rFonts w:eastAsiaTheme="minorHAnsi"/>
        </w:rPr>
        <w:t>s dental program will continue</w:t>
      </w:r>
      <w:r>
        <w:rPr>
          <w:rFonts w:eastAsiaTheme="minorHAnsi"/>
        </w:rPr>
        <w:t>.</w:t>
      </w:r>
    </w:p>
    <w:p w:rsidR="002C39A3" w:rsidRDefault="002C39A3" w:rsidP="00361FA9">
      <w:pPr>
        <w:pStyle w:val="Notes"/>
        <w:rPr>
          <w:rFonts w:eastAsiaTheme="minorHAnsi"/>
        </w:rPr>
      </w:pPr>
      <w:r>
        <w:rPr>
          <w:rFonts w:eastAsiaTheme="minorHAnsi"/>
        </w:rPr>
        <w:t>(f)</w:t>
      </w:r>
      <w:r>
        <w:rPr>
          <w:rFonts w:eastAsiaTheme="minorHAnsi"/>
        </w:rPr>
        <w:tab/>
        <w:t>Additional funding is available in the Victorian Training Guarantee.</w:t>
      </w:r>
    </w:p>
    <w:p w:rsidR="002C39A3" w:rsidRDefault="002C39A3">
      <w:pPr>
        <w:spacing w:after="0"/>
        <w:rPr>
          <w:rFonts w:ascii="Calibri" w:eastAsiaTheme="minorHAnsi" w:hAnsi="Calibri"/>
          <w:i/>
          <w:sz w:val="15"/>
        </w:rPr>
      </w:pPr>
      <w:r>
        <w:rPr>
          <w:rFonts w:eastAsiaTheme="minorHAnsi"/>
        </w:rPr>
        <w:br w:type="page"/>
      </w:r>
    </w:p>
    <w:p w:rsidR="002C39A3" w:rsidRDefault="002C39A3" w:rsidP="00361FA9">
      <w:pPr>
        <w:pStyle w:val="Notes"/>
        <w:rPr>
          <w:rFonts w:eastAsiaTheme="minorHAnsi"/>
        </w:rPr>
      </w:pPr>
    </w:p>
    <w:p w:rsidR="002C39A3" w:rsidRPr="00026A93" w:rsidRDefault="002C39A3" w:rsidP="00361FA9">
      <w:pPr>
        <w:pStyle w:val="Notes"/>
        <w:rPr>
          <w:rFonts w:eastAsiaTheme="minorHAnsi"/>
        </w:rPr>
      </w:pPr>
    </w:p>
    <w:p w:rsidR="002C39A3" w:rsidRDefault="002C39A3" w:rsidP="00273B20">
      <w:pPr>
        <w:rPr>
          <w:rFonts w:eastAsiaTheme="minorHAnsi"/>
        </w:rPr>
        <w:sectPr w:rsidR="002C39A3" w:rsidSect="00273B20">
          <w:footerReference w:type="even" r:id="rId62"/>
          <w:footerReference w:type="default" r:id="rId63"/>
          <w:type w:val="continuous"/>
          <w:pgSz w:w="9979" w:h="14181" w:code="138"/>
          <w:pgMar w:top="1140" w:right="1140" w:bottom="1140" w:left="1140" w:header="720" w:footer="431" w:gutter="0"/>
          <w:cols w:space="708"/>
          <w:docGrid w:linePitch="360"/>
        </w:sectPr>
      </w:pPr>
    </w:p>
    <w:p w:rsidR="002C39A3" w:rsidRDefault="002C39A3" w:rsidP="00361FA9">
      <w:pPr>
        <w:pStyle w:val="ChapterHeading"/>
      </w:pPr>
      <w:bookmarkStart w:id="57" w:name="_Toc449116215"/>
      <w:r>
        <w:t xml:space="preserve">Chapter 6 – Contingent assets and contingent </w:t>
      </w:r>
      <w:r w:rsidRPr="00B36F0E">
        <w:t>liabilities</w:t>
      </w:r>
      <w:bookmarkEnd w:id="57"/>
    </w:p>
    <w:p w:rsidR="002C39A3" w:rsidRPr="001339A5" w:rsidRDefault="002C39A3" w:rsidP="00361FA9">
      <w:r w:rsidRPr="001339A5">
        <w:t xml:space="preserve">This chapter contains information on contingent assets and liabilities for the general government sector and should be read in </w:t>
      </w:r>
      <w:r>
        <w:t>conjunction with Chapter 1</w:t>
      </w:r>
      <w:r w:rsidRPr="001339A5">
        <w:t>.</w:t>
      </w:r>
    </w:p>
    <w:p w:rsidR="002C39A3" w:rsidRPr="006A75A2" w:rsidRDefault="002C39A3" w:rsidP="00361FA9">
      <w:pPr>
        <w:pStyle w:val="Heading1"/>
      </w:pPr>
      <w:bookmarkStart w:id="58" w:name="_Toc436147546"/>
      <w:bookmarkStart w:id="59" w:name="_Toc449116216"/>
      <w:r w:rsidRPr="006A75A2">
        <w:t>Contingent assets</w:t>
      </w:r>
      <w:bookmarkEnd w:id="58"/>
      <w:bookmarkEnd w:id="59"/>
    </w:p>
    <w:p w:rsidR="002C39A3" w:rsidRPr="006A75A2" w:rsidRDefault="002C39A3" w:rsidP="00361FA9">
      <w:r w:rsidRPr="006A75A2">
        <w:t>Contingent assets are possible assets that arise from past events, whose existence will be confirmed only by the occurrence or non</w:t>
      </w:r>
      <w:r>
        <w:noBreakHyphen/>
      </w:r>
      <w:r w:rsidRPr="006A75A2">
        <w:t>occurrence of one or more uncertain future events not wholly within the control of the entity.</w:t>
      </w:r>
    </w:p>
    <w:p w:rsidR="002C39A3" w:rsidRDefault="002C39A3" w:rsidP="00361FA9">
      <w:r w:rsidRPr="006A75A2">
        <w:t>These are classified as either quantifiable, where the potential economic benefit is known, or non</w:t>
      </w:r>
      <w:r>
        <w:noBreakHyphen/>
      </w:r>
      <w:r w:rsidRPr="006A75A2">
        <w:t>quantifiable. The table below contains quantifiable cont</w:t>
      </w:r>
      <w:r>
        <w:t>ingent assets as at 20 April 2016, based on current information.</w:t>
      </w:r>
    </w:p>
    <w:p w:rsidR="002C39A3" w:rsidRDefault="002C39A3" w:rsidP="00361FA9">
      <w:pPr>
        <w:pStyle w:val="Tableheading"/>
      </w:pPr>
      <w:r>
        <w:t>Table 6.1:</w:t>
      </w:r>
      <w:r>
        <w:tab/>
        <w:t>Quantifiable contingent assets</w:t>
      </w:r>
    </w:p>
    <w:p w:rsidR="002C39A3" w:rsidRPr="001A0891" w:rsidRDefault="002C39A3" w:rsidP="00361FA9">
      <w:pPr>
        <w:pStyle w:val="million"/>
        <w:rPr>
          <w:lang w:val="en-US"/>
        </w:rPr>
      </w:pPr>
      <w:r>
        <w:t>($ million)</w:t>
      </w:r>
    </w:p>
    <w:tbl>
      <w:tblPr>
        <w:tblW w:w="7766" w:type="dxa"/>
        <w:tblInd w:w="45" w:type="dxa"/>
        <w:tblLayout w:type="fixed"/>
        <w:tblCellMar>
          <w:left w:w="45" w:type="dxa"/>
          <w:right w:w="45" w:type="dxa"/>
        </w:tblCellMar>
        <w:tblLook w:val="0000" w:firstRow="0" w:lastRow="0" w:firstColumn="0" w:lastColumn="0" w:noHBand="0" w:noVBand="0"/>
      </w:tblPr>
      <w:tblGrid>
        <w:gridCol w:w="5387"/>
        <w:gridCol w:w="1134"/>
        <w:gridCol w:w="1245"/>
      </w:tblGrid>
      <w:tr w:rsidR="00EA058F" w:rsidRPr="001A0891" w:rsidTr="00EA058F">
        <w:trPr>
          <w:trHeight w:val="464"/>
        </w:trPr>
        <w:tc>
          <w:tcPr>
            <w:tcW w:w="5387" w:type="dxa"/>
            <w:tcBorders>
              <w:top w:val="nil"/>
              <w:left w:val="nil"/>
              <w:right w:val="nil"/>
            </w:tcBorders>
            <w:shd w:val="solid" w:color="000000" w:fill="auto"/>
          </w:tcPr>
          <w:p w:rsidR="00EA058F" w:rsidRPr="001A0891" w:rsidRDefault="00EA058F" w:rsidP="00EA058F">
            <w:pPr>
              <w:pStyle w:val="million"/>
              <w:jc w:val="left"/>
              <w:rPr>
                <w:rFonts w:eastAsiaTheme="minorEastAsia" w:cs="Calibri"/>
                <w:iCs/>
                <w:color w:val="FFFFFF"/>
                <w:sz w:val="19"/>
                <w:szCs w:val="19"/>
                <w:lang w:eastAsia="en-AU"/>
              </w:rPr>
            </w:pPr>
          </w:p>
        </w:tc>
        <w:tc>
          <w:tcPr>
            <w:tcW w:w="1134" w:type="dxa"/>
            <w:tcBorders>
              <w:top w:val="nil"/>
              <w:left w:val="nil"/>
              <w:right w:val="nil"/>
            </w:tcBorders>
            <w:shd w:val="solid" w:color="000000" w:fill="auto"/>
          </w:tcPr>
          <w:p w:rsidR="00EA058F" w:rsidRPr="001A0891" w:rsidRDefault="00EA058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A0891">
              <w:rPr>
                <w:rFonts w:ascii="Calibri" w:eastAsiaTheme="minorEastAsia" w:hAnsi="Calibri" w:cs="Calibri"/>
                <w:i/>
                <w:iCs/>
                <w:color w:val="FFFFFF"/>
                <w:sz w:val="19"/>
                <w:szCs w:val="19"/>
                <w:lang w:eastAsia="en-AU"/>
              </w:rPr>
              <w:t>As at</w:t>
            </w:r>
          </w:p>
          <w:p w:rsidR="00EA058F" w:rsidRPr="001A0891" w:rsidRDefault="00EA058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A0891">
              <w:rPr>
                <w:rFonts w:ascii="Calibri" w:eastAsiaTheme="minorEastAsia" w:hAnsi="Calibri" w:cs="Calibri"/>
                <w:i/>
                <w:iCs/>
                <w:color w:val="FFFFFF"/>
                <w:sz w:val="19"/>
                <w:szCs w:val="19"/>
                <w:lang w:eastAsia="en-AU"/>
              </w:rPr>
              <w:t xml:space="preserve">Dec 2015 </w:t>
            </w:r>
            <w:r w:rsidRPr="001A0891">
              <w:rPr>
                <w:rFonts w:ascii="Calibri" w:eastAsiaTheme="minorEastAsia" w:hAnsi="Calibri" w:cs="Calibri"/>
                <w:i/>
                <w:iCs/>
                <w:color w:val="FFFFFF"/>
                <w:sz w:val="19"/>
                <w:szCs w:val="19"/>
                <w:vertAlign w:val="superscript"/>
                <w:lang w:eastAsia="en-AU"/>
              </w:rPr>
              <w:t>(a)</w:t>
            </w:r>
          </w:p>
        </w:tc>
        <w:tc>
          <w:tcPr>
            <w:tcW w:w="1245" w:type="dxa"/>
            <w:tcBorders>
              <w:top w:val="nil"/>
              <w:left w:val="nil"/>
              <w:right w:val="nil"/>
            </w:tcBorders>
            <w:shd w:val="solid" w:color="000000" w:fill="auto"/>
          </w:tcPr>
          <w:p w:rsidR="00EA058F" w:rsidRPr="001A0891" w:rsidRDefault="00EA058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A0891">
              <w:rPr>
                <w:rFonts w:ascii="Calibri" w:eastAsiaTheme="minorEastAsia" w:hAnsi="Calibri" w:cs="Calibri"/>
                <w:i/>
                <w:iCs/>
                <w:color w:val="FFFFFF"/>
                <w:sz w:val="19"/>
                <w:szCs w:val="19"/>
                <w:lang w:eastAsia="en-AU"/>
              </w:rPr>
              <w:t>As at</w:t>
            </w:r>
          </w:p>
          <w:p w:rsidR="00EA058F" w:rsidRPr="001A0891" w:rsidRDefault="00EA058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A0891">
              <w:rPr>
                <w:rFonts w:ascii="Calibri" w:eastAsiaTheme="minorEastAsia" w:hAnsi="Calibri" w:cs="Calibri"/>
                <w:i/>
                <w:iCs/>
                <w:color w:val="FFFFFF"/>
                <w:sz w:val="19"/>
                <w:szCs w:val="19"/>
                <w:lang w:eastAsia="en-AU"/>
              </w:rPr>
              <w:t>April 2016</w:t>
            </w:r>
          </w:p>
        </w:tc>
      </w:tr>
      <w:tr w:rsidR="002C39A3" w:rsidRPr="001A0891" w:rsidTr="00361FA9">
        <w:tc>
          <w:tcPr>
            <w:tcW w:w="5387" w:type="dxa"/>
            <w:tcBorders>
              <w:top w:val="nil"/>
              <w:left w:val="nil"/>
              <w:right w:val="nil"/>
            </w:tcBorders>
            <w:shd w:val="clear" w:color="auto" w:fill="FFFFFF"/>
          </w:tcPr>
          <w:p w:rsidR="002C39A3" w:rsidRPr="001A0891"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A0891">
              <w:rPr>
                <w:rFonts w:ascii="Calibri" w:eastAsiaTheme="minorEastAsia" w:hAnsi="Calibri" w:cs="Calibri"/>
                <w:color w:val="000000"/>
                <w:sz w:val="19"/>
                <w:szCs w:val="19"/>
                <w:lang w:eastAsia="en-AU"/>
              </w:rPr>
              <w:t>Guarantees, indemnities and warranties</w:t>
            </w:r>
          </w:p>
        </w:tc>
        <w:tc>
          <w:tcPr>
            <w:tcW w:w="1134" w:type="dxa"/>
            <w:tcBorders>
              <w:top w:val="nil"/>
              <w:left w:val="nil"/>
              <w:right w:val="nil"/>
            </w:tcBorders>
            <w:shd w:val="clear" w:color="auto" w:fill="FFFFFF"/>
          </w:tcPr>
          <w:p w:rsidR="002C39A3" w:rsidRPr="001A0891"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w:t>
            </w:r>
          </w:p>
        </w:tc>
        <w:tc>
          <w:tcPr>
            <w:tcW w:w="1245" w:type="dxa"/>
            <w:tcBorders>
              <w:top w:val="nil"/>
              <w:left w:val="nil"/>
              <w:right w:val="nil"/>
            </w:tcBorders>
            <w:shd w:val="clear" w:color="auto" w:fill="FFFFFF"/>
          </w:tcPr>
          <w:p w:rsidR="002C39A3" w:rsidRPr="001A0891"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w:t>
            </w:r>
          </w:p>
        </w:tc>
      </w:tr>
      <w:tr w:rsidR="002C39A3" w:rsidRPr="001A0891" w:rsidTr="00361FA9">
        <w:tc>
          <w:tcPr>
            <w:tcW w:w="5387" w:type="dxa"/>
            <w:tcBorders>
              <w:top w:val="nil"/>
              <w:left w:val="nil"/>
              <w:right w:val="nil"/>
            </w:tcBorders>
            <w:shd w:val="clear" w:color="auto" w:fill="FFFFFF"/>
          </w:tcPr>
          <w:p w:rsidR="002C39A3" w:rsidRPr="001A0891"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A0891">
              <w:rPr>
                <w:rFonts w:ascii="Calibri" w:eastAsiaTheme="minorEastAsia" w:hAnsi="Calibri" w:cs="Calibri"/>
                <w:color w:val="000000"/>
                <w:sz w:val="19"/>
                <w:szCs w:val="19"/>
                <w:lang w:eastAsia="en-AU"/>
              </w:rPr>
              <w:t>Legal proceedings and disputes</w:t>
            </w:r>
          </w:p>
        </w:tc>
        <w:tc>
          <w:tcPr>
            <w:tcW w:w="1134" w:type="dxa"/>
            <w:tcBorders>
              <w:top w:val="nil"/>
              <w:left w:val="nil"/>
              <w:right w:val="nil"/>
            </w:tcBorders>
            <w:shd w:val="clear" w:color="auto" w:fill="FFFFFF"/>
          </w:tcPr>
          <w:p w:rsidR="002C39A3" w:rsidRPr="001A0891"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w:t>
            </w:r>
          </w:p>
        </w:tc>
        <w:tc>
          <w:tcPr>
            <w:tcW w:w="1245" w:type="dxa"/>
            <w:tcBorders>
              <w:top w:val="nil"/>
              <w:left w:val="nil"/>
              <w:right w:val="nil"/>
            </w:tcBorders>
            <w:shd w:val="clear" w:color="auto" w:fill="FFFFFF"/>
          </w:tcPr>
          <w:p w:rsidR="002C39A3" w:rsidRPr="001A0891"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10</w:t>
            </w:r>
          </w:p>
        </w:tc>
      </w:tr>
      <w:tr w:rsidR="002C39A3" w:rsidRPr="001A0891" w:rsidTr="00361FA9">
        <w:tc>
          <w:tcPr>
            <w:tcW w:w="5387" w:type="dxa"/>
            <w:tcBorders>
              <w:top w:val="nil"/>
              <w:left w:val="nil"/>
              <w:bottom w:val="single" w:sz="6" w:space="0" w:color="auto"/>
              <w:right w:val="nil"/>
            </w:tcBorders>
            <w:shd w:val="clear" w:color="auto" w:fill="FFFFFF"/>
          </w:tcPr>
          <w:p w:rsidR="002C39A3" w:rsidRPr="001A0891"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1A0891">
              <w:rPr>
                <w:rFonts w:ascii="Calibri" w:eastAsiaTheme="minorEastAsia" w:hAnsi="Calibri" w:cs="Calibri"/>
                <w:color w:val="000000"/>
                <w:sz w:val="19"/>
                <w:szCs w:val="19"/>
                <w:lang w:eastAsia="en-AU"/>
              </w:rPr>
              <w:t xml:space="preserve">Other </w:t>
            </w:r>
            <w:r w:rsidRPr="001A0891">
              <w:rPr>
                <w:rFonts w:ascii="Calibri" w:eastAsiaTheme="minorEastAsia" w:hAnsi="Calibri" w:cs="Calibri"/>
                <w:color w:val="000000"/>
                <w:sz w:val="19"/>
                <w:szCs w:val="19"/>
                <w:vertAlign w:val="superscript"/>
                <w:lang w:eastAsia="en-AU"/>
              </w:rPr>
              <w:t>(b)</w:t>
            </w:r>
          </w:p>
        </w:tc>
        <w:tc>
          <w:tcPr>
            <w:tcW w:w="1134" w:type="dxa"/>
            <w:tcBorders>
              <w:top w:val="nil"/>
              <w:left w:val="nil"/>
              <w:bottom w:val="single" w:sz="6" w:space="0" w:color="auto"/>
              <w:right w:val="nil"/>
            </w:tcBorders>
            <w:shd w:val="clear" w:color="auto" w:fill="FFFFFF"/>
          </w:tcPr>
          <w:p w:rsidR="002C39A3" w:rsidRPr="001A0891"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103</w:t>
            </w:r>
          </w:p>
        </w:tc>
        <w:tc>
          <w:tcPr>
            <w:tcW w:w="1245" w:type="dxa"/>
            <w:tcBorders>
              <w:top w:val="nil"/>
              <w:left w:val="nil"/>
              <w:bottom w:val="single" w:sz="6" w:space="0" w:color="auto"/>
              <w:right w:val="nil"/>
            </w:tcBorders>
            <w:shd w:val="clear" w:color="auto" w:fill="FFFFFF"/>
          </w:tcPr>
          <w:p w:rsidR="002C39A3" w:rsidRPr="001A0891"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109</w:t>
            </w:r>
          </w:p>
        </w:tc>
      </w:tr>
      <w:tr w:rsidR="002C39A3" w:rsidRPr="001A0891" w:rsidTr="00361FA9">
        <w:tc>
          <w:tcPr>
            <w:tcW w:w="5387" w:type="dxa"/>
            <w:tcBorders>
              <w:top w:val="single" w:sz="6" w:space="0" w:color="auto"/>
              <w:left w:val="nil"/>
              <w:bottom w:val="single" w:sz="12" w:space="0" w:color="auto"/>
              <w:right w:val="nil"/>
            </w:tcBorders>
            <w:shd w:val="clear" w:color="auto" w:fill="FFFFFF"/>
          </w:tcPr>
          <w:p w:rsidR="002C39A3" w:rsidRPr="001A0891"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A0891">
              <w:rPr>
                <w:rFonts w:ascii="Calibri" w:eastAsiaTheme="minorEastAsia" w:hAnsi="Calibri" w:cs="Calibri"/>
                <w:b/>
                <w:bCs/>
                <w:color w:val="000000"/>
                <w:sz w:val="19"/>
                <w:szCs w:val="19"/>
                <w:lang w:eastAsia="en-AU"/>
              </w:rPr>
              <w:t>Total contingent assets</w:t>
            </w:r>
          </w:p>
        </w:tc>
        <w:tc>
          <w:tcPr>
            <w:tcW w:w="1134" w:type="dxa"/>
            <w:tcBorders>
              <w:top w:val="single" w:sz="6" w:space="0" w:color="auto"/>
              <w:left w:val="nil"/>
              <w:bottom w:val="single" w:sz="12" w:space="0" w:color="auto"/>
              <w:right w:val="nil"/>
            </w:tcBorders>
            <w:shd w:val="clear" w:color="auto" w:fill="FFFFFF"/>
          </w:tcPr>
          <w:p w:rsidR="002C39A3" w:rsidRPr="001A0891"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117</w:t>
            </w:r>
          </w:p>
        </w:tc>
        <w:tc>
          <w:tcPr>
            <w:tcW w:w="1245" w:type="dxa"/>
            <w:tcBorders>
              <w:top w:val="single" w:sz="6" w:space="0" w:color="auto"/>
              <w:left w:val="nil"/>
              <w:bottom w:val="single" w:sz="12" w:space="0" w:color="auto"/>
              <w:right w:val="nil"/>
            </w:tcBorders>
            <w:shd w:val="clear" w:color="auto" w:fill="FFFFFF"/>
          </w:tcPr>
          <w:p w:rsidR="002C39A3" w:rsidRPr="001A0891"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123</w:t>
            </w:r>
          </w:p>
        </w:tc>
      </w:tr>
    </w:tbl>
    <w:p w:rsidR="002C39A3" w:rsidRPr="000971B6" w:rsidRDefault="002C39A3" w:rsidP="00361FA9">
      <w:pPr>
        <w:pStyle w:val="Notes"/>
      </w:pPr>
      <w:r w:rsidRPr="000971B6">
        <w:t>Note</w:t>
      </w:r>
      <w:r>
        <w:t>s</w:t>
      </w:r>
      <w:r w:rsidRPr="000971B6">
        <w:t>:</w:t>
      </w:r>
    </w:p>
    <w:p w:rsidR="002C39A3" w:rsidRDefault="002C39A3" w:rsidP="00361FA9">
      <w:pPr>
        <w:pStyle w:val="Notes"/>
      </w:pPr>
      <w:r w:rsidRPr="000971B6">
        <w:t xml:space="preserve">(a) </w:t>
      </w:r>
      <w:r w:rsidRPr="000971B6">
        <w:tab/>
        <w:t xml:space="preserve">As published in the </w:t>
      </w:r>
      <w:r>
        <w:rPr>
          <w:i w:val="0"/>
        </w:rPr>
        <w:t>2015-16</w:t>
      </w:r>
      <w:r w:rsidRPr="008353C7">
        <w:rPr>
          <w:i w:val="0"/>
        </w:rPr>
        <w:t xml:space="preserve"> Budget Update</w:t>
      </w:r>
      <w:r w:rsidRPr="000971B6">
        <w:t>.</w:t>
      </w:r>
    </w:p>
    <w:p w:rsidR="002C39A3" w:rsidRDefault="002C39A3" w:rsidP="00361FA9">
      <w:pPr>
        <w:pStyle w:val="Notes"/>
      </w:pPr>
      <w:r>
        <w:t>(b)</w:t>
      </w:r>
      <w:r w:rsidRPr="00FD2EBA">
        <w:t xml:space="preserve"> </w:t>
      </w:r>
      <w:r w:rsidRPr="000971B6">
        <w:tab/>
      </w:r>
      <w:r>
        <w:t>Other contingent assets mainly consists of $100 million relating to contingent payment for Crown Melbourne licence amendments that may be receivable in calendar year 2022</w:t>
      </w:r>
      <w:r w:rsidRPr="000971B6">
        <w:t>.</w:t>
      </w:r>
    </w:p>
    <w:p w:rsidR="002C39A3" w:rsidRDefault="002C39A3">
      <w:pPr>
        <w:spacing w:after="0"/>
        <w:rPr>
          <w:rFonts w:ascii="Calibri" w:hAnsi="Calibri"/>
          <w:b/>
          <w:kern w:val="28"/>
          <w:sz w:val="26"/>
          <w:szCs w:val="22"/>
        </w:rPr>
      </w:pPr>
      <w:r>
        <w:br w:type="page"/>
      </w:r>
    </w:p>
    <w:p w:rsidR="002C39A3" w:rsidRDefault="002C39A3" w:rsidP="00361FA9">
      <w:pPr>
        <w:pStyle w:val="Heading2"/>
      </w:pPr>
      <w:r>
        <w:t>Non</w:t>
      </w:r>
      <w:r>
        <w:noBreakHyphen/>
        <w:t>quantifiable contingent assets</w:t>
      </w:r>
    </w:p>
    <w:p w:rsidR="002C39A3" w:rsidRPr="00C07D53" w:rsidRDefault="002C39A3" w:rsidP="00361FA9">
      <w:pPr>
        <w:pStyle w:val="Heading3"/>
      </w:pPr>
      <w:r w:rsidRPr="00C07D53">
        <w:t xml:space="preserve">CityLink </w:t>
      </w:r>
      <w:r w:rsidRPr="006D380A">
        <w:t>compensable</w:t>
      </w:r>
      <w:r w:rsidRPr="00C07D53">
        <w:t xml:space="preserve"> </w:t>
      </w:r>
      <w:r w:rsidRPr="00F544EF">
        <w:t>enhancement</w:t>
      </w:r>
      <w:r w:rsidRPr="00C07D53">
        <w:t xml:space="preserve"> claims </w:t>
      </w:r>
    </w:p>
    <w:p w:rsidR="002C39A3" w:rsidRPr="00C07D53" w:rsidRDefault="002C39A3" w:rsidP="00361FA9">
      <w:r w:rsidRPr="00C07D53">
        <w:t>The Melbourne CityLink Concession Deed contains compensable enhancement provisions that enable the State to claim 50</w:t>
      </w:r>
      <w:r>
        <w:t> per cent</w:t>
      </w:r>
      <w:r w:rsidRPr="00C07D53">
        <w:t xml:space="preserve"> of additional revenue derived by CityLink Melbourne Limited (CML) as a result of certain events that particularly benefit CityLink, including changes to the adjoining road network. </w:t>
      </w:r>
    </w:p>
    <w:p w:rsidR="002C39A3" w:rsidRDefault="002C39A3" w:rsidP="00361FA9">
      <w:r w:rsidRPr="00547C1E">
        <w:t xml:space="preserve">Compensable enhancement claims have previously been lodged in respect </w:t>
      </w:r>
      <w:r>
        <w:t xml:space="preserve">to </w:t>
      </w:r>
      <w:r w:rsidRPr="00547C1E">
        <w:t>works for improving traffic flows on the West Gate Freeway (between Lorimer and Montague streets), and in the vicinity of the intersection of the Bulla Road and the Tullamarine Freeway. The claims were lodged on 20 May 2005 and 29 September 2006 respectively, and are still outstanding.</w:t>
      </w:r>
      <w:r w:rsidRPr="00C07D53">
        <w:t xml:space="preserve"> </w:t>
      </w:r>
    </w:p>
    <w:p w:rsidR="002C39A3" w:rsidRPr="001339A5" w:rsidRDefault="002C39A3" w:rsidP="00361FA9">
      <w:pPr>
        <w:pStyle w:val="Heading3"/>
      </w:pPr>
      <w:r w:rsidRPr="001339A5">
        <w:t>Peninsula Link compensable enhancement claim</w:t>
      </w:r>
    </w:p>
    <w:p w:rsidR="002C39A3" w:rsidRPr="001339A5" w:rsidRDefault="002C39A3" w:rsidP="00361FA9">
      <w:r w:rsidRPr="001339A5">
        <w:t>The EastLink Concession Deed contains compensable enhancement provisions that enable the State to claim 50</w:t>
      </w:r>
      <w:r>
        <w:t> per cent</w:t>
      </w:r>
      <w:r w:rsidRPr="001339A5">
        <w:t xml:space="preserve"> of any additional revenue derived by ConnectEast Pty Ltd (ConnectEast) as a result of certain events that particularly benefit EastLink, including changes to the adjoining road network.</w:t>
      </w:r>
    </w:p>
    <w:p w:rsidR="002C39A3" w:rsidRDefault="002C39A3" w:rsidP="00361FA9">
      <w:r w:rsidRPr="001339A5">
        <w:t>On 2</w:t>
      </w:r>
      <w:r>
        <w:t> </w:t>
      </w:r>
      <w:r w:rsidRPr="001339A5">
        <w:t>January 2014, the State lodged a compensable enha</w:t>
      </w:r>
      <w:r>
        <w:t>ncement claim as a result of opening</w:t>
      </w:r>
      <w:r w:rsidRPr="001339A5">
        <w:t xml:space="preserve"> Peninsula Link. The claim remains outstanding.</w:t>
      </w:r>
      <w:r w:rsidRPr="007D4788">
        <w:rPr>
          <w:highlight w:val="yellow"/>
        </w:rPr>
        <w:t xml:space="preserve"> </w:t>
      </w:r>
    </w:p>
    <w:p w:rsidR="002C39A3" w:rsidRDefault="002C39A3">
      <w:pPr>
        <w:spacing w:after="0"/>
        <w:rPr>
          <w:rFonts w:ascii="Calibri" w:hAnsi="Calibri"/>
          <w:b/>
          <w:caps/>
          <w:sz w:val="26"/>
          <w:szCs w:val="22"/>
        </w:rPr>
      </w:pPr>
      <w:r>
        <w:br w:type="page"/>
      </w:r>
    </w:p>
    <w:p w:rsidR="002C39A3" w:rsidRDefault="002C39A3" w:rsidP="00361FA9">
      <w:pPr>
        <w:pStyle w:val="Heading1"/>
      </w:pPr>
      <w:bookmarkStart w:id="60" w:name="_Toc449116217"/>
      <w:r>
        <w:t>Contingent liabilities</w:t>
      </w:r>
      <w:bookmarkEnd w:id="60"/>
    </w:p>
    <w:p w:rsidR="002C39A3" w:rsidRPr="000971B6" w:rsidRDefault="002C39A3" w:rsidP="00361FA9">
      <w:r w:rsidRPr="000971B6">
        <w:t>Contingent liabilities are:</w:t>
      </w:r>
    </w:p>
    <w:p w:rsidR="002C39A3" w:rsidRPr="000971B6" w:rsidRDefault="002C39A3" w:rsidP="00361FA9">
      <w:pPr>
        <w:pStyle w:val="BulletText"/>
      </w:pPr>
      <w:r w:rsidRPr="000971B6">
        <w:t>possible obligations that arise from past events, whose existence will be confirmed only by the occurrence or non</w:t>
      </w:r>
      <w:r>
        <w:noBreakHyphen/>
      </w:r>
      <w:r w:rsidRPr="000971B6">
        <w:t>occurrence of one or more uncertain future events not wholly within the control of the entity; or</w:t>
      </w:r>
    </w:p>
    <w:p w:rsidR="002C39A3" w:rsidRPr="000971B6" w:rsidRDefault="002C39A3" w:rsidP="00361FA9">
      <w:pPr>
        <w:pStyle w:val="BulletText"/>
      </w:pPr>
      <w:r w:rsidRPr="000971B6">
        <w:t>present obligations that arise from past events but are not recognised because:</w:t>
      </w:r>
    </w:p>
    <w:p w:rsidR="002C39A3" w:rsidRPr="000971B6" w:rsidRDefault="002C39A3" w:rsidP="00361FA9">
      <w:pPr>
        <w:pStyle w:val="DashText"/>
      </w:pPr>
      <w:r w:rsidRPr="000971B6">
        <w:t>it is not probable that an outflow of resources embodying economic benefits will be required to settle the obligations; or</w:t>
      </w:r>
    </w:p>
    <w:p w:rsidR="002C39A3" w:rsidRPr="000971B6" w:rsidRDefault="002C39A3" w:rsidP="00361FA9">
      <w:pPr>
        <w:pStyle w:val="DashText"/>
      </w:pPr>
      <w:r w:rsidRPr="000971B6">
        <w:t>the amount of the obligations cannot be measured with sufficient reliability.</w:t>
      </w:r>
    </w:p>
    <w:p w:rsidR="002C39A3" w:rsidRPr="00296D99" w:rsidRDefault="002C39A3" w:rsidP="00361FA9">
      <w:r w:rsidRPr="000971B6">
        <w:t>As with contingent assets, contingent liabilities are also classified as either quantifiable or non</w:t>
      </w:r>
      <w:r>
        <w:noBreakHyphen/>
      </w:r>
      <w:r w:rsidRPr="000971B6">
        <w:t xml:space="preserve">quantifiable. The table </w:t>
      </w:r>
      <w:r>
        <w:t xml:space="preserve">below </w:t>
      </w:r>
      <w:r w:rsidRPr="000971B6">
        <w:t>contains quantifiab</w:t>
      </w:r>
      <w:r>
        <w:t>le contingent liabilities as at 20 April 2016, based on current information</w:t>
      </w:r>
      <w:r w:rsidRPr="000971B6">
        <w:t>.</w:t>
      </w:r>
      <w:r>
        <w:t xml:space="preserve"> </w:t>
      </w:r>
    </w:p>
    <w:p w:rsidR="002C39A3" w:rsidRDefault="002C39A3" w:rsidP="00361FA9">
      <w:pPr>
        <w:pStyle w:val="Tableheading"/>
      </w:pPr>
      <w:r>
        <w:t>Table 6.2:</w:t>
      </w:r>
      <w:r>
        <w:tab/>
        <w:t>Quantifiable contingent liabilities</w:t>
      </w:r>
    </w:p>
    <w:p w:rsidR="002C39A3" w:rsidRPr="001A0891" w:rsidRDefault="002C39A3" w:rsidP="00361FA9">
      <w:pPr>
        <w:pStyle w:val="million"/>
        <w:rPr>
          <w:lang w:val="en-US"/>
        </w:rPr>
      </w:pPr>
      <w:r>
        <w:t>($ million)</w:t>
      </w:r>
    </w:p>
    <w:tbl>
      <w:tblPr>
        <w:tblW w:w="7767" w:type="dxa"/>
        <w:tblInd w:w="45" w:type="dxa"/>
        <w:tblLayout w:type="fixed"/>
        <w:tblCellMar>
          <w:left w:w="45" w:type="dxa"/>
          <w:right w:w="45" w:type="dxa"/>
        </w:tblCellMar>
        <w:tblLook w:val="0000" w:firstRow="0" w:lastRow="0" w:firstColumn="0" w:lastColumn="0" w:noHBand="0" w:noVBand="0"/>
      </w:tblPr>
      <w:tblGrid>
        <w:gridCol w:w="5386"/>
        <w:gridCol w:w="1134"/>
        <w:gridCol w:w="1247"/>
      </w:tblGrid>
      <w:tr w:rsidR="00EA058F" w:rsidRPr="001A0891" w:rsidTr="00EA058F">
        <w:trPr>
          <w:trHeight w:val="464"/>
        </w:trPr>
        <w:tc>
          <w:tcPr>
            <w:tcW w:w="5386" w:type="dxa"/>
            <w:tcBorders>
              <w:top w:val="nil"/>
              <w:left w:val="nil"/>
              <w:right w:val="nil"/>
            </w:tcBorders>
            <w:shd w:val="solid" w:color="000000" w:fill="auto"/>
          </w:tcPr>
          <w:p w:rsidR="00EA058F" w:rsidRPr="001A0891" w:rsidRDefault="00EA058F" w:rsidP="00361FA9">
            <w:pPr>
              <w:pStyle w:val="million"/>
              <w:jc w:val="left"/>
              <w:rPr>
                <w:rFonts w:eastAsiaTheme="minorEastAsia" w:cs="Calibri"/>
                <w:iCs/>
                <w:color w:val="FFFFFF"/>
                <w:sz w:val="19"/>
                <w:szCs w:val="19"/>
                <w:lang w:eastAsia="en-AU"/>
              </w:rPr>
            </w:pPr>
            <w:r w:rsidRPr="001A0891">
              <w:rPr>
                <w:rFonts w:eastAsiaTheme="minorEastAsia" w:cs="Calibri"/>
                <w:iCs/>
                <w:color w:val="FFFFFF"/>
                <w:sz w:val="19"/>
                <w:szCs w:val="19"/>
                <w:lang w:eastAsia="en-AU"/>
              </w:rPr>
              <w:t xml:space="preserve"> </w:t>
            </w:r>
          </w:p>
          <w:p w:rsidR="00EA058F" w:rsidRPr="001A0891" w:rsidRDefault="00EA058F" w:rsidP="00361FA9">
            <w:pPr>
              <w:autoSpaceDE w:val="0"/>
              <w:autoSpaceDN w:val="0"/>
              <w:adjustRightInd w:val="0"/>
              <w:spacing w:after="0"/>
              <w:rPr>
                <w:rFonts w:eastAsiaTheme="minorEastAsia" w:cs="Calibri"/>
                <w:iCs/>
                <w:color w:val="FFFFFF"/>
                <w:sz w:val="19"/>
                <w:szCs w:val="19"/>
                <w:lang w:eastAsia="en-AU"/>
              </w:rPr>
            </w:pPr>
            <w:r w:rsidRPr="001A0891">
              <w:rPr>
                <w:rFonts w:ascii="Calibri" w:eastAsiaTheme="minorEastAsia" w:hAnsi="Calibri" w:cs="Calibri"/>
                <w:i/>
                <w:iCs/>
                <w:color w:val="FFFFFF"/>
                <w:sz w:val="19"/>
                <w:szCs w:val="19"/>
                <w:lang w:eastAsia="en-AU"/>
              </w:rPr>
              <w:t xml:space="preserve"> </w:t>
            </w:r>
          </w:p>
        </w:tc>
        <w:tc>
          <w:tcPr>
            <w:tcW w:w="1134" w:type="dxa"/>
            <w:tcBorders>
              <w:top w:val="nil"/>
              <w:left w:val="nil"/>
              <w:right w:val="nil"/>
            </w:tcBorders>
            <w:shd w:val="solid" w:color="000000" w:fill="auto"/>
          </w:tcPr>
          <w:p w:rsidR="00EA058F" w:rsidRPr="001A0891" w:rsidRDefault="00EA058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A0891">
              <w:rPr>
                <w:rFonts w:ascii="Calibri" w:eastAsiaTheme="minorEastAsia" w:hAnsi="Calibri" w:cs="Calibri"/>
                <w:i/>
                <w:iCs/>
                <w:color w:val="FFFFFF"/>
                <w:sz w:val="19"/>
                <w:szCs w:val="19"/>
                <w:lang w:eastAsia="en-AU"/>
              </w:rPr>
              <w:t xml:space="preserve">As at </w:t>
            </w:r>
          </w:p>
          <w:p w:rsidR="00EA058F" w:rsidRPr="001A0891" w:rsidRDefault="00EA058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A0891">
              <w:rPr>
                <w:rFonts w:ascii="Calibri" w:eastAsiaTheme="minorEastAsia" w:hAnsi="Calibri" w:cs="Calibri"/>
                <w:i/>
                <w:iCs/>
                <w:color w:val="FFFFFF"/>
                <w:sz w:val="19"/>
                <w:szCs w:val="19"/>
                <w:lang w:eastAsia="en-AU"/>
              </w:rPr>
              <w:t xml:space="preserve">Dec 2015 </w:t>
            </w:r>
            <w:r w:rsidRPr="001A0891">
              <w:rPr>
                <w:rFonts w:ascii="Calibri" w:eastAsiaTheme="minorEastAsia" w:hAnsi="Calibri" w:cs="Calibri"/>
                <w:i/>
                <w:iCs/>
                <w:color w:val="FFFFFF"/>
                <w:sz w:val="19"/>
                <w:szCs w:val="19"/>
                <w:vertAlign w:val="superscript"/>
                <w:lang w:eastAsia="en-AU"/>
              </w:rPr>
              <w:t>(a)</w:t>
            </w:r>
          </w:p>
        </w:tc>
        <w:tc>
          <w:tcPr>
            <w:tcW w:w="1247" w:type="dxa"/>
            <w:tcBorders>
              <w:top w:val="nil"/>
              <w:left w:val="nil"/>
              <w:right w:val="nil"/>
            </w:tcBorders>
            <w:shd w:val="solid" w:color="000000" w:fill="auto"/>
          </w:tcPr>
          <w:p w:rsidR="00EA058F" w:rsidRPr="001A0891" w:rsidRDefault="00EA058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A0891">
              <w:rPr>
                <w:rFonts w:ascii="Calibri" w:eastAsiaTheme="minorEastAsia" w:hAnsi="Calibri" w:cs="Calibri"/>
                <w:i/>
                <w:iCs/>
                <w:color w:val="FFFFFF"/>
                <w:sz w:val="19"/>
                <w:szCs w:val="19"/>
                <w:lang w:eastAsia="en-AU"/>
              </w:rPr>
              <w:t>As at</w:t>
            </w:r>
          </w:p>
          <w:p w:rsidR="00EA058F" w:rsidRPr="001A0891" w:rsidRDefault="00EA058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1A0891">
              <w:rPr>
                <w:rFonts w:ascii="Calibri" w:eastAsiaTheme="minorEastAsia" w:hAnsi="Calibri" w:cs="Calibri"/>
                <w:i/>
                <w:iCs/>
                <w:color w:val="FFFFFF"/>
                <w:sz w:val="19"/>
                <w:szCs w:val="19"/>
                <w:lang w:eastAsia="en-AU"/>
              </w:rPr>
              <w:t>April 2016</w:t>
            </w:r>
          </w:p>
        </w:tc>
      </w:tr>
      <w:tr w:rsidR="002C39A3" w:rsidRPr="001A0891" w:rsidTr="00361FA9">
        <w:tc>
          <w:tcPr>
            <w:tcW w:w="5386" w:type="dxa"/>
            <w:tcBorders>
              <w:top w:val="nil"/>
              <w:left w:val="nil"/>
              <w:right w:val="nil"/>
            </w:tcBorders>
            <w:shd w:val="clear" w:color="auto" w:fill="FFFFFF"/>
          </w:tcPr>
          <w:p w:rsidR="002C39A3" w:rsidRPr="001A0891"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A0891">
              <w:rPr>
                <w:rFonts w:ascii="Calibri" w:eastAsiaTheme="minorEastAsia" w:hAnsi="Calibri" w:cs="Calibri"/>
                <w:color w:val="000000"/>
                <w:sz w:val="19"/>
                <w:szCs w:val="19"/>
                <w:lang w:eastAsia="en-AU"/>
              </w:rPr>
              <w:t>Guarantees, indemnities and warranties</w:t>
            </w:r>
          </w:p>
        </w:tc>
        <w:tc>
          <w:tcPr>
            <w:tcW w:w="1134" w:type="dxa"/>
            <w:tcBorders>
              <w:top w:val="nil"/>
              <w:left w:val="nil"/>
              <w:right w:val="nil"/>
            </w:tcBorders>
            <w:shd w:val="clear" w:color="auto" w:fill="FFFFFF"/>
          </w:tcPr>
          <w:p w:rsidR="002C39A3" w:rsidRPr="001A0891"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316</w:t>
            </w:r>
          </w:p>
        </w:tc>
        <w:tc>
          <w:tcPr>
            <w:tcW w:w="1247" w:type="dxa"/>
            <w:tcBorders>
              <w:top w:val="nil"/>
              <w:left w:val="nil"/>
              <w:right w:val="nil"/>
            </w:tcBorders>
            <w:shd w:val="clear" w:color="auto" w:fill="FFFFFF"/>
          </w:tcPr>
          <w:p w:rsidR="002C39A3" w:rsidRPr="001A0891"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279</w:t>
            </w:r>
          </w:p>
        </w:tc>
      </w:tr>
      <w:tr w:rsidR="002C39A3" w:rsidRPr="001A0891" w:rsidTr="00361FA9">
        <w:tc>
          <w:tcPr>
            <w:tcW w:w="5386" w:type="dxa"/>
            <w:tcBorders>
              <w:top w:val="nil"/>
              <w:left w:val="nil"/>
              <w:right w:val="nil"/>
            </w:tcBorders>
            <w:shd w:val="clear" w:color="auto" w:fill="FFFFFF"/>
          </w:tcPr>
          <w:p w:rsidR="002C39A3" w:rsidRPr="001A0891"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A0891">
              <w:rPr>
                <w:rFonts w:ascii="Calibri" w:eastAsiaTheme="minorEastAsia" w:hAnsi="Calibri" w:cs="Calibri"/>
                <w:color w:val="000000"/>
                <w:sz w:val="19"/>
                <w:szCs w:val="19"/>
                <w:lang w:eastAsia="en-AU"/>
              </w:rPr>
              <w:t>Legal proceedings and disputes</w:t>
            </w:r>
          </w:p>
        </w:tc>
        <w:tc>
          <w:tcPr>
            <w:tcW w:w="1134" w:type="dxa"/>
            <w:tcBorders>
              <w:top w:val="nil"/>
              <w:left w:val="nil"/>
              <w:right w:val="nil"/>
            </w:tcBorders>
            <w:shd w:val="clear" w:color="auto" w:fill="FFFFFF"/>
          </w:tcPr>
          <w:p w:rsidR="002C39A3" w:rsidRPr="001A0891"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224</w:t>
            </w:r>
          </w:p>
        </w:tc>
        <w:tc>
          <w:tcPr>
            <w:tcW w:w="1247" w:type="dxa"/>
            <w:tcBorders>
              <w:top w:val="nil"/>
              <w:left w:val="nil"/>
              <w:right w:val="nil"/>
            </w:tcBorders>
            <w:shd w:val="clear" w:color="auto" w:fill="FFFFFF"/>
          </w:tcPr>
          <w:p w:rsidR="002C39A3" w:rsidRPr="001A0891"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222</w:t>
            </w:r>
          </w:p>
        </w:tc>
      </w:tr>
      <w:tr w:rsidR="002C39A3" w:rsidRPr="001A0891" w:rsidTr="00361FA9">
        <w:tc>
          <w:tcPr>
            <w:tcW w:w="5386" w:type="dxa"/>
            <w:tcBorders>
              <w:top w:val="nil"/>
              <w:left w:val="nil"/>
              <w:right w:val="nil"/>
            </w:tcBorders>
            <w:shd w:val="clear" w:color="auto" w:fill="FFFFFF"/>
          </w:tcPr>
          <w:p w:rsidR="002C39A3" w:rsidRPr="001A0891"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A0891">
              <w:rPr>
                <w:rFonts w:ascii="Calibri" w:eastAsiaTheme="minorEastAsia" w:hAnsi="Calibri" w:cs="Calibri"/>
                <w:color w:val="000000"/>
                <w:sz w:val="19"/>
                <w:szCs w:val="19"/>
                <w:lang w:eastAsia="en-AU"/>
              </w:rPr>
              <w:t>Other</w:t>
            </w:r>
          </w:p>
        </w:tc>
        <w:tc>
          <w:tcPr>
            <w:tcW w:w="1134" w:type="dxa"/>
            <w:tcBorders>
              <w:top w:val="nil"/>
              <w:left w:val="nil"/>
              <w:right w:val="nil"/>
            </w:tcBorders>
            <w:shd w:val="clear" w:color="auto" w:fill="FFFFFF"/>
          </w:tcPr>
          <w:p w:rsidR="002C39A3" w:rsidRPr="001A0891"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174</w:t>
            </w:r>
          </w:p>
        </w:tc>
        <w:tc>
          <w:tcPr>
            <w:tcW w:w="1247" w:type="dxa"/>
            <w:tcBorders>
              <w:top w:val="nil"/>
              <w:left w:val="nil"/>
              <w:right w:val="nil"/>
            </w:tcBorders>
            <w:shd w:val="clear" w:color="auto" w:fill="FFFFFF"/>
          </w:tcPr>
          <w:p w:rsidR="002C39A3" w:rsidRPr="001A0891"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127</w:t>
            </w:r>
          </w:p>
        </w:tc>
      </w:tr>
      <w:tr w:rsidR="002C39A3" w:rsidRPr="001A0891" w:rsidTr="00361FA9">
        <w:tc>
          <w:tcPr>
            <w:tcW w:w="5386" w:type="dxa"/>
            <w:tcBorders>
              <w:top w:val="nil"/>
              <w:left w:val="nil"/>
              <w:bottom w:val="single" w:sz="6" w:space="0" w:color="auto"/>
              <w:right w:val="nil"/>
            </w:tcBorders>
            <w:shd w:val="clear" w:color="auto" w:fill="FFFFFF"/>
          </w:tcPr>
          <w:p w:rsidR="002C39A3" w:rsidRPr="001A0891"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1A0891">
              <w:rPr>
                <w:rFonts w:ascii="Calibri" w:eastAsiaTheme="minorEastAsia" w:hAnsi="Calibri" w:cs="Calibri"/>
                <w:color w:val="000000"/>
                <w:sz w:val="19"/>
                <w:szCs w:val="19"/>
                <w:lang w:eastAsia="en-AU"/>
              </w:rPr>
              <w:t xml:space="preserve">Non-general government debt </w:t>
            </w:r>
            <w:r w:rsidRPr="001A0891">
              <w:rPr>
                <w:rFonts w:ascii="Calibri" w:eastAsiaTheme="minorEastAsia" w:hAnsi="Calibri" w:cs="Calibri"/>
                <w:color w:val="000000"/>
                <w:sz w:val="19"/>
                <w:szCs w:val="19"/>
                <w:vertAlign w:val="superscript"/>
                <w:lang w:eastAsia="en-AU"/>
              </w:rPr>
              <w:t>(b)</w:t>
            </w:r>
          </w:p>
        </w:tc>
        <w:tc>
          <w:tcPr>
            <w:tcW w:w="1134" w:type="dxa"/>
            <w:tcBorders>
              <w:top w:val="nil"/>
              <w:left w:val="nil"/>
              <w:bottom w:val="single" w:sz="6" w:space="0" w:color="auto"/>
              <w:right w:val="nil"/>
            </w:tcBorders>
            <w:shd w:val="clear" w:color="auto" w:fill="FFFFFF"/>
          </w:tcPr>
          <w:p w:rsidR="002C39A3" w:rsidRPr="001A0891"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A0891">
              <w:rPr>
                <w:rFonts w:ascii="Calibri" w:eastAsiaTheme="minorEastAsia" w:hAnsi="Calibri" w:cs="Calibri"/>
                <w:color w:val="000000"/>
                <w:sz w:val="19"/>
                <w:szCs w:val="19"/>
                <w:lang w:eastAsia="en-AU"/>
              </w:rPr>
              <w:t>10 985</w:t>
            </w:r>
          </w:p>
        </w:tc>
        <w:tc>
          <w:tcPr>
            <w:tcW w:w="1247" w:type="dxa"/>
            <w:tcBorders>
              <w:top w:val="nil"/>
              <w:left w:val="nil"/>
              <w:bottom w:val="single" w:sz="6" w:space="0" w:color="auto"/>
              <w:right w:val="nil"/>
            </w:tcBorders>
            <w:shd w:val="clear" w:color="auto" w:fill="FFFFFF"/>
          </w:tcPr>
          <w:p w:rsidR="002C39A3" w:rsidRPr="001A0891"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1A0891">
              <w:rPr>
                <w:rFonts w:ascii="Calibri" w:eastAsiaTheme="minorEastAsia" w:hAnsi="Calibri" w:cs="Calibri"/>
                <w:color w:val="000000"/>
                <w:sz w:val="19"/>
                <w:szCs w:val="19"/>
                <w:lang w:eastAsia="en-AU"/>
              </w:rPr>
              <w:t>10 870</w:t>
            </w:r>
          </w:p>
        </w:tc>
      </w:tr>
      <w:tr w:rsidR="002C39A3" w:rsidRPr="001A0891" w:rsidTr="00361FA9">
        <w:tc>
          <w:tcPr>
            <w:tcW w:w="5386" w:type="dxa"/>
            <w:tcBorders>
              <w:top w:val="single" w:sz="6" w:space="0" w:color="auto"/>
              <w:left w:val="nil"/>
              <w:bottom w:val="single" w:sz="12" w:space="0" w:color="auto"/>
              <w:right w:val="nil"/>
            </w:tcBorders>
            <w:shd w:val="clear" w:color="auto" w:fill="FFFFFF"/>
          </w:tcPr>
          <w:p w:rsidR="002C39A3" w:rsidRPr="001A0891"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1A0891">
              <w:rPr>
                <w:rFonts w:ascii="Calibri" w:eastAsiaTheme="minorEastAsia" w:hAnsi="Calibri" w:cs="Calibri"/>
                <w:b/>
                <w:bCs/>
                <w:color w:val="000000"/>
                <w:sz w:val="19"/>
                <w:szCs w:val="19"/>
                <w:lang w:eastAsia="en-AU"/>
              </w:rPr>
              <w:t>Total contingent liabilities</w:t>
            </w:r>
          </w:p>
        </w:tc>
        <w:tc>
          <w:tcPr>
            <w:tcW w:w="1134" w:type="dxa"/>
            <w:tcBorders>
              <w:top w:val="single" w:sz="6" w:space="0" w:color="auto"/>
              <w:left w:val="nil"/>
              <w:bottom w:val="single" w:sz="12" w:space="0" w:color="auto"/>
              <w:right w:val="nil"/>
            </w:tcBorders>
            <w:shd w:val="clear" w:color="auto" w:fill="FFFFFF"/>
          </w:tcPr>
          <w:p w:rsidR="002C39A3" w:rsidRPr="001A0891"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A0891">
              <w:rPr>
                <w:rFonts w:ascii="Calibri" w:eastAsiaTheme="minorEastAsia" w:hAnsi="Calibri" w:cs="Calibri"/>
                <w:b/>
                <w:bCs/>
                <w:color w:val="000000"/>
                <w:sz w:val="19"/>
                <w:szCs w:val="19"/>
                <w:lang w:eastAsia="en-AU"/>
              </w:rPr>
              <w:t>11 698</w:t>
            </w:r>
          </w:p>
        </w:tc>
        <w:tc>
          <w:tcPr>
            <w:tcW w:w="1247" w:type="dxa"/>
            <w:tcBorders>
              <w:top w:val="single" w:sz="6" w:space="0" w:color="auto"/>
              <w:left w:val="nil"/>
              <w:bottom w:val="single" w:sz="12" w:space="0" w:color="auto"/>
              <w:right w:val="nil"/>
            </w:tcBorders>
            <w:shd w:val="clear" w:color="auto" w:fill="FFFFFF"/>
          </w:tcPr>
          <w:p w:rsidR="002C39A3" w:rsidRPr="001A0891"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1A0891">
              <w:rPr>
                <w:rFonts w:ascii="Calibri" w:eastAsiaTheme="minorEastAsia" w:hAnsi="Calibri" w:cs="Calibri"/>
                <w:b/>
                <w:bCs/>
                <w:color w:val="000000"/>
                <w:sz w:val="19"/>
                <w:szCs w:val="19"/>
                <w:lang w:eastAsia="en-AU"/>
              </w:rPr>
              <w:t>11 498</w:t>
            </w:r>
          </w:p>
        </w:tc>
      </w:tr>
    </w:tbl>
    <w:p w:rsidR="002C39A3" w:rsidRPr="000971B6" w:rsidRDefault="002C39A3" w:rsidP="00361FA9">
      <w:pPr>
        <w:pStyle w:val="Notes"/>
      </w:pPr>
      <w:r w:rsidRPr="000971B6">
        <w:t>Note</w:t>
      </w:r>
      <w:r>
        <w:t>s</w:t>
      </w:r>
      <w:r w:rsidRPr="000971B6">
        <w:t>:</w:t>
      </w:r>
    </w:p>
    <w:p w:rsidR="002C39A3" w:rsidRDefault="002C39A3" w:rsidP="00361FA9">
      <w:pPr>
        <w:pStyle w:val="Notes"/>
      </w:pPr>
      <w:r w:rsidRPr="000971B6">
        <w:t xml:space="preserve">(a) </w:t>
      </w:r>
      <w:r w:rsidRPr="000971B6">
        <w:tab/>
        <w:t xml:space="preserve">As published in the </w:t>
      </w:r>
      <w:r>
        <w:rPr>
          <w:i w:val="0"/>
        </w:rPr>
        <w:t>2015-16</w:t>
      </w:r>
      <w:r w:rsidRPr="008353C7">
        <w:rPr>
          <w:i w:val="0"/>
        </w:rPr>
        <w:t xml:space="preserve"> Budget Update</w:t>
      </w:r>
      <w:r w:rsidRPr="000971B6">
        <w:t>.</w:t>
      </w:r>
    </w:p>
    <w:p w:rsidR="002C39A3" w:rsidRDefault="002C39A3" w:rsidP="00361FA9">
      <w:pPr>
        <w:pStyle w:val="Notes"/>
      </w:pPr>
      <w:r>
        <w:t xml:space="preserve">(b) </w:t>
      </w:r>
      <w:r>
        <w:tab/>
        <w:t>Mainly represents the guarantee of borrowings provided by the Treasurer for the public sector borrowings portfolio.</w:t>
      </w:r>
    </w:p>
    <w:p w:rsidR="002C39A3" w:rsidRDefault="002C39A3" w:rsidP="00361FA9">
      <w:pPr>
        <w:pStyle w:val="Notes"/>
        <w:ind w:left="0" w:firstLine="0"/>
      </w:pPr>
    </w:p>
    <w:p w:rsidR="002C39A3" w:rsidRDefault="002C39A3" w:rsidP="00361FA9">
      <w:pPr>
        <w:pStyle w:val="Heading2"/>
      </w:pPr>
      <w:r>
        <w:t>Non</w:t>
      </w:r>
      <w:r>
        <w:noBreakHyphen/>
        <w:t>quantifiable contingent liabilities</w:t>
      </w:r>
    </w:p>
    <w:p w:rsidR="002C39A3" w:rsidRPr="000971B6" w:rsidRDefault="002C39A3" w:rsidP="00361FA9">
      <w:r w:rsidRPr="000971B6">
        <w:t>A number of potential obligations are non</w:t>
      </w:r>
      <w:r>
        <w:noBreakHyphen/>
      </w:r>
      <w:r w:rsidRPr="000971B6">
        <w:t>quantifiable at this time arising from:</w:t>
      </w:r>
    </w:p>
    <w:p w:rsidR="002C39A3" w:rsidRPr="000971B6" w:rsidRDefault="002C39A3" w:rsidP="00361FA9">
      <w:pPr>
        <w:pStyle w:val="BulletText"/>
      </w:pPr>
      <w:r w:rsidRPr="000971B6">
        <w:t>indemnities provided in relation to transactions, including financial arrangements and consultancy services, as well as for directors and administrators;</w:t>
      </w:r>
    </w:p>
    <w:p w:rsidR="002C39A3" w:rsidRPr="000971B6" w:rsidRDefault="002C39A3" w:rsidP="00361FA9">
      <w:pPr>
        <w:pStyle w:val="BulletText"/>
      </w:pPr>
      <w:r w:rsidRPr="000971B6">
        <w:t>performance guarantees, warranties, letters of comfort and the like;</w:t>
      </w:r>
    </w:p>
    <w:p w:rsidR="002C39A3" w:rsidRPr="000971B6" w:rsidRDefault="002C39A3" w:rsidP="00361FA9">
      <w:pPr>
        <w:pStyle w:val="BulletText"/>
      </w:pPr>
      <w:r w:rsidRPr="000971B6">
        <w:t>deeds in respect of certain obligations; and</w:t>
      </w:r>
    </w:p>
    <w:p w:rsidR="002C39A3" w:rsidRPr="000971B6" w:rsidRDefault="002C39A3" w:rsidP="00361FA9">
      <w:pPr>
        <w:pStyle w:val="BulletText"/>
      </w:pPr>
      <w:r w:rsidRPr="000971B6">
        <w:t>unclaimed monies, which may be subject to future claims by the general public against the State.</w:t>
      </w:r>
    </w:p>
    <w:p w:rsidR="002C39A3" w:rsidRDefault="002C39A3" w:rsidP="00361FA9">
      <w:r w:rsidRPr="000971B6">
        <w:t>An overview of the more significant non</w:t>
      </w:r>
      <w:r>
        <w:noBreakHyphen/>
      </w:r>
      <w:r w:rsidRPr="000971B6">
        <w:t>quantifiable liabilities follows.</w:t>
      </w:r>
    </w:p>
    <w:p w:rsidR="002C39A3" w:rsidRDefault="002C39A3">
      <w:pPr>
        <w:spacing w:after="0"/>
        <w:rPr>
          <w:rFonts w:ascii="Calibri" w:hAnsi="Calibri"/>
          <w:b/>
          <w:i/>
          <w:kern w:val="28"/>
          <w:sz w:val="24"/>
          <w:szCs w:val="22"/>
        </w:rPr>
      </w:pPr>
      <w:r>
        <w:br w:type="page"/>
      </w:r>
    </w:p>
    <w:p w:rsidR="002C39A3" w:rsidRPr="001339A5" w:rsidRDefault="002C39A3" w:rsidP="00361FA9">
      <w:pPr>
        <w:pStyle w:val="Heading3"/>
      </w:pPr>
      <w:r w:rsidRPr="001339A5">
        <w:t xml:space="preserve">AgriBio </w:t>
      </w:r>
      <w:r w:rsidRPr="001339A5">
        <w:rPr>
          <w:lang w:val="en"/>
        </w:rPr>
        <w:t xml:space="preserve">Centre for </w:t>
      </w:r>
      <w:r w:rsidRPr="00F544EF">
        <w:t>AgriBioscience</w:t>
      </w:r>
      <w:r w:rsidRPr="001339A5">
        <w:t xml:space="preserve"> (formerly known as The Biosciences Research Centre)</w:t>
      </w:r>
    </w:p>
    <w:p w:rsidR="002C39A3" w:rsidRDefault="002C39A3" w:rsidP="00361FA9">
      <w:r w:rsidRPr="001339A5">
        <w:t>The quarterly service fee payment obligations of the AgriBio Centre for AgriBioscience on behalf of the joint venture participants</w:t>
      </w:r>
      <w:r>
        <w:t xml:space="preserve"> (Department of Economic Development, Jobs, Transport and Resources, and La Trobe University)</w:t>
      </w:r>
      <w:r w:rsidRPr="001339A5">
        <w:t xml:space="preserve"> are supported by the State of Victoria via a State Support Deed. Under this Deed, the State ensures that the joint venture participants have severally the financial capacity to meet their payment obligations to Biosciences Research Centre Pty Ltd (BRC), thereby enabling BRC to meet its obligations to pay the service fee to the concessionaire pursuant to the project agreement. The State underwrites the risk of any default by BRC.</w:t>
      </w:r>
    </w:p>
    <w:p w:rsidR="002C39A3" w:rsidRPr="00C8654F" w:rsidRDefault="002C39A3" w:rsidP="00361FA9">
      <w:pPr>
        <w:pStyle w:val="Heading3"/>
      </w:pPr>
      <w:r w:rsidRPr="001339A5">
        <w:t>D</w:t>
      </w:r>
      <w:r>
        <w:t>epartment of Education and Training</w:t>
      </w:r>
    </w:p>
    <w:p w:rsidR="002C39A3" w:rsidRPr="001339A5" w:rsidRDefault="002C39A3" w:rsidP="00361FA9">
      <w:r w:rsidRPr="001339A5">
        <w:t>The Department has a number of unquantifiable contingent liabilities, arising from indemnities provided by it, as follows:</w:t>
      </w:r>
    </w:p>
    <w:p w:rsidR="002C39A3" w:rsidRDefault="002C39A3" w:rsidP="00361FA9">
      <w:pPr>
        <w:pStyle w:val="BulletText"/>
      </w:pPr>
      <w:r w:rsidRPr="004436BC">
        <w:t xml:space="preserve">Volunteer school workers and volunteer student workers: the </w:t>
      </w:r>
      <w:r w:rsidRPr="004436BC">
        <w:rPr>
          <w:i/>
        </w:rPr>
        <w:t>Ed</w:t>
      </w:r>
      <w:r>
        <w:rPr>
          <w:i/>
        </w:rPr>
        <w:t>ucation and Training Reform Act </w:t>
      </w:r>
      <w:r w:rsidRPr="004436BC">
        <w:rPr>
          <w:i/>
        </w:rPr>
        <w:t>2006</w:t>
      </w:r>
      <w:r w:rsidRPr="004436BC">
        <w:t xml:space="preserve"> </w:t>
      </w:r>
      <w:r w:rsidRPr="00540C56">
        <w:t>provides a specific indemnity for personal injuries suffered by volunteer school workers and volunteer student workers arising out of or in the course of engaging in school work or community work respectively</w:t>
      </w:r>
      <w:r>
        <w:t>.</w:t>
      </w:r>
    </w:p>
    <w:p w:rsidR="002C39A3" w:rsidRDefault="002C39A3" w:rsidP="00361FA9">
      <w:pPr>
        <w:pStyle w:val="BulletText"/>
      </w:pPr>
      <w:r>
        <w:t>M</w:t>
      </w:r>
      <w:r w:rsidRPr="001339A5">
        <w:t xml:space="preserve">embers of school councils: </w:t>
      </w:r>
      <w:r w:rsidRPr="00540C56">
        <w:t xml:space="preserve">the </w:t>
      </w:r>
      <w:r w:rsidRPr="00540C56">
        <w:rPr>
          <w:i/>
        </w:rPr>
        <w:t>Ed</w:t>
      </w:r>
      <w:r>
        <w:rPr>
          <w:i/>
        </w:rPr>
        <w:t>ucation and Training Reform Act </w:t>
      </w:r>
      <w:r w:rsidRPr="00540C56">
        <w:rPr>
          <w:i/>
        </w:rPr>
        <w:t>2006</w:t>
      </w:r>
      <w:r w:rsidRPr="00540C56">
        <w:t xml:space="preserve"> provides an indemnity to members of school councils for any legal liability, whether in contract, negligence or defamation.</w:t>
      </w:r>
    </w:p>
    <w:p w:rsidR="002C39A3" w:rsidRDefault="002C39A3" w:rsidP="00361FA9">
      <w:pPr>
        <w:pStyle w:val="BulletText"/>
      </w:pPr>
      <w:r>
        <w:t>T</w:t>
      </w:r>
      <w:r w:rsidRPr="001339A5">
        <w:t>eachers</w:t>
      </w:r>
      <w:r>
        <w:t xml:space="preserve">: </w:t>
      </w:r>
      <w:r w:rsidRPr="00540C56">
        <w:t>if a teacher is named as a defendant in a student personal injury claim, any costs and damages will generally be paid by the Department provided the teacher was not drunk, under the influence of illicit drugs or engaging in a criminal offence and the behaviour was not outrageous and was related to their employment.</w:t>
      </w:r>
    </w:p>
    <w:p w:rsidR="002C39A3" w:rsidRDefault="002C39A3" w:rsidP="00361FA9">
      <w:pPr>
        <w:pStyle w:val="BulletText"/>
      </w:pPr>
      <w:r w:rsidRPr="006535CD">
        <w:t>School councils: the Department will usually indemnify school councils in claims of common law negligence, and will often indemnify in relation to employment disputes, for the cost of settlement and legal representation. The Department will take into account the impact of payment upon the school</w:t>
      </w:r>
      <w:r w:rsidR="0097550F">
        <w:t>’</w:t>
      </w:r>
      <w:r w:rsidRPr="006535CD">
        <w:t>s educational program and any insurance cover for the school council, and will likely indemnify if the Department is satisfied that:</w:t>
      </w:r>
    </w:p>
    <w:p w:rsidR="002C39A3" w:rsidRDefault="002C39A3" w:rsidP="00361FA9">
      <w:pPr>
        <w:pStyle w:val="DashText"/>
      </w:pPr>
      <w:r w:rsidRPr="006535CD">
        <w:t>the school council acted in good faith and according to issued guidelines and directions; and</w:t>
      </w:r>
    </w:p>
    <w:p w:rsidR="002C39A3" w:rsidRDefault="002C39A3" w:rsidP="00361FA9">
      <w:pPr>
        <w:pStyle w:val="DashText"/>
      </w:pPr>
      <w:r w:rsidRPr="006535CD">
        <w:t>the school council has insufficient funds to pay the claim.</w:t>
      </w:r>
    </w:p>
    <w:p w:rsidR="002C39A3" w:rsidRDefault="002C39A3">
      <w:pPr>
        <w:spacing w:after="0"/>
        <w:rPr>
          <w:rFonts w:ascii="Calibri" w:hAnsi="Calibri"/>
          <w:b/>
          <w:i/>
          <w:kern w:val="28"/>
          <w:sz w:val="24"/>
          <w:szCs w:val="22"/>
        </w:rPr>
      </w:pPr>
      <w:r>
        <w:br w:type="page"/>
      </w:r>
    </w:p>
    <w:p w:rsidR="002C39A3" w:rsidRPr="00C8654F" w:rsidRDefault="002C39A3" w:rsidP="00361FA9">
      <w:pPr>
        <w:pStyle w:val="Heading3"/>
      </w:pPr>
      <w:r w:rsidRPr="001339A5">
        <w:t xml:space="preserve">Public acquisition overlays for the future development of rail and road infrastructure </w:t>
      </w:r>
    </w:p>
    <w:p w:rsidR="002C39A3" w:rsidRPr="001339A5" w:rsidRDefault="002C39A3" w:rsidP="00361FA9">
      <w:r w:rsidRPr="001339A5">
        <w:t>Public acquisition overlays are in place to reserve certain areas of land for future development of rail and roa</w:t>
      </w:r>
      <w:r>
        <w:t>d infrastructure. Under Section </w:t>
      </w:r>
      <w:r w:rsidRPr="001339A5">
        <w:t xml:space="preserve">98 of the </w:t>
      </w:r>
      <w:r w:rsidRPr="001339A5">
        <w:rPr>
          <w:i/>
        </w:rPr>
        <w:t>Planning and Environment Act</w:t>
      </w:r>
      <w:r>
        <w:t> </w:t>
      </w:r>
      <w:r w:rsidRPr="001339A5">
        <w:rPr>
          <w:i/>
        </w:rPr>
        <w:t>1987</w:t>
      </w:r>
      <w:r w:rsidRPr="001339A5">
        <w:t xml:space="preserve">, the State has a legislative responsibility to </w:t>
      </w:r>
      <w:r>
        <w:t>compensate</w:t>
      </w:r>
      <w:r w:rsidRPr="001339A5">
        <w:t xml:space="preserve"> eligible land and property owners who face either:</w:t>
      </w:r>
    </w:p>
    <w:p w:rsidR="002C39A3" w:rsidRPr="001339A5" w:rsidRDefault="002C39A3" w:rsidP="00361FA9">
      <w:pPr>
        <w:pStyle w:val="BulletText"/>
        <w:spacing w:after="100"/>
        <w:ind w:left="357" w:hanging="357"/>
      </w:pPr>
      <w:r w:rsidRPr="001339A5">
        <w:t xml:space="preserve">loss on sale – an eligible landowner is entitled to compensation for the incremental loss on sale when a property affected by a public acquisition overlay is sold for less than its </w:t>
      </w:r>
      <w:r w:rsidRPr="000F4038">
        <w:t>market</w:t>
      </w:r>
      <w:r w:rsidRPr="001339A5">
        <w:t xml:space="preserve"> value; or</w:t>
      </w:r>
    </w:p>
    <w:p w:rsidR="002C39A3" w:rsidRPr="001339A5" w:rsidRDefault="002C39A3" w:rsidP="00361FA9">
      <w:pPr>
        <w:pStyle w:val="BulletText"/>
        <w:spacing w:after="100"/>
        <w:ind w:left="357" w:hanging="357"/>
      </w:pPr>
      <w:r w:rsidRPr="001339A5">
        <w:t xml:space="preserve">financial loss – the entitlement to financial loss compensation is triggered when a development </w:t>
      </w:r>
      <w:r w:rsidRPr="000F4038">
        <w:t>permit</w:t>
      </w:r>
      <w:r w:rsidRPr="001339A5">
        <w:t xml:space="preserve"> is refused because the property is required for a public purpose.</w:t>
      </w:r>
    </w:p>
    <w:p w:rsidR="002C39A3" w:rsidRPr="001339A5" w:rsidRDefault="002C39A3" w:rsidP="00361FA9">
      <w:r w:rsidRPr="001339A5">
        <w:t>Compensation and purchase claims occur as a result of claims by</w:t>
      </w:r>
      <w:r>
        <w:t xml:space="preserve"> land owners. The</w:t>
      </w:r>
      <w:r w:rsidRPr="001339A5">
        <w:t xml:space="preserve"> future liability depends on factors including the number of claims received and the prevailing value of land at the time the claim is made, which cannot be reliably quantified.</w:t>
      </w:r>
      <w:r>
        <w:t xml:space="preserve"> </w:t>
      </w:r>
    </w:p>
    <w:p w:rsidR="002C39A3" w:rsidRPr="003E32B6" w:rsidRDefault="002C39A3" w:rsidP="00361FA9">
      <w:pPr>
        <w:pStyle w:val="Heading3"/>
      </w:pPr>
      <w:r w:rsidRPr="001339A5">
        <w:t xml:space="preserve">Public transport rail </w:t>
      </w:r>
      <w:r w:rsidRPr="003D7C9E">
        <w:t>partnership</w:t>
      </w:r>
      <w:r w:rsidRPr="001339A5">
        <w:t xml:space="preserve"> agreements</w:t>
      </w:r>
    </w:p>
    <w:p w:rsidR="002C39A3" w:rsidRPr="001339A5" w:rsidRDefault="002C39A3" w:rsidP="00361FA9">
      <w:r w:rsidRPr="001339A5">
        <w:t xml:space="preserve">Public Transport Victoria (PTV) is party to partnership contractual arrangements with franchisees to operate metropolitan rail transport </w:t>
      </w:r>
      <w:r>
        <w:t>services in the State,</w:t>
      </w:r>
      <w:r w:rsidRPr="001339A5">
        <w:t xml:space="preserve"> from 30 November 2009 until 30 November 2017. The major con</w:t>
      </w:r>
      <w:r>
        <w:t xml:space="preserve">tingent liabilities arising </w:t>
      </w:r>
      <w:r w:rsidRPr="001339A5">
        <w:t>in the event of early te</w:t>
      </w:r>
      <w:r>
        <w:t>rmination or expiry of the contract are</w:t>
      </w:r>
      <w:r w:rsidRPr="001339A5">
        <w:t>:</w:t>
      </w:r>
    </w:p>
    <w:p w:rsidR="002C39A3" w:rsidRPr="00D05714" w:rsidRDefault="002C39A3" w:rsidP="00361FA9">
      <w:pPr>
        <w:pStyle w:val="BulletText"/>
      </w:pPr>
      <w:r w:rsidRPr="00D05714">
        <w:t>partnership assets – to maintain continuity of services, at early termination or expiry of the franchise contract, assets will revert to PTV or a successor. In the case of some assets, a reversion back to PTV would entail those assets being purchased; and</w:t>
      </w:r>
    </w:p>
    <w:p w:rsidR="002C39A3" w:rsidRDefault="002C39A3" w:rsidP="00361FA9">
      <w:pPr>
        <w:pStyle w:val="BulletText"/>
      </w:pPr>
      <w:r w:rsidRPr="00D05714">
        <w:t xml:space="preserve">unfunded superannuation – at the early termination or expiry of the contract, PTV will assume any unfunded superannuation amounts (apart from contributions the operator is required to pay over the contract term) to the extent that the State becomes the successor operator. </w:t>
      </w:r>
    </w:p>
    <w:p w:rsidR="002C39A3" w:rsidRDefault="002C39A3" w:rsidP="00361FA9">
      <w:pPr>
        <w:pStyle w:val="Heading3"/>
      </w:pPr>
      <w:r>
        <w:t>Level Crossing Removal Program</w:t>
      </w:r>
    </w:p>
    <w:p w:rsidR="002C39A3" w:rsidRPr="00507425" w:rsidRDefault="002C39A3" w:rsidP="00361FA9">
      <w:r w:rsidRPr="00A84C71">
        <w:t>The State has introduced a voluntary purchase scheme for residential prope</w:t>
      </w:r>
      <w:r>
        <w:t>rties directly impacted by the Caulfield-</w:t>
      </w:r>
      <w:r w:rsidRPr="00A84C71">
        <w:t xml:space="preserve">Dandenong </w:t>
      </w:r>
      <w:r>
        <w:t>level crossing removal project.</w:t>
      </w:r>
      <w:r w:rsidRPr="00A84C71">
        <w:t xml:space="preserve"> The sche</w:t>
      </w:r>
      <w:r>
        <w:t xml:space="preserve">me commenced on 29 March 2016. </w:t>
      </w:r>
      <w:r w:rsidRPr="00A84C71">
        <w:t>The Level Crossing Removal Authority is anticipating future claims by property owners for either outright purchase and associated costs or costs related to landscaping if property owners ch</w:t>
      </w:r>
      <w:r>
        <w:t xml:space="preserve">oose to stay. </w:t>
      </w:r>
      <w:r w:rsidRPr="00A84C71">
        <w:t>Due to the uncertainty of the take-up of the offer</w:t>
      </w:r>
      <w:r>
        <w:t>,</w:t>
      </w:r>
      <w:r w:rsidRPr="00A84C71">
        <w:t xml:space="preserve"> it is not feasible to quantify the value of the liability at this stage.</w:t>
      </w:r>
    </w:p>
    <w:p w:rsidR="002C39A3" w:rsidRPr="00D05714" w:rsidRDefault="002C39A3" w:rsidP="00361FA9">
      <w:pPr>
        <w:pStyle w:val="BulletText"/>
        <w:numPr>
          <w:ilvl w:val="0"/>
          <w:numId w:val="0"/>
        </w:numPr>
        <w:ind w:left="360"/>
      </w:pPr>
    </w:p>
    <w:p w:rsidR="002C39A3" w:rsidRDefault="002C39A3">
      <w:pPr>
        <w:spacing w:after="0"/>
        <w:rPr>
          <w:rFonts w:ascii="Calibri" w:hAnsi="Calibri"/>
          <w:b/>
          <w:i/>
          <w:kern w:val="28"/>
          <w:sz w:val="24"/>
          <w:szCs w:val="22"/>
        </w:rPr>
      </w:pPr>
      <w:r>
        <w:br w:type="page"/>
      </w:r>
    </w:p>
    <w:p w:rsidR="002C39A3" w:rsidRPr="000971B6" w:rsidRDefault="002C39A3" w:rsidP="00361FA9">
      <w:pPr>
        <w:pStyle w:val="Heading3"/>
      </w:pPr>
      <w:r>
        <w:t>Fiskville</w:t>
      </w:r>
      <w:r w:rsidRPr="000971B6">
        <w:t xml:space="preserve"> independent investigation</w:t>
      </w:r>
      <w:r>
        <w:t xml:space="preserve"> and closure of training college</w:t>
      </w:r>
    </w:p>
    <w:p w:rsidR="002C39A3" w:rsidRPr="00F82797" w:rsidRDefault="002C39A3" w:rsidP="00361FA9">
      <w:r w:rsidRPr="00F82797">
        <w:t xml:space="preserve">An independent investigation was undertaken into the historical use of </w:t>
      </w:r>
      <w:r>
        <w:t xml:space="preserve">chemicals for live firefighting </w:t>
      </w:r>
      <w:r w:rsidRPr="00F82797">
        <w:t>training at Fiskville between 1971 and 1999. The report of the ind</w:t>
      </w:r>
      <w:r>
        <w:t xml:space="preserve">ependent investigation has been </w:t>
      </w:r>
      <w:r w:rsidRPr="00F82797">
        <w:t>released and the Country Fire Authority (CFA) has accepted all of</w:t>
      </w:r>
      <w:r>
        <w:t xml:space="preserve"> the facts, recommendations and </w:t>
      </w:r>
      <w:r w:rsidRPr="00F82797">
        <w:t>conclusions and is committed to implementing all recommendations.</w:t>
      </w:r>
      <w:r>
        <w:t xml:space="preserve"> </w:t>
      </w:r>
    </w:p>
    <w:p w:rsidR="002C39A3" w:rsidRDefault="002C39A3" w:rsidP="00361FA9">
      <w:r w:rsidRPr="00E306AB">
        <w:t>In August 2012, the CFA established a program office to manage the implementation of the report</w:t>
      </w:r>
      <w:r w:rsidR="0097550F">
        <w:t>’</w:t>
      </w:r>
      <w:r w:rsidRPr="00E306AB">
        <w:t xml:space="preserve">s recommendations and an additional 11 management initiatives to which the CFA Board committed in its response to the report. </w:t>
      </w:r>
    </w:p>
    <w:p w:rsidR="002C39A3" w:rsidRDefault="002C39A3" w:rsidP="00361FA9">
      <w:pPr>
        <w:rPr>
          <w:b/>
          <w:i/>
          <w:lang w:eastAsia="en-AU"/>
        </w:rPr>
      </w:pPr>
      <w:r w:rsidRPr="00BE7624">
        <w:t>On 26 March 2015, the Government announced the permanent closure of Fiskville Training College (“Fiskvi</w:t>
      </w:r>
      <w:r>
        <w:t xml:space="preserve">lle”). </w:t>
      </w:r>
      <w:r w:rsidRPr="00BE7624">
        <w:t xml:space="preserve">Fiskville and </w:t>
      </w:r>
      <w:r w:rsidRPr="00BB57F7">
        <w:t>Victorian Emergency Management Training Centre</w:t>
      </w:r>
      <w:r w:rsidRPr="00BE7624">
        <w:t xml:space="preserve"> training grounds owned by CFA at </w:t>
      </w:r>
      <w:r>
        <w:t xml:space="preserve">the </w:t>
      </w:r>
      <w:r w:rsidRPr="00BE7624">
        <w:t xml:space="preserve">Penhurst, Bangholme, West Sale, Wangaratta, Huntly, and Longerenong have been the subject of notices issued by the </w:t>
      </w:r>
      <w:r>
        <w:t>Environment Protection Agency (</w:t>
      </w:r>
      <w:r w:rsidRPr="00BE7624">
        <w:t>EPA</w:t>
      </w:r>
      <w:r>
        <w:t>)</w:t>
      </w:r>
      <w:r w:rsidRPr="00BE7624">
        <w:t>.</w:t>
      </w:r>
      <w:r>
        <w:t xml:space="preserve"> </w:t>
      </w:r>
      <w:r w:rsidRPr="00BE7624">
        <w:t xml:space="preserve">CFA has a number of contingent liabilities arising from the closure of Fiskville </w:t>
      </w:r>
      <w:r>
        <w:t xml:space="preserve">and the notices issued by EPA. </w:t>
      </w:r>
      <w:r w:rsidRPr="00BE7624">
        <w:t>These relate to any further notices that may be issued by EPA, any regulatory infringements that may be imposed by EPA, compensation that may be sought, any legal claims that may be made, recommendations made by the</w:t>
      </w:r>
      <w:r>
        <w:t xml:space="preserve"> </w:t>
      </w:r>
      <w:r w:rsidRPr="00BE7624">
        <w:t xml:space="preserve">Victorian Parliamentary Inquiry into the CFA Training College at Fiskville (due to present </w:t>
      </w:r>
      <w:r>
        <w:t xml:space="preserve">its </w:t>
      </w:r>
      <w:r w:rsidRPr="00BE7624">
        <w:t>final report in</w:t>
      </w:r>
      <w:r>
        <w:t xml:space="preserve"> May </w:t>
      </w:r>
      <w:r w:rsidRPr="00BE7624">
        <w:t>2016) and the costs of relocating the Firefighters</w:t>
      </w:r>
      <w:r w:rsidR="0097550F">
        <w:t>’</w:t>
      </w:r>
      <w:r w:rsidRPr="00BE7624">
        <w:t xml:space="preserve"> Memorial pre</w:t>
      </w:r>
      <w:r>
        <w:t>viously located at Fiskville.</w:t>
      </w:r>
    </w:p>
    <w:p w:rsidR="002C39A3" w:rsidRDefault="002C39A3" w:rsidP="00361FA9">
      <w:pPr>
        <w:rPr>
          <w:b/>
          <w:i/>
          <w:lang w:eastAsia="en-AU"/>
        </w:rPr>
      </w:pPr>
      <w:r w:rsidRPr="00BE7624">
        <w:rPr>
          <w:lang w:eastAsia="en-AU"/>
        </w:rPr>
        <w:t>At this stage it</w:t>
      </w:r>
      <w:r w:rsidRPr="00BE7624">
        <w:t xml:space="preserve"> is impractical to quantify the financial effects of these contingent liabilities.</w:t>
      </w:r>
      <w:r>
        <w:t xml:space="preserve"> </w:t>
      </w:r>
    </w:p>
    <w:p w:rsidR="002C39A3" w:rsidRPr="00E9610C" w:rsidRDefault="002C39A3" w:rsidP="00361FA9">
      <w:pPr>
        <w:pStyle w:val="Heading3"/>
        <w:rPr>
          <w:rFonts w:eastAsia="Calibri"/>
        </w:rPr>
      </w:pPr>
      <w:r w:rsidRPr="00E9610C">
        <w:rPr>
          <w:rFonts w:eastAsia="Calibri"/>
        </w:rPr>
        <w:t>Public lottery licence litigation</w:t>
      </w:r>
    </w:p>
    <w:p w:rsidR="002C39A3" w:rsidRDefault="002C39A3" w:rsidP="00361FA9">
      <w:r w:rsidRPr="001339A5">
        <w:t xml:space="preserve">On 27 August 2014, Intralot Australia Pty Ltd </w:t>
      </w:r>
      <w:r>
        <w:t xml:space="preserve">(Intralot) </w:t>
      </w:r>
      <w:r w:rsidRPr="001339A5">
        <w:t>served a writ and Statement of Claim on the State. Intralot</w:t>
      </w:r>
      <w:r w:rsidR="0097550F">
        <w:t>’</w:t>
      </w:r>
      <w:r w:rsidRPr="001339A5">
        <w:t>s claim relates to allegations that Tattersall</w:t>
      </w:r>
      <w:r w:rsidR="0097550F">
        <w:t>’</w:t>
      </w:r>
      <w:r w:rsidRPr="001339A5">
        <w:t>s Sweeps Pty Ltd was granted favourable treatment relating to the awarding of public lottery licences on 24 October 2007. Intralot claims its total costs to 30 June 2014 are $63.4</w:t>
      </w:r>
      <w:r>
        <w:t> million</w:t>
      </w:r>
      <w:r w:rsidRPr="001339A5">
        <w:t>. The State has lodged its defe</w:t>
      </w:r>
      <w:r>
        <w:t>nce and the matter has been listed for a directions hearing in the Supreme Court on 3 May 2016</w:t>
      </w:r>
      <w:r w:rsidRPr="00DF464F">
        <w:t>.</w:t>
      </w:r>
    </w:p>
    <w:p w:rsidR="002C39A3" w:rsidRPr="001339A5" w:rsidRDefault="002C39A3" w:rsidP="00361FA9">
      <w:pPr>
        <w:pStyle w:val="Heading3"/>
        <w:rPr>
          <w:rFonts w:eastAsia="Calibri"/>
        </w:rPr>
      </w:pPr>
      <w:r w:rsidRPr="001339A5">
        <w:rPr>
          <w:rFonts w:eastAsia="Calibri"/>
        </w:rPr>
        <w:t>Compulsory property acquisitions</w:t>
      </w:r>
    </w:p>
    <w:p w:rsidR="002C39A3" w:rsidRDefault="002C39A3" w:rsidP="00361FA9">
      <w:pPr>
        <w:rPr>
          <w:rFonts w:eastAsia="Calibri"/>
        </w:rPr>
      </w:pPr>
      <w:r w:rsidRPr="001339A5">
        <w:rPr>
          <w:rFonts w:eastAsia="Calibri"/>
        </w:rPr>
        <w:t xml:space="preserve">The State has compulsorily acquired a number of properties (residential and commercial) through the </w:t>
      </w:r>
      <w:r w:rsidRPr="001339A5">
        <w:rPr>
          <w:rFonts w:eastAsia="Calibri"/>
          <w:i/>
        </w:rPr>
        <w:t>Land Acquisition and Compensation Act 1986</w:t>
      </w:r>
      <w:r w:rsidRPr="001339A5">
        <w:rPr>
          <w:rFonts w:eastAsia="Calibri"/>
        </w:rPr>
        <w:t xml:space="preserve"> to facilitate delivery of various projects. Possible future claims for compensation arising from the compulsory acquisition of these properties cannot be quantified at this stage.</w:t>
      </w:r>
    </w:p>
    <w:p w:rsidR="002C39A3" w:rsidRPr="001339A5" w:rsidRDefault="002C39A3" w:rsidP="00361FA9">
      <w:pPr>
        <w:pStyle w:val="Heading3"/>
      </w:pPr>
      <w:r w:rsidRPr="001339A5">
        <w:t>Land remediation – environmental concerns</w:t>
      </w:r>
    </w:p>
    <w:p w:rsidR="002C39A3" w:rsidRDefault="002C39A3" w:rsidP="00361FA9">
      <w:pPr>
        <w:rPr>
          <w:rFonts w:ascii="Calibri" w:hAnsi="Calibri"/>
          <w:b/>
          <w:i/>
          <w:kern w:val="28"/>
          <w:sz w:val="24"/>
          <w:szCs w:val="22"/>
        </w:rPr>
      </w:pPr>
      <w:r w:rsidRPr="001339A5">
        <w:t>In addition to properties for which remediation costs have been provided in the State</w:t>
      </w:r>
      <w:r w:rsidR="0097550F">
        <w:t>’</w:t>
      </w:r>
      <w:r w:rsidRPr="001339A5">
        <w:t>s financial statements, certain other properties have been identified as potentially contaminated sites. The State does not admit any liability in respect of these sites. However, remedial expenditure may be incurred to restore the sites to an acceptable environmental standard in the event that a contamination risk is identified.</w:t>
      </w:r>
      <w:r>
        <w:t xml:space="preserve"> </w:t>
      </w:r>
    </w:p>
    <w:p w:rsidR="002C39A3" w:rsidRPr="00716054" w:rsidRDefault="002C39A3" w:rsidP="00361FA9">
      <w:pPr>
        <w:pStyle w:val="Heading3"/>
      </w:pPr>
      <w:r w:rsidRPr="000971B6">
        <w:t>Native Title</w:t>
      </w:r>
    </w:p>
    <w:p w:rsidR="002C39A3" w:rsidRDefault="002C39A3" w:rsidP="00361FA9">
      <w:r w:rsidRPr="0049539B">
        <w:t xml:space="preserve">A number of claims have been filed with the Federal Court under the Commonwealth </w:t>
      </w:r>
      <w:r>
        <w:rPr>
          <w:i/>
        </w:rPr>
        <w:t>Native Title Act </w:t>
      </w:r>
      <w:r w:rsidRPr="00F352FF">
        <w:rPr>
          <w:i/>
        </w:rPr>
        <w:t>1993</w:t>
      </w:r>
      <w:r w:rsidRPr="0049539B">
        <w:t xml:space="preserve"> that affect Victoria. It is not feasible at this time to quantify any future liabili</w:t>
      </w:r>
      <w:r w:rsidRPr="00D05714">
        <w:t>t</w:t>
      </w:r>
      <w:r w:rsidRPr="0049539B">
        <w:t>y</w:t>
      </w:r>
      <w:r>
        <w:t xml:space="preserve">. </w:t>
      </w:r>
    </w:p>
    <w:p w:rsidR="002C39A3" w:rsidRPr="001339A5" w:rsidRDefault="002C39A3" w:rsidP="00361FA9">
      <w:pPr>
        <w:pStyle w:val="Heading3"/>
      </w:pPr>
      <w:r w:rsidRPr="001339A5">
        <w:t>Melbourne Park redevelopment</w:t>
      </w:r>
    </w:p>
    <w:p w:rsidR="002C39A3" w:rsidRDefault="002C39A3" w:rsidP="00361FA9">
      <w:pPr>
        <w:rPr>
          <w:lang w:eastAsia="en-AU"/>
        </w:rPr>
      </w:pPr>
      <w:r w:rsidRPr="001339A5">
        <w:rPr>
          <w:lang w:eastAsia="en-AU"/>
        </w:rPr>
        <w:t>In 2010, the State entered into a capital works agreement with Tennis Australia and the Melbourne and Olympic Park Trust for the Australian Open to remain at Melbourne Park until 2036. The agreement contains a number of conditions including that the State will invest in further improvements to Melbourne Park in three stages or (if an agreed i</w:t>
      </w:r>
      <w:r>
        <w:rPr>
          <w:lang w:eastAsia="en-AU"/>
        </w:rPr>
        <w:t>nvestment threshold is reached)</w:t>
      </w:r>
      <w:r w:rsidRPr="001339A5">
        <w:rPr>
          <w:lang w:eastAsia="en-AU"/>
        </w:rPr>
        <w:t xml:space="preserve"> pay a rights fee to retain the Australian Open at Melbourne Park until 2036. </w:t>
      </w:r>
    </w:p>
    <w:p w:rsidR="002C39A3" w:rsidRPr="000F6B0C" w:rsidRDefault="002C39A3" w:rsidP="00361FA9">
      <w:pPr>
        <w:rPr>
          <w:lang w:eastAsia="en-AU"/>
        </w:rPr>
      </w:pPr>
      <w:r w:rsidRPr="001339A5">
        <w:rPr>
          <w:lang w:eastAsia="en-AU"/>
        </w:rPr>
        <w:t xml:space="preserve">In the </w:t>
      </w:r>
      <w:r w:rsidRPr="001339A5">
        <w:rPr>
          <w:i/>
          <w:iCs/>
          <w:lang w:eastAsia="en-AU"/>
        </w:rPr>
        <w:t>2010</w:t>
      </w:r>
      <w:r>
        <w:rPr>
          <w:i/>
          <w:iCs/>
          <w:lang w:eastAsia="en-AU"/>
        </w:rPr>
        <w:noBreakHyphen/>
      </w:r>
      <w:r w:rsidRPr="001339A5">
        <w:rPr>
          <w:i/>
          <w:iCs/>
          <w:lang w:eastAsia="en-AU"/>
        </w:rPr>
        <w:t>11 Budget</w:t>
      </w:r>
      <w:r>
        <w:rPr>
          <w:lang w:eastAsia="en-AU"/>
        </w:rPr>
        <w:t>, Stage </w:t>
      </w:r>
      <w:r w:rsidRPr="001339A5">
        <w:rPr>
          <w:lang w:eastAsia="en-AU"/>
        </w:rPr>
        <w:t>1 of the Melbourne Park redevelopment with a total estimated investment of $363</w:t>
      </w:r>
      <w:r>
        <w:rPr>
          <w:lang w:eastAsia="en-AU"/>
        </w:rPr>
        <w:t xml:space="preserve"> million was announced. In January </w:t>
      </w:r>
      <w:r w:rsidRPr="001339A5">
        <w:rPr>
          <w:lang w:eastAsia="en-AU"/>
        </w:rPr>
        <w:t>2014, a further $338</w:t>
      </w:r>
      <w:r>
        <w:rPr>
          <w:lang w:eastAsia="en-AU"/>
        </w:rPr>
        <w:t> million of</w:t>
      </w:r>
      <w:r w:rsidRPr="001339A5">
        <w:rPr>
          <w:lang w:eastAsia="en-AU"/>
        </w:rPr>
        <w:t xml:space="preserve"> total estimated investment was announced by the State for Stage 2 of the redevelopment</w:t>
      </w:r>
      <w:r>
        <w:rPr>
          <w:lang w:eastAsia="en-AU"/>
        </w:rPr>
        <w:t xml:space="preserve">. </w:t>
      </w:r>
    </w:p>
    <w:p w:rsidR="002C39A3" w:rsidRPr="001339A5" w:rsidRDefault="002C39A3" w:rsidP="00361FA9">
      <w:pPr>
        <w:pStyle w:val="Heading3"/>
      </w:pPr>
      <w:r w:rsidRPr="001339A5">
        <w:t>Royal Melbourne Showgrounds redevelopment</w:t>
      </w:r>
    </w:p>
    <w:p w:rsidR="002C39A3" w:rsidRDefault="002C39A3" w:rsidP="00361FA9">
      <w:r w:rsidRPr="001339A5">
        <w:t>Under the State</w:t>
      </w:r>
      <w:r w:rsidR="0097550F">
        <w:t>’</w:t>
      </w:r>
      <w:r w:rsidRPr="001339A5">
        <w:t>s commitment to the Royal Agriculture Society of Victoria (RASV), the State has agreed to support certain obligations of RASV which may arise out of the joint venture agreement. In accordance with the terms set out in the State</w:t>
      </w:r>
      <w:r w:rsidR="0097550F">
        <w:t>’</w:t>
      </w:r>
      <w:r>
        <w:t>s</w:t>
      </w:r>
      <w:r w:rsidRPr="001339A5">
        <w:t xml:space="preserve"> commitment to RASV, the State will pay (in the form of a loan) the amount requested by RASV. If any outstanding loan amount remains </w:t>
      </w:r>
      <w:r>
        <w:t>unpaid at the date, which is 25 </w:t>
      </w:r>
      <w:r w:rsidRPr="001339A5">
        <w:t>years after the commencement of the operation term under the development and operation agreement, RASV will be obliged to satisfy and discharge each such outstanding loan amount. This may take the form of a transfer to the State, of the whole of the RASV participating interest in the joint venture.</w:t>
      </w:r>
    </w:p>
    <w:p w:rsidR="002C39A3" w:rsidRPr="001339A5" w:rsidRDefault="002C39A3" w:rsidP="00361FA9">
      <w:r w:rsidRPr="00634A03">
        <w:t>Under the State Support Deed – Core Land, the State has undertaken to ensure the performance of the payment obligations in favour of the Concessionaire and the performance of the joint venture financial obligations in favour of the security trustee.</w:t>
      </w:r>
      <w:r>
        <w:t xml:space="preserve"> </w:t>
      </w:r>
    </w:p>
    <w:p w:rsidR="002C39A3" w:rsidRPr="00B77523" w:rsidRDefault="002C39A3" w:rsidP="00361FA9">
      <w:r w:rsidRPr="001339A5">
        <w:t>The State has also entered into an agreement through the State Support Deed – Non</w:t>
      </w:r>
      <w:r>
        <w:noBreakHyphen/>
      </w:r>
      <w:r w:rsidRPr="001339A5">
        <w:t>Core Land with Showgrounds Retail Developments Pty Ltd and the RASV, whereby the State agrees to support certain payment obligations of the RASV that may arise under the non</w:t>
      </w:r>
      <w:r>
        <w:noBreakHyphen/>
      </w:r>
      <w:r w:rsidRPr="001339A5">
        <w:t>core development agreement.</w:t>
      </w:r>
      <w:r>
        <w:t xml:space="preserve"> </w:t>
      </w:r>
    </w:p>
    <w:p w:rsidR="002C39A3" w:rsidRDefault="002C39A3">
      <w:pPr>
        <w:spacing w:after="0"/>
        <w:rPr>
          <w:rFonts w:ascii="Calibri" w:hAnsi="Calibri"/>
          <w:b/>
          <w:i/>
          <w:kern w:val="28"/>
          <w:sz w:val="24"/>
          <w:szCs w:val="22"/>
        </w:rPr>
      </w:pPr>
      <w:r>
        <w:br w:type="page"/>
      </w:r>
    </w:p>
    <w:p w:rsidR="002C39A3" w:rsidRPr="001339A5" w:rsidRDefault="002C39A3" w:rsidP="00361FA9">
      <w:pPr>
        <w:pStyle w:val="Heading3"/>
      </w:pPr>
      <w:r w:rsidRPr="001339A5">
        <w:t xml:space="preserve">Victorian </w:t>
      </w:r>
      <w:r w:rsidRPr="00F544EF">
        <w:t>Managed</w:t>
      </w:r>
      <w:r w:rsidRPr="001339A5">
        <w:t xml:space="preserve"> Insurance Authority – insurance cover</w:t>
      </w:r>
    </w:p>
    <w:p w:rsidR="002C39A3" w:rsidRPr="001339A5" w:rsidRDefault="002C39A3" w:rsidP="00361FA9">
      <w:r w:rsidRPr="001339A5">
        <w:t>The Victorian Managed Insurance Authority (VMIA) was establi</w:t>
      </w:r>
      <w:r>
        <w:t>shed in 1996 as an insurer for s</w:t>
      </w:r>
      <w:r w:rsidRPr="001339A5">
        <w:t xml:space="preserve">tate government departments, participating bodies and other entities as defined under the </w:t>
      </w:r>
      <w:r w:rsidRPr="001339A5">
        <w:rPr>
          <w:i/>
        </w:rPr>
        <w:t xml:space="preserve">Victorian </w:t>
      </w:r>
      <w:r>
        <w:rPr>
          <w:i/>
        </w:rPr>
        <w:t>Managed Insurance Authority Act </w:t>
      </w:r>
      <w:r w:rsidRPr="001339A5">
        <w:rPr>
          <w:i/>
        </w:rPr>
        <w:t>1996</w:t>
      </w:r>
      <w:r w:rsidRPr="001339A5">
        <w:t>.</w:t>
      </w:r>
      <w:r>
        <w:t xml:space="preserve"> The</w:t>
      </w:r>
      <w:r w:rsidRPr="001339A5">
        <w:t xml:space="preserve"> VMIA provides its clients with a range of insurance cover, including for property, public and products liability, professional indemnity and contract works. </w:t>
      </w:r>
      <w:r>
        <w:t xml:space="preserve">The </w:t>
      </w:r>
      <w:r w:rsidRPr="001339A5">
        <w:t>VMIA reinsures in the private market for losses above $50</w:t>
      </w:r>
      <w:r>
        <w:t> million</w:t>
      </w:r>
      <w:r w:rsidRPr="001339A5">
        <w:t xml:space="preserve"> arising out of any one occ</w:t>
      </w:r>
      <w:r>
        <w:t>urrence, up to a maximum of $1 billion</w:t>
      </w:r>
      <w:r w:rsidRPr="001339A5">
        <w:t xml:space="preserve"> for public and products liability, and for losses above $50</w:t>
      </w:r>
      <w:r>
        <w:t> million</w:t>
      </w:r>
      <w:r w:rsidRPr="001339A5">
        <w:t xml:space="preserve"> arising out of any on</w:t>
      </w:r>
      <w:r>
        <w:t>e event, up to a maximum of $3.3</w:t>
      </w:r>
      <w:r w:rsidRPr="001339A5">
        <w:t>5</w:t>
      </w:r>
      <w:r>
        <w:t> billion</w:t>
      </w:r>
      <w:r w:rsidRPr="001339A5">
        <w:t xml:space="preserve"> for property. The risk of losses above these reinsured levels is borne by the State.</w:t>
      </w:r>
    </w:p>
    <w:p w:rsidR="002C39A3" w:rsidRDefault="002C39A3" w:rsidP="00361FA9">
      <w:r w:rsidRPr="00B06076">
        <w:t>With effect from 28 August 2015, VMIA purchased additional reinsurance cover for property and public liability losses to better cover the State</w:t>
      </w:r>
      <w:r w:rsidR="0097550F">
        <w:t>’</w:t>
      </w:r>
      <w:r w:rsidRPr="00B06076">
        <w:t>s potential liabilities.</w:t>
      </w:r>
    </w:p>
    <w:p w:rsidR="002C39A3" w:rsidRDefault="002C39A3" w:rsidP="00361FA9">
      <w:r>
        <w:t xml:space="preserve">The </w:t>
      </w:r>
      <w:r w:rsidRPr="001339A5">
        <w:t>VMIA also insures the Department of Health</w:t>
      </w:r>
      <w:r>
        <w:t xml:space="preserve"> and Human Services</w:t>
      </w:r>
      <w:r w:rsidRPr="001339A5">
        <w:t xml:space="preserve"> for all public sector medical indemnity claims incurred in each policy year from 1 July 2003, regardless of when claims are finally settled. Under the indemnity deed to provide stop loss protection for</w:t>
      </w:r>
      <w:r>
        <w:t xml:space="preserve"> the</w:t>
      </w:r>
      <w:r w:rsidRPr="001339A5">
        <w:t xml:space="preserve"> VMIA, the Department of Treasury and Finance has agreed to reimburse</w:t>
      </w:r>
      <w:r>
        <w:t xml:space="preserve"> the</w:t>
      </w:r>
      <w:r w:rsidRPr="001339A5">
        <w:t xml:space="preserve"> VMIA if the ultimate claims payouts exceed by more than 20</w:t>
      </w:r>
      <w:r>
        <w:t> per cent</w:t>
      </w:r>
      <w:r w:rsidRPr="001339A5">
        <w:t xml:space="preserve"> of the initial estimate on which the risk premium was based.</w:t>
      </w:r>
    </w:p>
    <w:p w:rsidR="002C39A3" w:rsidRPr="001339A5" w:rsidRDefault="002C39A3" w:rsidP="00361FA9">
      <w:pPr>
        <w:pStyle w:val="Heading3"/>
      </w:pPr>
      <w:r w:rsidRPr="00024638">
        <w:t>December 2015 Bushfires</w:t>
      </w:r>
    </w:p>
    <w:p w:rsidR="002C39A3" w:rsidRDefault="002C39A3" w:rsidP="00361FA9">
      <w:r w:rsidRPr="00FF1DD1">
        <w:t xml:space="preserve">On 19 and 25 December 2015, Victoria experienced significant loss and damage to homes, community properties, roads and infrastructure as a result of several large bushfires in widespread parts of Victoria including the </w:t>
      </w:r>
      <w:r>
        <w:t xml:space="preserve">Wye River, </w:t>
      </w:r>
      <w:r w:rsidRPr="00FF1DD1">
        <w:t xml:space="preserve">Separation Creek, Barnawartha and Scotsburn areas. </w:t>
      </w:r>
    </w:p>
    <w:p w:rsidR="002C39A3" w:rsidRDefault="002C39A3" w:rsidP="00361FA9">
      <w:r w:rsidRPr="00FF1DD1">
        <w:t xml:space="preserve">In order to minimise the environmental, social and economic impact of the bushfires, the State developed a comprehensive project plan with a single contractor (Grocon) for a coordinated clean-up of residential properties which home-owners could opt into. </w:t>
      </w:r>
    </w:p>
    <w:p w:rsidR="002C39A3" w:rsidRDefault="002C39A3" w:rsidP="00361FA9">
      <w:r w:rsidRPr="00FF1DD1">
        <w:t xml:space="preserve">Given the safety concerns and complexities involved in the removal of bushfire waste in the affected areas, the Victorian Government is contributing towards the cost of the clean-up. The costs of the clean-up will be </w:t>
      </w:r>
      <w:r>
        <w:t xml:space="preserve">jointly </w:t>
      </w:r>
      <w:r w:rsidRPr="00FF1DD1">
        <w:t>shared with the insurers and the Commonwealth Government (under Category A of the Commonwealth-State Natural Disaster Relief and Recovery Arrangements (NDRRA</w:t>
      </w:r>
      <w:r>
        <w:t>)</w:t>
      </w:r>
      <w:r w:rsidRPr="00FF1DD1">
        <w:t xml:space="preserve">). </w:t>
      </w:r>
    </w:p>
    <w:p w:rsidR="002C39A3" w:rsidRDefault="002C39A3" w:rsidP="00361FA9">
      <w:r w:rsidRPr="00FF1DD1">
        <w:t>Any assistance for individuals and households, and local councils is provided jointly under the NDRRA by the Victorian and Commonwealth Governments.</w:t>
      </w:r>
    </w:p>
    <w:p w:rsidR="002C39A3" w:rsidRPr="00024638" w:rsidRDefault="002C39A3" w:rsidP="00361FA9">
      <w:pPr>
        <w:rPr>
          <w:b/>
          <w:i/>
          <w:lang w:eastAsia="en-AU"/>
        </w:rPr>
      </w:pPr>
      <w:r w:rsidRPr="00BE7624">
        <w:rPr>
          <w:lang w:eastAsia="en-AU"/>
        </w:rPr>
        <w:t>At this stage it</w:t>
      </w:r>
      <w:r w:rsidRPr="00BE7624">
        <w:t xml:space="preserve"> is impractical to quantify the financial effects of these contingent liabilities.</w:t>
      </w:r>
      <w:r>
        <w:t xml:space="preserve"> </w:t>
      </w:r>
    </w:p>
    <w:p w:rsidR="002C39A3" w:rsidRDefault="002C39A3" w:rsidP="00273B20">
      <w:pPr>
        <w:rPr>
          <w:rFonts w:eastAsiaTheme="minorHAnsi"/>
        </w:rPr>
        <w:sectPr w:rsidR="002C39A3" w:rsidSect="00F302FC">
          <w:footerReference w:type="even" r:id="rId64"/>
          <w:footerReference w:type="default" r:id="rId65"/>
          <w:type w:val="oddPage"/>
          <w:pgSz w:w="9979" w:h="14181" w:code="138"/>
          <w:pgMar w:top="1138" w:right="1138" w:bottom="1138" w:left="1138" w:header="720" w:footer="432" w:gutter="0"/>
          <w:cols w:space="708"/>
          <w:docGrid w:linePitch="360"/>
        </w:sectPr>
      </w:pPr>
    </w:p>
    <w:p w:rsidR="002C39A3" w:rsidRPr="00D13239" w:rsidRDefault="002C39A3" w:rsidP="00361FA9">
      <w:pPr>
        <w:pStyle w:val="ChapterHeading"/>
      </w:pPr>
      <w:bookmarkStart w:id="61" w:name="_Toc449116218"/>
      <w:r w:rsidRPr="00D13239">
        <w:t>Appendix A – Public Account</w:t>
      </w:r>
      <w:bookmarkEnd w:id="61"/>
    </w:p>
    <w:p w:rsidR="002C39A3" w:rsidRPr="00DF33EE" w:rsidRDefault="002C39A3" w:rsidP="00361FA9">
      <w:r w:rsidRPr="00DF33EE">
        <w:t>The Public Account is the Government</w:t>
      </w:r>
      <w:r w:rsidR="0097550F">
        <w:t>’</w:t>
      </w:r>
      <w:r w:rsidRPr="00DF33EE">
        <w:t>s official bank account. The Public Account holds the cash balances of the Consolidated Fund and the Trust Fund. The State</w:t>
      </w:r>
      <w:r w:rsidR="0097550F">
        <w:t>’</w:t>
      </w:r>
      <w:r w:rsidRPr="00DF33EE">
        <w:t>s financial transactions on the Public Account are recorded in the public ledger.</w:t>
      </w:r>
    </w:p>
    <w:p w:rsidR="002C39A3" w:rsidRPr="00DF33EE" w:rsidRDefault="002C39A3" w:rsidP="00361FA9">
      <w:r w:rsidRPr="00DF33EE">
        <w:t xml:space="preserve">The </w:t>
      </w:r>
      <w:r w:rsidRPr="00DF33EE">
        <w:rPr>
          <w:i/>
        </w:rPr>
        <w:t>Financial Management Act 1994</w:t>
      </w:r>
      <w:r w:rsidRPr="00DF33EE">
        <w:t xml:space="preserve"> (FMA)</w:t>
      </w:r>
      <w:r>
        <w:t>, amongst other things,</w:t>
      </w:r>
      <w:r w:rsidRPr="00DF33EE">
        <w:t xml:space="preserve"> provides for:</w:t>
      </w:r>
    </w:p>
    <w:p w:rsidR="002C39A3" w:rsidRPr="00DF33EE" w:rsidRDefault="002C39A3" w:rsidP="00361FA9">
      <w:pPr>
        <w:pStyle w:val="BulletText"/>
      </w:pPr>
      <w:r w:rsidRPr="00DF33EE">
        <w:t>temporary advances from the Public Account for a number of purposes related to the needs of the Government;</w:t>
      </w:r>
    </w:p>
    <w:p w:rsidR="002C39A3" w:rsidRPr="00DF33EE" w:rsidRDefault="002C39A3" w:rsidP="00361FA9">
      <w:pPr>
        <w:pStyle w:val="BulletText"/>
      </w:pPr>
      <w:r w:rsidRPr="00DF33EE">
        <w:t>investment of the Public Account in trustee securities; and</w:t>
      </w:r>
    </w:p>
    <w:p w:rsidR="002C39A3" w:rsidRPr="00DF33EE" w:rsidRDefault="002C39A3" w:rsidP="00361FA9">
      <w:pPr>
        <w:pStyle w:val="BulletText"/>
      </w:pPr>
      <w:r w:rsidRPr="00DF33EE">
        <w:t>temporary borrowings, should the balance in the Consolidated Fund be insufficient to meet commitments during a financial year.</w:t>
      </w:r>
    </w:p>
    <w:p w:rsidR="002C39A3" w:rsidRPr="00DF33EE" w:rsidRDefault="002C39A3" w:rsidP="00361FA9">
      <w:pPr>
        <w:keepNext/>
        <w:spacing w:before="240"/>
        <w:outlineLvl w:val="1"/>
        <w:rPr>
          <w:rFonts w:ascii="Calibri" w:hAnsi="Calibri"/>
          <w:b/>
          <w:kern w:val="28"/>
          <w:sz w:val="26"/>
          <w:szCs w:val="22"/>
        </w:rPr>
      </w:pPr>
      <w:r w:rsidRPr="00DF33EE">
        <w:rPr>
          <w:rFonts w:ascii="Calibri" w:hAnsi="Calibri"/>
          <w:b/>
          <w:kern w:val="28"/>
          <w:sz w:val="26"/>
          <w:szCs w:val="22"/>
        </w:rPr>
        <w:t>Consolidated Fund</w:t>
      </w:r>
    </w:p>
    <w:p w:rsidR="002C39A3" w:rsidRPr="00DF33EE" w:rsidRDefault="002C39A3" w:rsidP="00361FA9">
      <w:pPr>
        <w:rPr>
          <w:b/>
        </w:rPr>
      </w:pPr>
      <w:r w:rsidRPr="00DF33EE">
        <w:t>The Consolidated Fund established by the FMA is the Government</w:t>
      </w:r>
      <w:r w:rsidR="0097550F">
        <w:t>’</w:t>
      </w:r>
      <w:r w:rsidRPr="00DF33EE">
        <w:t xml:space="preserve">s primary financial account and receives all consolidated revenue under the </w:t>
      </w:r>
      <w:r w:rsidRPr="00DF33EE">
        <w:rPr>
          <w:i/>
        </w:rPr>
        <w:t xml:space="preserve">Constitution Act 1975 </w:t>
      </w:r>
      <w:r w:rsidRPr="00DF33EE">
        <w:t>from which payments, appropriated by Parliament, are made.</w:t>
      </w:r>
    </w:p>
    <w:p w:rsidR="002C39A3" w:rsidRPr="00DF33EE" w:rsidRDefault="002C39A3" w:rsidP="00361FA9">
      <w:pPr>
        <w:keepNext/>
        <w:spacing w:before="240"/>
        <w:outlineLvl w:val="1"/>
        <w:rPr>
          <w:rFonts w:ascii="Calibri" w:hAnsi="Calibri"/>
          <w:b/>
          <w:kern w:val="28"/>
          <w:sz w:val="26"/>
          <w:szCs w:val="22"/>
        </w:rPr>
      </w:pPr>
      <w:r w:rsidRPr="00DF33EE">
        <w:rPr>
          <w:rFonts w:ascii="Calibri" w:hAnsi="Calibri"/>
          <w:b/>
          <w:kern w:val="28"/>
          <w:sz w:val="26"/>
          <w:szCs w:val="22"/>
        </w:rPr>
        <w:t>The Trust Fund</w:t>
      </w:r>
    </w:p>
    <w:p w:rsidR="002C39A3" w:rsidRPr="00DF33EE" w:rsidRDefault="002C39A3" w:rsidP="00361FA9">
      <w:r w:rsidRPr="00DF33EE">
        <w:t>Within the Public Account, the Trust Fund embraces a range of specific purpose accounts established for funds that are not subject to parliamentary appropriation. Examples include accounts to record specific purpose payments from the Commonwealth for on</w:t>
      </w:r>
      <w:r>
        <w:noBreakHyphen/>
      </w:r>
      <w:r w:rsidRPr="00DF33EE">
        <w:t>passing by the State to third parties, suspense account balances for accounting purposes, working accounts for commercial and departmental service units, and accounts facilitating the receipt and disbursement of private funds held by the State in trust. Additional accounts may also be established within the Trust Fund to receive State revenues hypothecated to particular purposes (e.g. lotteries revenue for hospitals and charities).</w:t>
      </w:r>
    </w:p>
    <w:p w:rsidR="002C39A3" w:rsidRDefault="002C39A3">
      <w:pPr>
        <w:spacing w:after="0"/>
        <w:rPr>
          <w:rFonts w:ascii="Calibri" w:hAnsi="Calibri"/>
          <w:b/>
        </w:rPr>
      </w:pPr>
      <w:r>
        <w:br w:type="page"/>
      </w:r>
    </w:p>
    <w:p w:rsidR="002C39A3" w:rsidRDefault="002C39A3" w:rsidP="00361FA9">
      <w:pPr>
        <w:pStyle w:val="Tableheading"/>
      </w:pPr>
      <w:r>
        <w:t>Table A.1:</w:t>
      </w:r>
      <w:r>
        <w:tab/>
        <w:t xml:space="preserve">The Consolidated Fund </w:t>
      </w:r>
    </w:p>
    <w:p w:rsidR="002C39A3" w:rsidRDefault="002C39A3" w:rsidP="00361FA9">
      <w:r>
        <w:t>Estimated receipts and payments for the year ending 30 June 2016 and 30 June 2017.</w:t>
      </w:r>
    </w:p>
    <w:p w:rsidR="002C39A3" w:rsidRPr="005623A6" w:rsidRDefault="002C39A3" w:rsidP="00361FA9">
      <w:pPr>
        <w:pStyle w:val="million"/>
        <w:rPr>
          <w:b/>
          <w:bCs/>
          <w:lang w:val="en-US"/>
        </w:rPr>
      </w:pPr>
      <w:r>
        <w:t>($ million)</w:t>
      </w:r>
    </w:p>
    <w:tbl>
      <w:tblPr>
        <w:tblW w:w="7766" w:type="dxa"/>
        <w:tblInd w:w="45" w:type="dxa"/>
        <w:tblLayout w:type="fixed"/>
        <w:tblCellMar>
          <w:left w:w="45" w:type="dxa"/>
          <w:right w:w="45" w:type="dxa"/>
        </w:tblCellMar>
        <w:tblLook w:val="0000" w:firstRow="0" w:lastRow="0" w:firstColumn="0" w:lastColumn="0" w:noHBand="0" w:noVBand="0"/>
      </w:tblPr>
      <w:tblGrid>
        <w:gridCol w:w="5216"/>
        <w:gridCol w:w="850"/>
        <w:gridCol w:w="850"/>
        <w:gridCol w:w="850"/>
      </w:tblGrid>
      <w:tr w:rsidR="00EA058F" w:rsidRPr="005623A6" w:rsidTr="00EA058F">
        <w:trPr>
          <w:trHeight w:val="464"/>
          <w:tblHeader/>
        </w:trPr>
        <w:tc>
          <w:tcPr>
            <w:tcW w:w="5216" w:type="dxa"/>
            <w:tcBorders>
              <w:top w:val="nil"/>
              <w:left w:val="nil"/>
              <w:right w:val="nil"/>
            </w:tcBorders>
            <w:shd w:val="solid" w:color="000000" w:fill="auto"/>
            <w:vAlign w:val="bottom"/>
          </w:tcPr>
          <w:p w:rsidR="00EA058F" w:rsidRPr="005623A6" w:rsidRDefault="00EA058F" w:rsidP="00361FA9">
            <w:pPr>
              <w:autoSpaceDE w:val="0"/>
              <w:autoSpaceDN w:val="0"/>
              <w:adjustRightInd w:val="0"/>
              <w:spacing w:after="0"/>
              <w:rPr>
                <w:rFonts w:eastAsiaTheme="minorEastAsia" w:cs="Calibri"/>
                <w:iCs/>
                <w:color w:val="FFFFFF"/>
                <w:sz w:val="19"/>
                <w:szCs w:val="19"/>
                <w:lang w:eastAsia="en-AU"/>
              </w:rPr>
            </w:pPr>
          </w:p>
        </w:tc>
        <w:tc>
          <w:tcPr>
            <w:tcW w:w="850" w:type="dxa"/>
            <w:tcBorders>
              <w:top w:val="nil"/>
              <w:left w:val="nil"/>
              <w:right w:val="nil"/>
            </w:tcBorders>
            <w:shd w:val="solid" w:color="000000" w:fill="auto"/>
            <w:vAlign w:val="bottom"/>
          </w:tcPr>
          <w:p w:rsidR="00EA058F" w:rsidRPr="005623A6" w:rsidRDefault="00EA058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5623A6">
              <w:rPr>
                <w:rFonts w:ascii="Calibri" w:eastAsiaTheme="minorEastAsia" w:hAnsi="Calibri" w:cs="Calibri"/>
                <w:i/>
                <w:iCs/>
                <w:color w:val="FFFFFF"/>
                <w:sz w:val="19"/>
                <w:szCs w:val="19"/>
                <w:lang w:eastAsia="en-AU"/>
              </w:rPr>
              <w:t>2015-16</w:t>
            </w:r>
          </w:p>
          <w:p w:rsidR="00EA058F" w:rsidRPr="005623A6" w:rsidRDefault="00EA058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5623A6">
              <w:rPr>
                <w:rFonts w:ascii="Calibri" w:eastAsiaTheme="minorEastAsia" w:hAnsi="Calibri" w:cs="Calibri"/>
                <w:i/>
                <w:iCs/>
                <w:color w:val="FFFFFF"/>
                <w:sz w:val="19"/>
                <w:szCs w:val="19"/>
                <w:lang w:eastAsia="en-AU"/>
              </w:rPr>
              <w:t>budget</w:t>
            </w:r>
          </w:p>
        </w:tc>
        <w:tc>
          <w:tcPr>
            <w:tcW w:w="850" w:type="dxa"/>
            <w:tcBorders>
              <w:top w:val="nil"/>
              <w:left w:val="nil"/>
              <w:right w:val="nil"/>
            </w:tcBorders>
            <w:shd w:val="solid" w:color="000000" w:fill="auto"/>
            <w:vAlign w:val="bottom"/>
          </w:tcPr>
          <w:p w:rsidR="00EA058F" w:rsidRPr="005623A6" w:rsidRDefault="00EA058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5623A6">
              <w:rPr>
                <w:rFonts w:ascii="Calibri" w:eastAsiaTheme="minorEastAsia" w:hAnsi="Calibri" w:cs="Calibri"/>
                <w:i/>
                <w:iCs/>
                <w:color w:val="FFFFFF"/>
                <w:sz w:val="19"/>
                <w:szCs w:val="19"/>
                <w:lang w:eastAsia="en-AU"/>
              </w:rPr>
              <w:t>2016-17</w:t>
            </w:r>
          </w:p>
          <w:p w:rsidR="00EA058F" w:rsidRPr="005623A6" w:rsidRDefault="00EA058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5623A6">
              <w:rPr>
                <w:rFonts w:ascii="Calibri" w:eastAsiaTheme="minorEastAsia" w:hAnsi="Calibri" w:cs="Calibri"/>
                <w:i/>
                <w:iCs/>
                <w:color w:val="FFFFFF"/>
                <w:sz w:val="19"/>
                <w:szCs w:val="19"/>
                <w:lang w:eastAsia="en-AU"/>
              </w:rPr>
              <w:t>budget</w:t>
            </w:r>
          </w:p>
        </w:tc>
        <w:tc>
          <w:tcPr>
            <w:tcW w:w="850" w:type="dxa"/>
            <w:tcBorders>
              <w:top w:val="nil"/>
              <w:left w:val="nil"/>
              <w:right w:val="nil"/>
            </w:tcBorders>
            <w:shd w:val="solid" w:color="000000" w:fill="auto"/>
            <w:vAlign w:val="bottom"/>
          </w:tcPr>
          <w:p w:rsidR="00EA058F" w:rsidRPr="005623A6" w:rsidRDefault="00EA058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5623A6">
              <w:rPr>
                <w:rFonts w:ascii="Calibri" w:eastAsiaTheme="minorEastAsia" w:hAnsi="Calibri" w:cs="Calibri"/>
                <w:i/>
                <w:iCs/>
                <w:color w:val="FFFFFF"/>
                <w:sz w:val="19"/>
                <w:szCs w:val="19"/>
                <w:lang w:eastAsia="en-AU"/>
              </w:rPr>
              <w:t>variation</w:t>
            </w:r>
          </w:p>
          <w:p w:rsidR="00EA058F" w:rsidRPr="005623A6" w:rsidRDefault="00EA058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5623A6">
              <w:rPr>
                <w:rFonts w:ascii="Calibri" w:eastAsiaTheme="minorEastAsia" w:hAnsi="Calibri" w:cs="Calibri"/>
                <w:i/>
                <w:iCs/>
                <w:color w:val="FFFFFF"/>
                <w:sz w:val="19"/>
                <w:szCs w:val="19"/>
                <w:lang w:eastAsia="en-AU"/>
              </w:rPr>
              <w:t>%</w:t>
            </w:r>
          </w:p>
        </w:tc>
      </w:tr>
      <w:tr w:rsidR="00EA058F" w:rsidRPr="005623A6" w:rsidTr="00EA058F">
        <w:tc>
          <w:tcPr>
            <w:tcW w:w="7766" w:type="dxa"/>
            <w:gridSpan w:val="4"/>
            <w:tcBorders>
              <w:top w:val="nil"/>
              <w:left w:val="nil"/>
              <w:right w:val="nil"/>
            </w:tcBorders>
            <w:shd w:val="clear" w:color="000000" w:fill="FFFFFF"/>
          </w:tcPr>
          <w:p w:rsidR="00EA058F" w:rsidRPr="005623A6" w:rsidRDefault="00EA058F" w:rsidP="00EA058F">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b/>
                <w:bCs/>
                <w:color w:val="000000"/>
                <w:sz w:val="19"/>
                <w:szCs w:val="19"/>
                <w:lang w:eastAsia="en-AU"/>
              </w:rPr>
              <w:t>Receipts</w:t>
            </w:r>
          </w:p>
        </w:tc>
      </w:tr>
      <w:tr w:rsidR="002C39A3" w:rsidRPr="005623A6" w:rsidTr="00361FA9">
        <w:tc>
          <w:tcPr>
            <w:tcW w:w="5216" w:type="dxa"/>
            <w:tcBorders>
              <w:top w:val="nil"/>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Taxation</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19 324</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20 906</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8.2</w:t>
            </w:r>
          </w:p>
        </w:tc>
      </w:tr>
      <w:tr w:rsidR="002C39A3" w:rsidRPr="005623A6" w:rsidTr="00361FA9">
        <w:tc>
          <w:tcPr>
            <w:tcW w:w="5216" w:type="dxa"/>
            <w:tcBorders>
              <w:top w:val="nil"/>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Fines and regulatory fees</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887</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878</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(1.0)</w:t>
            </w:r>
          </w:p>
        </w:tc>
      </w:tr>
      <w:tr w:rsidR="002C39A3" w:rsidRPr="005623A6" w:rsidTr="00361FA9">
        <w:tc>
          <w:tcPr>
            <w:tcW w:w="5216" w:type="dxa"/>
            <w:tcBorders>
              <w:top w:val="nil"/>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5623A6">
              <w:rPr>
                <w:rFonts w:ascii="Calibri" w:eastAsiaTheme="minorEastAsia" w:hAnsi="Calibri" w:cs="Calibri"/>
                <w:color w:val="000000"/>
                <w:sz w:val="19"/>
                <w:szCs w:val="19"/>
                <w:lang w:eastAsia="en-AU"/>
              </w:rPr>
              <w:t>Grants received</w:t>
            </w:r>
            <w:r w:rsidRPr="005623A6">
              <w:rPr>
                <w:rFonts w:ascii="Calibri" w:eastAsiaTheme="minorEastAsia" w:hAnsi="Calibri" w:cs="Calibri"/>
                <w:color w:val="000000"/>
                <w:sz w:val="19"/>
                <w:szCs w:val="19"/>
                <w:vertAlign w:val="superscript"/>
                <w:lang w:eastAsia="en-AU"/>
              </w:rPr>
              <w:t xml:space="preserve"> </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17 128</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18 218</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6.4</w:t>
            </w:r>
          </w:p>
        </w:tc>
      </w:tr>
      <w:tr w:rsidR="002C39A3" w:rsidRPr="005623A6" w:rsidTr="00361FA9">
        <w:tc>
          <w:tcPr>
            <w:tcW w:w="5216" w:type="dxa"/>
            <w:tcBorders>
              <w:top w:val="nil"/>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Sales of goods and services (including Section 29 FMA annotated)</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5 721</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6 126</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7.1</w:t>
            </w:r>
          </w:p>
        </w:tc>
      </w:tr>
      <w:tr w:rsidR="002C39A3" w:rsidRPr="005623A6" w:rsidTr="00361FA9">
        <w:tc>
          <w:tcPr>
            <w:tcW w:w="5216" w:type="dxa"/>
            <w:tcBorders>
              <w:top w:val="nil"/>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Interest received</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536</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518</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(3.3)</w:t>
            </w:r>
          </w:p>
        </w:tc>
      </w:tr>
      <w:tr w:rsidR="002C39A3" w:rsidRPr="005623A6" w:rsidTr="00361FA9">
        <w:tc>
          <w:tcPr>
            <w:tcW w:w="5216" w:type="dxa"/>
            <w:tcBorders>
              <w:top w:val="nil"/>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Dividends and income tax equivalent and rate equivalent receipts</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1 129</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1 051</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(6.9)</w:t>
            </w:r>
          </w:p>
        </w:tc>
      </w:tr>
      <w:tr w:rsidR="002C39A3" w:rsidRPr="005623A6" w:rsidTr="00361FA9">
        <w:tc>
          <w:tcPr>
            <w:tcW w:w="5216"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Other receipts</w:t>
            </w:r>
          </w:p>
        </w:tc>
        <w:tc>
          <w:tcPr>
            <w:tcW w:w="850"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306</w:t>
            </w:r>
          </w:p>
        </w:tc>
        <w:tc>
          <w:tcPr>
            <w:tcW w:w="850"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542</w:t>
            </w:r>
          </w:p>
        </w:tc>
        <w:tc>
          <w:tcPr>
            <w:tcW w:w="850"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77.0</w:t>
            </w:r>
          </w:p>
        </w:tc>
      </w:tr>
      <w:tr w:rsidR="002C39A3" w:rsidRPr="005623A6" w:rsidTr="00361FA9">
        <w:tc>
          <w:tcPr>
            <w:tcW w:w="5216"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Total operating activities</w:t>
            </w:r>
          </w:p>
        </w:tc>
        <w:tc>
          <w:tcPr>
            <w:tcW w:w="850"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45 031</w:t>
            </w:r>
          </w:p>
        </w:tc>
        <w:tc>
          <w:tcPr>
            <w:tcW w:w="850"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48 240</w:t>
            </w:r>
          </w:p>
        </w:tc>
        <w:tc>
          <w:tcPr>
            <w:tcW w:w="850"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color w:val="000000"/>
                <w:sz w:val="19"/>
                <w:szCs w:val="19"/>
                <w:lang w:eastAsia="en-AU"/>
              </w:rPr>
            </w:pPr>
            <w:r w:rsidRPr="005623A6">
              <w:rPr>
                <w:rFonts w:ascii="Calibri" w:eastAsiaTheme="minorEastAsia" w:hAnsi="Calibri" w:cs="Calibri"/>
                <w:b/>
                <w:color w:val="000000"/>
                <w:sz w:val="19"/>
                <w:szCs w:val="19"/>
                <w:lang w:eastAsia="en-AU"/>
              </w:rPr>
              <w:t>7.1</w:t>
            </w:r>
          </w:p>
        </w:tc>
      </w:tr>
      <w:tr w:rsidR="00EA058F" w:rsidRPr="005623A6" w:rsidTr="00EA058F">
        <w:trPr>
          <w:trHeight w:hRule="exact" w:val="120"/>
        </w:trPr>
        <w:tc>
          <w:tcPr>
            <w:tcW w:w="7766" w:type="dxa"/>
            <w:gridSpan w:val="4"/>
            <w:tcBorders>
              <w:top w:val="nil"/>
              <w:left w:val="nil"/>
              <w:right w:val="nil"/>
            </w:tcBorders>
            <w:shd w:val="clear" w:color="000000" w:fill="FFFFFF"/>
          </w:tcPr>
          <w:p w:rsidR="00EA058F" w:rsidRPr="005623A6"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p>
        </w:tc>
      </w:tr>
      <w:tr w:rsidR="002C39A3" w:rsidRPr="005623A6" w:rsidTr="00361FA9">
        <w:tc>
          <w:tcPr>
            <w:tcW w:w="5216" w:type="dxa"/>
            <w:tcBorders>
              <w:top w:val="nil"/>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Total cash inflows from investing and financing</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3 166</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12 511</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color w:val="000000"/>
                <w:sz w:val="19"/>
                <w:szCs w:val="19"/>
                <w:lang w:eastAsia="en-AU"/>
              </w:rPr>
            </w:pPr>
            <w:r w:rsidRPr="005623A6">
              <w:rPr>
                <w:rFonts w:ascii="Calibri" w:eastAsiaTheme="minorEastAsia" w:hAnsi="Calibri" w:cs="Calibri"/>
                <w:b/>
                <w:color w:val="000000"/>
                <w:sz w:val="19"/>
                <w:szCs w:val="19"/>
                <w:lang w:eastAsia="en-AU"/>
              </w:rPr>
              <w:t>295.1</w:t>
            </w:r>
          </w:p>
        </w:tc>
      </w:tr>
      <w:tr w:rsidR="00EA058F" w:rsidRPr="005623A6" w:rsidTr="00EA058F">
        <w:trPr>
          <w:trHeight w:hRule="exact" w:val="120"/>
        </w:trPr>
        <w:tc>
          <w:tcPr>
            <w:tcW w:w="7766" w:type="dxa"/>
            <w:gridSpan w:val="4"/>
            <w:tcBorders>
              <w:top w:val="nil"/>
              <w:left w:val="nil"/>
              <w:bottom w:val="single" w:sz="6" w:space="0" w:color="auto"/>
              <w:right w:val="nil"/>
            </w:tcBorders>
            <w:shd w:val="clear" w:color="000000" w:fill="FFFFFF"/>
          </w:tcPr>
          <w:p w:rsidR="00EA058F" w:rsidRPr="005623A6" w:rsidRDefault="00EA058F" w:rsidP="00361FA9">
            <w:pPr>
              <w:autoSpaceDE w:val="0"/>
              <w:autoSpaceDN w:val="0"/>
              <w:adjustRightInd w:val="0"/>
              <w:spacing w:after="0"/>
              <w:jc w:val="right"/>
              <w:rPr>
                <w:rFonts w:ascii="Calibri" w:eastAsiaTheme="minorEastAsia" w:hAnsi="Calibri" w:cs="Calibri"/>
                <w:b/>
                <w:bCs/>
                <w:color w:val="000000"/>
                <w:sz w:val="19"/>
                <w:szCs w:val="19"/>
                <w:lang w:eastAsia="en-AU"/>
              </w:rPr>
            </w:pPr>
          </w:p>
        </w:tc>
      </w:tr>
      <w:tr w:rsidR="002C39A3" w:rsidRPr="005623A6" w:rsidTr="00361FA9">
        <w:tc>
          <w:tcPr>
            <w:tcW w:w="5216" w:type="dxa"/>
            <w:tcBorders>
              <w:top w:val="single" w:sz="6" w:space="0" w:color="auto"/>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Total receipts</w:t>
            </w:r>
          </w:p>
        </w:tc>
        <w:tc>
          <w:tcPr>
            <w:tcW w:w="850" w:type="dxa"/>
            <w:tcBorders>
              <w:top w:val="single" w:sz="6" w:space="0" w:color="auto"/>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48 198</w:t>
            </w:r>
          </w:p>
        </w:tc>
        <w:tc>
          <w:tcPr>
            <w:tcW w:w="850" w:type="dxa"/>
            <w:tcBorders>
              <w:top w:val="single" w:sz="6" w:space="0" w:color="auto"/>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60 750</w:t>
            </w:r>
          </w:p>
        </w:tc>
        <w:tc>
          <w:tcPr>
            <w:tcW w:w="850" w:type="dxa"/>
            <w:tcBorders>
              <w:top w:val="single" w:sz="6" w:space="0" w:color="auto"/>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color w:val="000000"/>
                <w:sz w:val="19"/>
                <w:szCs w:val="19"/>
                <w:lang w:eastAsia="en-AU"/>
              </w:rPr>
            </w:pPr>
            <w:r w:rsidRPr="005623A6">
              <w:rPr>
                <w:rFonts w:ascii="Calibri" w:eastAsiaTheme="minorEastAsia" w:hAnsi="Calibri" w:cs="Calibri"/>
                <w:b/>
                <w:color w:val="000000"/>
                <w:sz w:val="19"/>
                <w:szCs w:val="19"/>
                <w:lang w:eastAsia="en-AU"/>
              </w:rPr>
              <w:t>26.0</w:t>
            </w:r>
          </w:p>
        </w:tc>
      </w:tr>
      <w:tr w:rsidR="00EA058F" w:rsidRPr="005623A6" w:rsidTr="00EA058F">
        <w:trPr>
          <w:trHeight w:hRule="exact" w:val="120"/>
        </w:trPr>
        <w:tc>
          <w:tcPr>
            <w:tcW w:w="7766" w:type="dxa"/>
            <w:gridSpan w:val="4"/>
            <w:tcBorders>
              <w:top w:val="single" w:sz="6" w:space="0" w:color="auto"/>
              <w:left w:val="nil"/>
              <w:right w:val="nil"/>
            </w:tcBorders>
            <w:shd w:val="clear" w:color="000000" w:fill="FFFFFF"/>
          </w:tcPr>
          <w:p w:rsidR="00EA058F" w:rsidRPr="005623A6" w:rsidRDefault="00EA058F" w:rsidP="00361FA9">
            <w:pPr>
              <w:autoSpaceDE w:val="0"/>
              <w:autoSpaceDN w:val="0"/>
              <w:adjustRightInd w:val="0"/>
              <w:spacing w:after="0"/>
              <w:jc w:val="right"/>
              <w:rPr>
                <w:rFonts w:ascii="Calibri" w:eastAsiaTheme="minorEastAsia" w:hAnsi="Calibri" w:cs="Calibri"/>
                <w:color w:val="000000"/>
                <w:sz w:val="19"/>
                <w:szCs w:val="19"/>
                <w:lang w:eastAsia="en-AU"/>
              </w:rPr>
            </w:pPr>
          </w:p>
        </w:tc>
      </w:tr>
      <w:tr w:rsidR="00EA058F" w:rsidRPr="005623A6" w:rsidTr="00EA058F">
        <w:tc>
          <w:tcPr>
            <w:tcW w:w="7766" w:type="dxa"/>
            <w:gridSpan w:val="4"/>
            <w:tcBorders>
              <w:top w:val="nil"/>
              <w:left w:val="nil"/>
              <w:right w:val="nil"/>
            </w:tcBorders>
            <w:shd w:val="clear" w:color="000000" w:fill="FFFFFF"/>
          </w:tcPr>
          <w:p w:rsidR="00EA058F" w:rsidRPr="005623A6" w:rsidRDefault="00EA058F" w:rsidP="00EA058F">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b/>
                <w:bCs/>
                <w:color w:val="000000"/>
                <w:sz w:val="19"/>
                <w:szCs w:val="19"/>
                <w:lang w:eastAsia="en-AU"/>
              </w:rPr>
              <w:t>Payments</w:t>
            </w:r>
          </w:p>
        </w:tc>
      </w:tr>
      <w:tr w:rsidR="002C39A3" w:rsidRPr="005623A6" w:rsidTr="00361FA9">
        <w:tc>
          <w:tcPr>
            <w:tcW w:w="5216" w:type="dxa"/>
            <w:tcBorders>
              <w:top w:val="nil"/>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Special appropriations</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4 175</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11 227</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168.9</w:t>
            </w:r>
          </w:p>
        </w:tc>
      </w:tr>
      <w:tr w:rsidR="00EA058F" w:rsidRPr="005623A6" w:rsidTr="00EA058F">
        <w:tc>
          <w:tcPr>
            <w:tcW w:w="7766" w:type="dxa"/>
            <w:gridSpan w:val="4"/>
            <w:tcBorders>
              <w:top w:val="nil"/>
              <w:left w:val="nil"/>
              <w:right w:val="nil"/>
            </w:tcBorders>
            <w:shd w:val="clear" w:color="000000" w:fill="FFFFFF"/>
          </w:tcPr>
          <w:p w:rsidR="00EA058F" w:rsidRPr="005623A6" w:rsidRDefault="00EA058F" w:rsidP="00EA058F">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 xml:space="preserve">Appropriations </w:t>
            </w:r>
            <w:r w:rsidRPr="005623A6">
              <w:rPr>
                <w:rFonts w:ascii="Calibri" w:eastAsiaTheme="minorEastAsia" w:hAnsi="Calibri" w:cs="Calibri"/>
                <w:color w:val="000000"/>
                <w:sz w:val="19"/>
                <w:szCs w:val="19"/>
                <w:vertAlign w:val="superscript"/>
                <w:lang w:eastAsia="en-AU"/>
              </w:rPr>
              <w:t>(a)</w:t>
            </w:r>
          </w:p>
        </w:tc>
      </w:tr>
      <w:tr w:rsidR="002C39A3" w:rsidRPr="005623A6" w:rsidTr="00361FA9">
        <w:tc>
          <w:tcPr>
            <w:tcW w:w="5216" w:type="dxa"/>
            <w:tcBorders>
              <w:top w:val="nil"/>
              <w:left w:val="nil"/>
              <w:right w:val="nil"/>
            </w:tcBorders>
            <w:shd w:val="clear" w:color="auto"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 xml:space="preserve">    Provision of outputs </w:t>
            </w:r>
          </w:p>
        </w:tc>
        <w:tc>
          <w:tcPr>
            <w:tcW w:w="850" w:type="dxa"/>
            <w:tcBorders>
              <w:top w:val="nil"/>
              <w:left w:val="nil"/>
              <w:right w:val="nil"/>
            </w:tcBorders>
            <w:shd w:val="clear" w:color="auto"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36 782</w:t>
            </w:r>
          </w:p>
        </w:tc>
        <w:tc>
          <w:tcPr>
            <w:tcW w:w="850" w:type="dxa"/>
            <w:tcBorders>
              <w:top w:val="nil"/>
              <w:left w:val="nil"/>
              <w:right w:val="nil"/>
            </w:tcBorders>
            <w:shd w:val="clear" w:color="auto"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39 741</w:t>
            </w:r>
          </w:p>
        </w:tc>
        <w:tc>
          <w:tcPr>
            <w:tcW w:w="850" w:type="dxa"/>
            <w:tcBorders>
              <w:top w:val="nil"/>
              <w:left w:val="nil"/>
              <w:right w:val="nil"/>
            </w:tcBorders>
            <w:shd w:val="clear" w:color="auto"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8.0</w:t>
            </w:r>
          </w:p>
        </w:tc>
      </w:tr>
      <w:tr w:rsidR="002C39A3" w:rsidRPr="005623A6" w:rsidTr="00361FA9">
        <w:tc>
          <w:tcPr>
            <w:tcW w:w="5216" w:type="dxa"/>
            <w:tcBorders>
              <w:top w:val="nil"/>
              <w:left w:val="nil"/>
              <w:right w:val="nil"/>
            </w:tcBorders>
            <w:shd w:val="clear" w:color="auto"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 xml:space="preserve">    Additions to the net asset base</w:t>
            </w:r>
          </w:p>
        </w:tc>
        <w:tc>
          <w:tcPr>
            <w:tcW w:w="850" w:type="dxa"/>
            <w:tcBorders>
              <w:top w:val="nil"/>
              <w:left w:val="nil"/>
              <w:right w:val="nil"/>
            </w:tcBorders>
            <w:shd w:val="clear" w:color="auto"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2 539</w:t>
            </w:r>
          </w:p>
        </w:tc>
        <w:tc>
          <w:tcPr>
            <w:tcW w:w="850" w:type="dxa"/>
            <w:tcBorders>
              <w:top w:val="nil"/>
              <w:left w:val="nil"/>
              <w:right w:val="nil"/>
            </w:tcBorders>
            <w:shd w:val="clear" w:color="auto"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2 947</w:t>
            </w:r>
          </w:p>
        </w:tc>
        <w:tc>
          <w:tcPr>
            <w:tcW w:w="850" w:type="dxa"/>
            <w:tcBorders>
              <w:top w:val="nil"/>
              <w:left w:val="nil"/>
              <w:right w:val="nil"/>
            </w:tcBorders>
            <w:shd w:val="clear" w:color="auto"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16.1</w:t>
            </w:r>
          </w:p>
        </w:tc>
      </w:tr>
      <w:tr w:rsidR="002C39A3" w:rsidRPr="005623A6" w:rsidTr="00361FA9">
        <w:tc>
          <w:tcPr>
            <w:tcW w:w="5216" w:type="dxa"/>
            <w:tcBorders>
              <w:top w:val="nil"/>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 xml:space="preserve">    Payments made on behalf of the State</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3 546</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7 575</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113.6</w:t>
            </w:r>
          </w:p>
        </w:tc>
      </w:tr>
      <w:tr w:rsidR="00EA058F" w:rsidRPr="005623A6" w:rsidTr="00EA058F">
        <w:tc>
          <w:tcPr>
            <w:tcW w:w="7766" w:type="dxa"/>
            <w:gridSpan w:val="4"/>
            <w:tcBorders>
              <w:top w:val="nil"/>
              <w:left w:val="nil"/>
              <w:right w:val="nil"/>
            </w:tcBorders>
            <w:shd w:val="clear" w:color="000000" w:fill="FFFFFF"/>
          </w:tcPr>
          <w:p w:rsidR="00EA058F" w:rsidRPr="005623A6" w:rsidRDefault="00EA058F" w:rsidP="00EA058F">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Receipts credited to appropriation</w:t>
            </w:r>
          </w:p>
        </w:tc>
      </w:tr>
      <w:tr w:rsidR="002C39A3" w:rsidRPr="005623A6" w:rsidTr="00361FA9">
        <w:tc>
          <w:tcPr>
            <w:tcW w:w="5216" w:type="dxa"/>
            <w:tcBorders>
              <w:top w:val="nil"/>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 xml:space="preserve">    Provision of outputs</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2 314</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1 933</w:t>
            </w:r>
          </w:p>
        </w:tc>
        <w:tc>
          <w:tcPr>
            <w:tcW w:w="850"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(16.5)</w:t>
            </w:r>
          </w:p>
        </w:tc>
      </w:tr>
      <w:tr w:rsidR="002C39A3" w:rsidRPr="005623A6" w:rsidTr="00361FA9">
        <w:tc>
          <w:tcPr>
            <w:tcW w:w="5216"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 xml:space="preserve">    Additions to the net asset base</w:t>
            </w:r>
          </w:p>
        </w:tc>
        <w:tc>
          <w:tcPr>
            <w:tcW w:w="850"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155</w:t>
            </w:r>
          </w:p>
        </w:tc>
        <w:tc>
          <w:tcPr>
            <w:tcW w:w="850"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84</w:t>
            </w:r>
          </w:p>
        </w:tc>
        <w:tc>
          <w:tcPr>
            <w:tcW w:w="850"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(45.6)</w:t>
            </w:r>
          </w:p>
        </w:tc>
      </w:tr>
      <w:tr w:rsidR="002C39A3" w:rsidRPr="005623A6" w:rsidTr="00361FA9">
        <w:tc>
          <w:tcPr>
            <w:tcW w:w="5216"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Sub total</w:t>
            </w:r>
          </w:p>
        </w:tc>
        <w:tc>
          <w:tcPr>
            <w:tcW w:w="850"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49 511</w:t>
            </w:r>
          </w:p>
        </w:tc>
        <w:tc>
          <w:tcPr>
            <w:tcW w:w="850"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63 508</w:t>
            </w:r>
          </w:p>
        </w:tc>
        <w:tc>
          <w:tcPr>
            <w:tcW w:w="850"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28.3</w:t>
            </w:r>
          </w:p>
        </w:tc>
      </w:tr>
      <w:tr w:rsidR="002C39A3" w:rsidRPr="005623A6" w:rsidTr="00361FA9">
        <w:tc>
          <w:tcPr>
            <w:tcW w:w="5216"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 xml:space="preserve">Appropriations remaining unspent </w:t>
            </w:r>
            <w:r w:rsidRPr="005623A6">
              <w:rPr>
                <w:rFonts w:ascii="Calibri" w:eastAsiaTheme="minorEastAsia" w:hAnsi="Calibri" w:cs="Calibri"/>
                <w:color w:val="000000"/>
                <w:sz w:val="19"/>
                <w:szCs w:val="19"/>
                <w:vertAlign w:val="superscript"/>
                <w:lang w:eastAsia="en-AU"/>
              </w:rPr>
              <w:t>(b)</w:t>
            </w:r>
          </w:p>
        </w:tc>
        <w:tc>
          <w:tcPr>
            <w:tcW w:w="850"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(625)</w:t>
            </w:r>
          </w:p>
        </w:tc>
        <w:tc>
          <w:tcPr>
            <w:tcW w:w="850"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(159)</w:t>
            </w:r>
          </w:p>
        </w:tc>
        <w:tc>
          <w:tcPr>
            <w:tcW w:w="850"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(74.6)</w:t>
            </w:r>
          </w:p>
        </w:tc>
      </w:tr>
      <w:tr w:rsidR="002C39A3" w:rsidRPr="005623A6" w:rsidTr="00361FA9">
        <w:tc>
          <w:tcPr>
            <w:tcW w:w="5216" w:type="dxa"/>
            <w:tcBorders>
              <w:top w:val="single" w:sz="6" w:space="0" w:color="auto"/>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Total payments</w:t>
            </w:r>
          </w:p>
        </w:tc>
        <w:tc>
          <w:tcPr>
            <w:tcW w:w="850" w:type="dxa"/>
            <w:tcBorders>
              <w:top w:val="single" w:sz="6" w:space="0" w:color="auto"/>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48 886</w:t>
            </w:r>
          </w:p>
        </w:tc>
        <w:tc>
          <w:tcPr>
            <w:tcW w:w="850" w:type="dxa"/>
            <w:tcBorders>
              <w:top w:val="single" w:sz="6" w:space="0" w:color="auto"/>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63 349</w:t>
            </w:r>
          </w:p>
        </w:tc>
        <w:tc>
          <w:tcPr>
            <w:tcW w:w="850" w:type="dxa"/>
            <w:tcBorders>
              <w:top w:val="single" w:sz="6" w:space="0" w:color="auto"/>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29.6</w:t>
            </w:r>
          </w:p>
        </w:tc>
      </w:tr>
      <w:tr w:rsidR="002C39A3" w:rsidRPr="005623A6" w:rsidTr="00361FA9">
        <w:tc>
          <w:tcPr>
            <w:tcW w:w="5216" w:type="dxa"/>
            <w:tcBorders>
              <w:top w:val="single" w:sz="6" w:space="0" w:color="auto"/>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Net receipts/(payments)</w:t>
            </w:r>
          </w:p>
        </w:tc>
        <w:tc>
          <w:tcPr>
            <w:tcW w:w="850" w:type="dxa"/>
            <w:tcBorders>
              <w:top w:val="single" w:sz="6" w:space="0" w:color="auto"/>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(689)</w:t>
            </w:r>
          </w:p>
        </w:tc>
        <w:tc>
          <w:tcPr>
            <w:tcW w:w="850" w:type="dxa"/>
            <w:tcBorders>
              <w:top w:val="single" w:sz="6" w:space="0" w:color="auto"/>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(2 598)</w:t>
            </w:r>
          </w:p>
        </w:tc>
        <w:tc>
          <w:tcPr>
            <w:tcW w:w="850" w:type="dxa"/>
            <w:tcBorders>
              <w:top w:val="single" w:sz="6" w:space="0" w:color="auto"/>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277.3</w:t>
            </w:r>
          </w:p>
        </w:tc>
      </w:tr>
      <w:tr w:rsidR="002C39A3" w:rsidRPr="005623A6" w:rsidTr="00361FA9">
        <w:tc>
          <w:tcPr>
            <w:tcW w:w="5216" w:type="dxa"/>
            <w:tcBorders>
              <w:top w:val="single" w:sz="6" w:space="0" w:color="auto"/>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b/>
                <w:bCs/>
                <w:color w:val="000000"/>
                <w:sz w:val="19"/>
                <w:szCs w:val="19"/>
                <w:vertAlign w:val="superscript"/>
                <w:lang w:eastAsia="en-AU"/>
              </w:rPr>
            </w:pPr>
            <w:r w:rsidRPr="005623A6">
              <w:rPr>
                <w:rFonts w:ascii="Calibri" w:eastAsiaTheme="minorEastAsia" w:hAnsi="Calibri" w:cs="Calibri"/>
                <w:b/>
                <w:bCs/>
                <w:color w:val="000000"/>
                <w:sz w:val="19"/>
                <w:szCs w:val="19"/>
                <w:lang w:eastAsia="en-AU"/>
              </w:rPr>
              <w:t xml:space="preserve">Opening balance 1 July </w:t>
            </w:r>
            <w:r w:rsidRPr="005623A6">
              <w:rPr>
                <w:rFonts w:ascii="Calibri" w:eastAsiaTheme="minorEastAsia" w:hAnsi="Calibri" w:cs="Calibri"/>
                <w:b/>
                <w:bCs/>
                <w:color w:val="000000"/>
                <w:sz w:val="19"/>
                <w:szCs w:val="19"/>
                <w:vertAlign w:val="superscript"/>
                <w:lang w:eastAsia="en-AU"/>
              </w:rPr>
              <w:t>(c)</w:t>
            </w:r>
          </w:p>
        </w:tc>
        <w:tc>
          <w:tcPr>
            <w:tcW w:w="850" w:type="dxa"/>
            <w:tcBorders>
              <w:top w:val="single" w:sz="6" w:space="0" w:color="auto"/>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(57)</w:t>
            </w:r>
          </w:p>
        </w:tc>
        <w:tc>
          <w:tcPr>
            <w:tcW w:w="850" w:type="dxa"/>
            <w:tcBorders>
              <w:top w:val="single" w:sz="6" w:space="0" w:color="auto"/>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(105)</w:t>
            </w:r>
          </w:p>
        </w:tc>
        <w:tc>
          <w:tcPr>
            <w:tcW w:w="850" w:type="dxa"/>
            <w:tcBorders>
              <w:top w:val="single" w:sz="6" w:space="0" w:color="auto"/>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83.5</w:t>
            </w:r>
          </w:p>
        </w:tc>
      </w:tr>
      <w:tr w:rsidR="002C39A3" w:rsidRPr="005623A6" w:rsidTr="00361FA9">
        <w:tc>
          <w:tcPr>
            <w:tcW w:w="5216" w:type="dxa"/>
            <w:tcBorders>
              <w:top w:val="single" w:sz="6" w:space="0" w:color="auto"/>
              <w:left w:val="nil"/>
              <w:bottom w:val="single" w:sz="12" w:space="0" w:color="auto"/>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 xml:space="preserve">Estimated closing balance 30 June </w:t>
            </w:r>
          </w:p>
        </w:tc>
        <w:tc>
          <w:tcPr>
            <w:tcW w:w="850" w:type="dxa"/>
            <w:tcBorders>
              <w:top w:val="single" w:sz="6" w:space="0" w:color="auto"/>
              <w:left w:val="nil"/>
              <w:bottom w:val="single" w:sz="12"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(746)</w:t>
            </w:r>
          </w:p>
        </w:tc>
        <w:tc>
          <w:tcPr>
            <w:tcW w:w="850" w:type="dxa"/>
            <w:tcBorders>
              <w:top w:val="single" w:sz="6" w:space="0" w:color="auto"/>
              <w:left w:val="nil"/>
              <w:bottom w:val="single" w:sz="12"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(2 704)</w:t>
            </w:r>
          </w:p>
        </w:tc>
        <w:tc>
          <w:tcPr>
            <w:tcW w:w="850" w:type="dxa"/>
            <w:tcBorders>
              <w:top w:val="single" w:sz="6" w:space="0" w:color="auto"/>
              <w:left w:val="nil"/>
              <w:bottom w:val="single" w:sz="12"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262.4</w:t>
            </w:r>
          </w:p>
        </w:tc>
      </w:tr>
    </w:tbl>
    <w:p w:rsidR="002C39A3" w:rsidRDefault="002C39A3" w:rsidP="00361FA9">
      <w:pPr>
        <w:pStyle w:val="Source"/>
      </w:pPr>
      <w:r>
        <w:t>Source: Department of Treasury and Finance</w:t>
      </w:r>
    </w:p>
    <w:p w:rsidR="002C39A3" w:rsidRDefault="002C39A3" w:rsidP="00361FA9">
      <w:pPr>
        <w:pStyle w:val="Notes"/>
      </w:pPr>
      <w:r>
        <w:t>Notes:</w:t>
      </w:r>
    </w:p>
    <w:p w:rsidR="002C39A3" w:rsidRDefault="002C39A3" w:rsidP="00361FA9">
      <w:pPr>
        <w:pStyle w:val="Notes"/>
      </w:pPr>
      <w:r>
        <w:t>(a)</w:t>
      </w:r>
      <w:r>
        <w:tab/>
      </w:r>
      <w:r w:rsidRPr="00E20468">
        <w:t>Includes unapplied appropriations carried over from the previous year.</w:t>
      </w:r>
    </w:p>
    <w:p w:rsidR="002C39A3" w:rsidRPr="00E20468" w:rsidRDefault="002C39A3" w:rsidP="00361FA9">
      <w:pPr>
        <w:pStyle w:val="Notes"/>
      </w:pPr>
      <w:r>
        <w:t>(b)</w:t>
      </w:r>
      <w:r>
        <w:tab/>
      </w:r>
      <w:r w:rsidRPr="00C515E6">
        <w:t>The</w:t>
      </w:r>
      <w:r>
        <w:t xml:space="preserve"> </w:t>
      </w:r>
      <w:r w:rsidRPr="00AF5FE3">
        <w:rPr>
          <w:i w:val="0"/>
        </w:rPr>
        <w:t>2015-16 Budget</w:t>
      </w:r>
      <w:r w:rsidRPr="00C515E6">
        <w:t xml:space="preserve"> has been restated to reflect more current information</w:t>
      </w:r>
      <w:r>
        <w:t>.</w:t>
      </w:r>
    </w:p>
    <w:p w:rsidR="002C39A3" w:rsidRDefault="002C39A3" w:rsidP="00361FA9">
      <w:pPr>
        <w:pStyle w:val="Notes"/>
      </w:pPr>
      <w:r>
        <w:t>(c)</w:t>
      </w:r>
      <w:r>
        <w:tab/>
      </w:r>
      <w:r w:rsidRPr="00E20468">
        <w:t xml:space="preserve">The opening balance of cash and deposits for the </w:t>
      </w:r>
      <w:r w:rsidRPr="00AF5FE3">
        <w:rPr>
          <w:i w:val="0"/>
        </w:rPr>
        <w:t>2016-17 Budget</w:t>
      </w:r>
      <w:r w:rsidRPr="00E20468">
        <w:t xml:space="preserve"> is based on the 2015-16 opening balance plus the estimated movements for the 2015-16 revised </w:t>
      </w:r>
      <w:r w:rsidRPr="009D2680">
        <w:t xml:space="preserve">budget </w:t>
      </w:r>
      <w:r>
        <w:t>(see Appendix B Note 18</w:t>
      </w:r>
      <w:r w:rsidRPr="009D2680">
        <w:t>)</w:t>
      </w:r>
      <w:r>
        <w:t>.</w:t>
      </w:r>
    </w:p>
    <w:p w:rsidR="002C39A3" w:rsidRDefault="002C39A3" w:rsidP="00361FA9">
      <w:pPr>
        <w:pStyle w:val="Notes"/>
        <w:rPr>
          <w:b/>
        </w:rPr>
      </w:pPr>
      <w:r>
        <w:br w:type="page"/>
      </w:r>
    </w:p>
    <w:p w:rsidR="002C39A3" w:rsidRDefault="002C39A3" w:rsidP="00361FA9">
      <w:pPr>
        <w:pStyle w:val="Tableheading"/>
      </w:pPr>
      <w:r>
        <w:t>Table A.2:</w:t>
      </w:r>
      <w:r>
        <w:tab/>
        <w:t>Consolidated Fund receipts</w:t>
      </w:r>
      <w:r w:rsidR="0097550F">
        <w:t xml:space="preserve"> </w:t>
      </w:r>
      <w:r>
        <w:rPr>
          <w:vertAlign w:val="superscript"/>
        </w:rPr>
        <w:t>(a)</w:t>
      </w:r>
    </w:p>
    <w:p w:rsidR="002C39A3" w:rsidRPr="003F3109" w:rsidRDefault="002C39A3" w:rsidP="00361FA9">
      <w:pPr>
        <w:pStyle w:val="million"/>
        <w:rPr>
          <w:b/>
          <w:bCs/>
          <w:sz w:val="15"/>
          <w:lang w:val="en-US"/>
        </w:rPr>
      </w:pPr>
      <w:r>
        <w:t>($ thousand)</w:t>
      </w:r>
    </w:p>
    <w:tbl>
      <w:tblPr>
        <w:tblW w:w="7767" w:type="dxa"/>
        <w:tblInd w:w="45" w:type="dxa"/>
        <w:tblLayout w:type="fixed"/>
        <w:tblCellMar>
          <w:left w:w="45" w:type="dxa"/>
          <w:right w:w="45" w:type="dxa"/>
        </w:tblCellMar>
        <w:tblLook w:val="0000" w:firstRow="0" w:lastRow="0" w:firstColumn="0" w:lastColumn="0" w:noHBand="0" w:noVBand="0"/>
      </w:tblPr>
      <w:tblGrid>
        <w:gridCol w:w="4677"/>
        <w:gridCol w:w="1032"/>
        <w:gridCol w:w="1094"/>
        <w:gridCol w:w="964"/>
      </w:tblGrid>
      <w:tr w:rsidR="0097550F" w:rsidRPr="003F3109" w:rsidTr="00502FAF">
        <w:trPr>
          <w:trHeight w:val="464"/>
          <w:tblHeader/>
        </w:trPr>
        <w:tc>
          <w:tcPr>
            <w:tcW w:w="4677" w:type="dxa"/>
            <w:tcBorders>
              <w:top w:val="nil"/>
              <w:left w:val="nil"/>
              <w:right w:val="nil"/>
            </w:tcBorders>
            <w:shd w:val="solid" w:color="000000" w:fill="auto"/>
            <w:vAlign w:val="bottom"/>
          </w:tcPr>
          <w:p w:rsidR="0097550F" w:rsidRPr="003F3109" w:rsidRDefault="0097550F" w:rsidP="00361FA9">
            <w:pPr>
              <w:autoSpaceDE w:val="0"/>
              <w:autoSpaceDN w:val="0"/>
              <w:adjustRightInd w:val="0"/>
              <w:spacing w:after="0"/>
              <w:rPr>
                <w:rFonts w:eastAsiaTheme="minorEastAsia" w:cs="Calibri"/>
                <w:iCs/>
                <w:color w:val="FFFFFF"/>
                <w:sz w:val="19"/>
                <w:szCs w:val="19"/>
                <w:lang w:eastAsia="en-AU"/>
              </w:rPr>
            </w:pPr>
          </w:p>
        </w:tc>
        <w:tc>
          <w:tcPr>
            <w:tcW w:w="1032" w:type="dxa"/>
            <w:tcBorders>
              <w:top w:val="nil"/>
              <w:left w:val="nil"/>
              <w:right w:val="nil"/>
            </w:tcBorders>
            <w:shd w:val="solid" w:color="000000" w:fill="auto"/>
            <w:vAlign w:val="bottom"/>
          </w:tcPr>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2015-16</w:t>
            </w:r>
          </w:p>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budget</w:t>
            </w:r>
          </w:p>
        </w:tc>
        <w:tc>
          <w:tcPr>
            <w:tcW w:w="1094" w:type="dxa"/>
            <w:tcBorders>
              <w:top w:val="nil"/>
              <w:left w:val="nil"/>
              <w:right w:val="nil"/>
            </w:tcBorders>
            <w:shd w:val="solid" w:color="000000" w:fill="auto"/>
            <w:vAlign w:val="bottom"/>
          </w:tcPr>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2016-17</w:t>
            </w:r>
          </w:p>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budget</w:t>
            </w:r>
          </w:p>
        </w:tc>
        <w:tc>
          <w:tcPr>
            <w:tcW w:w="964" w:type="dxa"/>
            <w:tcBorders>
              <w:top w:val="nil"/>
              <w:left w:val="nil"/>
              <w:right w:val="nil"/>
            </w:tcBorders>
            <w:shd w:val="solid" w:color="000000" w:fill="auto"/>
            <w:vAlign w:val="bottom"/>
          </w:tcPr>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Variation</w:t>
            </w:r>
          </w:p>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w:t>
            </w:r>
          </w:p>
        </w:tc>
      </w:tr>
      <w:tr w:rsidR="0097550F" w:rsidRPr="003F3109" w:rsidTr="00502FAF">
        <w:tc>
          <w:tcPr>
            <w:tcW w:w="7767" w:type="dxa"/>
            <w:gridSpan w:val="4"/>
            <w:tcBorders>
              <w:top w:val="nil"/>
              <w:left w:val="nil"/>
              <w:right w:val="nil"/>
            </w:tcBorders>
            <w:shd w:val="clear" w:color="000000" w:fill="FFFFFF"/>
          </w:tcPr>
          <w:p w:rsidR="0097550F" w:rsidRPr="003F3109" w:rsidRDefault="0097550F" w:rsidP="0097550F">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b/>
                <w:bCs/>
                <w:color w:val="000000"/>
                <w:sz w:val="19"/>
                <w:szCs w:val="19"/>
                <w:lang w:eastAsia="en-AU"/>
              </w:rPr>
              <w:t>Operating receipts</w:t>
            </w:r>
          </w:p>
        </w:tc>
      </w:tr>
      <w:tr w:rsidR="0097550F" w:rsidRPr="003F3109" w:rsidTr="00502FAF">
        <w:tc>
          <w:tcPr>
            <w:tcW w:w="7767" w:type="dxa"/>
            <w:gridSpan w:val="4"/>
            <w:tcBorders>
              <w:top w:val="nil"/>
              <w:left w:val="nil"/>
              <w:right w:val="nil"/>
            </w:tcBorders>
            <w:shd w:val="clear" w:color="000000" w:fill="FFFFFF"/>
          </w:tcPr>
          <w:p w:rsidR="0097550F" w:rsidRPr="003F3109" w:rsidRDefault="0097550F" w:rsidP="0097550F">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b/>
                <w:bCs/>
                <w:color w:val="000000"/>
                <w:sz w:val="19"/>
                <w:szCs w:val="19"/>
                <w:lang w:eastAsia="en-AU"/>
              </w:rPr>
              <w:t>Taxation</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Payroll tax</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5 984 518</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6 304 407</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5.3</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Land tax</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1 769 720</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2 226 318</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25.8</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Fire Services Property Levy</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627 904</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673 600</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7.3</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Congestion levy</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120 234</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114 827</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(4.5)</w:t>
            </w:r>
          </w:p>
        </w:tc>
      </w:tr>
      <w:tr w:rsidR="0097550F" w:rsidRPr="003F3109" w:rsidTr="00502FAF">
        <w:tc>
          <w:tcPr>
            <w:tcW w:w="7767" w:type="dxa"/>
            <w:gridSpan w:val="4"/>
            <w:tcBorders>
              <w:top w:val="nil"/>
              <w:left w:val="nil"/>
              <w:right w:val="nil"/>
            </w:tcBorders>
            <w:shd w:val="clear" w:color="000000" w:fill="FFFFFF"/>
          </w:tcPr>
          <w:p w:rsidR="0097550F" w:rsidRPr="003F3109" w:rsidRDefault="0097550F" w:rsidP="0097550F">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Duties from financial and capital transactions</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Land transfer duty</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5 195 757</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5 765 586</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11.0</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Other duties</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1 829</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2 425</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32.6</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Growth areas infrastructure contribution </w:t>
            </w:r>
            <w:r w:rsidRPr="00D230ED">
              <w:rPr>
                <w:rFonts w:asciiTheme="minorHAnsi" w:hAnsiTheme="minorHAnsi"/>
                <w:sz w:val="19"/>
                <w:vertAlign w:val="superscript"/>
              </w:rPr>
              <w:t>(b)</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58 205</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62 252</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7.0</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Metropolitan Planning Levy </w:t>
            </w:r>
            <w:r w:rsidRPr="00D230ED">
              <w:rPr>
                <w:rFonts w:asciiTheme="minorHAnsi" w:hAnsiTheme="minorHAnsi"/>
                <w:sz w:val="19"/>
                <w:vertAlign w:val="superscript"/>
              </w:rPr>
              <w:t>(b)</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17 100</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17 100</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Financial accommodation levy</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151 367</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148 812</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(1.7)</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Levies on statutory corporations</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111 963</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112 000</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Gambling taxes</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1 767 599</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1 817 616</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2.8</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Insurance</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1 156 247</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1 219 857</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5.5</w:t>
            </w:r>
          </w:p>
        </w:tc>
      </w:tr>
      <w:tr w:rsidR="0097550F" w:rsidRPr="003F3109" w:rsidTr="00502FAF">
        <w:tc>
          <w:tcPr>
            <w:tcW w:w="7767" w:type="dxa"/>
            <w:gridSpan w:val="4"/>
            <w:tcBorders>
              <w:top w:val="nil"/>
              <w:left w:val="nil"/>
              <w:right w:val="nil"/>
            </w:tcBorders>
            <w:shd w:val="clear" w:color="000000" w:fill="FFFFFF"/>
          </w:tcPr>
          <w:p w:rsidR="0097550F" w:rsidRPr="003F3109" w:rsidRDefault="0097550F" w:rsidP="0097550F">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Motor vehicle</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i/>
                <w:iCs/>
                <w:color w:val="000000"/>
                <w:sz w:val="19"/>
                <w:szCs w:val="19"/>
                <w:lang w:eastAsia="en-AU"/>
              </w:rPr>
            </w:pPr>
            <w:r w:rsidRPr="003F3109">
              <w:rPr>
                <w:rFonts w:ascii="Calibri" w:eastAsiaTheme="minorEastAsia" w:hAnsi="Calibri" w:cs="Calibri"/>
                <w:i/>
                <w:iCs/>
                <w:color w:val="000000"/>
                <w:sz w:val="19"/>
                <w:szCs w:val="19"/>
                <w:lang w:eastAsia="en-AU"/>
              </w:rPr>
              <w:t xml:space="preserve">    Road Safety Act (Registration Fees) 1986</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1 468 561</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1 542 382</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5.0</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Duty on vehicle registrations and transfers</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743 287</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802 371</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7.9</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Liquor licence fees</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21 936</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22 428</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2.2</w:t>
            </w:r>
          </w:p>
        </w:tc>
      </w:tr>
      <w:tr w:rsidR="002C39A3" w:rsidRPr="003F3109" w:rsidTr="00361FA9">
        <w:tc>
          <w:tcPr>
            <w:tcW w:w="4677" w:type="dxa"/>
            <w:tcBorders>
              <w:top w:val="nil"/>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Other taxes</w:t>
            </w:r>
          </w:p>
        </w:tc>
        <w:tc>
          <w:tcPr>
            <w:tcW w:w="1032" w:type="dxa"/>
            <w:tcBorders>
              <w:top w:val="nil"/>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127 288</w:t>
            </w:r>
          </w:p>
        </w:tc>
        <w:tc>
          <w:tcPr>
            <w:tcW w:w="1094" w:type="dxa"/>
            <w:tcBorders>
              <w:top w:val="nil"/>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74 091</w:t>
            </w:r>
          </w:p>
        </w:tc>
        <w:tc>
          <w:tcPr>
            <w:tcW w:w="964" w:type="dxa"/>
            <w:tcBorders>
              <w:top w:val="nil"/>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(41.8)</w:t>
            </w:r>
          </w:p>
        </w:tc>
      </w:tr>
      <w:tr w:rsidR="002C39A3" w:rsidRPr="003F3109" w:rsidTr="00361FA9">
        <w:tc>
          <w:tcPr>
            <w:tcW w:w="4677" w:type="dxa"/>
            <w:tcBorders>
              <w:top w:val="single" w:sz="6" w:space="0" w:color="auto"/>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Total</w:t>
            </w:r>
          </w:p>
        </w:tc>
        <w:tc>
          <w:tcPr>
            <w:tcW w:w="1032" w:type="dxa"/>
            <w:tcBorders>
              <w:top w:val="single" w:sz="6" w:space="0" w:color="auto"/>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19 323 516</w:t>
            </w:r>
          </w:p>
        </w:tc>
        <w:tc>
          <w:tcPr>
            <w:tcW w:w="1094" w:type="dxa"/>
            <w:tcBorders>
              <w:top w:val="single" w:sz="6" w:space="0" w:color="auto"/>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20 906 070</w:t>
            </w:r>
          </w:p>
        </w:tc>
        <w:tc>
          <w:tcPr>
            <w:tcW w:w="964" w:type="dxa"/>
            <w:tcBorders>
              <w:top w:val="single" w:sz="6" w:space="0" w:color="auto"/>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8.2</w:t>
            </w:r>
          </w:p>
        </w:tc>
      </w:tr>
      <w:tr w:rsidR="0097550F" w:rsidRPr="003F3109" w:rsidTr="00502FAF">
        <w:tc>
          <w:tcPr>
            <w:tcW w:w="7767" w:type="dxa"/>
            <w:gridSpan w:val="4"/>
            <w:tcBorders>
              <w:top w:val="nil"/>
              <w:left w:val="nil"/>
              <w:right w:val="nil"/>
            </w:tcBorders>
            <w:shd w:val="clear" w:color="000000" w:fill="FFFFFF"/>
          </w:tcPr>
          <w:p w:rsidR="0097550F" w:rsidRPr="003F3109" w:rsidRDefault="0097550F" w:rsidP="0097550F">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b/>
                <w:bCs/>
                <w:color w:val="000000"/>
                <w:sz w:val="19"/>
                <w:szCs w:val="19"/>
                <w:lang w:eastAsia="en-AU"/>
              </w:rPr>
              <w:t>Fines and regulatory fees</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Fines </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349 056</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371 792</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6.5</w:t>
            </w:r>
          </w:p>
        </w:tc>
      </w:tr>
      <w:tr w:rsidR="002C39A3" w:rsidRPr="003F3109" w:rsidTr="00361FA9">
        <w:tc>
          <w:tcPr>
            <w:tcW w:w="4677" w:type="dxa"/>
            <w:tcBorders>
              <w:top w:val="nil"/>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Regulatory fees </w:t>
            </w:r>
          </w:p>
        </w:tc>
        <w:tc>
          <w:tcPr>
            <w:tcW w:w="1032" w:type="dxa"/>
            <w:tcBorders>
              <w:top w:val="nil"/>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538 171</w:t>
            </w:r>
          </w:p>
        </w:tc>
        <w:tc>
          <w:tcPr>
            <w:tcW w:w="1094" w:type="dxa"/>
            <w:tcBorders>
              <w:top w:val="nil"/>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506 591</w:t>
            </w:r>
          </w:p>
        </w:tc>
        <w:tc>
          <w:tcPr>
            <w:tcW w:w="964" w:type="dxa"/>
            <w:tcBorders>
              <w:top w:val="nil"/>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(5.9)</w:t>
            </w:r>
          </w:p>
        </w:tc>
      </w:tr>
      <w:tr w:rsidR="002C39A3" w:rsidRPr="003F3109" w:rsidTr="00361FA9">
        <w:tc>
          <w:tcPr>
            <w:tcW w:w="4677" w:type="dxa"/>
            <w:tcBorders>
              <w:top w:val="single" w:sz="6" w:space="0" w:color="auto"/>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Total</w:t>
            </w:r>
          </w:p>
        </w:tc>
        <w:tc>
          <w:tcPr>
            <w:tcW w:w="1032" w:type="dxa"/>
            <w:tcBorders>
              <w:top w:val="single" w:sz="6" w:space="0" w:color="auto"/>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887 227</w:t>
            </w:r>
          </w:p>
        </w:tc>
        <w:tc>
          <w:tcPr>
            <w:tcW w:w="1094" w:type="dxa"/>
            <w:tcBorders>
              <w:top w:val="single" w:sz="6" w:space="0" w:color="auto"/>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878 383</w:t>
            </w:r>
          </w:p>
        </w:tc>
        <w:tc>
          <w:tcPr>
            <w:tcW w:w="964" w:type="dxa"/>
            <w:tcBorders>
              <w:top w:val="single" w:sz="6" w:space="0" w:color="auto"/>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(1.0)</w:t>
            </w:r>
          </w:p>
        </w:tc>
      </w:tr>
      <w:tr w:rsidR="0097550F" w:rsidRPr="003F3109" w:rsidTr="00502FAF">
        <w:tc>
          <w:tcPr>
            <w:tcW w:w="7767" w:type="dxa"/>
            <w:gridSpan w:val="4"/>
            <w:tcBorders>
              <w:top w:val="nil"/>
              <w:left w:val="nil"/>
              <w:right w:val="nil"/>
            </w:tcBorders>
            <w:shd w:val="clear" w:color="000000" w:fill="FFFFFF"/>
          </w:tcPr>
          <w:p w:rsidR="0097550F" w:rsidRPr="003F3109" w:rsidRDefault="0097550F" w:rsidP="0097550F">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b/>
                <w:bCs/>
                <w:color w:val="000000"/>
                <w:sz w:val="19"/>
                <w:szCs w:val="19"/>
                <w:lang w:eastAsia="en-AU"/>
              </w:rPr>
              <w:t>Grants received</w:t>
            </w:r>
          </w:p>
        </w:tc>
      </w:tr>
      <w:tr w:rsidR="0097550F" w:rsidRPr="003F3109" w:rsidTr="00502FAF">
        <w:tc>
          <w:tcPr>
            <w:tcW w:w="7767" w:type="dxa"/>
            <w:gridSpan w:val="4"/>
            <w:tcBorders>
              <w:top w:val="nil"/>
              <w:left w:val="nil"/>
              <w:right w:val="nil"/>
            </w:tcBorders>
            <w:shd w:val="clear" w:color="000000" w:fill="FFFFFF"/>
          </w:tcPr>
          <w:p w:rsidR="0097550F" w:rsidRPr="003F3109" w:rsidRDefault="0097550F" w:rsidP="0097550F">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b/>
                <w:bCs/>
                <w:color w:val="000000"/>
                <w:sz w:val="19"/>
                <w:szCs w:val="19"/>
                <w:lang w:eastAsia="en-AU"/>
              </w:rPr>
              <w:t xml:space="preserve">   </w:t>
            </w:r>
            <w:r>
              <w:rPr>
                <w:rFonts w:ascii="Calibri" w:eastAsiaTheme="minorEastAsia" w:hAnsi="Calibri" w:cs="Calibri"/>
                <w:b/>
                <w:bCs/>
                <w:color w:val="000000"/>
                <w:sz w:val="19"/>
                <w:szCs w:val="19"/>
                <w:lang w:eastAsia="en-AU"/>
              </w:rPr>
              <w:t xml:space="preserve"> Grants received by department</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Department of Economic Development, Jobs, Transport and Resources</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2 000</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Department of Environment, Land, Water and Planning </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34 373</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30 660</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(10.8)</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Department of Health and Human Services </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39 698</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28 765</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(27.5)</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Department of Justice and Regulation</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3 214</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3 214</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w:t>
            </w:r>
          </w:p>
        </w:tc>
      </w:tr>
      <w:tr w:rsidR="002C39A3" w:rsidRPr="003F3109" w:rsidTr="00361FA9">
        <w:tc>
          <w:tcPr>
            <w:tcW w:w="4677" w:type="dxa"/>
            <w:tcBorders>
              <w:top w:val="nil"/>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Department of Treasury and Finance</w:t>
            </w:r>
          </w:p>
        </w:tc>
        <w:tc>
          <w:tcPr>
            <w:tcW w:w="1032" w:type="dxa"/>
            <w:tcBorders>
              <w:top w:val="nil"/>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17 051 030</w:t>
            </w:r>
          </w:p>
        </w:tc>
        <w:tc>
          <w:tcPr>
            <w:tcW w:w="1094" w:type="dxa"/>
            <w:tcBorders>
              <w:top w:val="nil"/>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18 153 382</w:t>
            </w:r>
          </w:p>
        </w:tc>
        <w:tc>
          <w:tcPr>
            <w:tcW w:w="964" w:type="dxa"/>
            <w:tcBorders>
              <w:top w:val="nil"/>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6.5</w:t>
            </w:r>
          </w:p>
        </w:tc>
      </w:tr>
      <w:tr w:rsidR="002C39A3" w:rsidRPr="003F3109" w:rsidTr="00361FA9">
        <w:tc>
          <w:tcPr>
            <w:tcW w:w="4677" w:type="dxa"/>
            <w:tcBorders>
              <w:top w:val="single" w:sz="6" w:space="0" w:color="auto"/>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Total</w:t>
            </w:r>
          </w:p>
        </w:tc>
        <w:tc>
          <w:tcPr>
            <w:tcW w:w="1032" w:type="dxa"/>
            <w:tcBorders>
              <w:top w:val="single" w:sz="6" w:space="0" w:color="auto"/>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17 128 314</w:t>
            </w:r>
          </w:p>
        </w:tc>
        <w:tc>
          <w:tcPr>
            <w:tcW w:w="1094" w:type="dxa"/>
            <w:tcBorders>
              <w:top w:val="single" w:sz="6" w:space="0" w:color="auto"/>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18 218 020</w:t>
            </w:r>
          </w:p>
        </w:tc>
        <w:tc>
          <w:tcPr>
            <w:tcW w:w="964" w:type="dxa"/>
            <w:tcBorders>
              <w:top w:val="single" w:sz="6" w:space="0" w:color="auto"/>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6.4</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Sales of goods and services</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5 720 807</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6 126 445</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7.1</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Interest received</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536 242</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518 425</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(3.3)</w:t>
            </w:r>
          </w:p>
        </w:tc>
      </w:tr>
      <w:tr w:rsidR="0097550F" w:rsidRPr="003F3109" w:rsidTr="00502FAF">
        <w:tc>
          <w:tcPr>
            <w:tcW w:w="7767" w:type="dxa"/>
            <w:gridSpan w:val="4"/>
            <w:tcBorders>
              <w:top w:val="nil"/>
              <w:left w:val="nil"/>
              <w:right w:val="nil"/>
            </w:tcBorders>
            <w:shd w:val="clear" w:color="000000" w:fill="FFFFFF"/>
          </w:tcPr>
          <w:p w:rsidR="0097550F" w:rsidRPr="003F3109" w:rsidRDefault="0097550F" w:rsidP="0097550F">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b/>
                <w:bCs/>
                <w:color w:val="000000"/>
                <w:sz w:val="19"/>
                <w:szCs w:val="19"/>
                <w:lang w:eastAsia="en-AU"/>
              </w:rPr>
              <w:t>Dividends and income tax equivalent and rate equivalent revenue</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Dividends</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835 129</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776 420</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(7.0)</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Income tax equivalent revenue</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286 368</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263 072</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(8.1)</w:t>
            </w:r>
          </w:p>
        </w:tc>
      </w:tr>
      <w:tr w:rsidR="002C39A3" w:rsidRPr="003F3109" w:rsidTr="00361FA9">
        <w:tc>
          <w:tcPr>
            <w:tcW w:w="4677" w:type="dxa"/>
            <w:tcBorders>
              <w:top w:val="nil"/>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Local government tax equivalent revenue</w:t>
            </w:r>
          </w:p>
        </w:tc>
        <w:tc>
          <w:tcPr>
            <w:tcW w:w="1032" w:type="dxa"/>
            <w:tcBorders>
              <w:top w:val="nil"/>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7 516</w:t>
            </w:r>
          </w:p>
        </w:tc>
        <w:tc>
          <w:tcPr>
            <w:tcW w:w="1094" w:type="dxa"/>
            <w:tcBorders>
              <w:top w:val="nil"/>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11 141</w:t>
            </w:r>
          </w:p>
        </w:tc>
        <w:tc>
          <w:tcPr>
            <w:tcW w:w="964" w:type="dxa"/>
            <w:tcBorders>
              <w:top w:val="nil"/>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48.2</w:t>
            </w:r>
          </w:p>
        </w:tc>
      </w:tr>
      <w:tr w:rsidR="002C39A3" w:rsidRPr="003F3109" w:rsidTr="00361FA9">
        <w:tc>
          <w:tcPr>
            <w:tcW w:w="4677" w:type="dxa"/>
            <w:tcBorders>
              <w:top w:val="single" w:sz="6" w:space="0" w:color="auto"/>
              <w:left w:val="nil"/>
              <w:bottom w:val="single" w:sz="6" w:space="0" w:color="auto"/>
              <w:right w:val="nil"/>
            </w:tcBorders>
            <w:shd w:val="clear" w:color="000000" w:fill="FFFFFF"/>
          </w:tcPr>
          <w:p w:rsidR="002C39A3" w:rsidRPr="003F3109" w:rsidRDefault="002C39A3" w:rsidP="00361FA9">
            <w:pPr>
              <w:pStyle w:val="Heading6"/>
              <w:pageBreakBefore w:val="0"/>
            </w:pPr>
            <w:r w:rsidRPr="003F3109">
              <w:t>Total</w:t>
            </w:r>
          </w:p>
        </w:tc>
        <w:tc>
          <w:tcPr>
            <w:tcW w:w="1032" w:type="dxa"/>
            <w:tcBorders>
              <w:top w:val="single" w:sz="6" w:space="0" w:color="auto"/>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1 129 012</w:t>
            </w:r>
          </w:p>
        </w:tc>
        <w:tc>
          <w:tcPr>
            <w:tcW w:w="1094" w:type="dxa"/>
            <w:tcBorders>
              <w:top w:val="single" w:sz="6" w:space="0" w:color="auto"/>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1 050 634</w:t>
            </w:r>
          </w:p>
        </w:tc>
        <w:tc>
          <w:tcPr>
            <w:tcW w:w="964" w:type="dxa"/>
            <w:tcBorders>
              <w:top w:val="single" w:sz="6" w:space="0" w:color="auto"/>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(6.9)</w:t>
            </w:r>
          </w:p>
        </w:tc>
      </w:tr>
    </w:tbl>
    <w:p w:rsidR="002C39A3" w:rsidRDefault="002C39A3" w:rsidP="00361FA9">
      <w:pPr>
        <w:pStyle w:val="Tableheadingcontinued"/>
      </w:pPr>
    </w:p>
    <w:p w:rsidR="002C39A3" w:rsidRDefault="002C39A3" w:rsidP="00361FA9">
      <w:pPr>
        <w:pStyle w:val="Heading1"/>
      </w:pPr>
      <w:r>
        <w:br w:type="page"/>
      </w:r>
    </w:p>
    <w:p w:rsidR="002C39A3" w:rsidRDefault="002C39A3" w:rsidP="00361FA9">
      <w:pPr>
        <w:pStyle w:val="Tableheadingcontinued"/>
      </w:pPr>
      <w:r>
        <w:t>Table A.2:</w:t>
      </w:r>
      <w:r>
        <w:tab/>
        <w:t>Consolidated Fund receipts</w:t>
      </w:r>
      <w:r w:rsidRPr="00350E27">
        <w:rPr>
          <w:vertAlign w:val="superscript"/>
        </w:rPr>
        <w:t>(a)</w:t>
      </w:r>
      <w:r>
        <w:t xml:space="preserve"> </w:t>
      </w:r>
      <w:r w:rsidRPr="00350E27">
        <w:rPr>
          <w:i/>
        </w:rPr>
        <w:t>(continued)</w:t>
      </w:r>
    </w:p>
    <w:p w:rsidR="002C39A3" w:rsidRDefault="002C39A3" w:rsidP="00361FA9">
      <w:pPr>
        <w:pStyle w:val="million"/>
      </w:pPr>
      <w:r>
        <w:t>($ thousand)</w:t>
      </w:r>
    </w:p>
    <w:tbl>
      <w:tblPr>
        <w:tblW w:w="7767" w:type="dxa"/>
        <w:tblInd w:w="45" w:type="dxa"/>
        <w:tblLayout w:type="fixed"/>
        <w:tblCellMar>
          <w:left w:w="45" w:type="dxa"/>
          <w:right w:w="45" w:type="dxa"/>
        </w:tblCellMar>
        <w:tblLook w:val="0000" w:firstRow="0" w:lastRow="0" w:firstColumn="0" w:lastColumn="0" w:noHBand="0" w:noVBand="0"/>
      </w:tblPr>
      <w:tblGrid>
        <w:gridCol w:w="4677"/>
        <w:gridCol w:w="1032"/>
        <w:gridCol w:w="1094"/>
        <w:gridCol w:w="964"/>
      </w:tblGrid>
      <w:tr w:rsidR="0097550F" w:rsidRPr="003F3109" w:rsidTr="00502FAF">
        <w:trPr>
          <w:trHeight w:val="464"/>
          <w:tblHeader/>
        </w:trPr>
        <w:tc>
          <w:tcPr>
            <w:tcW w:w="4677" w:type="dxa"/>
            <w:tcBorders>
              <w:top w:val="nil"/>
              <w:left w:val="nil"/>
              <w:right w:val="nil"/>
            </w:tcBorders>
            <w:shd w:val="solid" w:color="000000" w:fill="auto"/>
            <w:vAlign w:val="bottom"/>
          </w:tcPr>
          <w:p w:rsidR="0097550F" w:rsidRPr="003F3109" w:rsidRDefault="0097550F" w:rsidP="00361FA9">
            <w:pPr>
              <w:autoSpaceDE w:val="0"/>
              <w:autoSpaceDN w:val="0"/>
              <w:adjustRightInd w:val="0"/>
              <w:spacing w:after="0"/>
              <w:rPr>
                <w:rFonts w:eastAsiaTheme="minorEastAsia" w:cs="Calibri"/>
                <w:iCs/>
                <w:color w:val="FFFFFF"/>
                <w:sz w:val="19"/>
                <w:szCs w:val="19"/>
                <w:lang w:eastAsia="en-AU"/>
              </w:rPr>
            </w:pPr>
          </w:p>
        </w:tc>
        <w:tc>
          <w:tcPr>
            <w:tcW w:w="1032" w:type="dxa"/>
            <w:tcBorders>
              <w:top w:val="nil"/>
              <w:left w:val="nil"/>
              <w:right w:val="nil"/>
            </w:tcBorders>
            <w:shd w:val="solid" w:color="000000" w:fill="auto"/>
            <w:vAlign w:val="bottom"/>
          </w:tcPr>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2015-16</w:t>
            </w:r>
          </w:p>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budget</w:t>
            </w:r>
          </w:p>
        </w:tc>
        <w:tc>
          <w:tcPr>
            <w:tcW w:w="1094" w:type="dxa"/>
            <w:tcBorders>
              <w:top w:val="nil"/>
              <w:left w:val="nil"/>
              <w:right w:val="nil"/>
            </w:tcBorders>
            <w:shd w:val="solid" w:color="000000" w:fill="auto"/>
            <w:vAlign w:val="bottom"/>
          </w:tcPr>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2016-17</w:t>
            </w:r>
          </w:p>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budget</w:t>
            </w:r>
          </w:p>
        </w:tc>
        <w:tc>
          <w:tcPr>
            <w:tcW w:w="964" w:type="dxa"/>
            <w:tcBorders>
              <w:top w:val="nil"/>
              <w:left w:val="nil"/>
              <w:right w:val="nil"/>
            </w:tcBorders>
            <w:shd w:val="solid" w:color="000000" w:fill="auto"/>
            <w:vAlign w:val="bottom"/>
          </w:tcPr>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Variation</w:t>
            </w:r>
          </w:p>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w:t>
            </w:r>
          </w:p>
        </w:tc>
      </w:tr>
      <w:tr w:rsidR="0097550F" w:rsidRPr="003F3109" w:rsidTr="00502FAF">
        <w:tc>
          <w:tcPr>
            <w:tcW w:w="7767" w:type="dxa"/>
            <w:gridSpan w:val="4"/>
            <w:tcBorders>
              <w:top w:val="single" w:sz="6" w:space="0" w:color="auto"/>
              <w:left w:val="nil"/>
              <w:right w:val="nil"/>
            </w:tcBorders>
            <w:shd w:val="clear" w:color="000000" w:fill="FFFFFF"/>
          </w:tcPr>
          <w:p w:rsidR="0097550F" w:rsidRPr="003F3109" w:rsidRDefault="0097550F" w:rsidP="0097550F">
            <w:pPr>
              <w:pStyle w:val="Heading6"/>
              <w:pageBreakBefore w:val="0"/>
            </w:pPr>
            <w:r w:rsidRPr="003F3109">
              <w:t>Other receipts</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Land rent received</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18 327</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19 517</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6.5</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Royalties received</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50 806</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84 902</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67.1</w:t>
            </w:r>
          </w:p>
        </w:tc>
      </w:tr>
      <w:tr w:rsidR="002C39A3" w:rsidRPr="003F3109" w:rsidTr="00361FA9">
        <w:tc>
          <w:tcPr>
            <w:tcW w:w="4677" w:type="dxa"/>
            <w:tcBorders>
              <w:top w:val="nil"/>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Other</w:t>
            </w:r>
          </w:p>
        </w:tc>
        <w:tc>
          <w:tcPr>
            <w:tcW w:w="1032" w:type="dxa"/>
            <w:tcBorders>
              <w:top w:val="nil"/>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237 012</w:t>
            </w:r>
          </w:p>
        </w:tc>
        <w:tc>
          <w:tcPr>
            <w:tcW w:w="1094" w:type="dxa"/>
            <w:tcBorders>
              <w:top w:val="nil"/>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437 462</w:t>
            </w:r>
          </w:p>
        </w:tc>
        <w:tc>
          <w:tcPr>
            <w:tcW w:w="964" w:type="dxa"/>
            <w:tcBorders>
              <w:top w:val="nil"/>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84.6</w:t>
            </w:r>
          </w:p>
        </w:tc>
      </w:tr>
      <w:tr w:rsidR="002C39A3" w:rsidRPr="003F3109" w:rsidTr="00361FA9">
        <w:tc>
          <w:tcPr>
            <w:tcW w:w="4677" w:type="dxa"/>
            <w:tcBorders>
              <w:top w:val="single" w:sz="6" w:space="0" w:color="auto"/>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Total</w:t>
            </w:r>
          </w:p>
        </w:tc>
        <w:tc>
          <w:tcPr>
            <w:tcW w:w="1032" w:type="dxa"/>
            <w:tcBorders>
              <w:top w:val="single" w:sz="6" w:space="0" w:color="auto"/>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306 146</w:t>
            </w:r>
          </w:p>
        </w:tc>
        <w:tc>
          <w:tcPr>
            <w:tcW w:w="1094" w:type="dxa"/>
            <w:tcBorders>
              <w:top w:val="single" w:sz="6" w:space="0" w:color="auto"/>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541 881</w:t>
            </w:r>
          </w:p>
        </w:tc>
        <w:tc>
          <w:tcPr>
            <w:tcW w:w="964" w:type="dxa"/>
            <w:tcBorders>
              <w:top w:val="single" w:sz="6" w:space="0" w:color="auto"/>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77.0</w:t>
            </w:r>
          </w:p>
        </w:tc>
      </w:tr>
      <w:tr w:rsidR="002C39A3" w:rsidRPr="003F3109" w:rsidTr="00361FA9">
        <w:tc>
          <w:tcPr>
            <w:tcW w:w="4677" w:type="dxa"/>
            <w:tcBorders>
              <w:top w:val="single" w:sz="6" w:space="0" w:color="auto"/>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Total operating activities</w:t>
            </w:r>
          </w:p>
        </w:tc>
        <w:tc>
          <w:tcPr>
            <w:tcW w:w="1032" w:type="dxa"/>
            <w:tcBorders>
              <w:top w:val="single" w:sz="6" w:space="0" w:color="auto"/>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45 031 265</w:t>
            </w:r>
          </w:p>
        </w:tc>
        <w:tc>
          <w:tcPr>
            <w:tcW w:w="1094" w:type="dxa"/>
            <w:tcBorders>
              <w:top w:val="single" w:sz="6" w:space="0" w:color="auto"/>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48 239 858</w:t>
            </w:r>
          </w:p>
        </w:tc>
        <w:tc>
          <w:tcPr>
            <w:tcW w:w="964" w:type="dxa"/>
            <w:tcBorders>
              <w:top w:val="single" w:sz="6" w:space="0" w:color="auto"/>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7.1</w:t>
            </w:r>
          </w:p>
        </w:tc>
      </w:tr>
      <w:tr w:rsidR="002C39A3" w:rsidRPr="003F3109" w:rsidTr="00361FA9">
        <w:tc>
          <w:tcPr>
            <w:tcW w:w="4677" w:type="dxa"/>
            <w:tcBorders>
              <w:top w:val="single" w:sz="6" w:space="0" w:color="auto"/>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Total cash inflo</w:t>
            </w:r>
            <w:r w:rsidR="0097550F">
              <w:rPr>
                <w:rFonts w:ascii="Calibri" w:eastAsiaTheme="minorEastAsia" w:hAnsi="Calibri" w:cs="Calibri"/>
                <w:b/>
                <w:bCs/>
                <w:color w:val="000000"/>
                <w:sz w:val="19"/>
                <w:szCs w:val="19"/>
                <w:lang w:eastAsia="en-AU"/>
              </w:rPr>
              <w:t>ws from investing and financing</w:t>
            </w:r>
          </w:p>
        </w:tc>
        <w:tc>
          <w:tcPr>
            <w:tcW w:w="1032" w:type="dxa"/>
            <w:tcBorders>
              <w:top w:val="single" w:sz="6" w:space="0" w:color="auto"/>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3 166 369</w:t>
            </w:r>
          </w:p>
        </w:tc>
        <w:tc>
          <w:tcPr>
            <w:tcW w:w="1094" w:type="dxa"/>
            <w:tcBorders>
              <w:top w:val="single" w:sz="6" w:space="0" w:color="auto"/>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12 510 631</w:t>
            </w:r>
          </w:p>
        </w:tc>
        <w:tc>
          <w:tcPr>
            <w:tcW w:w="964" w:type="dxa"/>
            <w:tcBorders>
              <w:top w:val="single" w:sz="6" w:space="0" w:color="auto"/>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295.1</w:t>
            </w:r>
          </w:p>
        </w:tc>
      </w:tr>
      <w:tr w:rsidR="002C39A3" w:rsidRPr="003F3109" w:rsidTr="00361FA9">
        <w:tc>
          <w:tcPr>
            <w:tcW w:w="4677" w:type="dxa"/>
            <w:tcBorders>
              <w:top w:val="single" w:sz="6" w:space="0" w:color="auto"/>
              <w:left w:val="nil"/>
              <w:bottom w:val="single" w:sz="12" w:space="0" w:color="auto"/>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Total Consolidated Fund receipts</w:t>
            </w:r>
          </w:p>
        </w:tc>
        <w:tc>
          <w:tcPr>
            <w:tcW w:w="1032" w:type="dxa"/>
            <w:tcBorders>
              <w:top w:val="single" w:sz="6" w:space="0" w:color="auto"/>
              <w:left w:val="nil"/>
              <w:bottom w:val="single" w:sz="12"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48 197 634</w:t>
            </w:r>
          </w:p>
        </w:tc>
        <w:tc>
          <w:tcPr>
            <w:tcW w:w="1094" w:type="dxa"/>
            <w:tcBorders>
              <w:top w:val="single" w:sz="6" w:space="0" w:color="auto"/>
              <w:left w:val="nil"/>
              <w:bottom w:val="single" w:sz="12"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60 750 490</w:t>
            </w:r>
          </w:p>
        </w:tc>
        <w:tc>
          <w:tcPr>
            <w:tcW w:w="964" w:type="dxa"/>
            <w:tcBorders>
              <w:top w:val="single" w:sz="6" w:space="0" w:color="auto"/>
              <w:left w:val="nil"/>
              <w:bottom w:val="single" w:sz="12"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26.0</w:t>
            </w:r>
          </w:p>
        </w:tc>
      </w:tr>
    </w:tbl>
    <w:p w:rsidR="002C39A3" w:rsidRDefault="002C39A3" w:rsidP="00361FA9">
      <w:pPr>
        <w:pStyle w:val="Source"/>
      </w:pPr>
      <w:r>
        <w:t>Source: Department of Treasury and Finance</w:t>
      </w:r>
    </w:p>
    <w:p w:rsidR="002C39A3" w:rsidRDefault="002C39A3" w:rsidP="00361FA9">
      <w:pPr>
        <w:pStyle w:val="Notes"/>
      </w:pPr>
      <w:r>
        <w:t>Notes:</w:t>
      </w:r>
    </w:p>
    <w:p w:rsidR="002C39A3" w:rsidRDefault="002C39A3" w:rsidP="00361FA9">
      <w:pPr>
        <w:pStyle w:val="Notes"/>
      </w:pPr>
      <w:r>
        <w:t>(a)</w:t>
      </w:r>
      <w:r>
        <w:tab/>
        <w:t xml:space="preserve">Certain line items have been aggregated in the table above due to commercial sensitivities of balances. </w:t>
      </w:r>
    </w:p>
    <w:p w:rsidR="002C39A3" w:rsidRDefault="002C39A3" w:rsidP="00361FA9">
      <w:pPr>
        <w:pStyle w:val="Notes"/>
      </w:pPr>
      <w:r>
        <w:t>(b)</w:t>
      </w:r>
      <w:r>
        <w:tab/>
        <w:t>The g</w:t>
      </w:r>
      <w:r w:rsidRPr="00B12A8C">
        <w:t>rowth areas infrastructure contribution</w:t>
      </w:r>
      <w:r>
        <w:t xml:space="preserve"> and the metropolitan planning l</w:t>
      </w:r>
      <w:r w:rsidRPr="00B12A8C">
        <w:t>evy</w:t>
      </w:r>
      <w:r>
        <w:t xml:space="preserve"> have been separated for disclosure purposes. </w:t>
      </w:r>
    </w:p>
    <w:p w:rsidR="002C39A3" w:rsidRDefault="002C39A3">
      <w:pPr>
        <w:spacing w:after="0"/>
        <w:rPr>
          <w:rFonts w:ascii="Calibri" w:hAnsi="Calibri"/>
          <w:b/>
        </w:rPr>
      </w:pPr>
      <w:r>
        <w:br w:type="page"/>
      </w:r>
    </w:p>
    <w:p w:rsidR="002C39A3" w:rsidRDefault="002C39A3" w:rsidP="00361FA9">
      <w:pPr>
        <w:pStyle w:val="Tableheading"/>
      </w:pPr>
      <w:r>
        <w:t>Table A.3:</w:t>
      </w:r>
      <w:r>
        <w:tab/>
        <w:t>Consolidated Fund appropriations – summary</w:t>
      </w:r>
    </w:p>
    <w:p w:rsidR="002C39A3" w:rsidRPr="003F3109" w:rsidRDefault="002C39A3" w:rsidP="00361FA9">
      <w:pPr>
        <w:pStyle w:val="million"/>
        <w:rPr>
          <w:rFonts w:eastAsiaTheme="minorEastAsia"/>
          <w:b/>
          <w:bCs/>
          <w:lang w:val="en-US" w:eastAsia="en-AU"/>
        </w:rPr>
      </w:pPr>
      <w:r>
        <w:t>($ thousand)</w:t>
      </w:r>
    </w:p>
    <w:tbl>
      <w:tblPr>
        <w:tblW w:w="7767" w:type="dxa"/>
        <w:tblInd w:w="45" w:type="dxa"/>
        <w:tblLayout w:type="fixed"/>
        <w:tblCellMar>
          <w:left w:w="45" w:type="dxa"/>
          <w:right w:w="45" w:type="dxa"/>
        </w:tblCellMar>
        <w:tblLook w:val="0000" w:firstRow="0" w:lastRow="0" w:firstColumn="0" w:lastColumn="0" w:noHBand="0" w:noVBand="0"/>
      </w:tblPr>
      <w:tblGrid>
        <w:gridCol w:w="4677"/>
        <w:gridCol w:w="1032"/>
        <w:gridCol w:w="1094"/>
        <w:gridCol w:w="964"/>
      </w:tblGrid>
      <w:tr w:rsidR="0097550F" w:rsidRPr="003F3109" w:rsidTr="00502FAF">
        <w:trPr>
          <w:trHeight w:val="464"/>
          <w:tblHeader/>
        </w:trPr>
        <w:tc>
          <w:tcPr>
            <w:tcW w:w="4677" w:type="dxa"/>
            <w:tcBorders>
              <w:top w:val="nil"/>
              <w:left w:val="nil"/>
              <w:right w:val="nil"/>
            </w:tcBorders>
            <w:shd w:val="solid" w:color="000000" w:fill="auto"/>
            <w:vAlign w:val="bottom"/>
          </w:tcPr>
          <w:p w:rsidR="0097550F" w:rsidRPr="003F3109" w:rsidRDefault="0097550F" w:rsidP="00361FA9">
            <w:pPr>
              <w:autoSpaceDE w:val="0"/>
              <w:autoSpaceDN w:val="0"/>
              <w:adjustRightInd w:val="0"/>
              <w:spacing w:after="0"/>
              <w:rPr>
                <w:rFonts w:eastAsiaTheme="minorEastAsia" w:cs="Calibri"/>
                <w:iCs/>
                <w:color w:val="FFFFFF"/>
                <w:sz w:val="19"/>
                <w:szCs w:val="19"/>
                <w:lang w:eastAsia="en-AU"/>
              </w:rPr>
            </w:pPr>
          </w:p>
        </w:tc>
        <w:tc>
          <w:tcPr>
            <w:tcW w:w="1032" w:type="dxa"/>
            <w:tcBorders>
              <w:top w:val="nil"/>
              <w:left w:val="nil"/>
              <w:right w:val="nil"/>
            </w:tcBorders>
            <w:shd w:val="solid" w:color="000000" w:fill="auto"/>
            <w:vAlign w:val="bottom"/>
          </w:tcPr>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2015-16</w:t>
            </w:r>
          </w:p>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budget</w:t>
            </w:r>
          </w:p>
        </w:tc>
        <w:tc>
          <w:tcPr>
            <w:tcW w:w="1094" w:type="dxa"/>
            <w:tcBorders>
              <w:top w:val="nil"/>
              <w:left w:val="nil"/>
              <w:right w:val="nil"/>
            </w:tcBorders>
            <w:shd w:val="solid" w:color="000000" w:fill="auto"/>
            <w:vAlign w:val="bottom"/>
          </w:tcPr>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2016-17</w:t>
            </w:r>
          </w:p>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budget</w:t>
            </w:r>
          </w:p>
        </w:tc>
        <w:tc>
          <w:tcPr>
            <w:tcW w:w="964" w:type="dxa"/>
            <w:tcBorders>
              <w:top w:val="nil"/>
              <w:left w:val="nil"/>
              <w:right w:val="nil"/>
            </w:tcBorders>
            <w:shd w:val="solid" w:color="000000" w:fill="auto"/>
            <w:vAlign w:val="bottom"/>
          </w:tcPr>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Variation</w:t>
            </w:r>
          </w:p>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w:t>
            </w:r>
          </w:p>
        </w:tc>
      </w:tr>
      <w:tr w:rsidR="0097550F" w:rsidRPr="003F3109" w:rsidTr="00502FAF">
        <w:tc>
          <w:tcPr>
            <w:tcW w:w="7767" w:type="dxa"/>
            <w:gridSpan w:val="4"/>
            <w:tcBorders>
              <w:top w:val="nil"/>
              <w:left w:val="nil"/>
              <w:right w:val="nil"/>
            </w:tcBorders>
            <w:shd w:val="clear" w:color="000000" w:fill="FFFFFF"/>
          </w:tcPr>
          <w:p w:rsidR="0097550F" w:rsidRPr="003F3109" w:rsidRDefault="0097550F" w:rsidP="0097550F">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b/>
                <w:bCs/>
                <w:color w:val="000000"/>
                <w:sz w:val="19"/>
                <w:szCs w:val="19"/>
                <w:lang w:eastAsia="en-AU"/>
              </w:rPr>
              <w:t>Economic Development, Jobs, Transport and Resources</w:t>
            </w:r>
          </w:p>
        </w:tc>
      </w:tr>
      <w:tr w:rsidR="002C39A3" w:rsidRPr="003F3109" w:rsidTr="00361FA9">
        <w:tc>
          <w:tcPr>
            <w:tcW w:w="4677" w:type="dxa"/>
            <w:tcBorders>
              <w:top w:val="nil"/>
              <w:left w:val="nil"/>
              <w:right w:val="nil"/>
            </w:tcBorders>
            <w:shd w:val="solid" w:color="FFFFFF"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Special appropriations</w:t>
            </w:r>
          </w:p>
        </w:tc>
        <w:tc>
          <w:tcPr>
            <w:tcW w:w="1032" w:type="dxa"/>
            <w:tcBorders>
              <w:top w:val="nil"/>
              <w:left w:val="nil"/>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5 622</w:t>
            </w:r>
          </w:p>
        </w:tc>
        <w:tc>
          <w:tcPr>
            <w:tcW w:w="1094" w:type="dxa"/>
            <w:tcBorders>
              <w:top w:val="nil"/>
              <w:left w:val="nil"/>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5 835</w:t>
            </w:r>
          </w:p>
        </w:tc>
        <w:tc>
          <w:tcPr>
            <w:tcW w:w="964" w:type="dxa"/>
            <w:tcBorders>
              <w:top w:val="nil"/>
              <w:left w:val="nil"/>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3.8</w:t>
            </w:r>
          </w:p>
        </w:tc>
      </w:tr>
      <w:tr w:rsidR="002C39A3" w:rsidRPr="003F3109" w:rsidTr="00361FA9">
        <w:tc>
          <w:tcPr>
            <w:tcW w:w="4677" w:type="dxa"/>
            <w:tcBorders>
              <w:top w:val="nil"/>
              <w:left w:val="nil"/>
              <w:bottom w:val="nil"/>
              <w:right w:val="nil"/>
            </w:tcBorders>
            <w:shd w:val="solid" w:color="FFFFFF"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Annual appropriations</w:t>
            </w:r>
          </w:p>
        </w:tc>
        <w:tc>
          <w:tcPr>
            <w:tcW w:w="1032" w:type="dxa"/>
            <w:tcBorders>
              <w:top w:val="nil"/>
              <w:left w:val="nil"/>
              <w:bottom w:val="single" w:sz="6" w:space="0" w:color="auto"/>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9 070 438</w:t>
            </w:r>
          </w:p>
        </w:tc>
        <w:tc>
          <w:tcPr>
            <w:tcW w:w="1094" w:type="dxa"/>
            <w:tcBorders>
              <w:top w:val="nil"/>
              <w:left w:val="nil"/>
              <w:bottom w:val="single" w:sz="6" w:space="0" w:color="auto"/>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9 852 921</w:t>
            </w:r>
          </w:p>
        </w:tc>
        <w:tc>
          <w:tcPr>
            <w:tcW w:w="964" w:type="dxa"/>
            <w:tcBorders>
              <w:top w:val="nil"/>
              <w:left w:val="nil"/>
              <w:bottom w:val="single" w:sz="6" w:space="0" w:color="auto"/>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8.6</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 xml:space="preserve">  Total</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9 076 060</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9 858 756</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8.6</w:t>
            </w:r>
          </w:p>
        </w:tc>
      </w:tr>
      <w:tr w:rsidR="0097550F" w:rsidRPr="003F3109" w:rsidTr="00502FAF">
        <w:tc>
          <w:tcPr>
            <w:tcW w:w="7767" w:type="dxa"/>
            <w:gridSpan w:val="4"/>
            <w:tcBorders>
              <w:top w:val="nil"/>
              <w:left w:val="nil"/>
              <w:right w:val="nil"/>
            </w:tcBorders>
            <w:shd w:val="clear" w:color="000000" w:fill="FFFFFF"/>
          </w:tcPr>
          <w:p w:rsidR="0097550F" w:rsidRPr="003F3109" w:rsidRDefault="0097550F" w:rsidP="0097550F">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b/>
                <w:bCs/>
                <w:color w:val="000000"/>
                <w:sz w:val="19"/>
                <w:szCs w:val="19"/>
                <w:lang w:eastAsia="en-AU"/>
              </w:rPr>
              <w:t>Education and Training</w:t>
            </w:r>
          </w:p>
        </w:tc>
      </w:tr>
      <w:tr w:rsidR="002C39A3" w:rsidRPr="003F3109" w:rsidTr="00361FA9">
        <w:tc>
          <w:tcPr>
            <w:tcW w:w="4677" w:type="dxa"/>
            <w:tcBorders>
              <w:top w:val="nil"/>
              <w:left w:val="nil"/>
              <w:right w:val="nil"/>
            </w:tcBorders>
            <w:shd w:val="solid" w:color="FFFFFF"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Special appropriations</w:t>
            </w:r>
          </w:p>
        </w:tc>
        <w:tc>
          <w:tcPr>
            <w:tcW w:w="1032" w:type="dxa"/>
            <w:tcBorders>
              <w:top w:val="nil"/>
              <w:left w:val="nil"/>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13 018</w:t>
            </w:r>
          </w:p>
        </w:tc>
        <w:tc>
          <w:tcPr>
            <w:tcW w:w="1094" w:type="dxa"/>
            <w:tcBorders>
              <w:top w:val="nil"/>
              <w:left w:val="nil"/>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12 002</w:t>
            </w:r>
          </w:p>
        </w:tc>
        <w:tc>
          <w:tcPr>
            <w:tcW w:w="964" w:type="dxa"/>
            <w:tcBorders>
              <w:top w:val="nil"/>
              <w:left w:val="nil"/>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(7.8)</w:t>
            </w:r>
          </w:p>
        </w:tc>
      </w:tr>
      <w:tr w:rsidR="002C39A3" w:rsidRPr="003F3109" w:rsidTr="00361FA9">
        <w:tc>
          <w:tcPr>
            <w:tcW w:w="4677" w:type="dxa"/>
            <w:tcBorders>
              <w:top w:val="nil"/>
              <w:left w:val="nil"/>
              <w:bottom w:val="nil"/>
              <w:right w:val="nil"/>
            </w:tcBorders>
            <w:shd w:val="solid" w:color="FFFFFF"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Annual appropriations</w:t>
            </w:r>
          </w:p>
        </w:tc>
        <w:tc>
          <w:tcPr>
            <w:tcW w:w="1032" w:type="dxa"/>
            <w:tcBorders>
              <w:top w:val="nil"/>
              <w:left w:val="nil"/>
              <w:bottom w:val="single" w:sz="6" w:space="0" w:color="auto"/>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11 465 013</w:t>
            </w:r>
          </w:p>
        </w:tc>
        <w:tc>
          <w:tcPr>
            <w:tcW w:w="1094" w:type="dxa"/>
            <w:tcBorders>
              <w:top w:val="nil"/>
              <w:left w:val="nil"/>
              <w:bottom w:val="single" w:sz="6" w:space="0" w:color="auto"/>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12 391 495</w:t>
            </w:r>
          </w:p>
        </w:tc>
        <w:tc>
          <w:tcPr>
            <w:tcW w:w="964" w:type="dxa"/>
            <w:tcBorders>
              <w:top w:val="nil"/>
              <w:left w:val="nil"/>
              <w:bottom w:val="single" w:sz="6" w:space="0" w:color="auto"/>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8.1</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color w:val="000000"/>
                <w:sz w:val="19"/>
                <w:szCs w:val="19"/>
                <w:lang w:eastAsia="en-AU"/>
              </w:rPr>
              <w:t xml:space="preserve">  </w:t>
            </w:r>
            <w:r w:rsidRPr="003F3109">
              <w:rPr>
                <w:rFonts w:ascii="Calibri" w:eastAsiaTheme="minorEastAsia" w:hAnsi="Calibri" w:cs="Calibri"/>
                <w:b/>
                <w:bCs/>
                <w:color w:val="000000"/>
                <w:sz w:val="19"/>
                <w:szCs w:val="19"/>
                <w:lang w:eastAsia="en-AU"/>
              </w:rPr>
              <w:t>Total</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11 478 031</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12 403 497</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8.1</w:t>
            </w:r>
          </w:p>
        </w:tc>
      </w:tr>
      <w:tr w:rsidR="0097550F" w:rsidRPr="003F3109" w:rsidTr="00502FAF">
        <w:tc>
          <w:tcPr>
            <w:tcW w:w="7767" w:type="dxa"/>
            <w:gridSpan w:val="4"/>
            <w:tcBorders>
              <w:top w:val="nil"/>
              <w:left w:val="nil"/>
              <w:right w:val="nil"/>
            </w:tcBorders>
            <w:shd w:val="clear" w:color="000000" w:fill="FFFFFF"/>
          </w:tcPr>
          <w:p w:rsidR="0097550F" w:rsidRPr="003F3109" w:rsidRDefault="0097550F" w:rsidP="0097550F">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b/>
                <w:bCs/>
                <w:color w:val="000000"/>
                <w:sz w:val="19"/>
                <w:szCs w:val="19"/>
                <w:lang w:eastAsia="en-AU"/>
              </w:rPr>
              <w:t>Environment, Land, Water and Planning</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Special appropriations</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14 100</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62 252</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341.5</w:t>
            </w:r>
          </w:p>
        </w:tc>
      </w:tr>
      <w:tr w:rsidR="002C39A3" w:rsidRPr="003F3109" w:rsidTr="00361FA9">
        <w:tc>
          <w:tcPr>
            <w:tcW w:w="4677" w:type="dxa"/>
            <w:tcBorders>
              <w:top w:val="nil"/>
              <w:left w:val="nil"/>
              <w:bottom w:val="nil"/>
              <w:right w:val="nil"/>
            </w:tcBorders>
            <w:shd w:val="solid" w:color="FFFFFF"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Annual appropriations</w:t>
            </w:r>
          </w:p>
        </w:tc>
        <w:tc>
          <w:tcPr>
            <w:tcW w:w="1032" w:type="dxa"/>
            <w:tcBorders>
              <w:top w:val="nil"/>
              <w:left w:val="nil"/>
              <w:bottom w:val="single" w:sz="6" w:space="0" w:color="auto"/>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1 882 976</w:t>
            </w:r>
          </w:p>
        </w:tc>
        <w:tc>
          <w:tcPr>
            <w:tcW w:w="1094" w:type="dxa"/>
            <w:tcBorders>
              <w:top w:val="nil"/>
              <w:left w:val="nil"/>
              <w:bottom w:val="single" w:sz="6" w:space="0" w:color="auto"/>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2 021 683</w:t>
            </w:r>
          </w:p>
        </w:tc>
        <w:tc>
          <w:tcPr>
            <w:tcW w:w="964" w:type="dxa"/>
            <w:tcBorders>
              <w:top w:val="nil"/>
              <w:left w:val="nil"/>
              <w:bottom w:val="single" w:sz="6" w:space="0" w:color="auto"/>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7.4</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color w:val="000000"/>
                <w:sz w:val="19"/>
                <w:szCs w:val="19"/>
                <w:lang w:eastAsia="en-AU"/>
              </w:rPr>
              <w:t xml:space="preserve">  </w:t>
            </w:r>
            <w:r w:rsidRPr="003F3109">
              <w:rPr>
                <w:rFonts w:ascii="Calibri" w:eastAsiaTheme="minorEastAsia" w:hAnsi="Calibri" w:cs="Calibri"/>
                <w:b/>
                <w:bCs/>
                <w:color w:val="000000"/>
                <w:sz w:val="19"/>
                <w:szCs w:val="19"/>
                <w:lang w:eastAsia="en-AU"/>
              </w:rPr>
              <w:t>Total</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1 897 076</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2 083 935</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9.8</w:t>
            </w:r>
          </w:p>
        </w:tc>
      </w:tr>
      <w:tr w:rsidR="0097550F" w:rsidRPr="003F3109" w:rsidTr="00502FAF">
        <w:tc>
          <w:tcPr>
            <w:tcW w:w="7767" w:type="dxa"/>
            <w:gridSpan w:val="4"/>
            <w:tcBorders>
              <w:top w:val="nil"/>
              <w:left w:val="nil"/>
              <w:right w:val="nil"/>
            </w:tcBorders>
            <w:shd w:val="clear" w:color="000000" w:fill="FFFFFF"/>
          </w:tcPr>
          <w:p w:rsidR="0097550F" w:rsidRPr="003F3109" w:rsidRDefault="0097550F" w:rsidP="0097550F">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b/>
                <w:bCs/>
                <w:color w:val="000000"/>
                <w:sz w:val="19"/>
                <w:szCs w:val="19"/>
                <w:lang w:eastAsia="en-AU"/>
              </w:rPr>
              <w:t>Health and Human Services</w:t>
            </w:r>
          </w:p>
        </w:tc>
      </w:tr>
      <w:tr w:rsidR="002C39A3" w:rsidRPr="003F3109" w:rsidTr="00361FA9">
        <w:tc>
          <w:tcPr>
            <w:tcW w:w="4677" w:type="dxa"/>
            <w:tcBorders>
              <w:top w:val="nil"/>
              <w:left w:val="nil"/>
              <w:right w:val="nil"/>
            </w:tcBorders>
            <w:shd w:val="solid" w:color="FFFFFF"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Special appropriations</w:t>
            </w:r>
          </w:p>
        </w:tc>
        <w:tc>
          <w:tcPr>
            <w:tcW w:w="1032" w:type="dxa"/>
            <w:tcBorders>
              <w:top w:val="nil"/>
              <w:left w:val="nil"/>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1 408 366</w:t>
            </w:r>
          </w:p>
        </w:tc>
        <w:tc>
          <w:tcPr>
            <w:tcW w:w="1094" w:type="dxa"/>
            <w:tcBorders>
              <w:top w:val="nil"/>
              <w:left w:val="nil"/>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1 629 601</w:t>
            </w:r>
          </w:p>
        </w:tc>
        <w:tc>
          <w:tcPr>
            <w:tcW w:w="964" w:type="dxa"/>
            <w:tcBorders>
              <w:top w:val="nil"/>
              <w:left w:val="nil"/>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15.7</w:t>
            </w:r>
          </w:p>
        </w:tc>
      </w:tr>
      <w:tr w:rsidR="002C39A3" w:rsidRPr="003F3109" w:rsidTr="00361FA9">
        <w:tc>
          <w:tcPr>
            <w:tcW w:w="4677" w:type="dxa"/>
            <w:tcBorders>
              <w:top w:val="nil"/>
              <w:left w:val="nil"/>
              <w:bottom w:val="nil"/>
              <w:right w:val="nil"/>
            </w:tcBorders>
            <w:shd w:val="solid" w:color="FFFFFF"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Annual appropriations </w:t>
            </w:r>
          </w:p>
        </w:tc>
        <w:tc>
          <w:tcPr>
            <w:tcW w:w="1032" w:type="dxa"/>
            <w:tcBorders>
              <w:top w:val="nil"/>
              <w:left w:val="nil"/>
              <w:bottom w:val="single" w:sz="6" w:space="0" w:color="auto"/>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13 158 758</w:t>
            </w:r>
          </w:p>
        </w:tc>
        <w:tc>
          <w:tcPr>
            <w:tcW w:w="1094" w:type="dxa"/>
            <w:tcBorders>
              <w:top w:val="nil"/>
              <w:left w:val="nil"/>
              <w:bottom w:val="single" w:sz="6" w:space="0" w:color="auto"/>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13 571 634</w:t>
            </w:r>
          </w:p>
        </w:tc>
        <w:tc>
          <w:tcPr>
            <w:tcW w:w="964" w:type="dxa"/>
            <w:tcBorders>
              <w:top w:val="nil"/>
              <w:left w:val="nil"/>
              <w:bottom w:val="single" w:sz="6" w:space="0" w:color="auto"/>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3.1</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color w:val="000000"/>
                <w:sz w:val="19"/>
                <w:szCs w:val="19"/>
                <w:lang w:eastAsia="en-AU"/>
              </w:rPr>
              <w:t xml:space="preserve">  </w:t>
            </w:r>
            <w:r w:rsidRPr="003F3109">
              <w:rPr>
                <w:rFonts w:ascii="Calibri" w:eastAsiaTheme="minorEastAsia" w:hAnsi="Calibri" w:cs="Calibri"/>
                <w:b/>
                <w:bCs/>
                <w:color w:val="000000"/>
                <w:sz w:val="19"/>
                <w:szCs w:val="19"/>
                <w:lang w:eastAsia="en-AU"/>
              </w:rPr>
              <w:t>Total</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14 567 124</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15 201 235</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4.4</w:t>
            </w:r>
          </w:p>
        </w:tc>
      </w:tr>
      <w:tr w:rsidR="0097550F" w:rsidRPr="003F3109" w:rsidTr="00502FAF">
        <w:tc>
          <w:tcPr>
            <w:tcW w:w="7767" w:type="dxa"/>
            <w:gridSpan w:val="4"/>
            <w:tcBorders>
              <w:top w:val="nil"/>
              <w:left w:val="nil"/>
              <w:right w:val="nil"/>
            </w:tcBorders>
            <w:shd w:val="clear" w:color="000000" w:fill="FFFFFF"/>
          </w:tcPr>
          <w:p w:rsidR="0097550F" w:rsidRPr="003F3109" w:rsidRDefault="0097550F" w:rsidP="0097550F">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b/>
                <w:bCs/>
                <w:color w:val="000000"/>
                <w:sz w:val="19"/>
                <w:szCs w:val="19"/>
                <w:lang w:eastAsia="en-AU"/>
              </w:rPr>
              <w:t>Justice and Regulation</w:t>
            </w:r>
          </w:p>
        </w:tc>
      </w:tr>
      <w:tr w:rsidR="002C39A3" w:rsidRPr="003F3109" w:rsidTr="00361FA9">
        <w:tc>
          <w:tcPr>
            <w:tcW w:w="4677" w:type="dxa"/>
            <w:tcBorders>
              <w:top w:val="nil"/>
              <w:left w:val="nil"/>
              <w:right w:val="nil"/>
            </w:tcBorders>
            <w:shd w:val="solid" w:color="FFFFFF"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Special appropriations</w:t>
            </w:r>
          </w:p>
        </w:tc>
        <w:tc>
          <w:tcPr>
            <w:tcW w:w="1032" w:type="dxa"/>
            <w:tcBorders>
              <w:top w:val="nil"/>
              <w:left w:val="nil"/>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11 180</w:t>
            </w:r>
          </w:p>
        </w:tc>
        <w:tc>
          <w:tcPr>
            <w:tcW w:w="1094" w:type="dxa"/>
            <w:tcBorders>
              <w:top w:val="nil"/>
              <w:left w:val="nil"/>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11 873</w:t>
            </w:r>
          </w:p>
        </w:tc>
        <w:tc>
          <w:tcPr>
            <w:tcW w:w="964" w:type="dxa"/>
            <w:tcBorders>
              <w:top w:val="nil"/>
              <w:left w:val="nil"/>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6.2</w:t>
            </w:r>
          </w:p>
        </w:tc>
      </w:tr>
      <w:tr w:rsidR="002C39A3" w:rsidRPr="003F3109" w:rsidTr="00361FA9">
        <w:tc>
          <w:tcPr>
            <w:tcW w:w="4677" w:type="dxa"/>
            <w:tcBorders>
              <w:top w:val="nil"/>
              <w:left w:val="nil"/>
              <w:bottom w:val="nil"/>
              <w:right w:val="nil"/>
            </w:tcBorders>
            <w:shd w:val="solid" w:color="FFFFFF"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Annual appropriations</w:t>
            </w:r>
          </w:p>
        </w:tc>
        <w:tc>
          <w:tcPr>
            <w:tcW w:w="1032" w:type="dxa"/>
            <w:tcBorders>
              <w:top w:val="nil"/>
              <w:left w:val="nil"/>
              <w:bottom w:val="single" w:sz="6" w:space="0" w:color="auto"/>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5 888 369</w:t>
            </w:r>
          </w:p>
        </w:tc>
        <w:tc>
          <w:tcPr>
            <w:tcW w:w="1094" w:type="dxa"/>
            <w:tcBorders>
              <w:top w:val="nil"/>
              <w:left w:val="nil"/>
              <w:bottom w:val="single" w:sz="6" w:space="0" w:color="auto"/>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6 344 737</w:t>
            </w:r>
          </w:p>
        </w:tc>
        <w:tc>
          <w:tcPr>
            <w:tcW w:w="964" w:type="dxa"/>
            <w:tcBorders>
              <w:top w:val="nil"/>
              <w:left w:val="nil"/>
              <w:bottom w:val="single" w:sz="6" w:space="0" w:color="auto"/>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7.8</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color w:val="000000"/>
                <w:sz w:val="19"/>
                <w:szCs w:val="19"/>
                <w:lang w:eastAsia="en-AU"/>
              </w:rPr>
              <w:t xml:space="preserve">  </w:t>
            </w:r>
            <w:r w:rsidRPr="003F3109">
              <w:rPr>
                <w:rFonts w:ascii="Calibri" w:eastAsiaTheme="minorEastAsia" w:hAnsi="Calibri" w:cs="Calibri"/>
                <w:b/>
                <w:bCs/>
                <w:color w:val="000000"/>
                <w:sz w:val="19"/>
                <w:szCs w:val="19"/>
                <w:lang w:eastAsia="en-AU"/>
              </w:rPr>
              <w:t>Total</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5 899 549</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6 356 610</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7.7</w:t>
            </w:r>
          </w:p>
        </w:tc>
      </w:tr>
      <w:tr w:rsidR="0097550F" w:rsidRPr="003F3109" w:rsidTr="00502FAF">
        <w:tc>
          <w:tcPr>
            <w:tcW w:w="7767" w:type="dxa"/>
            <w:gridSpan w:val="4"/>
            <w:tcBorders>
              <w:top w:val="nil"/>
              <w:left w:val="nil"/>
              <w:right w:val="nil"/>
            </w:tcBorders>
            <w:shd w:val="clear" w:color="000000" w:fill="FFFFFF"/>
          </w:tcPr>
          <w:p w:rsidR="0097550F" w:rsidRPr="003F3109" w:rsidRDefault="0097550F" w:rsidP="0097550F">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b/>
                <w:bCs/>
                <w:color w:val="000000"/>
                <w:sz w:val="19"/>
                <w:szCs w:val="19"/>
                <w:lang w:eastAsia="en-AU"/>
              </w:rPr>
              <w:t>Premier and Cabinet</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Special appropriations</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62 651</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81 125</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29.5</w:t>
            </w:r>
          </w:p>
        </w:tc>
      </w:tr>
      <w:tr w:rsidR="002C39A3" w:rsidRPr="003F3109" w:rsidTr="00361FA9">
        <w:tc>
          <w:tcPr>
            <w:tcW w:w="4677" w:type="dxa"/>
            <w:tcBorders>
              <w:top w:val="nil"/>
              <w:left w:val="nil"/>
              <w:bottom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Annual appropriations</w:t>
            </w:r>
          </w:p>
        </w:tc>
        <w:tc>
          <w:tcPr>
            <w:tcW w:w="1032" w:type="dxa"/>
            <w:tcBorders>
              <w:top w:val="nil"/>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344 189</w:t>
            </w:r>
          </w:p>
        </w:tc>
        <w:tc>
          <w:tcPr>
            <w:tcW w:w="1094" w:type="dxa"/>
            <w:tcBorders>
              <w:top w:val="nil"/>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495 623</w:t>
            </w:r>
          </w:p>
        </w:tc>
        <w:tc>
          <w:tcPr>
            <w:tcW w:w="964" w:type="dxa"/>
            <w:tcBorders>
              <w:top w:val="nil"/>
              <w:left w:val="nil"/>
              <w:bottom w:val="single" w:sz="6" w:space="0" w:color="auto"/>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44.0</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color w:val="000000"/>
                <w:sz w:val="19"/>
                <w:szCs w:val="19"/>
                <w:lang w:eastAsia="en-AU"/>
              </w:rPr>
              <w:t xml:space="preserve">  </w:t>
            </w:r>
            <w:r w:rsidRPr="003F3109">
              <w:rPr>
                <w:rFonts w:ascii="Calibri" w:eastAsiaTheme="minorEastAsia" w:hAnsi="Calibri" w:cs="Calibri"/>
                <w:b/>
                <w:bCs/>
                <w:color w:val="000000"/>
                <w:sz w:val="19"/>
                <w:szCs w:val="19"/>
                <w:lang w:eastAsia="en-AU"/>
              </w:rPr>
              <w:t>Total</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406 840</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576 748</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41.8</w:t>
            </w:r>
          </w:p>
        </w:tc>
      </w:tr>
      <w:tr w:rsidR="0097550F" w:rsidRPr="003F3109" w:rsidTr="00502FAF">
        <w:tc>
          <w:tcPr>
            <w:tcW w:w="7767" w:type="dxa"/>
            <w:gridSpan w:val="4"/>
            <w:tcBorders>
              <w:top w:val="nil"/>
              <w:left w:val="nil"/>
              <w:right w:val="nil"/>
            </w:tcBorders>
            <w:shd w:val="clear" w:color="000000" w:fill="FFFFFF"/>
          </w:tcPr>
          <w:p w:rsidR="0097550F" w:rsidRPr="003F3109" w:rsidRDefault="0097550F" w:rsidP="0097550F">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b/>
                <w:bCs/>
                <w:color w:val="000000"/>
                <w:sz w:val="19"/>
                <w:szCs w:val="19"/>
                <w:lang w:eastAsia="en-AU"/>
              </w:rPr>
              <w:t>Parliament</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Special appropriations</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42 849</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68 731</w:t>
            </w:r>
          </w:p>
        </w:tc>
        <w:tc>
          <w:tcPr>
            <w:tcW w:w="96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60.4</w:t>
            </w:r>
          </w:p>
        </w:tc>
      </w:tr>
      <w:tr w:rsidR="002C39A3" w:rsidRPr="003F3109" w:rsidTr="00361FA9">
        <w:tc>
          <w:tcPr>
            <w:tcW w:w="4677" w:type="dxa"/>
            <w:tcBorders>
              <w:top w:val="nil"/>
              <w:left w:val="nil"/>
              <w:bottom w:val="nil"/>
              <w:right w:val="nil"/>
            </w:tcBorders>
            <w:shd w:val="solid" w:color="FFFFFF"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Annual appropriations</w:t>
            </w:r>
          </w:p>
        </w:tc>
        <w:tc>
          <w:tcPr>
            <w:tcW w:w="1032" w:type="dxa"/>
            <w:tcBorders>
              <w:top w:val="nil"/>
              <w:left w:val="nil"/>
              <w:bottom w:val="single" w:sz="6" w:space="0" w:color="auto"/>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146 743</w:t>
            </w:r>
          </w:p>
        </w:tc>
        <w:tc>
          <w:tcPr>
            <w:tcW w:w="1094" w:type="dxa"/>
            <w:tcBorders>
              <w:top w:val="nil"/>
              <w:left w:val="nil"/>
              <w:bottom w:val="single" w:sz="6" w:space="0" w:color="auto"/>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159 891</w:t>
            </w:r>
          </w:p>
        </w:tc>
        <w:tc>
          <w:tcPr>
            <w:tcW w:w="964" w:type="dxa"/>
            <w:tcBorders>
              <w:top w:val="nil"/>
              <w:left w:val="nil"/>
              <w:bottom w:val="single" w:sz="6" w:space="0" w:color="auto"/>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9.0</w:t>
            </w:r>
          </w:p>
        </w:tc>
      </w:tr>
      <w:tr w:rsidR="002C39A3" w:rsidRPr="003F3109" w:rsidTr="00361FA9">
        <w:tc>
          <w:tcPr>
            <w:tcW w:w="4677" w:type="dxa"/>
            <w:tcBorders>
              <w:top w:val="nil"/>
              <w:left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color w:val="000000"/>
                <w:sz w:val="19"/>
                <w:szCs w:val="19"/>
                <w:lang w:eastAsia="en-AU"/>
              </w:rPr>
              <w:t xml:space="preserve">  </w:t>
            </w:r>
            <w:r w:rsidRPr="003F3109">
              <w:rPr>
                <w:rFonts w:ascii="Calibri" w:eastAsiaTheme="minorEastAsia" w:hAnsi="Calibri" w:cs="Calibri"/>
                <w:b/>
                <w:bCs/>
                <w:color w:val="000000"/>
                <w:sz w:val="19"/>
                <w:szCs w:val="19"/>
                <w:lang w:eastAsia="en-AU"/>
              </w:rPr>
              <w:t>Total</w:t>
            </w:r>
          </w:p>
        </w:tc>
        <w:tc>
          <w:tcPr>
            <w:tcW w:w="1032"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189 592</w:t>
            </w:r>
          </w:p>
        </w:tc>
        <w:tc>
          <w:tcPr>
            <w:tcW w:w="1094" w:type="dxa"/>
            <w:tcBorders>
              <w:top w:val="nil"/>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228 622</w:t>
            </w:r>
          </w:p>
        </w:tc>
        <w:tc>
          <w:tcPr>
            <w:tcW w:w="964" w:type="dxa"/>
            <w:tcBorders>
              <w:top w:val="single" w:sz="6" w:space="0" w:color="auto"/>
              <w:left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20.6</w:t>
            </w:r>
          </w:p>
        </w:tc>
      </w:tr>
      <w:tr w:rsidR="0097550F" w:rsidRPr="003F3109" w:rsidTr="00502FAF">
        <w:tc>
          <w:tcPr>
            <w:tcW w:w="7767" w:type="dxa"/>
            <w:gridSpan w:val="4"/>
            <w:tcBorders>
              <w:top w:val="nil"/>
              <w:left w:val="nil"/>
              <w:right w:val="nil"/>
            </w:tcBorders>
            <w:shd w:val="clear" w:color="000000" w:fill="FFFFFF"/>
          </w:tcPr>
          <w:p w:rsidR="0097550F" w:rsidRPr="003F3109" w:rsidRDefault="0097550F" w:rsidP="0097550F">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b/>
                <w:bCs/>
                <w:color w:val="000000"/>
                <w:sz w:val="19"/>
                <w:szCs w:val="19"/>
                <w:lang w:eastAsia="en-AU"/>
              </w:rPr>
              <w:t>Courts</w:t>
            </w:r>
          </w:p>
        </w:tc>
      </w:tr>
      <w:tr w:rsidR="002C39A3" w:rsidRPr="003F3109" w:rsidTr="00361FA9">
        <w:tc>
          <w:tcPr>
            <w:tcW w:w="4677" w:type="dxa"/>
            <w:tcBorders>
              <w:top w:val="nil"/>
              <w:left w:val="nil"/>
              <w:right w:val="nil"/>
            </w:tcBorders>
            <w:shd w:val="solid" w:color="FFFFFF"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Special appropriations</w:t>
            </w:r>
          </w:p>
        </w:tc>
        <w:tc>
          <w:tcPr>
            <w:tcW w:w="1032" w:type="dxa"/>
            <w:tcBorders>
              <w:top w:val="nil"/>
              <w:left w:val="nil"/>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199 265</w:t>
            </w:r>
          </w:p>
        </w:tc>
        <w:tc>
          <w:tcPr>
            <w:tcW w:w="1094" w:type="dxa"/>
            <w:tcBorders>
              <w:top w:val="nil"/>
              <w:left w:val="nil"/>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208 398</w:t>
            </w:r>
          </w:p>
        </w:tc>
        <w:tc>
          <w:tcPr>
            <w:tcW w:w="964" w:type="dxa"/>
            <w:tcBorders>
              <w:top w:val="nil"/>
              <w:left w:val="nil"/>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4.6</w:t>
            </w:r>
          </w:p>
        </w:tc>
      </w:tr>
      <w:tr w:rsidR="002C39A3" w:rsidRPr="003F3109" w:rsidTr="00361FA9">
        <w:tc>
          <w:tcPr>
            <w:tcW w:w="4677" w:type="dxa"/>
            <w:tcBorders>
              <w:top w:val="nil"/>
              <w:left w:val="nil"/>
              <w:bottom w:val="nil"/>
              <w:right w:val="nil"/>
            </w:tcBorders>
            <w:shd w:val="solid" w:color="FFFFFF"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 xml:space="preserve">  Annual appropriations</w:t>
            </w:r>
          </w:p>
        </w:tc>
        <w:tc>
          <w:tcPr>
            <w:tcW w:w="1032" w:type="dxa"/>
            <w:tcBorders>
              <w:top w:val="nil"/>
              <w:left w:val="nil"/>
              <w:bottom w:val="single" w:sz="6" w:space="0" w:color="auto"/>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359 409</w:t>
            </w:r>
          </w:p>
        </w:tc>
        <w:tc>
          <w:tcPr>
            <w:tcW w:w="1094" w:type="dxa"/>
            <w:tcBorders>
              <w:top w:val="nil"/>
              <w:left w:val="nil"/>
              <w:bottom w:val="single" w:sz="6" w:space="0" w:color="auto"/>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368 412</w:t>
            </w:r>
          </w:p>
        </w:tc>
        <w:tc>
          <w:tcPr>
            <w:tcW w:w="964" w:type="dxa"/>
            <w:tcBorders>
              <w:top w:val="nil"/>
              <w:left w:val="nil"/>
              <w:bottom w:val="single" w:sz="6" w:space="0" w:color="auto"/>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2.5</w:t>
            </w:r>
          </w:p>
        </w:tc>
      </w:tr>
      <w:tr w:rsidR="002C39A3" w:rsidRPr="003F3109" w:rsidTr="00361FA9">
        <w:tc>
          <w:tcPr>
            <w:tcW w:w="4677" w:type="dxa"/>
            <w:tcBorders>
              <w:top w:val="nil"/>
              <w:left w:val="nil"/>
              <w:bottom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color w:val="000000"/>
                <w:sz w:val="19"/>
                <w:szCs w:val="19"/>
                <w:lang w:eastAsia="en-AU"/>
              </w:rPr>
              <w:t xml:space="preserve">  </w:t>
            </w:r>
            <w:r w:rsidRPr="003F3109">
              <w:rPr>
                <w:rFonts w:ascii="Calibri" w:eastAsiaTheme="minorEastAsia" w:hAnsi="Calibri" w:cs="Calibri"/>
                <w:b/>
                <w:bCs/>
                <w:color w:val="000000"/>
                <w:sz w:val="19"/>
                <w:szCs w:val="19"/>
                <w:lang w:eastAsia="en-AU"/>
              </w:rPr>
              <w:t>Total</w:t>
            </w:r>
          </w:p>
        </w:tc>
        <w:tc>
          <w:tcPr>
            <w:tcW w:w="1032" w:type="dxa"/>
            <w:tcBorders>
              <w:top w:val="nil"/>
              <w:left w:val="nil"/>
              <w:bottom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558 674</w:t>
            </w:r>
          </w:p>
        </w:tc>
        <w:tc>
          <w:tcPr>
            <w:tcW w:w="1094" w:type="dxa"/>
            <w:tcBorders>
              <w:top w:val="nil"/>
              <w:left w:val="nil"/>
              <w:bottom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576 810</w:t>
            </w:r>
          </w:p>
        </w:tc>
        <w:tc>
          <w:tcPr>
            <w:tcW w:w="964" w:type="dxa"/>
            <w:tcBorders>
              <w:top w:val="nil"/>
              <w:left w:val="nil"/>
              <w:bottom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3.2</w:t>
            </w:r>
          </w:p>
        </w:tc>
      </w:tr>
      <w:tr w:rsidR="002C39A3" w:rsidRPr="003F3109" w:rsidTr="00361FA9">
        <w:tc>
          <w:tcPr>
            <w:tcW w:w="4677" w:type="dxa"/>
            <w:tcBorders>
              <w:top w:val="nil"/>
              <w:left w:val="nil"/>
              <w:bottom w:val="nil"/>
              <w:right w:val="nil"/>
            </w:tcBorders>
            <w:shd w:val="clear" w:color="000000"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vertAlign w:val="superscript"/>
                <w:lang w:eastAsia="en-AU"/>
              </w:rPr>
            </w:pPr>
            <w:r w:rsidRPr="003F3109">
              <w:rPr>
                <w:rFonts w:ascii="Calibri" w:eastAsiaTheme="minorEastAsia" w:hAnsi="Calibri" w:cs="Calibri"/>
                <w:b/>
                <w:bCs/>
                <w:color w:val="000000"/>
                <w:sz w:val="19"/>
                <w:szCs w:val="19"/>
                <w:lang w:eastAsia="en-AU"/>
              </w:rPr>
              <w:t xml:space="preserve">  Total Treasury and Finance </w:t>
            </w:r>
            <w:r w:rsidRPr="003F3109">
              <w:rPr>
                <w:rFonts w:ascii="Calibri" w:eastAsiaTheme="minorEastAsia" w:hAnsi="Calibri" w:cs="Calibri"/>
                <w:b/>
                <w:bCs/>
                <w:color w:val="000000"/>
                <w:sz w:val="19"/>
                <w:szCs w:val="19"/>
                <w:vertAlign w:val="superscript"/>
                <w:lang w:eastAsia="en-AU"/>
              </w:rPr>
              <w:t>(a)</w:t>
            </w:r>
          </w:p>
        </w:tc>
        <w:tc>
          <w:tcPr>
            <w:tcW w:w="1032" w:type="dxa"/>
            <w:tcBorders>
              <w:top w:val="single" w:sz="6" w:space="0" w:color="auto"/>
              <w:left w:val="nil"/>
              <w:bottom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5 438 274</w:t>
            </w:r>
          </w:p>
        </w:tc>
        <w:tc>
          <w:tcPr>
            <w:tcW w:w="1094" w:type="dxa"/>
            <w:tcBorders>
              <w:top w:val="single" w:sz="6" w:space="0" w:color="auto"/>
              <w:left w:val="nil"/>
              <w:bottom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16 221 472</w:t>
            </w:r>
          </w:p>
        </w:tc>
        <w:tc>
          <w:tcPr>
            <w:tcW w:w="964" w:type="dxa"/>
            <w:tcBorders>
              <w:top w:val="single" w:sz="6" w:space="0" w:color="auto"/>
              <w:left w:val="nil"/>
              <w:bottom w:val="nil"/>
              <w:right w:val="nil"/>
            </w:tcBorders>
            <w:shd w:val="clear" w:color="000000"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198.3</w:t>
            </w:r>
          </w:p>
        </w:tc>
      </w:tr>
      <w:tr w:rsidR="002C39A3" w:rsidRPr="003F3109" w:rsidTr="00361FA9">
        <w:tc>
          <w:tcPr>
            <w:tcW w:w="4677" w:type="dxa"/>
            <w:tcBorders>
              <w:top w:val="nil"/>
              <w:left w:val="nil"/>
              <w:bottom w:val="single" w:sz="12" w:space="0" w:color="auto"/>
              <w:right w:val="nil"/>
            </w:tcBorders>
            <w:shd w:val="solid" w:color="FFFFFF"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vertAlign w:val="superscript"/>
                <w:lang w:eastAsia="en-AU"/>
              </w:rPr>
            </w:pPr>
            <w:r w:rsidRPr="003F3109">
              <w:rPr>
                <w:rFonts w:ascii="Calibri" w:eastAsiaTheme="minorEastAsia" w:hAnsi="Calibri" w:cs="Calibri"/>
                <w:b/>
                <w:bCs/>
                <w:color w:val="000000"/>
                <w:sz w:val="19"/>
                <w:szCs w:val="19"/>
                <w:lang w:eastAsia="en-AU"/>
              </w:rPr>
              <w:t>Total appropriations</w:t>
            </w:r>
            <w:r w:rsidRPr="003F3109">
              <w:rPr>
                <w:rFonts w:ascii="Calibri" w:eastAsiaTheme="minorEastAsia" w:hAnsi="Calibri" w:cs="Calibri"/>
                <w:b/>
                <w:bCs/>
                <w:color w:val="000000"/>
                <w:sz w:val="19"/>
                <w:szCs w:val="19"/>
                <w:vertAlign w:val="superscript"/>
                <w:lang w:eastAsia="en-AU"/>
              </w:rPr>
              <w:t xml:space="preserve"> (b)</w:t>
            </w:r>
          </w:p>
        </w:tc>
        <w:tc>
          <w:tcPr>
            <w:tcW w:w="1032" w:type="dxa"/>
            <w:tcBorders>
              <w:top w:val="single" w:sz="6" w:space="0" w:color="auto"/>
              <w:left w:val="nil"/>
              <w:bottom w:val="single" w:sz="12" w:space="0" w:color="auto"/>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49 511 218</w:t>
            </w:r>
          </w:p>
        </w:tc>
        <w:tc>
          <w:tcPr>
            <w:tcW w:w="1094" w:type="dxa"/>
            <w:tcBorders>
              <w:top w:val="single" w:sz="6" w:space="0" w:color="auto"/>
              <w:left w:val="nil"/>
              <w:bottom w:val="single" w:sz="12" w:space="0" w:color="auto"/>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63 507 685</w:t>
            </w:r>
          </w:p>
        </w:tc>
        <w:tc>
          <w:tcPr>
            <w:tcW w:w="964" w:type="dxa"/>
            <w:tcBorders>
              <w:top w:val="single" w:sz="6" w:space="0" w:color="auto"/>
              <w:left w:val="nil"/>
              <w:bottom w:val="single" w:sz="12" w:space="0" w:color="auto"/>
              <w:right w:val="nil"/>
            </w:tcBorders>
            <w:shd w:val="solid" w:color="FFFFFF"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28.3</w:t>
            </w:r>
          </w:p>
        </w:tc>
      </w:tr>
    </w:tbl>
    <w:p w:rsidR="002C39A3" w:rsidRDefault="002C39A3" w:rsidP="00361FA9">
      <w:pPr>
        <w:pStyle w:val="Source"/>
      </w:pPr>
      <w:r>
        <w:t>Source: Department of Treasury and Finance</w:t>
      </w:r>
    </w:p>
    <w:p w:rsidR="002C39A3" w:rsidRDefault="002C39A3" w:rsidP="00361FA9">
      <w:pPr>
        <w:pStyle w:val="Notes"/>
      </w:pPr>
      <w:r>
        <w:t>Note:</w:t>
      </w:r>
    </w:p>
    <w:p w:rsidR="002C39A3" w:rsidRDefault="002C39A3" w:rsidP="00361FA9">
      <w:pPr>
        <w:pStyle w:val="Notes"/>
      </w:pPr>
      <w:r>
        <w:t>(a)</w:t>
      </w:r>
      <w:r>
        <w:tab/>
        <w:t xml:space="preserve">Certain line items have been aggregated in the table above due to the commercial sensitivities of balances. </w:t>
      </w:r>
    </w:p>
    <w:p w:rsidR="002C39A3" w:rsidRPr="00F4386A" w:rsidRDefault="002C39A3" w:rsidP="00361FA9">
      <w:pPr>
        <w:pStyle w:val="Notes"/>
      </w:pPr>
      <w:r>
        <w:t>(b)</w:t>
      </w:r>
      <w:r>
        <w:tab/>
        <w:t>Includes receipts credited to appropriation and unapplied previous year appropriations carried over.</w:t>
      </w:r>
    </w:p>
    <w:p w:rsidR="002C39A3" w:rsidRDefault="002C39A3">
      <w:pPr>
        <w:spacing w:after="0"/>
        <w:rPr>
          <w:rFonts w:ascii="Calibri" w:hAnsi="Calibri"/>
          <w:b/>
        </w:rPr>
      </w:pPr>
      <w:r>
        <w:br w:type="page"/>
      </w:r>
    </w:p>
    <w:p w:rsidR="002C39A3" w:rsidRDefault="002C39A3" w:rsidP="00361FA9">
      <w:pPr>
        <w:pStyle w:val="Tableheading"/>
      </w:pPr>
      <w:r>
        <w:t>Table A.4:</w:t>
      </w:r>
      <w:r>
        <w:tab/>
        <w:t>Consolidated Fund payments – special appropriations</w:t>
      </w:r>
    </w:p>
    <w:p w:rsidR="002C39A3" w:rsidRPr="003F3109" w:rsidRDefault="002C39A3" w:rsidP="00361FA9">
      <w:pPr>
        <w:pStyle w:val="million"/>
        <w:rPr>
          <w:rFonts w:eastAsiaTheme="minorEastAsia"/>
          <w:b/>
          <w:bCs/>
          <w:lang w:val="en-US" w:eastAsia="en-AU"/>
        </w:rPr>
      </w:pPr>
      <w:r>
        <w:t>($ thousand)</w:t>
      </w:r>
    </w:p>
    <w:tbl>
      <w:tblPr>
        <w:tblW w:w="7767" w:type="dxa"/>
        <w:tblInd w:w="45" w:type="dxa"/>
        <w:tblLayout w:type="fixed"/>
        <w:tblCellMar>
          <w:left w:w="45" w:type="dxa"/>
          <w:right w:w="45" w:type="dxa"/>
        </w:tblCellMar>
        <w:tblLook w:val="0000" w:firstRow="0" w:lastRow="0" w:firstColumn="0" w:lastColumn="0" w:noHBand="0" w:noVBand="0"/>
      </w:tblPr>
      <w:tblGrid>
        <w:gridCol w:w="4678"/>
        <w:gridCol w:w="277"/>
        <w:gridCol w:w="125"/>
        <w:gridCol w:w="128"/>
        <w:gridCol w:w="700"/>
        <w:gridCol w:w="1037"/>
        <w:gridCol w:w="822"/>
      </w:tblGrid>
      <w:tr w:rsidR="0097550F" w:rsidRPr="003F3109" w:rsidTr="00502FAF">
        <w:trPr>
          <w:trHeight w:val="464"/>
          <w:tblHeader/>
        </w:trPr>
        <w:tc>
          <w:tcPr>
            <w:tcW w:w="4955" w:type="dxa"/>
            <w:gridSpan w:val="2"/>
            <w:tcBorders>
              <w:top w:val="nil"/>
              <w:left w:val="nil"/>
              <w:right w:val="nil"/>
            </w:tcBorders>
            <w:shd w:val="solid" w:color="000000" w:fill="auto"/>
            <w:vAlign w:val="bottom"/>
          </w:tcPr>
          <w:p w:rsidR="0097550F" w:rsidRPr="003F3109" w:rsidRDefault="0097550F" w:rsidP="0097550F">
            <w:pPr>
              <w:pStyle w:val="Source"/>
              <w:spacing w:after="0"/>
              <w:rPr>
                <w:rFonts w:eastAsiaTheme="minorEastAsia" w:cs="Calibri"/>
                <w:iCs/>
                <w:color w:val="FFFFFF"/>
                <w:sz w:val="19"/>
                <w:szCs w:val="19"/>
                <w:lang w:eastAsia="en-AU"/>
              </w:rPr>
            </w:pPr>
          </w:p>
        </w:tc>
        <w:tc>
          <w:tcPr>
            <w:tcW w:w="953" w:type="dxa"/>
            <w:gridSpan w:val="3"/>
            <w:tcBorders>
              <w:top w:val="nil"/>
              <w:left w:val="nil"/>
              <w:right w:val="nil"/>
            </w:tcBorders>
            <w:shd w:val="solid" w:color="000000" w:fill="auto"/>
            <w:vAlign w:val="bottom"/>
          </w:tcPr>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2015-16</w:t>
            </w:r>
          </w:p>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budget</w:t>
            </w:r>
          </w:p>
        </w:tc>
        <w:tc>
          <w:tcPr>
            <w:tcW w:w="1037" w:type="dxa"/>
            <w:tcBorders>
              <w:top w:val="nil"/>
              <w:left w:val="nil"/>
              <w:right w:val="nil"/>
            </w:tcBorders>
            <w:shd w:val="solid" w:color="000000" w:fill="auto"/>
            <w:vAlign w:val="bottom"/>
          </w:tcPr>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2016-17</w:t>
            </w:r>
          </w:p>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budget</w:t>
            </w:r>
          </w:p>
        </w:tc>
        <w:tc>
          <w:tcPr>
            <w:tcW w:w="822" w:type="dxa"/>
            <w:tcBorders>
              <w:top w:val="nil"/>
              <w:left w:val="nil"/>
              <w:right w:val="nil"/>
            </w:tcBorders>
            <w:shd w:val="solid" w:color="000000" w:fill="auto"/>
            <w:vAlign w:val="bottom"/>
          </w:tcPr>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Variation</w:t>
            </w:r>
          </w:p>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w:t>
            </w:r>
          </w:p>
        </w:tc>
      </w:tr>
      <w:tr w:rsidR="0097550F" w:rsidRPr="003F3109" w:rsidTr="00502FAF">
        <w:tc>
          <w:tcPr>
            <w:tcW w:w="7767" w:type="dxa"/>
            <w:gridSpan w:val="7"/>
            <w:tcBorders>
              <w:top w:val="nil"/>
              <w:left w:val="nil"/>
              <w:right w:val="nil"/>
            </w:tcBorders>
            <w:shd w:val="clear" w:color="000000" w:fill="FFFFFF"/>
          </w:tcPr>
          <w:p w:rsidR="0097550F" w:rsidRPr="003F3109" w:rsidRDefault="0097550F" w:rsidP="0097550F">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b/>
                <w:bCs/>
                <w:color w:val="000000"/>
                <w:sz w:val="19"/>
                <w:szCs w:val="19"/>
                <w:lang w:eastAsia="en-AU"/>
              </w:rPr>
              <w:t>Economic Development, Jobs, Transport and Resources</w:t>
            </w:r>
          </w:p>
        </w:tc>
      </w:tr>
      <w:tr w:rsidR="002C39A3" w:rsidRPr="003F3109" w:rsidTr="00361FA9">
        <w:tc>
          <w:tcPr>
            <w:tcW w:w="4955" w:type="dxa"/>
            <w:gridSpan w:val="2"/>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 xml:space="preserve">Financial Management Act No. 18 of 1994, </w:t>
            </w:r>
            <w:r w:rsidRPr="003F3109">
              <w:rPr>
                <w:rFonts w:ascii="Calibri" w:eastAsiaTheme="minorEastAsia" w:hAnsi="Calibri" w:cs="Calibri"/>
                <w:color w:val="000000"/>
                <w:sz w:val="19"/>
                <w:szCs w:val="19"/>
                <w:lang w:eastAsia="en-AU"/>
              </w:rPr>
              <w:t>Section 10 – Appropriation of Commonwealth grants</w:t>
            </w:r>
          </w:p>
        </w:tc>
        <w:tc>
          <w:tcPr>
            <w:tcW w:w="953" w:type="dxa"/>
            <w:gridSpan w:val="3"/>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3 122</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3 835</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22.8</w:t>
            </w:r>
          </w:p>
        </w:tc>
      </w:tr>
      <w:tr w:rsidR="002C39A3" w:rsidRPr="003F3109" w:rsidTr="00361FA9">
        <w:tc>
          <w:tcPr>
            <w:tcW w:w="4955" w:type="dxa"/>
            <w:gridSpan w:val="2"/>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3F3109">
              <w:rPr>
                <w:rFonts w:ascii="Calibri" w:eastAsiaTheme="minorEastAsia" w:hAnsi="Calibri" w:cs="Calibri"/>
                <w:i/>
                <w:iCs/>
                <w:color w:val="000000"/>
                <w:sz w:val="19"/>
                <w:szCs w:val="19"/>
                <w:lang w:eastAsia="en-AU"/>
              </w:rPr>
              <w:t>Financial Management Act No. 18 of 1994,</w:t>
            </w:r>
            <w:r w:rsidRPr="003F3109">
              <w:rPr>
                <w:rFonts w:ascii="Calibri" w:eastAsiaTheme="minorEastAsia" w:hAnsi="Calibri" w:cs="Calibri"/>
                <w:color w:val="000000"/>
                <w:sz w:val="19"/>
                <w:szCs w:val="19"/>
                <w:lang w:eastAsia="en-AU"/>
              </w:rPr>
              <w:t xml:space="preserve"> Section 33 – Appropriation to meet certain obligations </w:t>
            </w:r>
            <w:r w:rsidRPr="003F3109">
              <w:rPr>
                <w:rFonts w:ascii="Calibri" w:eastAsiaTheme="minorEastAsia" w:hAnsi="Calibri" w:cs="Calibri"/>
                <w:color w:val="000000"/>
                <w:sz w:val="19"/>
                <w:szCs w:val="19"/>
                <w:vertAlign w:val="superscript"/>
                <w:lang w:eastAsia="en-AU"/>
              </w:rPr>
              <w:t>(a)</w:t>
            </w:r>
          </w:p>
        </w:tc>
        <w:tc>
          <w:tcPr>
            <w:tcW w:w="953" w:type="dxa"/>
            <w:gridSpan w:val="3"/>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500</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n.a.</w:t>
            </w:r>
          </w:p>
        </w:tc>
      </w:tr>
      <w:tr w:rsidR="002C39A3" w:rsidRPr="003F3109" w:rsidTr="00361FA9">
        <w:tc>
          <w:tcPr>
            <w:tcW w:w="5080" w:type="dxa"/>
            <w:gridSpan w:val="3"/>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 xml:space="preserve">Transport (Compliance and Miscellaneous) Act, </w:t>
            </w:r>
            <w:r w:rsidRPr="003F3109">
              <w:rPr>
                <w:rFonts w:ascii="Calibri" w:eastAsiaTheme="minorEastAsia" w:hAnsi="Calibri" w:cs="Calibri"/>
                <w:color w:val="000000"/>
                <w:sz w:val="19"/>
                <w:szCs w:val="19"/>
                <w:lang w:eastAsia="en-AU"/>
              </w:rPr>
              <w:t xml:space="preserve">Section 213A(4) </w:t>
            </w:r>
          </w:p>
        </w:tc>
        <w:tc>
          <w:tcPr>
            <w:tcW w:w="828" w:type="dxa"/>
            <w:gridSpan w:val="2"/>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2 000</w:t>
            </w:r>
          </w:p>
        </w:tc>
        <w:tc>
          <w:tcPr>
            <w:tcW w:w="1037" w:type="dxa"/>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2 000</w:t>
            </w:r>
          </w:p>
        </w:tc>
        <w:tc>
          <w:tcPr>
            <w:tcW w:w="822" w:type="dxa"/>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w:t>
            </w:r>
          </w:p>
        </w:tc>
      </w:tr>
      <w:tr w:rsidR="002C39A3" w:rsidRPr="003F3109" w:rsidTr="00361FA9">
        <w:tc>
          <w:tcPr>
            <w:tcW w:w="4955" w:type="dxa"/>
            <w:gridSpan w:val="2"/>
            <w:tcBorders>
              <w:top w:val="single" w:sz="6" w:space="0" w:color="auto"/>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Total</w:t>
            </w:r>
          </w:p>
        </w:tc>
        <w:tc>
          <w:tcPr>
            <w:tcW w:w="953" w:type="dxa"/>
            <w:gridSpan w:val="3"/>
            <w:tcBorders>
              <w:top w:val="single" w:sz="6" w:space="0" w:color="auto"/>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5 622</w:t>
            </w:r>
          </w:p>
        </w:tc>
        <w:tc>
          <w:tcPr>
            <w:tcW w:w="1037" w:type="dxa"/>
            <w:tcBorders>
              <w:top w:val="single" w:sz="6" w:space="0" w:color="auto"/>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5 835</w:t>
            </w:r>
          </w:p>
        </w:tc>
        <w:tc>
          <w:tcPr>
            <w:tcW w:w="822" w:type="dxa"/>
            <w:tcBorders>
              <w:top w:val="single" w:sz="6" w:space="0" w:color="auto"/>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3.8</w:t>
            </w:r>
          </w:p>
        </w:tc>
      </w:tr>
      <w:tr w:rsidR="0097550F" w:rsidRPr="003F3109" w:rsidTr="00502FAF">
        <w:tc>
          <w:tcPr>
            <w:tcW w:w="7767" w:type="dxa"/>
            <w:gridSpan w:val="7"/>
            <w:tcBorders>
              <w:top w:val="nil"/>
              <w:left w:val="nil"/>
              <w:right w:val="nil"/>
            </w:tcBorders>
            <w:shd w:val="clear" w:color="auto" w:fill="FFFFFF"/>
          </w:tcPr>
          <w:p w:rsidR="0097550F" w:rsidRPr="003F3109" w:rsidRDefault="0097550F" w:rsidP="0097550F">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b/>
                <w:bCs/>
                <w:color w:val="000000"/>
                <w:sz w:val="19"/>
                <w:szCs w:val="19"/>
                <w:lang w:eastAsia="en-AU"/>
              </w:rPr>
              <w:t>Education and Training</w:t>
            </w:r>
          </w:p>
        </w:tc>
      </w:tr>
      <w:tr w:rsidR="002C39A3" w:rsidRPr="003F3109" w:rsidTr="00361FA9">
        <w:tc>
          <w:tcPr>
            <w:tcW w:w="4955" w:type="dxa"/>
            <w:gridSpan w:val="2"/>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 xml:space="preserve">Financial Management Act No. 18 of 1994, </w:t>
            </w:r>
            <w:r w:rsidRPr="003F3109">
              <w:rPr>
                <w:rFonts w:ascii="Calibri" w:eastAsiaTheme="minorEastAsia" w:hAnsi="Calibri" w:cs="Calibri"/>
                <w:color w:val="000000"/>
                <w:sz w:val="19"/>
                <w:szCs w:val="19"/>
                <w:lang w:eastAsia="en-AU"/>
              </w:rPr>
              <w:t>Section 10 – Appropriation of Commonwealth grants</w:t>
            </w:r>
          </w:p>
        </w:tc>
        <w:tc>
          <w:tcPr>
            <w:tcW w:w="953" w:type="dxa"/>
            <w:gridSpan w:val="3"/>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12 742</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11 719</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(8.0)</w:t>
            </w:r>
          </w:p>
        </w:tc>
      </w:tr>
      <w:tr w:rsidR="002C39A3" w:rsidRPr="003F3109" w:rsidTr="00361FA9">
        <w:tc>
          <w:tcPr>
            <w:tcW w:w="4678" w:type="dxa"/>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 xml:space="preserve">Education and Training Reform Act No. 24/26 of 2006, </w:t>
            </w:r>
            <w:r w:rsidRPr="003F3109">
              <w:rPr>
                <w:rFonts w:ascii="Calibri" w:eastAsiaTheme="minorEastAsia" w:hAnsi="Calibri" w:cs="Calibri"/>
                <w:color w:val="000000"/>
                <w:sz w:val="19"/>
                <w:szCs w:val="19"/>
                <w:lang w:eastAsia="en-AU"/>
              </w:rPr>
              <w:t>Section 5.6.8 – Volunteer Workers Compensation</w:t>
            </w:r>
          </w:p>
        </w:tc>
        <w:tc>
          <w:tcPr>
            <w:tcW w:w="1230" w:type="dxa"/>
            <w:gridSpan w:val="4"/>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276</w:t>
            </w:r>
          </w:p>
        </w:tc>
        <w:tc>
          <w:tcPr>
            <w:tcW w:w="1037" w:type="dxa"/>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283</w:t>
            </w:r>
          </w:p>
        </w:tc>
        <w:tc>
          <w:tcPr>
            <w:tcW w:w="822" w:type="dxa"/>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2.5</w:t>
            </w:r>
          </w:p>
        </w:tc>
      </w:tr>
      <w:tr w:rsidR="002C39A3" w:rsidRPr="003F3109" w:rsidTr="00361FA9">
        <w:tc>
          <w:tcPr>
            <w:tcW w:w="4955" w:type="dxa"/>
            <w:gridSpan w:val="2"/>
            <w:tcBorders>
              <w:top w:val="single" w:sz="6" w:space="0" w:color="auto"/>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Total</w:t>
            </w:r>
          </w:p>
        </w:tc>
        <w:tc>
          <w:tcPr>
            <w:tcW w:w="953" w:type="dxa"/>
            <w:gridSpan w:val="3"/>
            <w:tcBorders>
              <w:top w:val="single" w:sz="6" w:space="0" w:color="auto"/>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13 018</w:t>
            </w:r>
          </w:p>
        </w:tc>
        <w:tc>
          <w:tcPr>
            <w:tcW w:w="1037" w:type="dxa"/>
            <w:tcBorders>
              <w:top w:val="single" w:sz="6" w:space="0" w:color="auto"/>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12 002</w:t>
            </w:r>
          </w:p>
        </w:tc>
        <w:tc>
          <w:tcPr>
            <w:tcW w:w="822" w:type="dxa"/>
            <w:tcBorders>
              <w:top w:val="single" w:sz="6" w:space="0" w:color="auto"/>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(7.8)</w:t>
            </w:r>
          </w:p>
        </w:tc>
      </w:tr>
      <w:tr w:rsidR="0097550F" w:rsidRPr="003F3109" w:rsidTr="00502FAF">
        <w:tc>
          <w:tcPr>
            <w:tcW w:w="7767" w:type="dxa"/>
            <w:gridSpan w:val="7"/>
            <w:tcBorders>
              <w:top w:val="nil"/>
              <w:left w:val="nil"/>
              <w:right w:val="nil"/>
            </w:tcBorders>
            <w:shd w:val="clear" w:color="auto" w:fill="FFFFFF"/>
          </w:tcPr>
          <w:p w:rsidR="0097550F" w:rsidRPr="003F3109" w:rsidRDefault="0097550F" w:rsidP="0097550F">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b/>
                <w:bCs/>
                <w:color w:val="000000"/>
                <w:sz w:val="19"/>
                <w:szCs w:val="19"/>
                <w:lang w:eastAsia="en-AU"/>
              </w:rPr>
              <w:t>Environment, Land, Water and Planning</w:t>
            </w:r>
          </w:p>
        </w:tc>
      </w:tr>
      <w:tr w:rsidR="002C39A3" w:rsidRPr="003F3109" w:rsidTr="00361FA9">
        <w:tc>
          <w:tcPr>
            <w:tcW w:w="4955" w:type="dxa"/>
            <w:gridSpan w:val="2"/>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i/>
                <w:iCs/>
                <w:color w:val="000000"/>
                <w:sz w:val="19"/>
                <w:szCs w:val="19"/>
                <w:lang w:eastAsia="en-AU"/>
              </w:rPr>
            </w:pPr>
            <w:r w:rsidRPr="003F3109">
              <w:rPr>
                <w:rFonts w:ascii="Calibri" w:eastAsiaTheme="minorEastAsia" w:hAnsi="Calibri" w:cs="Calibri"/>
                <w:color w:val="000000"/>
                <w:sz w:val="19"/>
                <w:szCs w:val="19"/>
                <w:lang w:eastAsia="en-AU"/>
              </w:rPr>
              <w:t>Payments to Growth Areas Public Transport Fund pursuant to Section 201V of the</w:t>
            </w:r>
            <w:r w:rsidRPr="003F3109">
              <w:rPr>
                <w:rFonts w:ascii="Calibri" w:eastAsiaTheme="minorEastAsia" w:hAnsi="Calibri" w:cs="Calibri"/>
                <w:i/>
                <w:iCs/>
                <w:color w:val="000000"/>
                <w:sz w:val="19"/>
                <w:szCs w:val="19"/>
                <w:lang w:eastAsia="en-AU"/>
              </w:rPr>
              <w:t xml:space="preserve"> Planning and Environment Act No. 45 of 1987</w:t>
            </w:r>
          </w:p>
        </w:tc>
        <w:tc>
          <w:tcPr>
            <w:tcW w:w="953" w:type="dxa"/>
            <w:gridSpan w:val="3"/>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7 050</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31 126</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341.5</w:t>
            </w:r>
          </w:p>
        </w:tc>
      </w:tr>
      <w:tr w:rsidR="002C39A3" w:rsidRPr="003F3109" w:rsidTr="00361FA9">
        <w:tc>
          <w:tcPr>
            <w:tcW w:w="5208" w:type="dxa"/>
            <w:gridSpan w:val="4"/>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i/>
                <w:iCs/>
                <w:color w:val="000000"/>
                <w:sz w:val="19"/>
                <w:szCs w:val="19"/>
                <w:lang w:eastAsia="en-AU"/>
              </w:rPr>
            </w:pPr>
            <w:r w:rsidRPr="003F3109">
              <w:rPr>
                <w:rFonts w:ascii="Calibri" w:eastAsiaTheme="minorEastAsia" w:hAnsi="Calibri" w:cs="Calibri"/>
                <w:color w:val="000000"/>
                <w:sz w:val="19"/>
                <w:szCs w:val="19"/>
                <w:lang w:eastAsia="en-AU"/>
              </w:rPr>
              <w:t xml:space="preserve">Payments to Building New Communities Fund pursuant to Section 201V of the </w:t>
            </w:r>
            <w:r w:rsidRPr="003F3109">
              <w:rPr>
                <w:rFonts w:ascii="Calibri" w:eastAsiaTheme="minorEastAsia" w:hAnsi="Calibri" w:cs="Calibri"/>
                <w:i/>
                <w:iCs/>
                <w:color w:val="000000"/>
                <w:sz w:val="19"/>
                <w:szCs w:val="19"/>
                <w:lang w:eastAsia="en-AU"/>
              </w:rPr>
              <w:t>Planning and Environment Act No. 45 of 1987</w:t>
            </w:r>
          </w:p>
        </w:tc>
        <w:tc>
          <w:tcPr>
            <w:tcW w:w="700" w:type="dxa"/>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7 050</w:t>
            </w:r>
          </w:p>
        </w:tc>
        <w:tc>
          <w:tcPr>
            <w:tcW w:w="1037" w:type="dxa"/>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31 126</w:t>
            </w:r>
          </w:p>
        </w:tc>
        <w:tc>
          <w:tcPr>
            <w:tcW w:w="822" w:type="dxa"/>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341.5</w:t>
            </w:r>
          </w:p>
        </w:tc>
      </w:tr>
      <w:tr w:rsidR="002C39A3" w:rsidRPr="003F3109" w:rsidTr="00361FA9">
        <w:tc>
          <w:tcPr>
            <w:tcW w:w="4955" w:type="dxa"/>
            <w:gridSpan w:val="2"/>
            <w:tcBorders>
              <w:top w:val="single" w:sz="6" w:space="0" w:color="auto"/>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Total</w:t>
            </w:r>
          </w:p>
        </w:tc>
        <w:tc>
          <w:tcPr>
            <w:tcW w:w="953" w:type="dxa"/>
            <w:gridSpan w:val="3"/>
            <w:tcBorders>
              <w:top w:val="single" w:sz="6" w:space="0" w:color="auto"/>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14 100</w:t>
            </w:r>
          </w:p>
        </w:tc>
        <w:tc>
          <w:tcPr>
            <w:tcW w:w="1037" w:type="dxa"/>
            <w:tcBorders>
              <w:top w:val="single" w:sz="6" w:space="0" w:color="auto"/>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62 252</w:t>
            </w:r>
          </w:p>
        </w:tc>
        <w:tc>
          <w:tcPr>
            <w:tcW w:w="822" w:type="dxa"/>
            <w:tcBorders>
              <w:top w:val="single" w:sz="6" w:space="0" w:color="auto"/>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341.5</w:t>
            </w:r>
          </w:p>
        </w:tc>
      </w:tr>
      <w:tr w:rsidR="0097550F" w:rsidRPr="003F3109" w:rsidTr="00502FAF">
        <w:tc>
          <w:tcPr>
            <w:tcW w:w="7767" w:type="dxa"/>
            <w:gridSpan w:val="7"/>
            <w:tcBorders>
              <w:top w:val="nil"/>
              <w:left w:val="nil"/>
              <w:right w:val="nil"/>
            </w:tcBorders>
            <w:shd w:val="clear" w:color="auto" w:fill="FFFFFF"/>
          </w:tcPr>
          <w:p w:rsidR="0097550F" w:rsidRPr="003F3109" w:rsidRDefault="0097550F" w:rsidP="0097550F">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b/>
                <w:bCs/>
                <w:color w:val="000000"/>
                <w:sz w:val="19"/>
                <w:szCs w:val="19"/>
                <w:lang w:eastAsia="en-AU"/>
              </w:rPr>
              <w:t>Health and Human Services</w:t>
            </w:r>
          </w:p>
        </w:tc>
      </w:tr>
      <w:tr w:rsidR="002C39A3" w:rsidRPr="003F3109" w:rsidTr="00361FA9">
        <w:tc>
          <w:tcPr>
            <w:tcW w:w="4955" w:type="dxa"/>
            <w:gridSpan w:val="2"/>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Casino Control Act No. 47 of 1991,</w:t>
            </w:r>
            <w:r w:rsidRPr="003F3109">
              <w:rPr>
                <w:rFonts w:ascii="Calibri" w:eastAsiaTheme="minorEastAsia" w:hAnsi="Calibri" w:cs="Calibri"/>
                <w:color w:val="000000"/>
                <w:sz w:val="19"/>
                <w:szCs w:val="19"/>
                <w:lang w:eastAsia="en-AU"/>
              </w:rPr>
              <w:t xml:space="preserve"> Section 114 – </w:t>
            </w:r>
            <w:r w:rsidR="0097550F">
              <w:rPr>
                <w:rFonts w:ascii="Calibri" w:eastAsiaTheme="minorEastAsia" w:hAnsi="Calibri" w:cs="Calibri"/>
                <w:color w:val="000000"/>
                <w:sz w:val="19"/>
                <w:szCs w:val="19"/>
                <w:lang w:eastAsia="en-AU"/>
              </w:rPr>
              <w:br/>
            </w:r>
            <w:r w:rsidRPr="003F3109">
              <w:rPr>
                <w:rFonts w:ascii="Calibri" w:eastAsiaTheme="minorEastAsia" w:hAnsi="Calibri" w:cs="Calibri"/>
                <w:color w:val="000000"/>
                <w:sz w:val="19"/>
                <w:szCs w:val="19"/>
                <w:lang w:eastAsia="en-AU"/>
              </w:rPr>
              <w:t>Hospitals and Charities Fund</w:t>
            </w:r>
          </w:p>
        </w:tc>
        <w:tc>
          <w:tcPr>
            <w:tcW w:w="953" w:type="dxa"/>
            <w:gridSpan w:val="3"/>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16 655</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18 227</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9.4</w:t>
            </w:r>
          </w:p>
        </w:tc>
      </w:tr>
      <w:tr w:rsidR="002C39A3" w:rsidRPr="003F3109" w:rsidTr="00361FA9">
        <w:tc>
          <w:tcPr>
            <w:tcW w:w="4955" w:type="dxa"/>
            <w:gridSpan w:val="2"/>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 xml:space="preserve">Financial Management Act No. 18 of 1994, </w:t>
            </w:r>
            <w:r w:rsidRPr="003F3109">
              <w:rPr>
                <w:rFonts w:ascii="Calibri" w:eastAsiaTheme="minorEastAsia" w:hAnsi="Calibri" w:cs="Calibri"/>
                <w:color w:val="000000"/>
                <w:sz w:val="19"/>
                <w:szCs w:val="19"/>
                <w:lang w:eastAsia="en-AU"/>
              </w:rPr>
              <w:t>Section 10 – Appropriation of Commonwealth Grants</w:t>
            </w:r>
          </w:p>
        </w:tc>
        <w:tc>
          <w:tcPr>
            <w:tcW w:w="953" w:type="dxa"/>
            <w:gridSpan w:val="3"/>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147</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w:t>
            </w:r>
          </w:p>
        </w:tc>
      </w:tr>
      <w:tr w:rsidR="002C39A3" w:rsidRPr="003F3109" w:rsidTr="00361FA9">
        <w:tc>
          <w:tcPr>
            <w:tcW w:w="4955" w:type="dxa"/>
            <w:gridSpan w:val="2"/>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3F3109">
              <w:rPr>
                <w:rFonts w:ascii="Calibri" w:eastAsiaTheme="minorEastAsia" w:hAnsi="Calibri" w:cs="Calibri"/>
                <w:i/>
                <w:iCs/>
                <w:color w:val="000000"/>
                <w:sz w:val="19"/>
                <w:szCs w:val="19"/>
                <w:lang w:eastAsia="en-AU"/>
              </w:rPr>
              <w:t>Financial Management Act No. 18 of 1994,</w:t>
            </w:r>
            <w:r w:rsidRPr="003F3109">
              <w:rPr>
                <w:rFonts w:ascii="Calibri" w:eastAsiaTheme="minorEastAsia" w:hAnsi="Calibri" w:cs="Calibri"/>
                <w:color w:val="000000"/>
                <w:sz w:val="19"/>
                <w:szCs w:val="19"/>
                <w:lang w:eastAsia="en-AU"/>
              </w:rPr>
              <w:t xml:space="preserve"> Section 33 – Appropriation to meet certain obligations </w:t>
            </w:r>
            <w:r w:rsidRPr="003F3109">
              <w:rPr>
                <w:rFonts w:ascii="Calibri" w:eastAsiaTheme="minorEastAsia" w:hAnsi="Calibri" w:cs="Calibri"/>
                <w:color w:val="000000"/>
                <w:sz w:val="19"/>
                <w:szCs w:val="19"/>
                <w:vertAlign w:val="superscript"/>
                <w:lang w:eastAsia="en-AU"/>
              </w:rPr>
              <w:t>(a)</w:t>
            </w:r>
          </w:p>
        </w:tc>
        <w:tc>
          <w:tcPr>
            <w:tcW w:w="953" w:type="dxa"/>
            <w:gridSpan w:val="3"/>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47 420</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225 703</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376.0</w:t>
            </w:r>
          </w:p>
        </w:tc>
      </w:tr>
      <w:tr w:rsidR="002C39A3" w:rsidRPr="003F3109" w:rsidTr="00361FA9">
        <w:tc>
          <w:tcPr>
            <w:tcW w:w="4955" w:type="dxa"/>
            <w:gridSpan w:val="2"/>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 xml:space="preserve">Gambling Regulation Act No. 114 of 2003, </w:t>
            </w:r>
            <w:r w:rsidRPr="003F3109">
              <w:rPr>
                <w:rFonts w:ascii="Calibri" w:eastAsiaTheme="minorEastAsia" w:hAnsi="Calibri" w:cs="Calibri"/>
                <w:color w:val="000000"/>
                <w:sz w:val="19"/>
                <w:szCs w:val="19"/>
                <w:lang w:eastAsia="en-AU"/>
              </w:rPr>
              <w:t xml:space="preserve">Section 3.6.11 – Hospitals and Charities Fund and Mental Health Fund </w:t>
            </w:r>
          </w:p>
        </w:tc>
        <w:tc>
          <w:tcPr>
            <w:tcW w:w="953" w:type="dxa"/>
            <w:gridSpan w:val="3"/>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847 910</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865 599</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2.1</w:t>
            </w:r>
          </w:p>
        </w:tc>
      </w:tr>
      <w:tr w:rsidR="002C39A3" w:rsidRPr="003F3109" w:rsidTr="00361FA9">
        <w:tc>
          <w:tcPr>
            <w:tcW w:w="4678" w:type="dxa"/>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 xml:space="preserve">Gambling Regulation Act No. 114 of 2003, </w:t>
            </w:r>
            <w:r w:rsidRPr="003F3109">
              <w:rPr>
                <w:rFonts w:ascii="Calibri" w:eastAsiaTheme="minorEastAsia" w:hAnsi="Calibri" w:cs="Calibri"/>
                <w:color w:val="000000"/>
                <w:sz w:val="19"/>
                <w:szCs w:val="19"/>
                <w:lang w:eastAsia="en-AU"/>
              </w:rPr>
              <w:t>Sections 4.4.11 and 4.6.8 – Hospitals and Charities Fund</w:t>
            </w:r>
          </w:p>
        </w:tc>
        <w:tc>
          <w:tcPr>
            <w:tcW w:w="1230" w:type="dxa"/>
            <w:gridSpan w:val="4"/>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66 198</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60 686</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(8.3)</w:t>
            </w:r>
          </w:p>
        </w:tc>
      </w:tr>
      <w:tr w:rsidR="002C39A3" w:rsidRPr="003F3109" w:rsidTr="00361FA9">
        <w:tc>
          <w:tcPr>
            <w:tcW w:w="4955" w:type="dxa"/>
            <w:gridSpan w:val="2"/>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Gambling Regulation Act No. 114 of 2003,</w:t>
            </w:r>
            <w:r w:rsidRPr="003F3109">
              <w:rPr>
                <w:rFonts w:ascii="Calibri" w:eastAsiaTheme="minorEastAsia" w:hAnsi="Calibri" w:cs="Calibri"/>
                <w:color w:val="000000"/>
                <w:sz w:val="19"/>
                <w:szCs w:val="19"/>
                <w:lang w:eastAsia="en-AU"/>
              </w:rPr>
              <w:t xml:space="preserve"> Section 5.4.6 – Hospitals and Charities Fund and Mental Health Fund</w:t>
            </w:r>
          </w:p>
        </w:tc>
        <w:tc>
          <w:tcPr>
            <w:tcW w:w="953" w:type="dxa"/>
            <w:gridSpan w:val="3"/>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424 157</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453 208</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6.8</w:t>
            </w:r>
          </w:p>
        </w:tc>
      </w:tr>
      <w:tr w:rsidR="002C39A3" w:rsidRPr="003F3109" w:rsidTr="00361FA9">
        <w:tc>
          <w:tcPr>
            <w:tcW w:w="4955" w:type="dxa"/>
            <w:gridSpan w:val="2"/>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 xml:space="preserve">Gambling Regulation Act No. 114 of 2003, </w:t>
            </w:r>
            <w:r w:rsidRPr="003F3109">
              <w:rPr>
                <w:rFonts w:ascii="Calibri" w:eastAsiaTheme="minorEastAsia" w:hAnsi="Calibri" w:cs="Calibri"/>
                <w:color w:val="000000"/>
                <w:sz w:val="19"/>
                <w:szCs w:val="19"/>
                <w:lang w:eastAsia="en-AU"/>
              </w:rPr>
              <w:t>Section 6A.4.4(1) – Contributions to Hospital and Charities Fund and Mental Health Fund</w:t>
            </w:r>
          </w:p>
        </w:tc>
        <w:tc>
          <w:tcPr>
            <w:tcW w:w="953" w:type="dxa"/>
            <w:gridSpan w:val="3"/>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6 026</w:t>
            </w:r>
          </w:p>
        </w:tc>
        <w:tc>
          <w:tcPr>
            <w:tcW w:w="1037" w:type="dxa"/>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6 032</w:t>
            </w:r>
          </w:p>
        </w:tc>
        <w:tc>
          <w:tcPr>
            <w:tcW w:w="822" w:type="dxa"/>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0.1</w:t>
            </w:r>
          </w:p>
        </w:tc>
      </w:tr>
      <w:tr w:rsidR="002C39A3" w:rsidRPr="003F3109" w:rsidTr="00361FA9">
        <w:tc>
          <w:tcPr>
            <w:tcW w:w="4955" w:type="dxa"/>
            <w:gridSpan w:val="2"/>
            <w:tcBorders>
              <w:top w:val="single" w:sz="6" w:space="0" w:color="auto"/>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Total</w:t>
            </w:r>
          </w:p>
        </w:tc>
        <w:tc>
          <w:tcPr>
            <w:tcW w:w="953" w:type="dxa"/>
            <w:gridSpan w:val="3"/>
            <w:tcBorders>
              <w:top w:val="single" w:sz="6" w:space="0" w:color="auto"/>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1 408 366</w:t>
            </w:r>
          </w:p>
        </w:tc>
        <w:tc>
          <w:tcPr>
            <w:tcW w:w="1037" w:type="dxa"/>
            <w:tcBorders>
              <w:top w:val="single" w:sz="6" w:space="0" w:color="auto"/>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1 629 601</w:t>
            </w:r>
          </w:p>
        </w:tc>
        <w:tc>
          <w:tcPr>
            <w:tcW w:w="822" w:type="dxa"/>
            <w:tcBorders>
              <w:top w:val="single" w:sz="6" w:space="0" w:color="auto"/>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15.7</w:t>
            </w:r>
          </w:p>
        </w:tc>
      </w:tr>
    </w:tbl>
    <w:p w:rsidR="002C39A3" w:rsidRDefault="002C39A3" w:rsidP="00361FA9">
      <w:pPr>
        <w:pStyle w:val="Tableheadingcontinued"/>
      </w:pPr>
    </w:p>
    <w:p w:rsidR="002C39A3" w:rsidRDefault="002C39A3" w:rsidP="00361FA9">
      <w:pPr>
        <w:pStyle w:val="Heading1"/>
      </w:pPr>
      <w:r>
        <w:br w:type="page"/>
      </w:r>
    </w:p>
    <w:p w:rsidR="002C39A3" w:rsidRDefault="002C39A3" w:rsidP="00361FA9">
      <w:pPr>
        <w:pStyle w:val="Tableheadingcontinued"/>
      </w:pPr>
      <w:r>
        <w:t>Table A.4:</w:t>
      </w:r>
      <w:r>
        <w:tab/>
        <w:t xml:space="preserve">Consolidated Fund payments – special appropriations </w:t>
      </w:r>
      <w:r w:rsidRPr="00350E27">
        <w:rPr>
          <w:i/>
        </w:rPr>
        <w:t>(continued)</w:t>
      </w:r>
    </w:p>
    <w:p w:rsidR="002C39A3" w:rsidRDefault="002C39A3" w:rsidP="00361FA9">
      <w:pPr>
        <w:pStyle w:val="million"/>
      </w:pPr>
      <w:r>
        <w:t>($ thousand)</w:t>
      </w:r>
    </w:p>
    <w:tbl>
      <w:tblPr>
        <w:tblW w:w="7767" w:type="dxa"/>
        <w:tblInd w:w="45" w:type="dxa"/>
        <w:tblLayout w:type="fixed"/>
        <w:tblCellMar>
          <w:left w:w="45" w:type="dxa"/>
          <w:right w:w="45" w:type="dxa"/>
        </w:tblCellMar>
        <w:tblLook w:val="0000" w:firstRow="0" w:lastRow="0" w:firstColumn="0" w:lastColumn="0" w:noHBand="0" w:noVBand="0"/>
      </w:tblPr>
      <w:tblGrid>
        <w:gridCol w:w="4382"/>
        <w:gridCol w:w="573"/>
        <w:gridCol w:w="183"/>
        <w:gridCol w:w="28"/>
        <w:gridCol w:w="14"/>
        <w:gridCol w:w="728"/>
        <w:gridCol w:w="1037"/>
        <w:gridCol w:w="822"/>
      </w:tblGrid>
      <w:tr w:rsidR="0097550F" w:rsidRPr="003F3109" w:rsidTr="00502FAF">
        <w:trPr>
          <w:trHeight w:val="464"/>
          <w:tblHeader/>
        </w:trPr>
        <w:tc>
          <w:tcPr>
            <w:tcW w:w="4955" w:type="dxa"/>
            <w:gridSpan w:val="2"/>
            <w:tcBorders>
              <w:top w:val="nil"/>
              <w:left w:val="nil"/>
              <w:right w:val="nil"/>
            </w:tcBorders>
            <w:shd w:val="solid" w:color="000000" w:fill="auto"/>
            <w:vAlign w:val="bottom"/>
          </w:tcPr>
          <w:p w:rsidR="0097550F" w:rsidRPr="003F3109" w:rsidRDefault="0097550F" w:rsidP="0097550F">
            <w:pPr>
              <w:pStyle w:val="Source"/>
              <w:spacing w:after="0"/>
              <w:rPr>
                <w:rFonts w:eastAsiaTheme="minorEastAsia" w:cs="Calibri"/>
                <w:iCs/>
                <w:color w:val="FFFFFF"/>
                <w:sz w:val="19"/>
                <w:szCs w:val="19"/>
                <w:lang w:eastAsia="en-AU"/>
              </w:rPr>
            </w:pPr>
          </w:p>
        </w:tc>
        <w:tc>
          <w:tcPr>
            <w:tcW w:w="953" w:type="dxa"/>
            <w:gridSpan w:val="4"/>
            <w:tcBorders>
              <w:top w:val="nil"/>
              <w:left w:val="nil"/>
              <w:right w:val="nil"/>
            </w:tcBorders>
            <w:shd w:val="solid" w:color="000000" w:fill="auto"/>
            <w:vAlign w:val="bottom"/>
          </w:tcPr>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2015-16</w:t>
            </w:r>
          </w:p>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budget</w:t>
            </w:r>
          </w:p>
        </w:tc>
        <w:tc>
          <w:tcPr>
            <w:tcW w:w="1037" w:type="dxa"/>
            <w:tcBorders>
              <w:top w:val="nil"/>
              <w:left w:val="nil"/>
              <w:right w:val="nil"/>
            </w:tcBorders>
            <w:shd w:val="solid" w:color="000000" w:fill="auto"/>
            <w:vAlign w:val="bottom"/>
          </w:tcPr>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2016-17</w:t>
            </w:r>
          </w:p>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budget</w:t>
            </w:r>
          </w:p>
        </w:tc>
        <w:tc>
          <w:tcPr>
            <w:tcW w:w="822" w:type="dxa"/>
            <w:tcBorders>
              <w:top w:val="nil"/>
              <w:left w:val="nil"/>
              <w:right w:val="nil"/>
            </w:tcBorders>
            <w:shd w:val="solid" w:color="000000" w:fill="auto"/>
            <w:vAlign w:val="bottom"/>
          </w:tcPr>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Variation</w:t>
            </w:r>
          </w:p>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w:t>
            </w:r>
          </w:p>
        </w:tc>
      </w:tr>
      <w:tr w:rsidR="0097550F" w:rsidRPr="003F3109" w:rsidTr="00502FAF">
        <w:tc>
          <w:tcPr>
            <w:tcW w:w="7767" w:type="dxa"/>
            <w:gridSpan w:val="8"/>
            <w:tcBorders>
              <w:top w:val="single" w:sz="6" w:space="0" w:color="auto"/>
              <w:left w:val="nil"/>
              <w:right w:val="nil"/>
            </w:tcBorders>
            <w:shd w:val="clear" w:color="auto" w:fill="FFFFFF"/>
          </w:tcPr>
          <w:p w:rsidR="0097550F" w:rsidRPr="003F3109" w:rsidRDefault="0097550F" w:rsidP="0097550F">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b/>
                <w:bCs/>
                <w:color w:val="000000"/>
                <w:sz w:val="19"/>
                <w:szCs w:val="19"/>
                <w:lang w:eastAsia="en-AU"/>
              </w:rPr>
              <w:t>Justice and Regulation</w:t>
            </w:r>
          </w:p>
        </w:tc>
      </w:tr>
      <w:tr w:rsidR="002C39A3" w:rsidRPr="003F3109" w:rsidTr="00361FA9">
        <w:tc>
          <w:tcPr>
            <w:tcW w:w="4955" w:type="dxa"/>
            <w:gridSpan w:val="2"/>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i/>
                <w:iCs/>
                <w:color w:val="000000"/>
                <w:sz w:val="19"/>
                <w:szCs w:val="19"/>
                <w:lang w:eastAsia="en-AU"/>
              </w:rPr>
            </w:pPr>
            <w:r w:rsidRPr="003F3109">
              <w:rPr>
                <w:rFonts w:ascii="Calibri" w:eastAsiaTheme="minorEastAsia" w:hAnsi="Calibri" w:cs="Calibri"/>
                <w:i/>
                <w:iCs/>
                <w:color w:val="000000"/>
                <w:sz w:val="19"/>
                <w:szCs w:val="19"/>
                <w:lang w:eastAsia="en-AU"/>
              </w:rPr>
              <w:t>Crown Proceedings Act No. 6232</w:t>
            </w:r>
          </w:p>
        </w:tc>
        <w:tc>
          <w:tcPr>
            <w:tcW w:w="953" w:type="dxa"/>
            <w:gridSpan w:val="4"/>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5 121</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5 249</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2.5</w:t>
            </w:r>
          </w:p>
        </w:tc>
      </w:tr>
      <w:tr w:rsidR="002C39A3" w:rsidRPr="003F3109" w:rsidTr="00361FA9">
        <w:tc>
          <w:tcPr>
            <w:tcW w:w="4955" w:type="dxa"/>
            <w:gridSpan w:val="2"/>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EastLink Project Act No. 39 of 2004,</w:t>
            </w:r>
            <w:r w:rsidRPr="003F3109">
              <w:rPr>
                <w:rFonts w:ascii="Calibri" w:eastAsiaTheme="minorEastAsia" w:hAnsi="Calibri" w:cs="Calibri"/>
                <w:color w:val="000000"/>
                <w:sz w:val="19"/>
                <w:szCs w:val="19"/>
                <w:lang w:eastAsia="en-AU"/>
              </w:rPr>
              <w:t xml:space="preserve"> Section 26</w:t>
            </w:r>
          </w:p>
        </w:tc>
        <w:tc>
          <w:tcPr>
            <w:tcW w:w="953" w:type="dxa"/>
            <w:gridSpan w:val="4"/>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1 538</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1 995</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29.7</w:t>
            </w:r>
          </w:p>
        </w:tc>
      </w:tr>
      <w:tr w:rsidR="002C39A3" w:rsidRPr="003F3109" w:rsidTr="00361FA9">
        <w:tc>
          <w:tcPr>
            <w:tcW w:w="4955" w:type="dxa"/>
            <w:gridSpan w:val="2"/>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 xml:space="preserve">Emergency Management Act No 30 of 1986, </w:t>
            </w:r>
            <w:r w:rsidRPr="003F3109">
              <w:rPr>
                <w:rFonts w:ascii="Calibri" w:eastAsiaTheme="minorEastAsia" w:hAnsi="Calibri" w:cs="Calibri"/>
                <w:color w:val="000000"/>
                <w:sz w:val="19"/>
                <w:szCs w:val="19"/>
                <w:lang w:eastAsia="en-AU"/>
              </w:rPr>
              <w:t>Section 32 – Volunteer Workers Compensation</w:t>
            </w:r>
          </w:p>
        </w:tc>
        <w:tc>
          <w:tcPr>
            <w:tcW w:w="953" w:type="dxa"/>
            <w:gridSpan w:val="4"/>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339</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347</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2.4</w:t>
            </w:r>
          </w:p>
        </w:tc>
      </w:tr>
      <w:tr w:rsidR="002C39A3" w:rsidRPr="003F3109" w:rsidTr="00361FA9">
        <w:tc>
          <w:tcPr>
            <w:tcW w:w="4955" w:type="dxa"/>
            <w:gridSpan w:val="2"/>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Melbourne City Link Act No. 107 of 1995,</w:t>
            </w:r>
            <w:r w:rsidRPr="003F3109">
              <w:rPr>
                <w:rFonts w:ascii="Calibri" w:eastAsiaTheme="minorEastAsia" w:hAnsi="Calibri" w:cs="Calibri"/>
                <w:color w:val="000000"/>
                <w:sz w:val="19"/>
                <w:szCs w:val="19"/>
                <w:lang w:eastAsia="en-AU"/>
              </w:rPr>
              <w:t xml:space="preserve"> Section 14(4)</w:t>
            </w:r>
          </w:p>
        </w:tc>
        <w:tc>
          <w:tcPr>
            <w:tcW w:w="953" w:type="dxa"/>
            <w:gridSpan w:val="4"/>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3 142</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3 216</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2.4</w:t>
            </w:r>
          </w:p>
        </w:tc>
      </w:tr>
      <w:tr w:rsidR="002C39A3" w:rsidRPr="003F3109" w:rsidTr="00361FA9">
        <w:tc>
          <w:tcPr>
            <w:tcW w:w="5138" w:type="dxa"/>
            <w:gridSpan w:val="3"/>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 xml:space="preserve">Victoria State Emergency Service Act No. 51 of 2005, </w:t>
            </w:r>
            <w:r w:rsidRPr="003F3109">
              <w:rPr>
                <w:rFonts w:ascii="Calibri" w:eastAsiaTheme="minorEastAsia" w:hAnsi="Calibri" w:cs="Calibri"/>
                <w:color w:val="000000"/>
                <w:sz w:val="19"/>
                <w:szCs w:val="19"/>
                <w:lang w:eastAsia="en-AU"/>
              </w:rPr>
              <w:t>Section 52 – Volunteer Workers Compensation</w:t>
            </w:r>
          </w:p>
        </w:tc>
        <w:tc>
          <w:tcPr>
            <w:tcW w:w="770" w:type="dxa"/>
            <w:gridSpan w:val="3"/>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925</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948</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2.5</w:t>
            </w:r>
          </w:p>
        </w:tc>
      </w:tr>
      <w:tr w:rsidR="002C39A3" w:rsidRPr="003F3109" w:rsidTr="00361FA9">
        <w:tc>
          <w:tcPr>
            <w:tcW w:w="4955" w:type="dxa"/>
            <w:gridSpan w:val="2"/>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Work Cover Authority Fund, Corrections Act 1986,</w:t>
            </w:r>
            <w:r w:rsidRPr="003F3109">
              <w:rPr>
                <w:rFonts w:ascii="Calibri" w:eastAsiaTheme="minorEastAsia" w:hAnsi="Calibri" w:cs="Calibri"/>
                <w:color w:val="000000"/>
                <w:sz w:val="19"/>
                <w:szCs w:val="19"/>
                <w:lang w:eastAsia="en-AU"/>
              </w:rPr>
              <w:t xml:space="preserve"> Part 9D, S.104ZW</w:t>
            </w:r>
          </w:p>
        </w:tc>
        <w:tc>
          <w:tcPr>
            <w:tcW w:w="953" w:type="dxa"/>
            <w:gridSpan w:val="4"/>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115</w:t>
            </w:r>
          </w:p>
        </w:tc>
        <w:tc>
          <w:tcPr>
            <w:tcW w:w="1037" w:type="dxa"/>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118</w:t>
            </w:r>
          </w:p>
        </w:tc>
        <w:tc>
          <w:tcPr>
            <w:tcW w:w="822" w:type="dxa"/>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2.6</w:t>
            </w:r>
          </w:p>
        </w:tc>
      </w:tr>
      <w:tr w:rsidR="002C39A3" w:rsidRPr="003F3109" w:rsidTr="00361FA9">
        <w:tc>
          <w:tcPr>
            <w:tcW w:w="4955" w:type="dxa"/>
            <w:gridSpan w:val="2"/>
            <w:tcBorders>
              <w:top w:val="single" w:sz="6" w:space="0" w:color="auto"/>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Total</w:t>
            </w:r>
          </w:p>
        </w:tc>
        <w:tc>
          <w:tcPr>
            <w:tcW w:w="953" w:type="dxa"/>
            <w:gridSpan w:val="4"/>
            <w:tcBorders>
              <w:top w:val="single" w:sz="6" w:space="0" w:color="auto"/>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11 180</w:t>
            </w:r>
          </w:p>
        </w:tc>
        <w:tc>
          <w:tcPr>
            <w:tcW w:w="1037" w:type="dxa"/>
            <w:tcBorders>
              <w:top w:val="single" w:sz="6" w:space="0" w:color="auto"/>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11 873</w:t>
            </w:r>
          </w:p>
        </w:tc>
        <w:tc>
          <w:tcPr>
            <w:tcW w:w="822" w:type="dxa"/>
            <w:tcBorders>
              <w:top w:val="single" w:sz="6" w:space="0" w:color="auto"/>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6.2</w:t>
            </w:r>
          </w:p>
        </w:tc>
      </w:tr>
      <w:tr w:rsidR="0097550F" w:rsidRPr="003F3109" w:rsidTr="00502FAF">
        <w:tc>
          <w:tcPr>
            <w:tcW w:w="7767" w:type="dxa"/>
            <w:gridSpan w:val="8"/>
            <w:tcBorders>
              <w:top w:val="nil"/>
              <w:left w:val="nil"/>
              <w:right w:val="nil"/>
            </w:tcBorders>
            <w:shd w:val="clear" w:color="auto" w:fill="FFFFFF"/>
          </w:tcPr>
          <w:p w:rsidR="0097550F" w:rsidRPr="003F3109" w:rsidRDefault="0097550F" w:rsidP="0097550F">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b/>
                <w:bCs/>
                <w:color w:val="000000"/>
                <w:sz w:val="19"/>
                <w:szCs w:val="19"/>
                <w:lang w:eastAsia="en-AU"/>
              </w:rPr>
              <w:t>Premier and Cabinet</w:t>
            </w:r>
          </w:p>
        </w:tc>
      </w:tr>
      <w:tr w:rsidR="002C39A3" w:rsidRPr="003F3109" w:rsidTr="00361FA9">
        <w:tc>
          <w:tcPr>
            <w:tcW w:w="4955" w:type="dxa"/>
            <w:gridSpan w:val="2"/>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Constitution Act No. 8750</w:t>
            </w:r>
            <w:r w:rsidRPr="003F3109">
              <w:rPr>
                <w:rFonts w:ascii="Calibri" w:eastAsiaTheme="minorEastAsia" w:hAnsi="Calibri" w:cs="Calibri"/>
                <w:color w:val="000000"/>
                <w:sz w:val="19"/>
                <w:szCs w:val="19"/>
                <w:lang w:eastAsia="en-AU"/>
              </w:rPr>
              <w:t xml:space="preserve"> – Executive Council</w:t>
            </w:r>
          </w:p>
        </w:tc>
        <w:tc>
          <w:tcPr>
            <w:tcW w:w="953" w:type="dxa"/>
            <w:gridSpan w:val="4"/>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50</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50</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w:t>
            </w:r>
          </w:p>
        </w:tc>
      </w:tr>
      <w:tr w:rsidR="002C39A3" w:rsidRPr="003F3109" w:rsidTr="00361FA9">
        <w:tc>
          <w:tcPr>
            <w:tcW w:w="4955" w:type="dxa"/>
            <w:gridSpan w:val="2"/>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i/>
                <w:iCs/>
                <w:color w:val="000000"/>
                <w:sz w:val="19"/>
                <w:szCs w:val="19"/>
                <w:lang w:eastAsia="en-AU"/>
              </w:rPr>
            </w:pPr>
            <w:r w:rsidRPr="003F3109">
              <w:rPr>
                <w:rFonts w:ascii="Calibri" w:eastAsiaTheme="minorEastAsia" w:hAnsi="Calibri" w:cs="Calibri"/>
                <w:i/>
                <w:iCs/>
                <w:color w:val="000000"/>
                <w:sz w:val="19"/>
                <w:szCs w:val="19"/>
                <w:lang w:eastAsia="en-AU"/>
              </w:rPr>
              <w:t>Constitution Act No. 8750 – Governor</w:t>
            </w:r>
            <w:r w:rsidR="0097550F">
              <w:rPr>
                <w:rFonts w:ascii="Calibri" w:eastAsiaTheme="minorEastAsia" w:hAnsi="Calibri" w:cs="Calibri"/>
                <w:i/>
                <w:iCs/>
                <w:color w:val="000000"/>
                <w:sz w:val="19"/>
                <w:szCs w:val="19"/>
                <w:lang w:eastAsia="en-AU"/>
              </w:rPr>
              <w:t>’</w:t>
            </w:r>
            <w:r w:rsidRPr="003F3109">
              <w:rPr>
                <w:rFonts w:ascii="Calibri" w:eastAsiaTheme="minorEastAsia" w:hAnsi="Calibri" w:cs="Calibri"/>
                <w:i/>
                <w:iCs/>
                <w:color w:val="000000"/>
                <w:sz w:val="19"/>
                <w:szCs w:val="19"/>
                <w:lang w:eastAsia="en-AU"/>
              </w:rPr>
              <w:t>s Salary</w:t>
            </w:r>
          </w:p>
        </w:tc>
        <w:tc>
          <w:tcPr>
            <w:tcW w:w="953" w:type="dxa"/>
            <w:gridSpan w:val="4"/>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455</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213</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(53.3)</w:t>
            </w:r>
          </w:p>
        </w:tc>
      </w:tr>
      <w:tr w:rsidR="002C39A3" w:rsidRPr="003F3109" w:rsidTr="00361FA9">
        <w:tc>
          <w:tcPr>
            <w:tcW w:w="4955" w:type="dxa"/>
            <w:gridSpan w:val="2"/>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 xml:space="preserve">Electoral Act No. 23 of 2002, </w:t>
            </w:r>
            <w:r w:rsidRPr="003F3109">
              <w:rPr>
                <w:rFonts w:ascii="Calibri" w:eastAsiaTheme="minorEastAsia" w:hAnsi="Calibri" w:cs="Calibri"/>
                <w:color w:val="000000"/>
                <w:sz w:val="19"/>
                <w:szCs w:val="19"/>
                <w:lang w:eastAsia="en-AU"/>
              </w:rPr>
              <w:t>Section 181 – Electoral Expenses</w:t>
            </w:r>
          </w:p>
        </w:tc>
        <w:tc>
          <w:tcPr>
            <w:tcW w:w="953" w:type="dxa"/>
            <w:gridSpan w:val="4"/>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35 558</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72 060</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102.7</w:t>
            </w:r>
          </w:p>
        </w:tc>
      </w:tr>
      <w:tr w:rsidR="002C39A3" w:rsidRPr="003F3109" w:rsidTr="00361FA9">
        <w:tc>
          <w:tcPr>
            <w:tcW w:w="4955" w:type="dxa"/>
            <w:gridSpan w:val="2"/>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 xml:space="preserve">Inquiries Act No. 67 of 2014, </w:t>
            </w:r>
            <w:r w:rsidR="0097550F">
              <w:rPr>
                <w:rFonts w:ascii="Calibri" w:eastAsiaTheme="minorEastAsia" w:hAnsi="Calibri" w:cs="Calibri"/>
                <w:color w:val="000000"/>
                <w:sz w:val="19"/>
                <w:szCs w:val="19"/>
                <w:lang w:eastAsia="en-AU"/>
              </w:rPr>
              <w:t>Section 11 –</w:t>
            </w:r>
            <w:r w:rsidRPr="003F3109">
              <w:rPr>
                <w:rFonts w:ascii="Calibri" w:eastAsiaTheme="minorEastAsia" w:hAnsi="Calibri" w:cs="Calibri"/>
                <w:color w:val="000000"/>
                <w:sz w:val="19"/>
                <w:szCs w:val="19"/>
                <w:lang w:eastAsia="en-AU"/>
              </w:rPr>
              <w:t xml:space="preserve"> </w:t>
            </w:r>
            <w:r w:rsidR="0097550F">
              <w:rPr>
                <w:rFonts w:ascii="Calibri" w:eastAsiaTheme="minorEastAsia" w:hAnsi="Calibri" w:cs="Calibri"/>
                <w:color w:val="000000"/>
                <w:sz w:val="19"/>
                <w:szCs w:val="19"/>
                <w:lang w:eastAsia="en-AU"/>
              </w:rPr>
              <w:br/>
            </w:r>
            <w:r w:rsidRPr="003F3109">
              <w:rPr>
                <w:rFonts w:ascii="Calibri" w:eastAsiaTheme="minorEastAsia" w:hAnsi="Calibri" w:cs="Calibri"/>
                <w:color w:val="000000"/>
                <w:sz w:val="19"/>
                <w:szCs w:val="19"/>
                <w:lang w:eastAsia="en-AU"/>
              </w:rPr>
              <w:t>Expenses and financial obligations of Royal Commission</w:t>
            </w:r>
          </w:p>
        </w:tc>
        <w:tc>
          <w:tcPr>
            <w:tcW w:w="953" w:type="dxa"/>
            <w:gridSpan w:val="4"/>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18 000</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n.a.</w:t>
            </w:r>
          </w:p>
        </w:tc>
      </w:tr>
      <w:tr w:rsidR="002C39A3" w:rsidRPr="003F3109" w:rsidTr="00361FA9">
        <w:tc>
          <w:tcPr>
            <w:tcW w:w="4955" w:type="dxa"/>
            <w:gridSpan w:val="2"/>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i/>
                <w:iCs/>
                <w:color w:val="000000"/>
                <w:sz w:val="19"/>
                <w:szCs w:val="19"/>
                <w:lang w:eastAsia="en-AU"/>
              </w:rPr>
            </w:pPr>
            <w:r w:rsidRPr="003F3109">
              <w:rPr>
                <w:rFonts w:ascii="Calibri" w:eastAsiaTheme="minorEastAsia" w:hAnsi="Calibri" w:cs="Calibri"/>
                <w:i/>
                <w:iCs/>
                <w:color w:val="000000"/>
                <w:sz w:val="19"/>
                <w:szCs w:val="19"/>
                <w:lang w:eastAsia="en-AU"/>
              </w:rPr>
              <w:t>Ombudsman Act No. 8414</w:t>
            </w:r>
          </w:p>
        </w:tc>
        <w:tc>
          <w:tcPr>
            <w:tcW w:w="953" w:type="dxa"/>
            <w:gridSpan w:val="4"/>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537</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550</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2.5</w:t>
            </w:r>
          </w:p>
        </w:tc>
      </w:tr>
      <w:tr w:rsidR="002C39A3" w:rsidRPr="003F3109" w:rsidTr="00361FA9">
        <w:tc>
          <w:tcPr>
            <w:tcW w:w="5166" w:type="dxa"/>
            <w:gridSpan w:val="4"/>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i/>
                <w:iCs/>
                <w:color w:val="000000"/>
                <w:sz w:val="19"/>
                <w:szCs w:val="19"/>
                <w:lang w:eastAsia="en-AU"/>
              </w:rPr>
            </w:pPr>
            <w:r w:rsidRPr="003F3109">
              <w:rPr>
                <w:rFonts w:ascii="Calibri" w:eastAsiaTheme="minorEastAsia" w:hAnsi="Calibri" w:cs="Calibri"/>
                <w:i/>
                <w:iCs/>
                <w:color w:val="000000"/>
                <w:sz w:val="19"/>
                <w:szCs w:val="19"/>
                <w:lang w:eastAsia="en-AU"/>
              </w:rPr>
              <w:t>Parliamentary Salaries and Superannuation Act No. 7723 of 1968</w:t>
            </w:r>
          </w:p>
        </w:tc>
        <w:tc>
          <w:tcPr>
            <w:tcW w:w="742" w:type="dxa"/>
            <w:gridSpan w:val="2"/>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8 051</w:t>
            </w:r>
          </w:p>
        </w:tc>
        <w:tc>
          <w:tcPr>
            <w:tcW w:w="1037" w:type="dxa"/>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8 252</w:t>
            </w:r>
          </w:p>
        </w:tc>
        <w:tc>
          <w:tcPr>
            <w:tcW w:w="822" w:type="dxa"/>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2.5</w:t>
            </w:r>
          </w:p>
        </w:tc>
      </w:tr>
      <w:tr w:rsidR="002C39A3" w:rsidRPr="003F3109" w:rsidTr="00361FA9">
        <w:tc>
          <w:tcPr>
            <w:tcW w:w="4955" w:type="dxa"/>
            <w:gridSpan w:val="2"/>
            <w:tcBorders>
              <w:top w:val="single" w:sz="6" w:space="0" w:color="auto"/>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Total</w:t>
            </w:r>
          </w:p>
        </w:tc>
        <w:tc>
          <w:tcPr>
            <w:tcW w:w="953" w:type="dxa"/>
            <w:gridSpan w:val="4"/>
            <w:tcBorders>
              <w:top w:val="single" w:sz="6" w:space="0" w:color="auto"/>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62 651</w:t>
            </w:r>
          </w:p>
        </w:tc>
        <w:tc>
          <w:tcPr>
            <w:tcW w:w="1037" w:type="dxa"/>
            <w:tcBorders>
              <w:top w:val="single" w:sz="6" w:space="0" w:color="auto"/>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81 125</w:t>
            </w:r>
          </w:p>
        </w:tc>
        <w:tc>
          <w:tcPr>
            <w:tcW w:w="822" w:type="dxa"/>
            <w:tcBorders>
              <w:top w:val="single" w:sz="6" w:space="0" w:color="auto"/>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29.5</w:t>
            </w:r>
          </w:p>
        </w:tc>
      </w:tr>
      <w:tr w:rsidR="0097550F" w:rsidRPr="003F3109" w:rsidTr="00502FAF">
        <w:tc>
          <w:tcPr>
            <w:tcW w:w="7767" w:type="dxa"/>
            <w:gridSpan w:val="8"/>
            <w:tcBorders>
              <w:top w:val="nil"/>
              <w:left w:val="nil"/>
              <w:right w:val="nil"/>
            </w:tcBorders>
            <w:shd w:val="clear" w:color="auto" w:fill="FFFFFF"/>
          </w:tcPr>
          <w:p w:rsidR="0097550F" w:rsidRPr="003F3109" w:rsidRDefault="0097550F" w:rsidP="0097550F">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b/>
                <w:bCs/>
                <w:color w:val="000000"/>
                <w:sz w:val="19"/>
                <w:szCs w:val="19"/>
                <w:lang w:eastAsia="en-AU"/>
              </w:rPr>
              <w:t>Parliament</w:t>
            </w:r>
          </w:p>
        </w:tc>
      </w:tr>
      <w:tr w:rsidR="002C39A3" w:rsidRPr="003F3109" w:rsidTr="00361FA9">
        <w:tc>
          <w:tcPr>
            <w:tcW w:w="4382" w:type="dxa"/>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 xml:space="preserve">Audit Act No. 2 of 1994, Section 17(3) </w:t>
            </w:r>
            <w:r w:rsidRPr="003F3109">
              <w:rPr>
                <w:rFonts w:ascii="Calibri" w:eastAsiaTheme="minorEastAsia" w:hAnsi="Calibri" w:cs="Calibri"/>
                <w:color w:val="000000"/>
                <w:sz w:val="19"/>
                <w:szCs w:val="19"/>
                <w:lang w:eastAsia="en-AU"/>
              </w:rPr>
              <w:t>– Audit of Auditor-General</w:t>
            </w:r>
            <w:r w:rsidR="0097550F">
              <w:rPr>
                <w:rFonts w:ascii="Calibri" w:eastAsiaTheme="minorEastAsia" w:hAnsi="Calibri" w:cs="Calibri"/>
                <w:color w:val="000000"/>
                <w:sz w:val="19"/>
                <w:szCs w:val="19"/>
                <w:lang w:eastAsia="en-AU"/>
              </w:rPr>
              <w:t>’</w:t>
            </w:r>
            <w:r w:rsidRPr="003F3109">
              <w:rPr>
                <w:rFonts w:ascii="Calibri" w:eastAsiaTheme="minorEastAsia" w:hAnsi="Calibri" w:cs="Calibri"/>
                <w:color w:val="000000"/>
                <w:sz w:val="19"/>
                <w:szCs w:val="19"/>
                <w:lang w:eastAsia="en-AU"/>
              </w:rPr>
              <w:t>s Office</w:t>
            </w:r>
          </w:p>
        </w:tc>
        <w:tc>
          <w:tcPr>
            <w:tcW w:w="1526" w:type="dxa"/>
            <w:gridSpan w:val="5"/>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25</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25</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w:t>
            </w:r>
          </w:p>
        </w:tc>
      </w:tr>
      <w:tr w:rsidR="002C39A3" w:rsidRPr="003F3109" w:rsidTr="00361FA9">
        <w:tc>
          <w:tcPr>
            <w:tcW w:w="5180" w:type="dxa"/>
            <w:gridSpan w:val="5"/>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 xml:space="preserve">Constitution Act No. 8750, Section 94A </w:t>
            </w:r>
            <w:r w:rsidRPr="003F3109">
              <w:rPr>
                <w:rFonts w:ascii="Calibri" w:eastAsiaTheme="minorEastAsia" w:hAnsi="Calibri" w:cs="Calibri"/>
                <w:color w:val="000000"/>
                <w:sz w:val="19"/>
                <w:szCs w:val="19"/>
                <w:lang w:eastAsia="en-AU"/>
              </w:rPr>
              <w:t>– Auditor-General</w:t>
            </w:r>
            <w:r w:rsidR="0097550F">
              <w:rPr>
                <w:rFonts w:ascii="Calibri" w:eastAsiaTheme="minorEastAsia" w:hAnsi="Calibri" w:cs="Calibri"/>
                <w:color w:val="000000"/>
                <w:sz w:val="19"/>
                <w:szCs w:val="19"/>
                <w:lang w:eastAsia="en-AU"/>
              </w:rPr>
              <w:t>’</w:t>
            </w:r>
            <w:r w:rsidRPr="003F3109">
              <w:rPr>
                <w:rFonts w:ascii="Calibri" w:eastAsiaTheme="minorEastAsia" w:hAnsi="Calibri" w:cs="Calibri"/>
                <w:color w:val="000000"/>
                <w:sz w:val="19"/>
                <w:szCs w:val="19"/>
                <w:lang w:eastAsia="en-AU"/>
              </w:rPr>
              <w:t>s Salary</w:t>
            </w:r>
          </w:p>
        </w:tc>
        <w:tc>
          <w:tcPr>
            <w:tcW w:w="728"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611</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573</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(6.2)</w:t>
            </w:r>
          </w:p>
        </w:tc>
      </w:tr>
      <w:tr w:rsidR="002C39A3" w:rsidRPr="003F3109" w:rsidTr="00361FA9">
        <w:tc>
          <w:tcPr>
            <w:tcW w:w="4955" w:type="dxa"/>
            <w:gridSpan w:val="2"/>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Constitution Act No. 8750</w:t>
            </w:r>
            <w:r w:rsidRPr="003F3109">
              <w:rPr>
                <w:rFonts w:ascii="Calibri" w:eastAsiaTheme="minorEastAsia" w:hAnsi="Calibri" w:cs="Calibri"/>
                <w:color w:val="000000"/>
                <w:sz w:val="19"/>
                <w:szCs w:val="19"/>
                <w:lang w:eastAsia="en-AU"/>
              </w:rPr>
              <w:t xml:space="preserve"> – Clerks of the Parliaments</w:t>
            </w:r>
          </w:p>
        </w:tc>
        <w:tc>
          <w:tcPr>
            <w:tcW w:w="953" w:type="dxa"/>
            <w:gridSpan w:val="4"/>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w:t>
            </w:r>
          </w:p>
        </w:tc>
      </w:tr>
      <w:tr w:rsidR="002C39A3" w:rsidRPr="003F3109" w:rsidTr="00361FA9">
        <w:tc>
          <w:tcPr>
            <w:tcW w:w="4955" w:type="dxa"/>
            <w:gridSpan w:val="2"/>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 xml:space="preserve">Constitution Act No. 8750 </w:t>
            </w:r>
            <w:r w:rsidRPr="003F3109">
              <w:rPr>
                <w:rFonts w:ascii="Calibri" w:eastAsiaTheme="minorEastAsia" w:hAnsi="Calibri" w:cs="Calibri"/>
                <w:color w:val="000000"/>
                <w:sz w:val="19"/>
                <w:szCs w:val="19"/>
                <w:lang w:eastAsia="en-AU"/>
              </w:rPr>
              <w:t>– Legislative Assembly</w:t>
            </w:r>
          </w:p>
        </w:tc>
        <w:tc>
          <w:tcPr>
            <w:tcW w:w="953" w:type="dxa"/>
            <w:gridSpan w:val="4"/>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550</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550</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w:t>
            </w:r>
          </w:p>
        </w:tc>
      </w:tr>
      <w:tr w:rsidR="002C39A3" w:rsidRPr="003F3109" w:rsidTr="00361FA9">
        <w:tc>
          <w:tcPr>
            <w:tcW w:w="4955" w:type="dxa"/>
            <w:gridSpan w:val="2"/>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Constitution Act No. 8750</w:t>
            </w:r>
            <w:r w:rsidRPr="003F3109">
              <w:rPr>
                <w:rFonts w:ascii="Calibri" w:eastAsiaTheme="minorEastAsia" w:hAnsi="Calibri" w:cs="Calibri"/>
                <w:color w:val="000000"/>
                <w:sz w:val="19"/>
                <w:szCs w:val="19"/>
                <w:lang w:eastAsia="en-AU"/>
              </w:rPr>
              <w:t xml:space="preserve"> – Legislative Council</w:t>
            </w:r>
          </w:p>
        </w:tc>
        <w:tc>
          <w:tcPr>
            <w:tcW w:w="953" w:type="dxa"/>
            <w:gridSpan w:val="4"/>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200</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200</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w:t>
            </w:r>
          </w:p>
        </w:tc>
      </w:tr>
      <w:tr w:rsidR="002C39A3" w:rsidRPr="003F3109" w:rsidTr="00361FA9">
        <w:tc>
          <w:tcPr>
            <w:tcW w:w="4955" w:type="dxa"/>
            <w:gridSpan w:val="2"/>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3F3109">
              <w:rPr>
                <w:rFonts w:ascii="Calibri" w:eastAsiaTheme="minorEastAsia" w:hAnsi="Calibri" w:cs="Calibri"/>
                <w:i/>
                <w:iCs/>
                <w:color w:val="000000"/>
                <w:sz w:val="19"/>
                <w:szCs w:val="19"/>
                <w:lang w:eastAsia="en-AU"/>
              </w:rPr>
              <w:t>Financial Management Act No. 18 of 1994,</w:t>
            </w:r>
            <w:r w:rsidRPr="003F3109">
              <w:rPr>
                <w:rFonts w:ascii="Calibri" w:eastAsiaTheme="minorEastAsia" w:hAnsi="Calibri" w:cs="Calibri"/>
                <w:color w:val="000000"/>
                <w:sz w:val="19"/>
                <w:szCs w:val="19"/>
                <w:lang w:eastAsia="en-AU"/>
              </w:rPr>
              <w:t xml:space="preserve"> Section 33 – Appropriation to meet certain obligations </w:t>
            </w:r>
            <w:r w:rsidRPr="003F3109">
              <w:rPr>
                <w:rFonts w:ascii="Calibri" w:eastAsiaTheme="minorEastAsia" w:hAnsi="Calibri" w:cs="Calibri"/>
                <w:color w:val="000000"/>
                <w:sz w:val="19"/>
                <w:szCs w:val="19"/>
                <w:vertAlign w:val="superscript"/>
                <w:lang w:eastAsia="en-AU"/>
              </w:rPr>
              <w:t>(a)</w:t>
            </w:r>
          </w:p>
        </w:tc>
        <w:tc>
          <w:tcPr>
            <w:tcW w:w="953" w:type="dxa"/>
            <w:gridSpan w:val="4"/>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3 500</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28 714</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720.4</w:t>
            </w:r>
          </w:p>
        </w:tc>
      </w:tr>
      <w:tr w:rsidR="002C39A3" w:rsidRPr="003F3109" w:rsidTr="00361FA9">
        <w:tc>
          <w:tcPr>
            <w:tcW w:w="4955" w:type="dxa"/>
            <w:gridSpan w:val="2"/>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 xml:space="preserve">Parliamentary Salaries and Superannuation Act No. 7723,  </w:t>
            </w:r>
            <w:r w:rsidRPr="003F3109">
              <w:rPr>
                <w:rFonts w:ascii="Calibri" w:eastAsiaTheme="minorEastAsia" w:hAnsi="Calibri" w:cs="Calibri"/>
                <w:color w:val="000000"/>
                <w:sz w:val="19"/>
                <w:szCs w:val="19"/>
                <w:lang w:eastAsia="en-AU"/>
              </w:rPr>
              <w:t>Section 13(1) – contributions</w:t>
            </w:r>
          </w:p>
        </w:tc>
        <w:tc>
          <w:tcPr>
            <w:tcW w:w="953" w:type="dxa"/>
            <w:gridSpan w:val="4"/>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9 300</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9 300</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w:t>
            </w:r>
          </w:p>
        </w:tc>
      </w:tr>
      <w:tr w:rsidR="002C39A3" w:rsidRPr="003F3109" w:rsidTr="00361FA9">
        <w:tc>
          <w:tcPr>
            <w:tcW w:w="4955" w:type="dxa"/>
            <w:gridSpan w:val="2"/>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 xml:space="preserve">Parliamentary Salaries and Superannuation Act No. 7723 </w:t>
            </w:r>
            <w:r w:rsidRPr="003F3109">
              <w:rPr>
                <w:rFonts w:ascii="Calibri" w:eastAsiaTheme="minorEastAsia" w:hAnsi="Calibri" w:cs="Calibri"/>
                <w:color w:val="000000"/>
                <w:sz w:val="19"/>
                <w:szCs w:val="19"/>
                <w:lang w:eastAsia="en-AU"/>
              </w:rPr>
              <w:t>– Salaries and Allowances</w:t>
            </w:r>
          </w:p>
        </w:tc>
        <w:tc>
          <w:tcPr>
            <w:tcW w:w="953" w:type="dxa"/>
            <w:gridSpan w:val="4"/>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28 661</w:t>
            </w:r>
          </w:p>
        </w:tc>
        <w:tc>
          <w:tcPr>
            <w:tcW w:w="1037" w:type="dxa"/>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29 367</w:t>
            </w:r>
          </w:p>
        </w:tc>
        <w:tc>
          <w:tcPr>
            <w:tcW w:w="822" w:type="dxa"/>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2.5</w:t>
            </w:r>
          </w:p>
        </w:tc>
      </w:tr>
      <w:tr w:rsidR="002C39A3" w:rsidRPr="003F3109" w:rsidTr="00361FA9">
        <w:tc>
          <w:tcPr>
            <w:tcW w:w="4955" w:type="dxa"/>
            <w:gridSpan w:val="2"/>
            <w:tcBorders>
              <w:top w:val="single" w:sz="6" w:space="0" w:color="auto"/>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Total</w:t>
            </w:r>
          </w:p>
        </w:tc>
        <w:tc>
          <w:tcPr>
            <w:tcW w:w="953" w:type="dxa"/>
            <w:gridSpan w:val="4"/>
            <w:tcBorders>
              <w:top w:val="single" w:sz="6" w:space="0" w:color="auto"/>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42 849</w:t>
            </w:r>
          </w:p>
        </w:tc>
        <w:tc>
          <w:tcPr>
            <w:tcW w:w="1037" w:type="dxa"/>
            <w:tcBorders>
              <w:top w:val="single" w:sz="6" w:space="0" w:color="auto"/>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68 731</w:t>
            </w:r>
          </w:p>
        </w:tc>
        <w:tc>
          <w:tcPr>
            <w:tcW w:w="822" w:type="dxa"/>
            <w:tcBorders>
              <w:top w:val="single" w:sz="6" w:space="0" w:color="auto"/>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60.4</w:t>
            </w:r>
          </w:p>
        </w:tc>
      </w:tr>
    </w:tbl>
    <w:p w:rsidR="002C39A3" w:rsidRDefault="002C39A3"/>
    <w:p w:rsidR="002C39A3" w:rsidRDefault="002C39A3"/>
    <w:p w:rsidR="002C39A3" w:rsidRDefault="002C39A3">
      <w:pPr>
        <w:spacing w:after="0"/>
        <w:rPr>
          <w:rFonts w:ascii="Calibri" w:hAnsi="Calibri"/>
          <w:b/>
        </w:rPr>
      </w:pPr>
      <w:r>
        <w:br w:type="page"/>
      </w:r>
    </w:p>
    <w:p w:rsidR="002C39A3" w:rsidRDefault="002C39A3" w:rsidP="00361FA9">
      <w:pPr>
        <w:pStyle w:val="Tableheadingcontinued"/>
      </w:pPr>
      <w:r>
        <w:t>Table A.4:</w:t>
      </w:r>
      <w:r>
        <w:tab/>
        <w:t xml:space="preserve">Consolidated Fund payments – special appropriations </w:t>
      </w:r>
      <w:r w:rsidRPr="00350E27">
        <w:rPr>
          <w:i/>
        </w:rPr>
        <w:t>(continued)</w:t>
      </w:r>
    </w:p>
    <w:p w:rsidR="002C39A3" w:rsidRDefault="002C39A3" w:rsidP="00361FA9">
      <w:pPr>
        <w:pStyle w:val="million"/>
      </w:pPr>
      <w:r>
        <w:t>($ thousand)</w:t>
      </w:r>
    </w:p>
    <w:tbl>
      <w:tblPr>
        <w:tblW w:w="7767" w:type="dxa"/>
        <w:tblInd w:w="45" w:type="dxa"/>
        <w:tblLayout w:type="fixed"/>
        <w:tblCellMar>
          <w:left w:w="45" w:type="dxa"/>
          <w:right w:w="45" w:type="dxa"/>
        </w:tblCellMar>
        <w:tblLook w:val="0000" w:firstRow="0" w:lastRow="0" w:firstColumn="0" w:lastColumn="0" w:noHBand="0" w:noVBand="0"/>
      </w:tblPr>
      <w:tblGrid>
        <w:gridCol w:w="4955"/>
        <w:gridCol w:w="953"/>
        <w:gridCol w:w="1037"/>
        <w:gridCol w:w="822"/>
      </w:tblGrid>
      <w:tr w:rsidR="0097550F" w:rsidRPr="003F3109" w:rsidTr="00502FAF">
        <w:trPr>
          <w:trHeight w:val="464"/>
          <w:tblHeader/>
        </w:trPr>
        <w:tc>
          <w:tcPr>
            <w:tcW w:w="4955" w:type="dxa"/>
            <w:tcBorders>
              <w:top w:val="nil"/>
              <w:left w:val="nil"/>
              <w:right w:val="nil"/>
            </w:tcBorders>
            <w:shd w:val="solid" w:color="000000" w:fill="auto"/>
            <w:vAlign w:val="bottom"/>
          </w:tcPr>
          <w:p w:rsidR="0097550F" w:rsidRPr="003F3109" w:rsidRDefault="0097550F" w:rsidP="00361FA9">
            <w:pPr>
              <w:pStyle w:val="Source"/>
              <w:spacing w:after="0"/>
              <w:rPr>
                <w:rFonts w:eastAsiaTheme="minorEastAsia" w:cs="Calibri"/>
                <w:iCs/>
                <w:color w:val="FFFFFF"/>
                <w:sz w:val="19"/>
                <w:szCs w:val="19"/>
                <w:lang w:eastAsia="en-AU"/>
              </w:rPr>
            </w:pPr>
            <w:r w:rsidRPr="003F3109">
              <w:rPr>
                <w:rFonts w:eastAsiaTheme="minorEastAsia" w:cs="Calibri"/>
                <w:iCs/>
                <w:color w:val="FFFFFF"/>
                <w:sz w:val="19"/>
                <w:szCs w:val="19"/>
                <w:lang w:eastAsia="en-AU"/>
              </w:rPr>
              <w:t xml:space="preserve"> </w:t>
            </w:r>
          </w:p>
          <w:p w:rsidR="0097550F" w:rsidRPr="003F3109" w:rsidRDefault="0097550F" w:rsidP="00361FA9">
            <w:pPr>
              <w:autoSpaceDE w:val="0"/>
              <w:autoSpaceDN w:val="0"/>
              <w:adjustRightInd w:val="0"/>
              <w:spacing w:after="0"/>
              <w:rPr>
                <w:rFonts w:eastAsiaTheme="minorEastAsia" w:cs="Calibri"/>
                <w:iCs/>
                <w:color w:val="FFFFFF"/>
                <w:sz w:val="19"/>
                <w:szCs w:val="19"/>
                <w:lang w:eastAsia="en-AU"/>
              </w:rPr>
            </w:pPr>
            <w:r w:rsidRPr="003F3109">
              <w:rPr>
                <w:rFonts w:ascii="Calibri" w:eastAsiaTheme="minorEastAsia" w:hAnsi="Calibri" w:cs="Calibri"/>
                <w:i/>
                <w:iCs/>
                <w:color w:val="FFFFFF"/>
                <w:sz w:val="19"/>
                <w:szCs w:val="19"/>
                <w:lang w:eastAsia="en-AU"/>
              </w:rPr>
              <w:t xml:space="preserve"> </w:t>
            </w:r>
          </w:p>
        </w:tc>
        <w:tc>
          <w:tcPr>
            <w:tcW w:w="953" w:type="dxa"/>
            <w:tcBorders>
              <w:top w:val="nil"/>
              <w:left w:val="nil"/>
              <w:right w:val="nil"/>
            </w:tcBorders>
            <w:shd w:val="solid" w:color="000000" w:fill="auto"/>
            <w:vAlign w:val="bottom"/>
          </w:tcPr>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2015-16</w:t>
            </w:r>
          </w:p>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budget</w:t>
            </w:r>
          </w:p>
        </w:tc>
        <w:tc>
          <w:tcPr>
            <w:tcW w:w="1037" w:type="dxa"/>
            <w:tcBorders>
              <w:top w:val="nil"/>
              <w:left w:val="nil"/>
              <w:right w:val="nil"/>
            </w:tcBorders>
            <w:shd w:val="solid" w:color="000000" w:fill="auto"/>
            <w:vAlign w:val="bottom"/>
          </w:tcPr>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2016-17</w:t>
            </w:r>
          </w:p>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budget</w:t>
            </w:r>
          </w:p>
        </w:tc>
        <w:tc>
          <w:tcPr>
            <w:tcW w:w="822" w:type="dxa"/>
            <w:tcBorders>
              <w:top w:val="nil"/>
              <w:left w:val="nil"/>
              <w:right w:val="nil"/>
            </w:tcBorders>
            <w:shd w:val="solid" w:color="000000" w:fill="auto"/>
            <w:vAlign w:val="bottom"/>
          </w:tcPr>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Variation</w:t>
            </w:r>
          </w:p>
          <w:p w:rsidR="0097550F" w:rsidRPr="003F3109" w:rsidRDefault="0097550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F3109">
              <w:rPr>
                <w:rFonts w:ascii="Calibri" w:eastAsiaTheme="minorEastAsia" w:hAnsi="Calibri" w:cs="Calibri"/>
                <w:i/>
                <w:iCs/>
                <w:color w:val="FFFFFF"/>
                <w:sz w:val="19"/>
                <w:szCs w:val="19"/>
                <w:lang w:eastAsia="en-AU"/>
              </w:rPr>
              <w:t>%</w:t>
            </w:r>
          </w:p>
        </w:tc>
      </w:tr>
      <w:tr w:rsidR="0097550F" w:rsidRPr="003F3109" w:rsidTr="00502FAF">
        <w:tc>
          <w:tcPr>
            <w:tcW w:w="7767" w:type="dxa"/>
            <w:gridSpan w:val="4"/>
            <w:tcBorders>
              <w:top w:val="single" w:sz="6" w:space="0" w:color="auto"/>
              <w:left w:val="nil"/>
              <w:right w:val="nil"/>
            </w:tcBorders>
            <w:shd w:val="clear" w:color="auto" w:fill="FFFFFF"/>
          </w:tcPr>
          <w:p w:rsidR="0097550F" w:rsidRPr="003F3109" w:rsidRDefault="0097550F" w:rsidP="0097550F">
            <w:pPr>
              <w:pStyle w:val="Heading6"/>
              <w:pageBreakBefore w:val="0"/>
            </w:pPr>
            <w:r>
              <w:t>Courts</w:t>
            </w:r>
          </w:p>
        </w:tc>
      </w:tr>
      <w:tr w:rsidR="002C39A3" w:rsidRPr="003F3109" w:rsidTr="00361FA9">
        <w:tc>
          <w:tcPr>
            <w:tcW w:w="4955" w:type="dxa"/>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Constitution Act No. 8750</w:t>
            </w:r>
            <w:r w:rsidRPr="003F3109">
              <w:rPr>
                <w:rFonts w:ascii="Calibri" w:eastAsiaTheme="minorEastAsia" w:hAnsi="Calibri" w:cs="Calibri"/>
                <w:color w:val="000000"/>
                <w:sz w:val="19"/>
                <w:szCs w:val="19"/>
                <w:lang w:eastAsia="en-AU"/>
              </w:rPr>
              <w:t xml:space="preserve"> – Chief Justice</w:t>
            </w:r>
          </w:p>
        </w:tc>
        <w:tc>
          <w:tcPr>
            <w:tcW w:w="953"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745</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779</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4.5</w:t>
            </w:r>
          </w:p>
        </w:tc>
      </w:tr>
      <w:tr w:rsidR="002C39A3" w:rsidRPr="003F3109" w:rsidTr="00361FA9">
        <w:tc>
          <w:tcPr>
            <w:tcW w:w="4955" w:type="dxa"/>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 xml:space="preserve">Constitution Act No. 8750 – </w:t>
            </w:r>
            <w:r w:rsidRPr="003F3109">
              <w:rPr>
                <w:rFonts w:ascii="Calibri" w:eastAsiaTheme="minorEastAsia" w:hAnsi="Calibri" w:cs="Calibri"/>
                <w:color w:val="000000"/>
                <w:sz w:val="19"/>
                <w:szCs w:val="19"/>
                <w:lang w:eastAsia="en-AU"/>
              </w:rPr>
              <w:t>President Court of Appeal</w:t>
            </w:r>
          </w:p>
        </w:tc>
        <w:tc>
          <w:tcPr>
            <w:tcW w:w="953"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599</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626</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4.5</w:t>
            </w:r>
          </w:p>
        </w:tc>
      </w:tr>
      <w:tr w:rsidR="002C39A3" w:rsidRPr="003F3109" w:rsidTr="00361FA9">
        <w:tc>
          <w:tcPr>
            <w:tcW w:w="4955" w:type="dxa"/>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 xml:space="preserve">Constitution Act No. 8750 – </w:t>
            </w:r>
            <w:r w:rsidRPr="003F3109">
              <w:rPr>
                <w:rFonts w:ascii="Calibri" w:eastAsiaTheme="minorEastAsia" w:hAnsi="Calibri" w:cs="Calibri"/>
                <w:color w:val="000000"/>
                <w:sz w:val="19"/>
                <w:szCs w:val="19"/>
                <w:lang w:eastAsia="en-AU"/>
              </w:rPr>
              <w:t>Judges Court of Appeal</w:t>
            </w:r>
          </w:p>
        </w:tc>
        <w:tc>
          <w:tcPr>
            <w:tcW w:w="953"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7 312</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7 497</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2.5</w:t>
            </w:r>
          </w:p>
        </w:tc>
      </w:tr>
      <w:tr w:rsidR="002C39A3" w:rsidRPr="003F3109" w:rsidTr="00361FA9">
        <w:tc>
          <w:tcPr>
            <w:tcW w:w="4955" w:type="dxa"/>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 xml:space="preserve">Constitution Act No. 8750 </w:t>
            </w:r>
            <w:r w:rsidRPr="003F3109">
              <w:rPr>
                <w:rFonts w:ascii="Calibri" w:eastAsiaTheme="minorEastAsia" w:hAnsi="Calibri" w:cs="Calibri"/>
                <w:color w:val="000000"/>
                <w:sz w:val="19"/>
                <w:szCs w:val="19"/>
                <w:lang w:eastAsia="en-AU"/>
              </w:rPr>
              <w:t>– Judges Supreme Court</w:t>
            </w:r>
          </w:p>
        </w:tc>
        <w:tc>
          <w:tcPr>
            <w:tcW w:w="953"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23 995</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25 171</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4.9</w:t>
            </w:r>
          </w:p>
        </w:tc>
      </w:tr>
      <w:tr w:rsidR="002C39A3" w:rsidRPr="003F3109" w:rsidTr="00361FA9">
        <w:tc>
          <w:tcPr>
            <w:tcW w:w="4955" w:type="dxa"/>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 xml:space="preserve">County Court Act No. 6230 – </w:t>
            </w:r>
            <w:r w:rsidRPr="003F3109">
              <w:rPr>
                <w:rFonts w:ascii="Calibri" w:eastAsiaTheme="minorEastAsia" w:hAnsi="Calibri" w:cs="Calibri"/>
                <w:color w:val="000000"/>
                <w:sz w:val="19"/>
                <w:szCs w:val="19"/>
                <w:lang w:eastAsia="en-AU"/>
              </w:rPr>
              <w:t>Judges</w:t>
            </w:r>
          </w:p>
        </w:tc>
        <w:tc>
          <w:tcPr>
            <w:tcW w:w="953"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33 193</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34 672</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4.5</w:t>
            </w:r>
          </w:p>
        </w:tc>
      </w:tr>
      <w:tr w:rsidR="002C39A3" w:rsidRPr="003F3109" w:rsidTr="00361FA9">
        <w:tc>
          <w:tcPr>
            <w:tcW w:w="4955" w:type="dxa"/>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 xml:space="preserve">Juries Act No. 53 of 2000, </w:t>
            </w:r>
            <w:r w:rsidRPr="003F3109">
              <w:rPr>
                <w:rFonts w:ascii="Calibri" w:eastAsiaTheme="minorEastAsia" w:hAnsi="Calibri" w:cs="Calibri"/>
                <w:color w:val="000000"/>
                <w:sz w:val="19"/>
                <w:szCs w:val="19"/>
                <w:lang w:eastAsia="en-AU"/>
              </w:rPr>
              <w:t>Section 59 – Compensation to Jurors</w:t>
            </w:r>
          </w:p>
        </w:tc>
        <w:tc>
          <w:tcPr>
            <w:tcW w:w="953"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25</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26</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4.0</w:t>
            </w:r>
          </w:p>
        </w:tc>
      </w:tr>
      <w:tr w:rsidR="002C39A3" w:rsidRPr="003F3109" w:rsidTr="00361FA9">
        <w:tc>
          <w:tcPr>
            <w:tcW w:w="4955" w:type="dxa"/>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i/>
                <w:iCs/>
                <w:color w:val="000000"/>
                <w:sz w:val="19"/>
                <w:szCs w:val="19"/>
                <w:lang w:eastAsia="en-AU"/>
              </w:rPr>
            </w:pPr>
            <w:r w:rsidRPr="003F3109">
              <w:rPr>
                <w:rFonts w:ascii="Calibri" w:eastAsiaTheme="minorEastAsia" w:hAnsi="Calibri" w:cs="Calibri"/>
                <w:i/>
                <w:iCs/>
                <w:color w:val="000000"/>
                <w:sz w:val="19"/>
                <w:szCs w:val="19"/>
                <w:lang w:eastAsia="en-AU"/>
              </w:rPr>
              <w:t>Magistrates Court Act No. 51 of 1989</w:t>
            </w:r>
          </w:p>
        </w:tc>
        <w:tc>
          <w:tcPr>
            <w:tcW w:w="953"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54 192</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57 318</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5.8</w:t>
            </w:r>
          </w:p>
        </w:tc>
      </w:tr>
      <w:tr w:rsidR="002C39A3" w:rsidRPr="003F3109" w:rsidTr="00361FA9">
        <w:tc>
          <w:tcPr>
            <w:tcW w:w="4955" w:type="dxa"/>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Victims of Crime Assistance Act No. 81 of 1996,</w:t>
            </w:r>
            <w:r w:rsidRPr="003F3109">
              <w:rPr>
                <w:rFonts w:ascii="Calibri" w:eastAsiaTheme="minorEastAsia" w:hAnsi="Calibri" w:cs="Calibri"/>
                <w:color w:val="000000"/>
                <w:sz w:val="19"/>
                <w:szCs w:val="19"/>
                <w:lang w:eastAsia="en-AU"/>
              </w:rPr>
              <w:t xml:space="preserve"> Section 69 – Awards</w:t>
            </w:r>
          </w:p>
        </w:tc>
        <w:tc>
          <w:tcPr>
            <w:tcW w:w="953"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61 614</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63 154</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2.5</w:t>
            </w:r>
          </w:p>
        </w:tc>
      </w:tr>
      <w:tr w:rsidR="002C39A3" w:rsidRPr="003F3109" w:rsidTr="00361FA9">
        <w:tc>
          <w:tcPr>
            <w:tcW w:w="4955" w:type="dxa"/>
            <w:tcBorders>
              <w:top w:val="nil"/>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Victims of Crime Assistance Act No. 81 of 1996,</w:t>
            </w:r>
            <w:r w:rsidRPr="003F3109">
              <w:rPr>
                <w:rFonts w:ascii="Calibri" w:eastAsiaTheme="minorEastAsia" w:hAnsi="Calibri" w:cs="Calibri"/>
                <w:color w:val="000000"/>
                <w:sz w:val="19"/>
                <w:szCs w:val="19"/>
                <w:lang w:eastAsia="en-AU"/>
              </w:rPr>
              <w:t xml:space="preserve"> Section 69 – Expenses</w:t>
            </w:r>
          </w:p>
        </w:tc>
        <w:tc>
          <w:tcPr>
            <w:tcW w:w="953"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2 656</w:t>
            </w:r>
          </w:p>
        </w:tc>
        <w:tc>
          <w:tcPr>
            <w:tcW w:w="1037"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3 176</w:t>
            </w:r>
          </w:p>
        </w:tc>
        <w:tc>
          <w:tcPr>
            <w:tcW w:w="822" w:type="dxa"/>
            <w:tcBorders>
              <w:top w:val="nil"/>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19.6</w:t>
            </w:r>
          </w:p>
        </w:tc>
      </w:tr>
      <w:tr w:rsidR="002C39A3" w:rsidRPr="003F3109" w:rsidTr="00361FA9">
        <w:tc>
          <w:tcPr>
            <w:tcW w:w="4955" w:type="dxa"/>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3F3109">
              <w:rPr>
                <w:rFonts w:ascii="Calibri" w:eastAsiaTheme="minorEastAsia" w:hAnsi="Calibri" w:cs="Calibri"/>
                <w:i/>
                <w:iCs/>
                <w:color w:val="000000"/>
                <w:sz w:val="19"/>
                <w:szCs w:val="19"/>
                <w:lang w:eastAsia="en-AU"/>
              </w:rPr>
              <w:t>Victorian Civil and Administrative Tribunal Act 53 of 1998,</w:t>
            </w:r>
            <w:r w:rsidRPr="003F3109">
              <w:rPr>
                <w:rFonts w:ascii="Calibri" w:eastAsiaTheme="minorEastAsia" w:hAnsi="Calibri" w:cs="Calibri"/>
                <w:color w:val="000000"/>
                <w:sz w:val="19"/>
                <w:szCs w:val="19"/>
                <w:lang w:eastAsia="en-AU"/>
              </w:rPr>
              <w:t xml:space="preserve"> Section 17AA</w:t>
            </w:r>
          </w:p>
        </w:tc>
        <w:tc>
          <w:tcPr>
            <w:tcW w:w="953" w:type="dxa"/>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14 934</w:t>
            </w:r>
          </w:p>
        </w:tc>
        <w:tc>
          <w:tcPr>
            <w:tcW w:w="1037" w:type="dxa"/>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15 980</w:t>
            </w:r>
          </w:p>
        </w:tc>
        <w:tc>
          <w:tcPr>
            <w:tcW w:w="822" w:type="dxa"/>
            <w:tcBorders>
              <w:top w:val="nil"/>
              <w:left w:val="nil"/>
              <w:bottom w:val="single" w:sz="6"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F3109">
              <w:rPr>
                <w:rFonts w:ascii="Calibri" w:eastAsiaTheme="minorEastAsia" w:hAnsi="Calibri" w:cs="Calibri"/>
                <w:color w:val="000000"/>
                <w:sz w:val="19"/>
                <w:szCs w:val="19"/>
                <w:lang w:eastAsia="en-AU"/>
              </w:rPr>
              <w:t>7.0</w:t>
            </w:r>
          </w:p>
        </w:tc>
      </w:tr>
      <w:tr w:rsidR="002C39A3" w:rsidRPr="003F3109" w:rsidTr="00361FA9">
        <w:tc>
          <w:tcPr>
            <w:tcW w:w="4955" w:type="dxa"/>
            <w:tcBorders>
              <w:top w:val="single" w:sz="6" w:space="0" w:color="auto"/>
              <w:left w:val="nil"/>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Total</w:t>
            </w:r>
          </w:p>
        </w:tc>
        <w:tc>
          <w:tcPr>
            <w:tcW w:w="953" w:type="dxa"/>
            <w:tcBorders>
              <w:top w:val="single" w:sz="6" w:space="0" w:color="auto"/>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199 265</w:t>
            </w:r>
          </w:p>
        </w:tc>
        <w:tc>
          <w:tcPr>
            <w:tcW w:w="1037" w:type="dxa"/>
            <w:tcBorders>
              <w:top w:val="single" w:sz="6" w:space="0" w:color="auto"/>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208 398</w:t>
            </w:r>
          </w:p>
        </w:tc>
        <w:tc>
          <w:tcPr>
            <w:tcW w:w="822" w:type="dxa"/>
            <w:tcBorders>
              <w:top w:val="single" w:sz="6" w:space="0" w:color="auto"/>
              <w:left w:val="nil"/>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4.6</w:t>
            </w:r>
          </w:p>
        </w:tc>
      </w:tr>
      <w:tr w:rsidR="002C39A3" w:rsidRPr="003F3109" w:rsidTr="00361FA9">
        <w:tc>
          <w:tcPr>
            <w:tcW w:w="4955" w:type="dxa"/>
            <w:tcBorders>
              <w:left w:val="nil"/>
              <w:bottom w:val="single" w:sz="4" w:space="0" w:color="auto"/>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vertAlign w:val="superscript"/>
                <w:lang w:eastAsia="en-AU"/>
              </w:rPr>
            </w:pPr>
            <w:r w:rsidRPr="003F3109">
              <w:rPr>
                <w:rFonts w:ascii="Calibri" w:eastAsiaTheme="minorEastAsia" w:hAnsi="Calibri" w:cs="Calibri"/>
                <w:b/>
                <w:bCs/>
                <w:color w:val="000000"/>
                <w:sz w:val="19"/>
                <w:szCs w:val="19"/>
                <w:lang w:eastAsia="en-AU"/>
              </w:rPr>
              <w:t>Total Treasury and Finance</w:t>
            </w:r>
            <w:r w:rsidRPr="003F3109">
              <w:rPr>
                <w:rFonts w:ascii="Calibri" w:eastAsiaTheme="minorEastAsia" w:hAnsi="Calibri" w:cs="Calibri"/>
                <w:b/>
                <w:bCs/>
                <w:color w:val="000000"/>
                <w:sz w:val="19"/>
                <w:szCs w:val="19"/>
                <w:vertAlign w:val="superscript"/>
                <w:lang w:eastAsia="en-AU"/>
              </w:rPr>
              <w:t xml:space="preserve"> (b)</w:t>
            </w:r>
          </w:p>
        </w:tc>
        <w:tc>
          <w:tcPr>
            <w:tcW w:w="953" w:type="dxa"/>
            <w:tcBorders>
              <w:left w:val="nil"/>
              <w:bottom w:val="single" w:sz="4"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2 418 165</w:t>
            </w:r>
          </w:p>
        </w:tc>
        <w:tc>
          <w:tcPr>
            <w:tcW w:w="1037" w:type="dxa"/>
            <w:tcBorders>
              <w:left w:val="nil"/>
              <w:bottom w:val="single" w:sz="4"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9 147 028</w:t>
            </w:r>
          </w:p>
        </w:tc>
        <w:tc>
          <w:tcPr>
            <w:tcW w:w="822" w:type="dxa"/>
            <w:tcBorders>
              <w:left w:val="nil"/>
              <w:bottom w:val="single" w:sz="4"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278.3</w:t>
            </w:r>
          </w:p>
        </w:tc>
      </w:tr>
      <w:tr w:rsidR="002C39A3" w:rsidRPr="003F3109" w:rsidTr="00361FA9">
        <w:tc>
          <w:tcPr>
            <w:tcW w:w="4955" w:type="dxa"/>
            <w:tcBorders>
              <w:top w:val="single" w:sz="4" w:space="0" w:color="auto"/>
              <w:left w:val="nil"/>
              <w:bottom w:val="single" w:sz="12" w:space="0" w:color="auto"/>
              <w:right w:val="nil"/>
            </w:tcBorders>
            <w:shd w:val="clear" w:color="auto" w:fill="FFFFFF"/>
          </w:tcPr>
          <w:p w:rsidR="002C39A3" w:rsidRPr="003F3109"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Total special appropriations</w:t>
            </w:r>
          </w:p>
        </w:tc>
        <w:tc>
          <w:tcPr>
            <w:tcW w:w="953" w:type="dxa"/>
            <w:tcBorders>
              <w:top w:val="single" w:sz="4" w:space="0" w:color="auto"/>
              <w:left w:val="nil"/>
              <w:bottom w:val="single" w:sz="12"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4 175 216</w:t>
            </w:r>
          </w:p>
        </w:tc>
        <w:tc>
          <w:tcPr>
            <w:tcW w:w="1037" w:type="dxa"/>
            <w:tcBorders>
              <w:top w:val="single" w:sz="4" w:space="0" w:color="auto"/>
              <w:left w:val="nil"/>
              <w:bottom w:val="single" w:sz="12"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11 226 845</w:t>
            </w:r>
          </w:p>
        </w:tc>
        <w:tc>
          <w:tcPr>
            <w:tcW w:w="822" w:type="dxa"/>
            <w:tcBorders>
              <w:top w:val="single" w:sz="4" w:space="0" w:color="auto"/>
              <w:left w:val="nil"/>
              <w:bottom w:val="single" w:sz="12" w:space="0" w:color="auto"/>
              <w:right w:val="nil"/>
            </w:tcBorders>
            <w:shd w:val="clear" w:color="auto" w:fill="FFFFFF"/>
          </w:tcPr>
          <w:p w:rsidR="002C39A3" w:rsidRPr="003F310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F3109">
              <w:rPr>
                <w:rFonts w:ascii="Calibri" w:eastAsiaTheme="minorEastAsia" w:hAnsi="Calibri" w:cs="Calibri"/>
                <w:b/>
                <w:bCs/>
                <w:color w:val="000000"/>
                <w:sz w:val="19"/>
                <w:szCs w:val="19"/>
                <w:lang w:eastAsia="en-AU"/>
              </w:rPr>
              <w:t>168.9</w:t>
            </w:r>
          </w:p>
        </w:tc>
      </w:tr>
    </w:tbl>
    <w:p w:rsidR="002C39A3" w:rsidRDefault="002C39A3" w:rsidP="00361FA9">
      <w:pPr>
        <w:pStyle w:val="Source"/>
      </w:pPr>
      <w:r>
        <w:t>Source: Department of Treasury and Finance</w:t>
      </w:r>
    </w:p>
    <w:p w:rsidR="002C39A3" w:rsidRDefault="002C39A3" w:rsidP="00361FA9">
      <w:pPr>
        <w:pStyle w:val="Notes"/>
      </w:pPr>
      <w:r>
        <w:t>Note:</w:t>
      </w:r>
    </w:p>
    <w:p w:rsidR="002C39A3" w:rsidRPr="00F12902" w:rsidRDefault="002C39A3" w:rsidP="00361FA9">
      <w:pPr>
        <w:pStyle w:val="Notes"/>
      </w:pPr>
      <w:r>
        <w:t>(a)</w:t>
      </w:r>
      <w:r>
        <w:tab/>
        <w:t>Relates to previously applied appropriations</w:t>
      </w:r>
      <w:r w:rsidRPr="00F12902">
        <w:t>.</w:t>
      </w:r>
    </w:p>
    <w:p w:rsidR="002C39A3" w:rsidRDefault="002C39A3" w:rsidP="00361FA9">
      <w:pPr>
        <w:pStyle w:val="Notes"/>
      </w:pPr>
      <w:r>
        <w:t>(b)</w:t>
      </w:r>
      <w:r>
        <w:tab/>
        <w:t xml:space="preserve">Certain line items have been aggregated in the table above due to the  commercial sensitivities of balances. </w:t>
      </w:r>
    </w:p>
    <w:p w:rsidR="002C39A3" w:rsidRDefault="002C39A3">
      <w:pPr>
        <w:spacing w:after="0"/>
        <w:rPr>
          <w:rFonts w:ascii="Calibri" w:hAnsi="Calibri"/>
          <w:b/>
        </w:rPr>
      </w:pPr>
      <w:r>
        <w:br w:type="page"/>
      </w:r>
    </w:p>
    <w:p w:rsidR="002C39A3" w:rsidRDefault="002C39A3" w:rsidP="00361FA9">
      <w:pPr>
        <w:pStyle w:val="Tableheading"/>
        <w:rPr>
          <w:vertAlign w:val="superscript"/>
        </w:rPr>
      </w:pPr>
      <w:r>
        <w:t>Table A.5:</w:t>
      </w:r>
      <w:r>
        <w:tab/>
        <w:t>Consolidated Fund payments: total annual appropriations</w:t>
      </w:r>
    </w:p>
    <w:p w:rsidR="002C39A3" w:rsidRDefault="002C39A3" w:rsidP="00361FA9">
      <w:r>
        <w:t>Details of total annual appropriations for 2016</w:t>
      </w:r>
      <w:r>
        <w:noBreakHyphen/>
        <w:t>17 are outlined below, including estimated</w:t>
      </w:r>
      <w:r w:rsidRPr="004C3F0F">
        <w:t xml:space="preserve"> </w:t>
      </w:r>
      <w:r>
        <w:t>amounts of unapplied 2015</w:t>
      </w:r>
      <w:r>
        <w:noBreakHyphen/>
        <w:t>16</w:t>
      </w:r>
      <w:r w:rsidRPr="004C3F0F">
        <w:t xml:space="preserve"> appropriation carried forward pursuant to Section 32 of the </w:t>
      </w:r>
      <w:r w:rsidRPr="004C3F0F">
        <w:rPr>
          <w:i/>
        </w:rPr>
        <w:t>Financial</w:t>
      </w:r>
      <w:r w:rsidRPr="002868E9">
        <w:rPr>
          <w:i/>
        </w:rPr>
        <w:t xml:space="preserve"> Management Act 1994</w:t>
      </w:r>
      <w:r>
        <w:t xml:space="preserve"> and certain revenue and asset sales proceeds credited to appropriation pursuant to Section 29 of the </w:t>
      </w:r>
      <w:r w:rsidRPr="002868E9">
        <w:rPr>
          <w:i/>
        </w:rPr>
        <w:t>Financial Management Act 1994</w:t>
      </w:r>
      <w:r>
        <w:t xml:space="preserve">. Estimates for the </w:t>
      </w:r>
      <w:r>
        <w:rPr>
          <w:i/>
        </w:rPr>
        <w:t>2016</w:t>
      </w:r>
      <w:r>
        <w:rPr>
          <w:i/>
        </w:rPr>
        <w:noBreakHyphen/>
        <w:t>17</w:t>
      </w:r>
      <w:r w:rsidRPr="002868E9">
        <w:rPr>
          <w:i/>
        </w:rPr>
        <w:t xml:space="preserve"> Budget</w:t>
      </w:r>
      <w:r>
        <w:t xml:space="preserve"> are in </w:t>
      </w:r>
      <w:r w:rsidRPr="002868E9">
        <w:rPr>
          <w:b/>
        </w:rPr>
        <w:t>bold</w:t>
      </w:r>
      <w:r>
        <w:t xml:space="preserve">. Estimates for the </w:t>
      </w:r>
      <w:r>
        <w:rPr>
          <w:i/>
        </w:rPr>
        <w:t>2015</w:t>
      </w:r>
      <w:r>
        <w:rPr>
          <w:i/>
        </w:rPr>
        <w:noBreakHyphen/>
        <w:t>16</w:t>
      </w:r>
      <w:r w:rsidRPr="002868E9">
        <w:rPr>
          <w:i/>
        </w:rPr>
        <w:t xml:space="preserve"> Budget</w:t>
      </w:r>
      <w:r>
        <w:t xml:space="preserve"> in </w:t>
      </w:r>
      <w:r w:rsidRPr="002868E9">
        <w:rPr>
          <w:i/>
        </w:rPr>
        <w:t>italics</w:t>
      </w:r>
      <w:r>
        <w:t xml:space="preserve"> reflect amounts published in the </w:t>
      </w:r>
      <w:r>
        <w:rPr>
          <w:i/>
        </w:rPr>
        <w:t>2015</w:t>
      </w:r>
      <w:r>
        <w:rPr>
          <w:i/>
        </w:rPr>
        <w:noBreakHyphen/>
        <w:t xml:space="preserve">16 </w:t>
      </w:r>
      <w:r w:rsidRPr="002868E9">
        <w:rPr>
          <w:i/>
        </w:rPr>
        <w:t>Budget</w:t>
      </w:r>
      <w:r>
        <w:t>. Please note that these figures are rounded to the nearest thousand dollars.</w:t>
      </w:r>
    </w:p>
    <w:p w:rsidR="002C39A3" w:rsidRPr="003F3109" w:rsidRDefault="002C39A3" w:rsidP="00361FA9">
      <w:pPr>
        <w:pStyle w:val="million"/>
        <w:rPr>
          <w:b/>
          <w:bCs/>
          <w:lang w:val="en-US"/>
        </w:rPr>
      </w:pPr>
      <w:r>
        <w:t>($ thousand)</w:t>
      </w:r>
    </w:p>
    <w:tbl>
      <w:tblPr>
        <w:tblW w:w="7765" w:type="dxa"/>
        <w:tblInd w:w="45" w:type="dxa"/>
        <w:tblLayout w:type="fixed"/>
        <w:tblCellMar>
          <w:left w:w="45" w:type="dxa"/>
          <w:right w:w="45" w:type="dxa"/>
        </w:tblCellMar>
        <w:tblLook w:val="0000" w:firstRow="0" w:lastRow="0" w:firstColumn="0" w:lastColumn="0" w:noHBand="0" w:noVBand="0"/>
      </w:tblPr>
      <w:tblGrid>
        <w:gridCol w:w="3969"/>
        <w:gridCol w:w="949"/>
        <w:gridCol w:w="949"/>
        <w:gridCol w:w="949"/>
        <w:gridCol w:w="949"/>
      </w:tblGrid>
      <w:tr w:rsidR="00502FAF" w:rsidRPr="00350E27" w:rsidTr="00502FAF">
        <w:trPr>
          <w:trHeight w:val="781"/>
          <w:tblHeader/>
        </w:trPr>
        <w:tc>
          <w:tcPr>
            <w:tcW w:w="3969" w:type="dxa"/>
            <w:tcBorders>
              <w:top w:val="nil"/>
              <w:left w:val="nil"/>
              <w:right w:val="nil"/>
            </w:tcBorders>
            <w:shd w:val="solid" w:color="000000" w:fill="auto"/>
            <w:vAlign w:val="bottom"/>
          </w:tcPr>
          <w:p w:rsidR="00502FAF" w:rsidRPr="00350E27" w:rsidRDefault="00502FAF" w:rsidP="00502FAF">
            <w:pPr>
              <w:pStyle w:val="million"/>
              <w:jc w:val="left"/>
              <w:rPr>
                <w:rFonts w:eastAsiaTheme="minorEastAsia" w:cs="Calibri"/>
                <w:iCs/>
                <w:color w:val="FFFFFF"/>
                <w:sz w:val="16"/>
                <w:szCs w:val="19"/>
                <w:lang w:eastAsia="en-AU"/>
              </w:rPr>
            </w:pPr>
          </w:p>
        </w:tc>
        <w:tc>
          <w:tcPr>
            <w:tcW w:w="949" w:type="dxa"/>
            <w:tcBorders>
              <w:top w:val="nil"/>
              <w:left w:val="nil"/>
              <w:right w:val="nil"/>
            </w:tcBorders>
            <w:shd w:val="solid" w:color="000000" w:fill="auto"/>
            <w:vAlign w:val="bottom"/>
          </w:tcPr>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350E27">
              <w:rPr>
                <w:rFonts w:ascii="Calibri" w:eastAsiaTheme="minorEastAsia" w:hAnsi="Calibri" w:cs="Calibri"/>
                <w:i/>
                <w:iCs/>
                <w:color w:val="FFFFFF"/>
                <w:sz w:val="16"/>
                <w:szCs w:val="19"/>
                <w:lang w:eastAsia="en-AU"/>
              </w:rPr>
              <w:t xml:space="preserve"> </w:t>
            </w:r>
          </w:p>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350E27">
              <w:rPr>
                <w:rFonts w:ascii="Calibri" w:eastAsiaTheme="minorEastAsia" w:hAnsi="Calibri" w:cs="Calibri"/>
                <w:i/>
                <w:iCs/>
                <w:color w:val="FFFFFF"/>
                <w:sz w:val="16"/>
                <w:szCs w:val="19"/>
                <w:lang w:eastAsia="en-AU"/>
              </w:rPr>
              <w:t>Provision</w:t>
            </w:r>
          </w:p>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350E27">
              <w:rPr>
                <w:rFonts w:ascii="Calibri" w:eastAsiaTheme="minorEastAsia" w:hAnsi="Calibri" w:cs="Calibri"/>
                <w:i/>
                <w:iCs/>
                <w:color w:val="FFFFFF"/>
                <w:sz w:val="16"/>
                <w:szCs w:val="19"/>
                <w:lang w:eastAsia="en-AU"/>
              </w:rPr>
              <w:t xml:space="preserve"> of outputs</w:t>
            </w:r>
          </w:p>
        </w:tc>
        <w:tc>
          <w:tcPr>
            <w:tcW w:w="949" w:type="dxa"/>
            <w:tcBorders>
              <w:top w:val="nil"/>
              <w:left w:val="nil"/>
              <w:right w:val="nil"/>
            </w:tcBorders>
            <w:shd w:val="solid" w:color="000000" w:fill="auto"/>
            <w:vAlign w:val="bottom"/>
          </w:tcPr>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p>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350E27">
              <w:rPr>
                <w:rFonts w:ascii="Calibri" w:eastAsiaTheme="minorEastAsia" w:hAnsi="Calibri" w:cs="Calibri"/>
                <w:i/>
                <w:iCs/>
                <w:color w:val="FFFFFF"/>
                <w:sz w:val="16"/>
                <w:szCs w:val="19"/>
                <w:lang w:eastAsia="en-AU"/>
              </w:rPr>
              <w:t xml:space="preserve">Additions </w:t>
            </w:r>
          </w:p>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350E27">
              <w:rPr>
                <w:rFonts w:ascii="Calibri" w:eastAsiaTheme="minorEastAsia" w:hAnsi="Calibri" w:cs="Calibri"/>
                <w:i/>
                <w:iCs/>
                <w:color w:val="FFFFFF"/>
                <w:sz w:val="16"/>
                <w:szCs w:val="19"/>
                <w:lang w:eastAsia="en-AU"/>
              </w:rPr>
              <w:t>to net</w:t>
            </w:r>
          </w:p>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350E27">
              <w:rPr>
                <w:rFonts w:ascii="Calibri" w:eastAsiaTheme="minorEastAsia" w:hAnsi="Calibri" w:cs="Calibri"/>
                <w:i/>
                <w:iCs/>
                <w:color w:val="FFFFFF"/>
                <w:sz w:val="16"/>
                <w:szCs w:val="19"/>
                <w:lang w:eastAsia="en-AU"/>
              </w:rPr>
              <w:t xml:space="preserve"> asset base</w:t>
            </w:r>
          </w:p>
        </w:tc>
        <w:tc>
          <w:tcPr>
            <w:tcW w:w="949" w:type="dxa"/>
            <w:tcBorders>
              <w:top w:val="nil"/>
              <w:left w:val="nil"/>
              <w:right w:val="nil"/>
            </w:tcBorders>
            <w:shd w:val="solid" w:color="000000" w:fill="auto"/>
            <w:vAlign w:val="bottom"/>
          </w:tcPr>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350E27">
              <w:rPr>
                <w:rFonts w:ascii="Calibri" w:eastAsiaTheme="minorEastAsia" w:hAnsi="Calibri" w:cs="Calibri"/>
                <w:i/>
                <w:iCs/>
                <w:color w:val="FFFFFF"/>
                <w:sz w:val="16"/>
                <w:szCs w:val="19"/>
                <w:lang w:eastAsia="en-AU"/>
              </w:rPr>
              <w:t>Payments</w:t>
            </w:r>
          </w:p>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350E27">
              <w:rPr>
                <w:rFonts w:ascii="Calibri" w:eastAsiaTheme="minorEastAsia" w:hAnsi="Calibri" w:cs="Calibri"/>
                <w:i/>
                <w:iCs/>
                <w:color w:val="FFFFFF"/>
                <w:sz w:val="16"/>
                <w:szCs w:val="19"/>
                <w:lang w:eastAsia="en-AU"/>
              </w:rPr>
              <w:t xml:space="preserve"> made on </w:t>
            </w:r>
          </w:p>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350E27">
              <w:rPr>
                <w:rFonts w:ascii="Calibri" w:eastAsiaTheme="minorEastAsia" w:hAnsi="Calibri" w:cs="Calibri"/>
                <w:i/>
                <w:iCs/>
                <w:color w:val="FFFFFF"/>
                <w:sz w:val="16"/>
                <w:szCs w:val="19"/>
                <w:lang w:eastAsia="en-AU"/>
              </w:rPr>
              <w:t>behalf of</w:t>
            </w:r>
          </w:p>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350E27">
              <w:rPr>
                <w:rFonts w:ascii="Calibri" w:eastAsiaTheme="minorEastAsia" w:hAnsi="Calibri" w:cs="Calibri"/>
                <w:i/>
                <w:iCs/>
                <w:color w:val="FFFFFF"/>
                <w:sz w:val="16"/>
                <w:szCs w:val="19"/>
                <w:lang w:eastAsia="en-AU"/>
              </w:rPr>
              <w:t xml:space="preserve"> the State</w:t>
            </w:r>
          </w:p>
        </w:tc>
        <w:tc>
          <w:tcPr>
            <w:tcW w:w="949" w:type="dxa"/>
            <w:tcBorders>
              <w:top w:val="nil"/>
              <w:left w:val="nil"/>
              <w:right w:val="nil"/>
            </w:tcBorders>
            <w:shd w:val="solid" w:color="000000" w:fill="auto"/>
            <w:vAlign w:val="bottom"/>
          </w:tcPr>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350E27">
              <w:rPr>
                <w:rFonts w:ascii="Calibri" w:eastAsiaTheme="minorEastAsia" w:hAnsi="Calibri" w:cs="Calibri"/>
                <w:i/>
                <w:iCs/>
                <w:color w:val="FFFFFF"/>
                <w:sz w:val="16"/>
                <w:szCs w:val="19"/>
                <w:lang w:eastAsia="en-AU"/>
              </w:rPr>
              <w:t xml:space="preserve"> </w:t>
            </w:r>
          </w:p>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p>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350E27">
              <w:rPr>
                <w:rFonts w:ascii="Calibri" w:eastAsiaTheme="minorEastAsia" w:hAnsi="Calibri" w:cs="Calibri"/>
                <w:i/>
                <w:iCs/>
                <w:color w:val="FFFFFF"/>
                <w:sz w:val="16"/>
                <w:szCs w:val="19"/>
                <w:lang w:eastAsia="en-AU"/>
              </w:rPr>
              <w:t xml:space="preserve">Total </w:t>
            </w:r>
          </w:p>
        </w:tc>
      </w:tr>
      <w:tr w:rsidR="00502FAF" w:rsidRPr="00350E27" w:rsidTr="00502FAF">
        <w:tc>
          <w:tcPr>
            <w:tcW w:w="7765" w:type="dxa"/>
            <w:gridSpan w:val="5"/>
            <w:tcBorders>
              <w:top w:val="nil"/>
              <w:left w:val="nil"/>
              <w:right w:val="nil"/>
            </w:tcBorders>
            <w:shd w:val="clear" w:color="000000" w:fill="FFFFFF"/>
          </w:tcPr>
          <w:p w:rsidR="00502FAF" w:rsidRPr="00350E27" w:rsidRDefault="00502FAF" w:rsidP="00502FAF">
            <w:pPr>
              <w:autoSpaceDE w:val="0"/>
              <w:autoSpaceDN w:val="0"/>
              <w:adjustRightInd w:val="0"/>
              <w:spacing w:after="0"/>
              <w:ind w:left="227" w:hanging="227"/>
              <w:rPr>
                <w:rFonts w:ascii="Calibri" w:eastAsiaTheme="minorEastAsia" w:hAnsi="Calibri" w:cs="Calibri"/>
                <w:i/>
                <w:iCs/>
                <w:color w:val="000000"/>
                <w:sz w:val="16"/>
                <w:szCs w:val="19"/>
                <w:lang w:eastAsia="en-AU"/>
              </w:rPr>
            </w:pPr>
            <w:r w:rsidRPr="00350E27">
              <w:rPr>
                <w:rFonts w:ascii="Calibri" w:eastAsiaTheme="minorEastAsia" w:hAnsi="Calibri" w:cs="Calibri"/>
                <w:b/>
                <w:bCs/>
                <w:color w:val="000000"/>
                <w:sz w:val="16"/>
                <w:szCs w:val="19"/>
                <w:lang w:eastAsia="en-AU"/>
              </w:rPr>
              <w:t>Economic Development, Jobs, Transport and Resources</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vertAlign w:val="superscript"/>
                <w:lang w:eastAsia="en-AU"/>
              </w:rPr>
            </w:pPr>
            <w:r w:rsidRPr="00350E27">
              <w:rPr>
                <w:rFonts w:ascii="Calibri" w:eastAsiaTheme="minorEastAsia" w:hAnsi="Calibri" w:cs="Calibri"/>
                <w:color w:val="000000"/>
                <w:sz w:val="16"/>
                <w:szCs w:val="19"/>
                <w:lang w:eastAsia="en-AU"/>
              </w:rPr>
              <w:t xml:space="preserve">   Appropriation </w:t>
            </w:r>
            <w:r w:rsidRPr="00350E27">
              <w:rPr>
                <w:rFonts w:ascii="Calibri" w:eastAsiaTheme="minorEastAsia" w:hAnsi="Calibri" w:cs="Calibri"/>
                <w:color w:val="000000"/>
                <w:sz w:val="16"/>
                <w:szCs w:val="19"/>
                <w:vertAlign w:val="superscript"/>
                <w:lang w:eastAsia="en-AU"/>
              </w:rPr>
              <w:t>(a)</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7 213 408</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1 983 361</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71 074</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9 267 843</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6 604 734</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1 808 391</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66 767</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8 479 892</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i/>
                <w:iCs/>
                <w:color w:val="000000"/>
                <w:sz w:val="16"/>
                <w:szCs w:val="19"/>
                <w:vertAlign w:val="superscript"/>
                <w:lang w:eastAsia="en-AU"/>
              </w:rPr>
            </w:pPr>
            <w:r w:rsidRPr="00350E27">
              <w:rPr>
                <w:rFonts w:ascii="Calibri" w:eastAsiaTheme="minorEastAsia" w:hAnsi="Calibri" w:cs="Calibri"/>
                <w:i/>
                <w:iCs/>
                <w:color w:val="000000"/>
                <w:sz w:val="16"/>
                <w:szCs w:val="19"/>
                <w:lang w:eastAsia="en-AU"/>
              </w:rPr>
              <w:t xml:space="preserve">   </w:t>
            </w:r>
            <w:r w:rsidRPr="00350E27">
              <w:rPr>
                <w:rFonts w:ascii="Calibri" w:eastAsiaTheme="minorEastAsia" w:hAnsi="Calibri" w:cs="Calibri"/>
                <w:color w:val="000000"/>
                <w:sz w:val="16"/>
                <w:szCs w:val="19"/>
                <w:lang w:eastAsia="en-AU"/>
              </w:rPr>
              <w:t>Receipts credited to appropriation</w:t>
            </w:r>
            <w:r w:rsidRPr="00350E27">
              <w:rPr>
                <w:rFonts w:ascii="Calibri" w:eastAsiaTheme="minorEastAsia" w:hAnsi="Calibri" w:cs="Calibri"/>
                <w:i/>
                <w:iCs/>
                <w:color w:val="000000"/>
                <w:sz w:val="16"/>
                <w:szCs w:val="19"/>
                <w:vertAlign w:val="superscript"/>
                <w:lang w:eastAsia="en-AU"/>
              </w:rPr>
              <w:t xml:space="preserve"> (b)</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545 141</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39 937</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585 078</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556 896</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7 500</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564 396</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Unapplied previous year appropriation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r>
      <w:tr w:rsidR="002C39A3" w:rsidRPr="00350E27" w:rsidTr="00361FA9">
        <w:tc>
          <w:tcPr>
            <w:tcW w:w="396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vertAlign w:val="superscript"/>
                <w:lang w:eastAsia="en-AU"/>
              </w:rPr>
            </w:pPr>
            <w:r w:rsidRPr="00350E27">
              <w:rPr>
                <w:rFonts w:ascii="Calibri" w:eastAsiaTheme="minorEastAsia" w:hAnsi="Calibri" w:cs="Calibri"/>
                <w:color w:val="000000"/>
                <w:sz w:val="16"/>
                <w:szCs w:val="19"/>
                <w:lang w:eastAsia="en-AU"/>
              </w:rPr>
              <w:t xml:space="preserve">      carried over </w:t>
            </w:r>
            <w:r w:rsidRPr="00350E27">
              <w:rPr>
                <w:rFonts w:ascii="Calibri" w:eastAsiaTheme="minorEastAsia" w:hAnsi="Calibri" w:cs="Calibri"/>
                <w:color w:val="000000"/>
                <w:sz w:val="16"/>
                <w:szCs w:val="19"/>
                <w:vertAlign w:val="superscript"/>
                <w:lang w:eastAsia="en-AU"/>
              </w:rPr>
              <w:t>(c)</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15 528</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10 622</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26 150</w:t>
            </w:r>
          </w:p>
        </w:tc>
      </w:tr>
      <w:tr w:rsidR="002C39A3" w:rsidRPr="00350E27" w:rsidTr="00361FA9">
        <w:tc>
          <w:tcPr>
            <w:tcW w:w="396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 xml:space="preserve">Total appropriation </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7 758 549</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2 023 298</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71 074</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9 852 921</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7 177 158</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1 826 513</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66 767</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9 070 438</w:t>
            </w:r>
          </w:p>
        </w:tc>
      </w:tr>
      <w:tr w:rsidR="00502FAF" w:rsidRPr="00350E27" w:rsidTr="00502FAF">
        <w:tc>
          <w:tcPr>
            <w:tcW w:w="7765" w:type="dxa"/>
            <w:gridSpan w:val="5"/>
            <w:tcBorders>
              <w:top w:val="nil"/>
              <w:left w:val="nil"/>
              <w:right w:val="nil"/>
            </w:tcBorders>
            <w:shd w:val="clear" w:color="000000" w:fill="FFFFFF"/>
          </w:tcPr>
          <w:p w:rsidR="00502FAF" w:rsidRPr="00350E27" w:rsidRDefault="00502FAF" w:rsidP="00502FAF">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b/>
                <w:bCs/>
                <w:color w:val="000000"/>
                <w:sz w:val="16"/>
                <w:szCs w:val="19"/>
                <w:lang w:eastAsia="en-AU"/>
              </w:rPr>
              <w:t>Education and Training</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vertAlign w:val="superscript"/>
                <w:lang w:eastAsia="en-AU"/>
              </w:rPr>
            </w:pPr>
            <w:r w:rsidRPr="00350E27">
              <w:rPr>
                <w:rFonts w:ascii="Calibri" w:eastAsiaTheme="minorEastAsia" w:hAnsi="Calibri" w:cs="Calibri"/>
                <w:color w:val="000000"/>
                <w:sz w:val="16"/>
                <w:szCs w:val="19"/>
                <w:lang w:eastAsia="en-AU"/>
              </w:rPr>
              <w:t xml:space="preserve">   Appropriation </w:t>
            </w:r>
            <w:r w:rsidRPr="00350E27">
              <w:rPr>
                <w:rFonts w:ascii="Calibri" w:eastAsiaTheme="minorEastAsia" w:hAnsi="Calibri" w:cs="Calibri"/>
                <w:color w:val="000000"/>
                <w:sz w:val="16"/>
                <w:szCs w:val="19"/>
                <w:vertAlign w:val="superscript"/>
                <w:lang w:eastAsia="en-AU"/>
              </w:rPr>
              <w:t>(a)</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11 456 637</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209 348</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11 665 985</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10 840 317</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10 840 317</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i/>
                <w:iCs/>
                <w:color w:val="000000"/>
                <w:sz w:val="16"/>
                <w:szCs w:val="19"/>
                <w:vertAlign w:val="superscript"/>
                <w:lang w:eastAsia="en-AU"/>
              </w:rPr>
            </w:pPr>
            <w:r w:rsidRPr="00350E27">
              <w:rPr>
                <w:rFonts w:ascii="Calibri" w:eastAsiaTheme="minorEastAsia" w:hAnsi="Calibri" w:cs="Calibri"/>
                <w:i/>
                <w:iCs/>
                <w:color w:val="000000"/>
                <w:sz w:val="16"/>
                <w:szCs w:val="19"/>
                <w:lang w:eastAsia="en-AU"/>
              </w:rPr>
              <w:t xml:space="preserve">   </w:t>
            </w:r>
            <w:r w:rsidRPr="00350E27">
              <w:rPr>
                <w:rFonts w:ascii="Calibri" w:eastAsiaTheme="minorEastAsia" w:hAnsi="Calibri" w:cs="Calibri"/>
                <w:color w:val="000000"/>
                <w:sz w:val="16"/>
                <w:szCs w:val="19"/>
                <w:lang w:eastAsia="en-AU"/>
              </w:rPr>
              <w:t>Receipts credited to appropriation</w:t>
            </w:r>
            <w:r w:rsidRPr="00350E27">
              <w:rPr>
                <w:rFonts w:ascii="Calibri" w:eastAsiaTheme="minorEastAsia" w:hAnsi="Calibri" w:cs="Calibri"/>
                <w:i/>
                <w:iCs/>
                <w:color w:val="000000"/>
                <w:sz w:val="16"/>
                <w:szCs w:val="19"/>
                <w:vertAlign w:val="superscript"/>
                <w:lang w:eastAsia="en-AU"/>
              </w:rPr>
              <w:t xml:space="preserve"> (b)</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492 509</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33 000</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525 509</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450 454</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57 242</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507 696</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Unapplied previous year appropriation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200 001</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200 001</w:t>
            </w:r>
          </w:p>
        </w:tc>
      </w:tr>
      <w:tr w:rsidR="002C39A3" w:rsidRPr="00350E27" w:rsidTr="00361FA9">
        <w:tc>
          <w:tcPr>
            <w:tcW w:w="396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vertAlign w:val="superscript"/>
                <w:lang w:eastAsia="en-AU"/>
              </w:rPr>
            </w:pPr>
            <w:r w:rsidRPr="00350E27">
              <w:rPr>
                <w:rFonts w:ascii="Calibri" w:eastAsiaTheme="minorEastAsia" w:hAnsi="Calibri" w:cs="Calibri"/>
                <w:color w:val="000000"/>
                <w:sz w:val="16"/>
                <w:szCs w:val="19"/>
                <w:lang w:eastAsia="en-AU"/>
              </w:rPr>
              <w:t xml:space="preserve">      carried over </w:t>
            </w:r>
            <w:r w:rsidRPr="00350E27">
              <w:rPr>
                <w:rFonts w:ascii="Calibri" w:eastAsiaTheme="minorEastAsia" w:hAnsi="Calibri" w:cs="Calibri"/>
                <w:color w:val="000000"/>
                <w:sz w:val="16"/>
                <w:szCs w:val="19"/>
                <w:vertAlign w:val="superscript"/>
                <w:lang w:eastAsia="en-AU"/>
              </w:rPr>
              <w:t>(c)</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117 000</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117 000</w:t>
            </w:r>
          </w:p>
        </w:tc>
      </w:tr>
      <w:tr w:rsidR="002C39A3" w:rsidRPr="00350E27" w:rsidTr="00361FA9">
        <w:tc>
          <w:tcPr>
            <w:tcW w:w="396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 xml:space="preserve">Total appropriation </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12 149 147</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242 348</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12 391 495</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11 407 771</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57 242</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11 465 013</w:t>
            </w:r>
          </w:p>
        </w:tc>
      </w:tr>
      <w:tr w:rsidR="00502FAF" w:rsidRPr="00350E27" w:rsidTr="00502FAF">
        <w:tc>
          <w:tcPr>
            <w:tcW w:w="7765" w:type="dxa"/>
            <w:gridSpan w:val="5"/>
            <w:tcBorders>
              <w:top w:val="nil"/>
              <w:left w:val="nil"/>
              <w:right w:val="nil"/>
            </w:tcBorders>
            <w:shd w:val="clear" w:color="000000" w:fill="FFFFFF"/>
          </w:tcPr>
          <w:p w:rsidR="00502FAF" w:rsidRPr="00350E27" w:rsidRDefault="00502FAF" w:rsidP="00502FAF">
            <w:pPr>
              <w:autoSpaceDE w:val="0"/>
              <w:autoSpaceDN w:val="0"/>
              <w:adjustRightInd w:val="0"/>
              <w:spacing w:after="0"/>
              <w:ind w:left="227" w:hanging="227"/>
              <w:rPr>
                <w:rFonts w:ascii="Calibri" w:eastAsiaTheme="minorEastAsia" w:hAnsi="Calibri" w:cs="Calibri"/>
                <w:i/>
                <w:iCs/>
                <w:color w:val="000000"/>
                <w:sz w:val="16"/>
                <w:szCs w:val="19"/>
                <w:lang w:eastAsia="en-AU"/>
              </w:rPr>
            </w:pPr>
            <w:r w:rsidRPr="00350E27">
              <w:rPr>
                <w:rFonts w:ascii="Calibri" w:eastAsiaTheme="minorEastAsia" w:hAnsi="Calibri" w:cs="Calibri"/>
                <w:b/>
                <w:bCs/>
                <w:color w:val="000000"/>
                <w:sz w:val="16"/>
                <w:szCs w:val="19"/>
                <w:lang w:eastAsia="en-AU"/>
              </w:rPr>
              <w:t>Environment, Land, Water and Planning</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vertAlign w:val="superscript"/>
                <w:lang w:eastAsia="en-AU"/>
              </w:rPr>
            </w:pPr>
            <w:r w:rsidRPr="00350E27">
              <w:rPr>
                <w:rFonts w:ascii="Calibri" w:eastAsiaTheme="minorEastAsia" w:hAnsi="Calibri" w:cs="Calibri"/>
                <w:color w:val="000000"/>
                <w:sz w:val="16"/>
                <w:szCs w:val="19"/>
                <w:lang w:eastAsia="en-AU"/>
              </w:rPr>
              <w:t xml:space="preserve">   Appropriation </w:t>
            </w:r>
            <w:r w:rsidRPr="00350E27">
              <w:rPr>
                <w:rFonts w:ascii="Calibri" w:eastAsiaTheme="minorEastAsia" w:hAnsi="Calibri" w:cs="Calibri"/>
                <w:color w:val="000000"/>
                <w:sz w:val="16"/>
                <w:szCs w:val="19"/>
                <w:vertAlign w:val="superscript"/>
                <w:lang w:eastAsia="en-AU"/>
              </w:rPr>
              <w:t>(a)</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1 101 417</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87 751</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629 300</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1 818 468</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996 730</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32 484</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641 800</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1 671 014</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i/>
                <w:iCs/>
                <w:color w:val="000000"/>
                <w:sz w:val="16"/>
                <w:szCs w:val="19"/>
                <w:vertAlign w:val="superscript"/>
                <w:lang w:eastAsia="en-AU"/>
              </w:rPr>
            </w:pPr>
            <w:r w:rsidRPr="00350E27">
              <w:rPr>
                <w:rFonts w:ascii="Calibri" w:eastAsiaTheme="minorEastAsia" w:hAnsi="Calibri" w:cs="Calibri"/>
                <w:i/>
                <w:iCs/>
                <w:color w:val="000000"/>
                <w:sz w:val="16"/>
                <w:szCs w:val="19"/>
                <w:lang w:eastAsia="en-AU"/>
              </w:rPr>
              <w:t xml:space="preserve">   </w:t>
            </w:r>
            <w:r w:rsidRPr="00350E27">
              <w:rPr>
                <w:rFonts w:ascii="Calibri" w:eastAsiaTheme="minorEastAsia" w:hAnsi="Calibri" w:cs="Calibri"/>
                <w:color w:val="000000"/>
                <w:sz w:val="16"/>
                <w:szCs w:val="19"/>
                <w:lang w:eastAsia="en-AU"/>
              </w:rPr>
              <w:t>Receipts credited to appropriation</w:t>
            </w:r>
            <w:r w:rsidRPr="00350E27">
              <w:rPr>
                <w:rFonts w:ascii="Calibri" w:eastAsiaTheme="minorEastAsia" w:hAnsi="Calibri" w:cs="Calibri"/>
                <w:i/>
                <w:iCs/>
                <w:color w:val="000000"/>
                <w:sz w:val="16"/>
                <w:szCs w:val="19"/>
                <w:vertAlign w:val="superscript"/>
                <w:lang w:eastAsia="en-AU"/>
              </w:rPr>
              <w:t xml:space="preserve"> (b)</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115 031</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2 975</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118 006</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119 259</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27 535</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146 793</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Unapplied previous year appropriation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59 511</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18 755</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6 944</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85 210</w:t>
            </w:r>
          </w:p>
        </w:tc>
      </w:tr>
      <w:tr w:rsidR="002C39A3" w:rsidRPr="00350E27" w:rsidTr="00361FA9">
        <w:tc>
          <w:tcPr>
            <w:tcW w:w="396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vertAlign w:val="superscript"/>
                <w:lang w:eastAsia="en-AU"/>
              </w:rPr>
            </w:pPr>
            <w:r w:rsidRPr="00350E27">
              <w:rPr>
                <w:rFonts w:ascii="Calibri" w:eastAsiaTheme="minorEastAsia" w:hAnsi="Calibri" w:cs="Calibri"/>
                <w:color w:val="000000"/>
                <w:sz w:val="16"/>
                <w:szCs w:val="19"/>
                <w:lang w:eastAsia="en-AU"/>
              </w:rPr>
              <w:t xml:space="preserve">      carried over </w:t>
            </w:r>
            <w:r w:rsidRPr="00350E27">
              <w:rPr>
                <w:rFonts w:ascii="Calibri" w:eastAsiaTheme="minorEastAsia" w:hAnsi="Calibri" w:cs="Calibri"/>
                <w:color w:val="000000"/>
                <w:sz w:val="16"/>
                <w:szCs w:val="19"/>
                <w:vertAlign w:val="superscript"/>
                <w:lang w:eastAsia="en-AU"/>
              </w:rPr>
              <w:t>(c)</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56 357</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100</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8 712</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65 169</w:t>
            </w:r>
          </w:p>
        </w:tc>
      </w:tr>
      <w:tr w:rsidR="002C39A3" w:rsidRPr="00350E27" w:rsidTr="00361FA9">
        <w:tc>
          <w:tcPr>
            <w:tcW w:w="396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 xml:space="preserve">Total appropriation </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1 275 958</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109 481</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636 244</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2 021 683</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1 172 345</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60 118</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650 512</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1 882 976</w:t>
            </w:r>
          </w:p>
        </w:tc>
      </w:tr>
      <w:tr w:rsidR="00502FAF" w:rsidRPr="00350E27" w:rsidTr="00502FAF">
        <w:tc>
          <w:tcPr>
            <w:tcW w:w="7765" w:type="dxa"/>
            <w:gridSpan w:val="5"/>
            <w:tcBorders>
              <w:top w:val="nil"/>
              <w:left w:val="nil"/>
              <w:right w:val="nil"/>
            </w:tcBorders>
            <w:shd w:val="clear" w:color="000000" w:fill="FFFFFF"/>
          </w:tcPr>
          <w:p w:rsidR="00502FAF" w:rsidRPr="00350E27" w:rsidRDefault="00502FAF" w:rsidP="00502FAF">
            <w:pPr>
              <w:autoSpaceDE w:val="0"/>
              <w:autoSpaceDN w:val="0"/>
              <w:adjustRightInd w:val="0"/>
              <w:spacing w:after="0"/>
              <w:ind w:left="227" w:hanging="227"/>
              <w:rPr>
                <w:rFonts w:ascii="Calibri" w:eastAsiaTheme="minorEastAsia" w:hAnsi="Calibri" w:cs="Calibri"/>
                <w:i/>
                <w:iCs/>
                <w:color w:val="000000"/>
                <w:sz w:val="16"/>
                <w:szCs w:val="19"/>
                <w:lang w:eastAsia="en-AU"/>
              </w:rPr>
            </w:pPr>
            <w:r w:rsidRPr="00350E27">
              <w:rPr>
                <w:rFonts w:ascii="Calibri" w:eastAsiaTheme="minorEastAsia" w:hAnsi="Calibri" w:cs="Calibri"/>
                <w:b/>
                <w:bCs/>
                <w:color w:val="000000"/>
                <w:sz w:val="16"/>
                <w:szCs w:val="19"/>
                <w:lang w:eastAsia="en-AU"/>
              </w:rPr>
              <w:t>Health and Human Services</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vertAlign w:val="superscript"/>
                <w:lang w:eastAsia="en-AU"/>
              </w:rPr>
            </w:pPr>
            <w:r w:rsidRPr="00350E27">
              <w:rPr>
                <w:rFonts w:ascii="Calibri" w:eastAsiaTheme="minorEastAsia" w:hAnsi="Calibri" w:cs="Calibri"/>
                <w:color w:val="000000"/>
                <w:sz w:val="16"/>
                <w:szCs w:val="19"/>
                <w:lang w:eastAsia="en-AU"/>
              </w:rPr>
              <w:t xml:space="preserve">   Appropriation </w:t>
            </w:r>
            <w:r w:rsidRPr="00350E27">
              <w:rPr>
                <w:rFonts w:ascii="Calibri" w:eastAsiaTheme="minorEastAsia" w:hAnsi="Calibri" w:cs="Calibri"/>
                <w:color w:val="000000"/>
                <w:sz w:val="16"/>
                <w:szCs w:val="19"/>
                <w:vertAlign w:val="superscript"/>
                <w:lang w:eastAsia="en-AU"/>
              </w:rPr>
              <w:t>(a)</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12 847 970</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181 793</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13 029 763</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11 865 518</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147 087</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12 012 605</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i/>
                <w:iCs/>
                <w:color w:val="000000"/>
                <w:sz w:val="16"/>
                <w:szCs w:val="19"/>
                <w:vertAlign w:val="superscript"/>
                <w:lang w:eastAsia="en-AU"/>
              </w:rPr>
            </w:pPr>
            <w:r w:rsidRPr="00350E27">
              <w:rPr>
                <w:rFonts w:ascii="Calibri" w:eastAsiaTheme="minorEastAsia" w:hAnsi="Calibri" w:cs="Calibri"/>
                <w:i/>
                <w:iCs/>
                <w:color w:val="000000"/>
                <w:sz w:val="16"/>
                <w:szCs w:val="19"/>
                <w:lang w:eastAsia="en-AU"/>
              </w:rPr>
              <w:t xml:space="preserve">   </w:t>
            </w:r>
            <w:r w:rsidRPr="00350E27">
              <w:rPr>
                <w:rFonts w:ascii="Calibri" w:eastAsiaTheme="minorEastAsia" w:hAnsi="Calibri" w:cs="Calibri"/>
                <w:color w:val="000000"/>
                <w:sz w:val="16"/>
                <w:szCs w:val="19"/>
                <w:lang w:eastAsia="en-AU"/>
              </w:rPr>
              <w:t>Receipts credited to appropriation</w:t>
            </w:r>
            <w:r w:rsidRPr="00350E27">
              <w:rPr>
                <w:rFonts w:ascii="Calibri" w:eastAsiaTheme="minorEastAsia" w:hAnsi="Calibri" w:cs="Calibri"/>
                <w:i/>
                <w:iCs/>
                <w:color w:val="000000"/>
                <w:sz w:val="16"/>
                <w:szCs w:val="19"/>
                <w:vertAlign w:val="superscript"/>
                <w:lang w:eastAsia="en-AU"/>
              </w:rPr>
              <w:t xml:space="preserve"> (b)</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462 041</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7 750</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469 791</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891 870</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62 144</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954 014</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Unapplied previous year appropriation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72 080</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72 080</w:t>
            </w:r>
          </w:p>
        </w:tc>
      </w:tr>
      <w:tr w:rsidR="002C39A3" w:rsidRPr="00350E27" w:rsidTr="00361FA9">
        <w:tc>
          <w:tcPr>
            <w:tcW w:w="396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vertAlign w:val="superscript"/>
                <w:lang w:eastAsia="en-AU"/>
              </w:rPr>
            </w:pPr>
            <w:r w:rsidRPr="00350E27">
              <w:rPr>
                <w:rFonts w:ascii="Calibri" w:eastAsiaTheme="minorEastAsia" w:hAnsi="Calibri" w:cs="Calibri"/>
                <w:color w:val="000000"/>
                <w:sz w:val="16"/>
                <w:szCs w:val="19"/>
                <w:lang w:eastAsia="en-AU"/>
              </w:rPr>
              <w:t xml:space="preserve">      carried over </w:t>
            </w:r>
            <w:r w:rsidRPr="00350E27">
              <w:rPr>
                <w:rFonts w:ascii="Calibri" w:eastAsiaTheme="minorEastAsia" w:hAnsi="Calibri" w:cs="Calibri"/>
                <w:color w:val="000000"/>
                <w:sz w:val="16"/>
                <w:szCs w:val="19"/>
                <w:vertAlign w:val="superscript"/>
                <w:lang w:eastAsia="en-AU"/>
              </w:rPr>
              <w:t>(c)</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112 813</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79 325</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192 138</w:t>
            </w:r>
          </w:p>
        </w:tc>
      </w:tr>
      <w:tr w:rsidR="002C39A3" w:rsidRPr="00350E27" w:rsidTr="00361FA9">
        <w:tc>
          <w:tcPr>
            <w:tcW w:w="396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 xml:space="preserve">Total appropriation </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13 382 091</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189 543</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13 571 634</w:t>
            </w:r>
          </w:p>
        </w:tc>
      </w:tr>
      <w:tr w:rsidR="002C39A3" w:rsidRPr="00350E27" w:rsidTr="00361FA9">
        <w:tc>
          <w:tcPr>
            <w:tcW w:w="396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12 870 201</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288 557</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13 158 758</w:t>
            </w:r>
          </w:p>
        </w:tc>
      </w:tr>
    </w:tbl>
    <w:p w:rsidR="002C39A3" w:rsidRDefault="002C39A3"/>
    <w:p w:rsidR="002C39A3" w:rsidRDefault="002C39A3">
      <w:pPr>
        <w:spacing w:after="0"/>
      </w:pPr>
      <w:r>
        <w:br w:type="page"/>
      </w:r>
    </w:p>
    <w:p w:rsidR="002C39A3" w:rsidRDefault="002C39A3" w:rsidP="00361FA9">
      <w:pPr>
        <w:pStyle w:val="Tableheading"/>
        <w:rPr>
          <w:vertAlign w:val="superscript"/>
        </w:rPr>
      </w:pPr>
      <w:r>
        <w:t>Table A.5:</w:t>
      </w:r>
      <w:r>
        <w:tab/>
        <w:t xml:space="preserve">Consolidated Fund payments: total annual appropriations </w:t>
      </w:r>
      <w:r w:rsidRPr="00350E27">
        <w:rPr>
          <w:i/>
        </w:rPr>
        <w:t>(continued)</w:t>
      </w:r>
    </w:p>
    <w:p w:rsidR="002C39A3" w:rsidRDefault="002C39A3" w:rsidP="00361FA9">
      <w:pPr>
        <w:pStyle w:val="million"/>
      </w:pPr>
      <w:r>
        <w:t>($ thousand)</w:t>
      </w:r>
    </w:p>
    <w:tbl>
      <w:tblPr>
        <w:tblW w:w="7765" w:type="dxa"/>
        <w:tblInd w:w="45" w:type="dxa"/>
        <w:tblLayout w:type="fixed"/>
        <w:tblCellMar>
          <w:left w:w="45" w:type="dxa"/>
          <w:right w:w="45" w:type="dxa"/>
        </w:tblCellMar>
        <w:tblLook w:val="0000" w:firstRow="0" w:lastRow="0" w:firstColumn="0" w:lastColumn="0" w:noHBand="0" w:noVBand="0"/>
      </w:tblPr>
      <w:tblGrid>
        <w:gridCol w:w="3969"/>
        <w:gridCol w:w="949"/>
        <w:gridCol w:w="949"/>
        <w:gridCol w:w="949"/>
        <w:gridCol w:w="949"/>
      </w:tblGrid>
      <w:tr w:rsidR="00502FAF" w:rsidRPr="00350E27" w:rsidTr="00502FAF">
        <w:trPr>
          <w:trHeight w:val="781"/>
          <w:tblHeader/>
        </w:trPr>
        <w:tc>
          <w:tcPr>
            <w:tcW w:w="3969" w:type="dxa"/>
            <w:tcBorders>
              <w:top w:val="nil"/>
              <w:left w:val="nil"/>
              <w:right w:val="nil"/>
            </w:tcBorders>
            <w:shd w:val="solid" w:color="000000" w:fill="auto"/>
            <w:vAlign w:val="bottom"/>
          </w:tcPr>
          <w:p w:rsidR="00502FAF" w:rsidRPr="00350E27" w:rsidRDefault="00502FAF" w:rsidP="00502FAF">
            <w:pPr>
              <w:pStyle w:val="million"/>
              <w:jc w:val="left"/>
              <w:rPr>
                <w:rFonts w:eastAsiaTheme="minorEastAsia" w:cs="Calibri"/>
                <w:iCs/>
                <w:color w:val="FFFFFF"/>
                <w:sz w:val="16"/>
                <w:szCs w:val="19"/>
                <w:lang w:eastAsia="en-AU"/>
              </w:rPr>
            </w:pPr>
            <w:r w:rsidRPr="00350E27">
              <w:rPr>
                <w:rFonts w:eastAsiaTheme="minorEastAsia" w:cs="Calibri"/>
                <w:iCs/>
                <w:color w:val="FFFFFF"/>
                <w:sz w:val="16"/>
                <w:szCs w:val="19"/>
                <w:lang w:eastAsia="en-AU"/>
              </w:rPr>
              <w:t xml:space="preserve"> </w:t>
            </w:r>
          </w:p>
        </w:tc>
        <w:tc>
          <w:tcPr>
            <w:tcW w:w="949" w:type="dxa"/>
            <w:tcBorders>
              <w:top w:val="nil"/>
              <w:left w:val="nil"/>
              <w:right w:val="nil"/>
            </w:tcBorders>
            <w:shd w:val="solid" w:color="000000" w:fill="auto"/>
            <w:vAlign w:val="bottom"/>
          </w:tcPr>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350E27">
              <w:rPr>
                <w:rFonts w:ascii="Calibri" w:eastAsiaTheme="minorEastAsia" w:hAnsi="Calibri" w:cs="Calibri"/>
                <w:i/>
                <w:iCs/>
                <w:color w:val="FFFFFF"/>
                <w:sz w:val="16"/>
                <w:szCs w:val="19"/>
                <w:lang w:eastAsia="en-AU"/>
              </w:rPr>
              <w:t xml:space="preserve"> </w:t>
            </w:r>
          </w:p>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350E27">
              <w:rPr>
                <w:rFonts w:ascii="Calibri" w:eastAsiaTheme="minorEastAsia" w:hAnsi="Calibri" w:cs="Calibri"/>
                <w:i/>
                <w:iCs/>
                <w:color w:val="FFFFFF"/>
                <w:sz w:val="16"/>
                <w:szCs w:val="19"/>
                <w:lang w:eastAsia="en-AU"/>
              </w:rPr>
              <w:t>Provision</w:t>
            </w:r>
          </w:p>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350E27">
              <w:rPr>
                <w:rFonts w:ascii="Calibri" w:eastAsiaTheme="minorEastAsia" w:hAnsi="Calibri" w:cs="Calibri"/>
                <w:i/>
                <w:iCs/>
                <w:color w:val="FFFFFF"/>
                <w:sz w:val="16"/>
                <w:szCs w:val="19"/>
                <w:lang w:eastAsia="en-AU"/>
              </w:rPr>
              <w:t xml:space="preserve"> of outputs</w:t>
            </w:r>
          </w:p>
        </w:tc>
        <w:tc>
          <w:tcPr>
            <w:tcW w:w="949" w:type="dxa"/>
            <w:tcBorders>
              <w:top w:val="nil"/>
              <w:left w:val="nil"/>
              <w:right w:val="nil"/>
            </w:tcBorders>
            <w:shd w:val="solid" w:color="000000" w:fill="auto"/>
            <w:vAlign w:val="bottom"/>
          </w:tcPr>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p>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350E27">
              <w:rPr>
                <w:rFonts w:ascii="Calibri" w:eastAsiaTheme="minorEastAsia" w:hAnsi="Calibri" w:cs="Calibri"/>
                <w:i/>
                <w:iCs/>
                <w:color w:val="FFFFFF"/>
                <w:sz w:val="16"/>
                <w:szCs w:val="19"/>
                <w:lang w:eastAsia="en-AU"/>
              </w:rPr>
              <w:t xml:space="preserve">Additions </w:t>
            </w:r>
          </w:p>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350E27">
              <w:rPr>
                <w:rFonts w:ascii="Calibri" w:eastAsiaTheme="minorEastAsia" w:hAnsi="Calibri" w:cs="Calibri"/>
                <w:i/>
                <w:iCs/>
                <w:color w:val="FFFFFF"/>
                <w:sz w:val="16"/>
                <w:szCs w:val="19"/>
                <w:lang w:eastAsia="en-AU"/>
              </w:rPr>
              <w:t>to net</w:t>
            </w:r>
          </w:p>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350E27">
              <w:rPr>
                <w:rFonts w:ascii="Calibri" w:eastAsiaTheme="minorEastAsia" w:hAnsi="Calibri" w:cs="Calibri"/>
                <w:i/>
                <w:iCs/>
                <w:color w:val="FFFFFF"/>
                <w:sz w:val="16"/>
                <w:szCs w:val="19"/>
                <w:lang w:eastAsia="en-AU"/>
              </w:rPr>
              <w:t xml:space="preserve"> asset base</w:t>
            </w:r>
          </w:p>
        </w:tc>
        <w:tc>
          <w:tcPr>
            <w:tcW w:w="949" w:type="dxa"/>
            <w:tcBorders>
              <w:top w:val="nil"/>
              <w:left w:val="nil"/>
              <w:right w:val="nil"/>
            </w:tcBorders>
            <w:shd w:val="solid" w:color="000000" w:fill="auto"/>
            <w:vAlign w:val="bottom"/>
          </w:tcPr>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350E27">
              <w:rPr>
                <w:rFonts w:ascii="Calibri" w:eastAsiaTheme="minorEastAsia" w:hAnsi="Calibri" w:cs="Calibri"/>
                <w:i/>
                <w:iCs/>
                <w:color w:val="FFFFFF"/>
                <w:sz w:val="16"/>
                <w:szCs w:val="19"/>
                <w:lang w:eastAsia="en-AU"/>
              </w:rPr>
              <w:t>Payments</w:t>
            </w:r>
          </w:p>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350E27">
              <w:rPr>
                <w:rFonts w:ascii="Calibri" w:eastAsiaTheme="minorEastAsia" w:hAnsi="Calibri" w:cs="Calibri"/>
                <w:i/>
                <w:iCs/>
                <w:color w:val="FFFFFF"/>
                <w:sz w:val="16"/>
                <w:szCs w:val="19"/>
                <w:lang w:eastAsia="en-AU"/>
              </w:rPr>
              <w:t xml:space="preserve"> made on </w:t>
            </w:r>
          </w:p>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350E27">
              <w:rPr>
                <w:rFonts w:ascii="Calibri" w:eastAsiaTheme="minorEastAsia" w:hAnsi="Calibri" w:cs="Calibri"/>
                <w:i/>
                <w:iCs/>
                <w:color w:val="FFFFFF"/>
                <w:sz w:val="16"/>
                <w:szCs w:val="19"/>
                <w:lang w:eastAsia="en-AU"/>
              </w:rPr>
              <w:t>behalf of</w:t>
            </w:r>
          </w:p>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350E27">
              <w:rPr>
                <w:rFonts w:ascii="Calibri" w:eastAsiaTheme="minorEastAsia" w:hAnsi="Calibri" w:cs="Calibri"/>
                <w:i/>
                <w:iCs/>
                <w:color w:val="FFFFFF"/>
                <w:sz w:val="16"/>
                <w:szCs w:val="19"/>
                <w:lang w:eastAsia="en-AU"/>
              </w:rPr>
              <w:t xml:space="preserve"> the State</w:t>
            </w:r>
          </w:p>
        </w:tc>
        <w:tc>
          <w:tcPr>
            <w:tcW w:w="949" w:type="dxa"/>
            <w:tcBorders>
              <w:top w:val="nil"/>
              <w:left w:val="nil"/>
              <w:right w:val="nil"/>
            </w:tcBorders>
            <w:shd w:val="solid" w:color="000000" w:fill="auto"/>
            <w:vAlign w:val="bottom"/>
          </w:tcPr>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350E27">
              <w:rPr>
                <w:rFonts w:ascii="Calibri" w:eastAsiaTheme="minorEastAsia" w:hAnsi="Calibri" w:cs="Calibri"/>
                <w:i/>
                <w:iCs/>
                <w:color w:val="FFFFFF"/>
                <w:sz w:val="16"/>
                <w:szCs w:val="19"/>
                <w:lang w:eastAsia="en-AU"/>
              </w:rPr>
              <w:t xml:space="preserve"> </w:t>
            </w:r>
          </w:p>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p>
          <w:p w:rsidR="00502FAF" w:rsidRPr="00350E27" w:rsidRDefault="00502FAF"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350E27">
              <w:rPr>
                <w:rFonts w:ascii="Calibri" w:eastAsiaTheme="minorEastAsia" w:hAnsi="Calibri" w:cs="Calibri"/>
                <w:i/>
                <w:iCs/>
                <w:color w:val="FFFFFF"/>
                <w:sz w:val="16"/>
                <w:szCs w:val="19"/>
                <w:lang w:eastAsia="en-AU"/>
              </w:rPr>
              <w:t xml:space="preserve">Total </w:t>
            </w:r>
          </w:p>
        </w:tc>
      </w:tr>
      <w:tr w:rsidR="00502FAF" w:rsidRPr="00350E27" w:rsidTr="00502FAF">
        <w:tc>
          <w:tcPr>
            <w:tcW w:w="7765" w:type="dxa"/>
            <w:gridSpan w:val="5"/>
            <w:tcBorders>
              <w:top w:val="single" w:sz="6" w:space="0" w:color="auto"/>
              <w:left w:val="nil"/>
              <w:right w:val="nil"/>
            </w:tcBorders>
            <w:shd w:val="clear" w:color="000000" w:fill="FFFFFF"/>
          </w:tcPr>
          <w:p w:rsidR="00502FAF" w:rsidRPr="00350E27" w:rsidRDefault="00502FAF" w:rsidP="00502FAF">
            <w:pPr>
              <w:pStyle w:val="Heading7"/>
              <w:pageBreakBefore w:val="0"/>
              <w:rPr>
                <w:sz w:val="16"/>
              </w:rPr>
            </w:pPr>
            <w:r w:rsidRPr="00350E27">
              <w:rPr>
                <w:sz w:val="16"/>
              </w:rPr>
              <w:t>Justice and Regulation</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vertAlign w:val="superscript"/>
                <w:lang w:eastAsia="en-AU"/>
              </w:rPr>
            </w:pPr>
            <w:r w:rsidRPr="00350E27">
              <w:rPr>
                <w:rFonts w:ascii="Calibri" w:eastAsiaTheme="minorEastAsia" w:hAnsi="Calibri" w:cs="Calibri"/>
                <w:color w:val="000000"/>
                <w:sz w:val="16"/>
                <w:szCs w:val="19"/>
                <w:lang w:eastAsia="en-AU"/>
              </w:rPr>
              <w:t xml:space="preserve">   Appropriation </w:t>
            </w:r>
            <w:r w:rsidRPr="00350E27">
              <w:rPr>
                <w:rFonts w:ascii="Calibri" w:eastAsiaTheme="minorEastAsia" w:hAnsi="Calibri" w:cs="Calibri"/>
                <w:color w:val="000000"/>
                <w:sz w:val="16"/>
                <w:szCs w:val="19"/>
                <w:vertAlign w:val="superscript"/>
                <w:lang w:eastAsia="en-AU"/>
              </w:rPr>
              <w:t>(a)</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5 584 113</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324 411</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54 462</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5 962 986</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5 157 505</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345 335</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54 461</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5 557 301</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i/>
                <w:iCs/>
                <w:color w:val="000000"/>
                <w:sz w:val="16"/>
                <w:szCs w:val="19"/>
                <w:vertAlign w:val="superscript"/>
                <w:lang w:eastAsia="en-AU"/>
              </w:rPr>
            </w:pPr>
            <w:r w:rsidRPr="00350E27">
              <w:rPr>
                <w:rFonts w:ascii="Calibri" w:eastAsiaTheme="minorEastAsia" w:hAnsi="Calibri" w:cs="Calibri"/>
                <w:i/>
                <w:iCs/>
                <w:color w:val="000000"/>
                <w:sz w:val="16"/>
                <w:szCs w:val="19"/>
                <w:lang w:eastAsia="en-AU"/>
              </w:rPr>
              <w:t xml:space="preserve">   </w:t>
            </w:r>
            <w:r w:rsidRPr="00350E27">
              <w:rPr>
                <w:rFonts w:ascii="Calibri" w:eastAsiaTheme="minorEastAsia" w:hAnsi="Calibri" w:cs="Calibri"/>
                <w:color w:val="000000"/>
                <w:sz w:val="16"/>
                <w:szCs w:val="19"/>
                <w:lang w:eastAsia="en-AU"/>
              </w:rPr>
              <w:t xml:space="preserve">Receipts credited to </w:t>
            </w:r>
            <w:r w:rsidRPr="00502FAF">
              <w:rPr>
                <w:rFonts w:ascii="Calibri" w:eastAsiaTheme="minorEastAsia" w:hAnsi="Calibri" w:cs="Calibri"/>
                <w:color w:val="000000"/>
                <w:sz w:val="16"/>
                <w:szCs w:val="19"/>
                <w:lang w:eastAsia="en-AU"/>
              </w:rPr>
              <w:t>appropriation</w:t>
            </w:r>
            <w:r w:rsidRPr="00502FAF">
              <w:rPr>
                <w:rFonts w:ascii="Calibri" w:eastAsiaTheme="minorEastAsia" w:hAnsi="Calibri" w:cs="Calibri"/>
                <w:iCs/>
                <w:color w:val="000000"/>
                <w:sz w:val="16"/>
                <w:szCs w:val="19"/>
                <w:vertAlign w:val="superscript"/>
                <w:lang w:eastAsia="en-AU"/>
              </w:rPr>
              <w:t xml:space="preserve"> (b)</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218 131</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600</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218 731</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200 199</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600</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200 799</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Unappli</w:t>
            </w:r>
            <w:r w:rsidR="00502FAF">
              <w:rPr>
                <w:rFonts w:ascii="Calibri" w:eastAsiaTheme="minorEastAsia" w:hAnsi="Calibri" w:cs="Calibri"/>
                <w:color w:val="000000"/>
                <w:sz w:val="16"/>
                <w:szCs w:val="19"/>
                <w:lang w:eastAsia="en-AU"/>
              </w:rPr>
              <w:t>ed previous year appropriation</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72 396</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90 625</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163 021</w:t>
            </w:r>
          </w:p>
        </w:tc>
      </w:tr>
      <w:tr w:rsidR="002C39A3" w:rsidRPr="00350E27" w:rsidTr="00361FA9">
        <w:tc>
          <w:tcPr>
            <w:tcW w:w="396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vertAlign w:val="superscript"/>
                <w:lang w:eastAsia="en-AU"/>
              </w:rPr>
            </w:pPr>
            <w:r w:rsidRPr="00350E27">
              <w:rPr>
                <w:rFonts w:ascii="Calibri" w:eastAsiaTheme="minorEastAsia" w:hAnsi="Calibri" w:cs="Calibri"/>
                <w:color w:val="000000"/>
                <w:sz w:val="16"/>
                <w:szCs w:val="19"/>
                <w:lang w:eastAsia="en-AU"/>
              </w:rPr>
              <w:t xml:space="preserve">      carried over </w:t>
            </w:r>
            <w:r w:rsidRPr="00350E27">
              <w:rPr>
                <w:rFonts w:ascii="Calibri" w:eastAsiaTheme="minorEastAsia" w:hAnsi="Calibri" w:cs="Calibri"/>
                <w:color w:val="000000"/>
                <w:sz w:val="16"/>
                <w:szCs w:val="19"/>
                <w:vertAlign w:val="superscript"/>
                <w:lang w:eastAsia="en-AU"/>
              </w:rPr>
              <w:t>(c)</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70 478</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59 791</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130 269</w:t>
            </w:r>
          </w:p>
        </w:tc>
      </w:tr>
      <w:tr w:rsidR="002C39A3" w:rsidRPr="00350E27" w:rsidTr="00361FA9">
        <w:tc>
          <w:tcPr>
            <w:tcW w:w="3969" w:type="dxa"/>
            <w:tcBorders>
              <w:top w:val="single" w:sz="6" w:space="0" w:color="auto"/>
              <w:left w:val="nil"/>
              <w:right w:val="nil"/>
            </w:tcBorders>
            <w:shd w:val="clear" w:color="000000" w:fill="FFFFFF"/>
          </w:tcPr>
          <w:p w:rsidR="002C39A3" w:rsidRPr="00350E27" w:rsidRDefault="00502FAF" w:rsidP="00361FA9">
            <w:pPr>
              <w:autoSpaceDE w:val="0"/>
              <w:autoSpaceDN w:val="0"/>
              <w:adjustRightInd w:val="0"/>
              <w:spacing w:after="0"/>
              <w:ind w:left="227" w:hanging="227"/>
              <w:rPr>
                <w:rFonts w:ascii="Calibri" w:eastAsiaTheme="minorEastAsia" w:hAnsi="Calibri" w:cs="Calibri"/>
                <w:b/>
                <w:bCs/>
                <w:color w:val="000000"/>
                <w:sz w:val="16"/>
                <w:szCs w:val="19"/>
                <w:lang w:eastAsia="en-AU"/>
              </w:rPr>
            </w:pPr>
            <w:r>
              <w:rPr>
                <w:rFonts w:ascii="Calibri" w:eastAsiaTheme="minorEastAsia" w:hAnsi="Calibri" w:cs="Calibri"/>
                <w:b/>
                <w:bCs/>
                <w:color w:val="000000"/>
                <w:sz w:val="16"/>
                <w:szCs w:val="19"/>
                <w:lang w:eastAsia="en-AU"/>
              </w:rPr>
              <w:t>Total appropriation</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5 874 639</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415 636</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54 462</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6 344 737</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5 428 182</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405 726</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54 461</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5 888 369</w:t>
            </w:r>
          </w:p>
        </w:tc>
      </w:tr>
      <w:tr w:rsidR="00502FAF" w:rsidRPr="00350E27" w:rsidTr="00502FAF">
        <w:tc>
          <w:tcPr>
            <w:tcW w:w="7765" w:type="dxa"/>
            <w:gridSpan w:val="5"/>
            <w:tcBorders>
              <w:top w:val="nil"/>
              <w:left w:val="nil"/>
              <w:right w:val="nil"/>
            </w:tcBorders>
            <w:shd w:val="clear" w:color="000000" w:fill="FFFFFF"/>
          </w:tcPr>
          <w:p w:rsidR="00502FAF" w:rsidRPr="00350E27" w:rsidRDefault="00502FAF" w:rsidP="00502FAF">
            <w:pPr>
              <w:pStyle w:val="Heading7"/>
              <w:pageBreakBefore w:val="0"/>
              <w:ind w:left="0" w:firstLine="0"/>
              <w:rPr>
                <w:sz w:val="16"/>
              </w:rPr>
            </w:pPr>
            <w:r w:rsidRPr="00350E27">
              <w:rPr>
                <w:sz w:val="16"/>
              </w:rPr>
              <w:t>Premier and Cabinet</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vertAlign w:val="superscript"/>
                <w:lang w:eastAsia="en-AU"/>
              </w:rPr>
            </w:pPr>
            <w:r w:rsidRPr="00350E27">
              <w:rPr>
                <w:rFonts w:ascii="Calibri" w:eastAsiaTheme="minorEastAsia" w:hAnsi="Calibri" w:cs="Calibri"/>
                <w:color w:val="000000"/>
                <w:sz w:val="16"/>
                <w:szCs w:val="19"/>
                <w:lang w:eastAsia="en-AU"/>
              </w:rPr>
              <w:t xml:space="preserve">   Appropriation </w:t>
            </w:r>
            <w:r w:rsidRPr="00350E27">
              <w:rPr>
                <w:rFonts w:ascii="Calibri" w:eastAsiaTheme="minorEastAsia" w:hAnsi="Calibri" w:cs="Calibri"/>
                <w:color w:val="000000"/>
                <w:sz w:val="16"/>
                <w:szCs w:val="19"/>
                <w:vertAlign w:val="superscript"/>
                <w:lang w:eastAsia="en-AU"/>
              </w:rPr>
              <w:t>(a)</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457 663</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4 760</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462 423</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320 441</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2 736</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323 177</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i/>
                <w:iCs/>
                <w:color w:val="000000"/>
                <w:sz w:val="16"/>
                <w:szCs w:val="19"/>
                <w:vertAlign w:val="superscript"/>
                <w:lang w:eastAsia="en-AU"/>
              </w:rPr>
            </w:pPr>
            <w:r w:rsidRPr="00350E27">
              <w:rPr>
                <w:rFonts w:ascii="Calibri" w:eastAsiaTheme="minorEastAsia" w:hAnsi="Calibri" w:cs="Calibri"/>
                <w:i/>
                <w:iCs/>
                <w:color w:val="000000"/>
                <w:sz w:val="16"/>
                <w:szCs w:val="19"/>
                <w:lang w:eastAsia="en-AU"/>
              </w:rPr>
              <w:t xml:space="preserve">   </w:t>
            </w:r>
            <w:r w:rsidRPr="00350E27">
              <w:rPr>
                <w:rFonts w:ascii="Calibri" w:eastAsiaTheme="minorEastAsia" w:hAnsi="Calibri" w:cs="Calibri"/>
                <w:color w:val="000000"/>
                <w:sz w:val="16"/>
                <w:szCs w:val="19"/>
                <w:lang w:eastAsia="en-AU"/>
              </w:rPr>
              <w:t xml:space="preserve">Receipts credited to </w:t>
            </w:r>
            <w:r w:rsidRPr="00502FAF">
              <w:rPr>
                <w:rFonts w:ascii="Calibri" w:eastAsiaTheme="minorEastAsia" w:hAnsi="Calibri" w:cs="Calibri"/>
                <w:color w:val="000000"/>
                <w:sz w:val="16"/>
                <w:szCs w:val="19"/>
                <w:lang w:eastAsia="en-AU"/>
              </w:rPr>
              <w:t>appropriation</w:t>
            </w:r>
            <w:r w:rsidRPr="00502FAF">
              <w:rPr>
                <w:rFonts w:ascii="Calibri" w:eastAsiaTheme="minorEastAsia" w:hAnsi="Calibri" w:cs="Calibri"/>
                <w:iCs/>
                <w:color w:val="000000"/>
                <w:sz w:val="16"/>
                <w:szCs w:val="19"/>
                <w:vertAlign w:val="superscript"/>
                <w:lang w:eastAsia="en-AU"/>
              </w:rPr>
              <w:t xml:space="preserve"> (b)</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1 750</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1 750</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520</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520</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Unappli</w:t>
            </w:r>
            <w:r w:rsidR="00502FAF">
              <w:rPr>
                <w:rFonts w:ascii="Calibri" w:eastAsiaTheme="minorEastAsia" w:hAnsi="Calibri" w:cs="Calibri"/>
                <w:color w:val="000000"/>
                <w:sz w:val="16"/>
                <w:szCs w:val="19"/>
                <w:lang w:eastAsia="en-AU"/>
              </w:rPr>
              <w:t>ed previous year appropriation</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30 950</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500</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31 450</w:t>
            </w:r>
          </w:p>
        </w:tc>
      </w:tr>
      <w:tr w:rsidR="002C39A3" w:rsidRPr="00350E27" w:rsidTr="00361FA9">
        <w:tc>
          <w:tcPr>
            <w:tcW w:w="396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vertAlign w:val="superscript"/>
                <w:lang w:eastAsia="en-AU"/>
              </w:rPr>
            </w:pPr>
            <w:r w:rsidRPr="00350E27">
              <w:rPr>
                <w:rFonts w:ascii="Calibri" w:eastAsiaTheme="minorEastAsia" w:hAnsi="Calibri" w:cs="Calibri"/>
                <w:color w:val="000000"/>
                <w:sz w:val="16"/>
                <w:szCs w:val="19"/>
                <w:lang w:eastAsia="en-AU"/>
              </w:rPr>
              <w:t xml:space="preserve">      carried over </w:t>
            </w:r>
            <w:r w:rsidRPr="00350E27">
              <w:rPr>
                <w:rFonts w:ascii="Calibri" w:eastAsiaTheme="minorEastAsia" w:hAnsi="Calibri" w:cs="Calibri"/>
                <w:color w:val="000000"/>
                <w:sz w:val="16"/>
                <w:szCs w:val="19"/>
                <w:vertAlign w:val="superscript"/>
                <w:lang w:eastAsia="en-AU"/>
              </w:rPr>
              <w:t>(c)</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17 992</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1 500</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1 000</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20 492</w:t>
            </w:r>
          </w:p>
        </w:tc>
      </w:tr>
      <w:tr w:rsidR="002C39A3" w:rsidRPr="00350E27" w:rsidTr="00361FA9">
        <w:tc>
          <w:tcPr>
            <w:tcW w:w="396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 xml:space="preserve">Total appropriation </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490 363</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5 260</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495 623</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338 953</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4 236</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1 000</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344 189</w:t>
            </w:r>
          </w:p>
        </w:tc>
      </w:tr>
      <w:tr w:rsidR="00502FAF" w:rsidRPr="00350E27" w:rsidTr="00502FAF">
        <w:tc>
          <w:tcPr>
            <w:tcW w:w="7765" w:type="dxa"/>
            <w:gridSpan w:val="5"/>
            <w:tcBorders>
              <w:top w:val="nil"/>
              <w:left w:val="nil"/>
              <w:right w:val="nil"/>
            </w:tcBorders>
            <w:shd w:val="clear" w:color="000000" w:fill="FFFFFF"/>
          </w:tcPr>
          <w:p w:rsidR="00502FAF" w:rsidRPr="00350E27" w:rsidRDefault="00502FAF" w:rsidP="00502FAF">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b/>
                <w:bCs/>
                <w:color w:val="000000"/>
                <w:sz w:val="16"/>
                <w:szCs w:val="19"/>
                <w:lang w:eastAsia="en-AU"/>
              </w:rPr>
              <w:t>Treasury and Finance</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vertAlign w:val="superscript"/>
                <w:lang w:eastAsia="en-AU"/>
              </w:rPr>
            </w:pPr>
            <w:r w:rsidRPr="00350E27">
              <w:rPr>
                <w:rFonts w:ascii="Calibri" w:eastAsiaTheme="minorEastAsia" w:hAnsi="Calibri" w:cs="Calibri"/>
                <w:color w:val="000000"/>
                <w:sz w:val="16"/>
                <w:szCs w:val="19"/>
                <w:lang w:eastAsia="en-AU"/>
              </w:rPr>
              <w:t xml:space="preserve">   Appropriation </w:t>
            </w:r>
            <w:r w:rsidRPr="00350E27">
              <w:rPr>
                <w:rFonts w:ascii="Calibri" w:eastAsiaTheme="minorEastAsia" w:hAnsi="Calibri" w:cs="Calibri"/>
                <w:color w:val="000000"/>
                <w:sz w:val="16"/>
                <w:szCs w:val="19"/>
                <w:vertAlign w:val="superscript"/>
                <w:lang w:eastAsia="en-AU"/>
              </w:rPr>
              <w:t>(a)</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250 649</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2 590</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6 813 339</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7 066 578</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235 651</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4 230</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2 773 160</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3 013 041</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i/>
                <w:iCs/>
                <w:color w:val="000000"/>
                <w:sz w:val="16"/>
                <w:szCs w:val="19"/>
                <w:vertAlign w:val="superscript"/>
                <w:lang w:eastAsia="en-AU"/>
              </w:rPr>
            </w:pPr>
            <w:r w:rsidRPr="00350E27">
              <w:rPr>
                <w:rFonts w:ascii="Calibri" w:eastAsiaTheme="minorEastAsia" w:hAnsi="Calibri" w:cs="Calibri"/>
                <w:i/>
                <w:iCs/>
                <w:color w:val="000000"/>
                <w:sz w:val="16"/>
                <w:szCs w:val="19"/>
                <w:lang w:eastAsia="en-AU"/>
              </w:rPr>
              <w:t xml:space="preserve">   </w:t>
            </w:r>
            <w:r w:rsidRPr="00350E27">
              <w:rPr>
                <w:rFonts w:ascii="Calibri" w:eastAsiaTheme="minorEastAsia" w:hAnsi="Calibri" w:cs="Calibri"/>
                <w:color w:val="000000"/>
                <w:sz w:val="16"/>
                <w:szCs w:val="19"/>
                <w:lang w:eastAsia="en-AU"/>
              </w:rPr>
              <w:t>Receipts credited to appropriation</w:t>
            </w:r>
            <w:r w:rsidRPr="00502FAF">
              <w:rPr>
                <w:rFonts w:ascii="Calibri" w:eastAsiaTheme="minorEastAsia" w:hAnsi="Calibri" w:cs="Calibri"/>
                <w:iCs/>
                <w:color w:val="000000"/>
                <w:sz w:val="16"/>
                <w:szCs w:val="19"/>
                <w:vertAlign w:val="superscript"/>
                <w:lang w:eastAsia="en-AU"/>
              </w:rPr>
              <w:t xml:space="preserve"> (b)</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7 868</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7 868</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7 068</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7 068</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Unappli</w:t>
            </w:r>
            <w:r w:rsidR="00502FAF">
              <w:rPr>
                <w:rFonts w:ascii="Calibri" w:eastAsiaTheme="minorEastAsia" w:hAnsi="Calibri" w:cs="Calibri"/>
                <w:color w:val="000000"/>
                <w:sz w:val="16"/>
                <w:szCs w:val="19"/>
                <w:lang w:eastAsia="en-AU"/>
              </w:rPr>
              <w:t>ed previous year appropriation</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r>
      <w:tr w:rsidR="002C39A3" w:rsidRPr="00350E27" w:rsidTr="00361FA9">
        <w:tc>
          <w:tcPr>
            <w:tcW w:w="396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vertAlign w:val="superscript"/>
                <w:lang w:eastAsia="en-AU"/>
              </w:rPr>
            </w:pPr>
            <w:r w:rsidRPr="00350E27">
              <w:rPr>
                <w:rFonts w:ascii="Calibri" w:eastAsiaTheme="minorEastAsia" w:hAnsi="Calibri" w:cs="Calibri"/>
                <w:color w:val="000000"/>
                <w:sz w:val="16"/>
                <w:szCs w:val="19"/>
                <w:lang w:eastAsia="en-AU"/>
              </w:rPr>
              <w:t xml:space="preserve">      carried over </w:t>
            </w:r>
            <w:r w:rsidRPr="00350E27">
              <w:rPr>
                <w:rFonts w:ascii="Calibri" w:eastAsiaTheme="minorEastAsia" w:hAnsi="Calibri" w:cs="Calibri"/>
                <w:color w:val="000000"/>
                <w:sz w:val="16"/>
                <w:szCs w:val="19"/>
                <w:vertAlign w:val="superscript"/>
                <w:lang w:eastAsia="en-AU"/>
              </w:rPr>
              <w:t>(c)</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r>
      <w:tr w:rsidR="002C39A3" w:rsidRPr="00350E27" w:rsidTr="00361FA9">
        <w:tc>
          <w:tcPr>
            <w:tcW w:w="396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 xml:space="preserve">Total appropriation </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258 517</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2 590</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6 813 339</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7 074 446</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242 719</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4 230</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2 773 160</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3 020 109</w:t>
            </w:r>
          </w:p>
        </w:tc>
      </w:tr>
      <w:tr w:rsidR="00502FAF" w:rsidRPr="00350E27" w:rsidTr="00502FAF">
        <w:tc>
          <w:tcPr>
            <w:tcW w:w="7765" w:type="dxa"/>
            <w:gridSpan w:val="5"/>
            <w:tcBorders>
              <w:top w:val="nil"/>
              <w:left w:val="nil"/>
              <w:right w:val="nil"/>
            </w:tcBorders>
            <w:shd w:val="clear" w:color="000000" w:fill="FFFFFF"/>
          </w:tcPr>
          <w:p w:rsidR="00502FAF" w:rsidRPr="00350E27" w:rsidRDefault="00502FAF" w:rsidP="00502FAF">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b/>
                <w:bCs/>
                <w:color w:val="000000"/>
                <w:sz w:val="16"/>
                <w:szCs w:val="19"/>
                <w:lang w:eastAsia="en-AU"/>
              </w:rPr>
              <w:t>Parliament</w:t>
            </w:r>
            <w:r w:rsidRPr="00350E27">
              <w:rPr>
                <w:rFonts w:ascii="Calibri" w:eastAsiaTheme="minorEastAsia" w:hAnsi="Calibri" w:cs="Calibri"/>
                <w:color w:val="000000"/>
                <w:sz w:val="16"/>
                <w:szCs w:val="19"/>
                <w:lang w:eastAsia="en-AU"/>
              </w:rPr>
              <w:t xml:space="preserve"> </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vertAlign w:val="superscript"/>
                <w:lang w:eastAsia="en-AU"/>
              </w:rPr>
            </w:pPr>
            <w:r w:rsidRPr="00350E27">
              <w:rPr>
                <w:rFonts w:ascii="Calibri" w:eastAsiaTheme="minorEastAsia" w:hAnsi="Calibri" w:cs="Calibri"/>
                <w:color w:val="000000"/>
                <w:sz w:val="16"/>
                <w:szCs w:val="19"/>
                <w:lang w:eastAsia="en-AU"/>
              </w:rPr>
              <w:t xml:space="preserve">   Appropriation </w:t>
            </w:r>
            <w:r w:rsidRPr="00350E27">
              <w:rPr>
                <w:rFonts w:ascii="Calibri" w:eastAsiaTheme="minorEastAsia" w:hAnsi="Calibri" w:cs="Calibri"/>
                <w:color w:val="000000"/>
                <w:sz w:val="16"/>
                <w:szCs w:val="19"/>
                <w:vertAlign w:val="superscript"/>
                <w:lang w:eastAsia="en-AU"/>
              </w:rPr>
              <w:t>(d)</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128 888</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128 888</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117 432</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117 432</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i/>
                <w:iCs/>
                <w:color w:val="000000"/>
                <w:sz w:val="16"/>
                <w:szCs w:val="19"/>
                <w:vertAlign w:val="superscript"/>
                <w:lang w:eastAsia="en-AU"/>
              </w:rPr>
            </w:pPr>
            <w:r w:rsidRPr="00350E27">
              <w:rPr>
                <w:rFonts w:ascii="Calibri" w:eastAsiaTheme="minorEastAsia" w:hAnsi="Calibri" w:cs="Calibri"/>
                <w:i/>
                <w:iCs/>
                <w:color w:val="000000"/>
                <w:sz w:val="16"/>
                <w:szCs w:val="19"/>
                <w:lang w:eastAsia="en-AU"/>
              </w:rPr>
              <w:t xml:space="preserve">   </w:t>
            </w:r>
            <w:r w:rsidRPr="00350E27">
              <w:rPr>
                <w:rFonts w:ascii="Calibri" w:eastAsiaTheme="minorEastAsia" w:hAnsi="Calibri" w:cs="Calibri"/>
                <w:color w:val="000000"/>
                <w:sz w:val="16"/>
                <w:szCs w:val="19"/>
                <w:lang w:eastAsia="en-AU"/>
              </w:rPr>
              <w:t>Receipts credited to appropriation</w:t>
            </w:r>
            <w:r w:rsidRPr="00502FAF">
              <w:rPr>
                <w:rFonts w:ascii="Calibri" w:eastAsiaTheme="minorEastAsia" w:hAnsi="Calibri" w:cs="Calibri"/>
                <w:iCs/>
                <w:color w:val="000000"/>
                <w:sz w:val="16"/>
                <w:szCs w:val="19"/>
                <w:vertAlign w:val="superscript"/>
                <w:lang w:eastAsia="en-AU"/>
              </w:rPr>
              <w:t xml:space="preserve"> (b)</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25 603</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25 603</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23 904</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23 904</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Unappli</w:t>
            </w:r>
            <w:r w:rsidR="00502FAF">
              <w:rPr>
                <w:rFonts w:ascii="Calibri" w:eastAsiaTheme="minorEastAsia" w:hAnsi="Calibri" w:cs="Calibri"/>
                <w:color w:val="000000"/>
                <w:sz w:val="16"/>
                <w:szCs w:val="19"/>
                <w:lang w:eastAsia="en-AU"/>
              </w:rPr>
              <w:t>ed previous year appropriation</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5 400</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5 400</w:t>
            </w:r>
          </w:p>
        </w:tc>
      </w:tr>
      <w:tr w:rsidR="002C39A3" w:rsidRPr="00350E27" w:rsidTr="00361FA9">
        <w:tc>
          <w:tcPr>
            <w:tcW w:w="396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vertAlign w:val="superscript"/>
                <w:lang w:eastAsia="en-AU"/>
              </w:rPr>
            </w:pPr>
            <w:r w:rsidRPr="00350E27">
              <w:rPr>
                <w:rFonts w:ascii="Calibri" w:eastAsiaTheme="minorEastAsia" w:hAnsi="Calibri" w:cs="Calibri"/>
                <w:color w:val="000000"/>
                <w:sz w:val="16"/>
                <w:szCs w:val="19"/>
                <w:lang w:eastAsia="en-AU"/>
              </w:rPr>
              <w:t xml:space="preserve">      carried over </w:t>
            </w:r>
            <w:r w:rsidRPr="00350E27">
              <w:rPr>
                <w:rFonts w:ascii="Calibri" w:eastAsiaTheme="minorEastAsia" w:hAnsi="Calibri" w:cs="Calibri"/>
                <w:color w:val="000000"/>
                <w:sz w:val="16"/>
                <w:szCs w:val="19"/>
                <w:vertAlign w:val="superscript"/>
                <w:lang w:eastAsia="en-AU"/>
              </w:rPr>
              <w:t>(c)</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5 407</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5 407</w:t>
            </w:r>
          </w:p>
        </w:tc>
      </w:tr>
      <w:tr w:rsidR="002C39A3" w:rsidRPr="00350E27" w:rsidTr="00361FA9">
        <w:tc>
          <w:tcPr>
            <w:tcW w:w="396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 xml:space="preserve">Total appropriation </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159 891</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159 891</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146 743</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146 743</w:t>
            </w:r>
          </w:p>
        </w:tc>
      </w:tr>
      <w:tr w:rsidR="00502FAF" w:rsidRPr="00350E27" w:rsidTr="00502FAF">
        <w:tc>
          <w:tcPr>
            <w:tcW w:w="7765" w:type="dxa"/>
            <w:gridSpan w:val="5"/>
            <w:tcBorders>
              <w:top w:val="nil"/>
              <w:left w:val="nil"/>
              <w:right w:val="nil"/>
            </w:tcBorders>
            <w:shd w:val="clear" w:color="000000" w:fill="FFFFFF"/>
          </w:tcPr>
          <w:p w:rsidR="00502FAF" w:rsidRPr="00350E27" w:rsidRDefault="00502FAF" w:rsidP="00502FAF">
            <w:pPr>
              <w:autoSpaceDE w:val="0"/>
              <w:autoSpaceDN w:val="0"/>
              <w:adjustRightInd w:val="0"/>
              <w:spacing w:after="0"/>
              <w:ind w:left="227" w:hanging="227"/>
              <w:rPr>
                <w:rFonts w:ascii="Calibri" w:eastAsiaTheme="minorEastAsia" w:hAnsi="Calibri" w:cs="Calibri"/>
                <w:color w:val="000000"/>
                <w:sz w:val="16"/>
                <w:szCs w:val="19"/>
                <w:lang w:eastAsia="en-AU"/>
              </w:rPr>
            </w:pPr>
            <w:r>
              <w:rPr>
                <w:rFonts w:ascii="Calibri" w:eastAsiaTheme="minorEastAsia" w:hAnsi="Calibri" w:cs="Calibri"/>
                <w:b/>
                <w:bCs/>
                <w:color w:val="000000"/>
                <w:sz w:val="16"/>
                <w:szCs w:val="19"/>
                <w:lang w:eastAsia="en-AU"/>
              </w:rPr>
              <w:t>Courts</w:t>
            </w:r>
            <w:r w:rsidRPr="00350E27">
              <w:rPr>
                <w:rFonts w:ascii="Calibri" w:eastAsiaTheme="minorEastAsia" w:hAnsi="Calibri" w:cs="Calibri"/>
                <w:color w:val="000000"/>
                <w:sz w:val="16"/>
                <w:szCs w:val="19"/>
                <w:lang w:eastAsia="en-AU"/>
              </w:rPr>
              <w:t xml:space="preserve"> </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vertAlign w:val="superscript"/>
                <w:lang w:eastAsia="en-AU"/>
              </w:rPr>
            </w:pPr>
            <w:r w:rsidRPr="00350E27">
              <w:rPr>
                <w:rFonts w:ascii="Calibri" w:eastAsiaTheme="minorEastAsia" w:hAnsi="Calibri" w:cs="Calibri"/>
                <w:color w:val="000000"/>
                <w:sz w:val="16"/>
                <w:szCs w:val="19"/>
                <w:lang w:eastAsia="en-AU"/>
              </w:rPr>
              <w:t xml:space="preserve">   Appropriation </w:t>
            </w:r>
            <w:r w:rsidRPr="00350E27">
              <w:rPr>
                <w:rFonts w:ascii="Calibri" w:eastAsiaTheme="minorEastAsia" w:hAnsi="Calibri" w:cs="Calibri"/>
                <w:color w:val="000000"/>
                <w:sz w:val="16"/>
                <w:szCs w:val="19"/>
                <w:vertAlign w:val="superscript"/>
                <w:lang w:eastAsia="en-AU"/>
              </w:rPr>
              <w:t>(a)</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259 719</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43 286</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303 005</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247 657</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47 605</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295 262</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i/>
                <w:iCs/>
                <w:color w:val="000000"/>
                <w:sz w:val="16"/>
                <w:szCs w:val="19"/>
                <w:vertAlign w:val="superscript"/>
                <w:lang w:eastAsia="en-AU"/>
              </w:rPr>
            </w:pPr>
            <w:r w:rsidRPr="00350E27">
              <w:rPr>
                <w:rFonts w:ascii="Calibri" w:eastAsiaTheme="minorEastAsia" w:hAnsi="Calibri" w:cs="Calibri"/>
                <w:i/>
                <w:iCs/>
                <w:color w:val="000000"/>
                <w:sz w:val="16"/>
                <w:szCs w:val="19"/>
                <w:lang w:eastAsia="en-AU"/>
              </w:rPr>
              <w:t xml:space="preserve">   </w:t>
            </w:r>
            <w:r w:rsidRPr="00350E27">
              <w:rPr>
                <w:rFonts w:ascii="Calibri" w:eastAsiaTheme="minorEastAsia" w:hAnsi="Calibri" w:cs="Calibri"/>
                <w:color w:val="000000"/>
                <w:sz w:val="16"/>
                <w:szCs w:val="19"/>
                <w:lang w:eastAsia="en-AU"/>
              </w:rPr>
              <w:t>Receipts credited to appropriation</w:t>
            </w:r>
            <w:r w:rsidRPr="00350E27">
              <w:rPr>
                <w:rFonts w:ascii="Calibri" w:eastAsiaTheme="minorEastAsia" w:hAnsi="Calibri" w:cs="Calibri"/>
                <w:i/>
                <w:iCs/>
                <w:color w:val="000000"/>
                <w:sz w:val="16"/>
                <w:szCs w:val="19"/>
                <w:vertAlign w:val="superscript"/>
                <w:lang w:eastAsia="en-AU"/>
              </w:rPr>
              <w:t xml:space="preserve"> </w:t>
            </w:r>
            <w:r w:rsidRPr="00502FAF">
              <w:rPr>
                <w:rFonts w:ascii="Calibri" w:eastAsiaTheme="minorEastAsia" w:hAnsi="Calibri" w:cs="Calibri"/>
                <w:iCs/>
                <w:color w:val="000000"/>
                <w:sz w:val="16"/>
                <w:szCs w:val="19"/>
                <w:vertAlign w:val="superscript"/>
                <w:lang w:eastAsia="en-AU"/>
              </w:rPr>
              <w:t>(b)</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65 407</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65 407</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 xml:space="preserve"> </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64 147</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64 147</w:t>
            </w:r>
          </w:p>
        </w:tc>
      </w:tr>
      <w:tr w:rsidR="002C39A3" w:rsidRPr="00350E27" w:rsidTr="00361FA9">
        <w:tc>
          <w:tcPr>
            <w:tcW w:w="3969" w:type="dxa"/>
            <w:tcBorders>
              <w:top w:val="nil"/>
              <w:left w:val="nil"/>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Unapplied prev</w:t>
            </w:r>
            <w:r w:rsidR="00502FAF">
              <w:rPr>
                <w:rFonts w:ascii="Calibri" w:eastAsiaTheme="minorEastAsia" w:hAnsi="Calibri" w:cs="Calibri"/>
                <w:color w:val="000000"/>
                <w:sz w:val="16"/>
                <w:szCs w:val="19"/>
                <w:lang w:eastAsia="en-AU"/>
              </w:rPr>
              <w:t>ious year appropriation</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nil"/>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r>
      <w:tr w:rsidR="002C39A3" w:rsidRPr="00350E27" w:rsidTr="00361FA9">
        <w:tc>
          <w:tcPr>
            <w:tcW w:w="396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vertAlign w:val="superscript"/>
                <w:lang w:eastAsia="en-AU"/>
              </w:rPr>
            </w:pPr>
            <w:r w:rsidRPr="00350E27">
              <w:rPr>
                <w:rFonts w:ascii="Calibri" w:eastAsiaTheme="minorEastAsia" w:hAnsi="Calibri" w:cs="Calibri"/>
                <w:color w:val="000000"/>
                <w:sz w:val="16"/>
                <w:szCs w:val="19"/>
                <w:lang w:eastAsia="en-AU"/>
              </w:rPr>
              <w:t xml:space="preserve">      carried over </w:t>
            </w:r>
            <w:r w:rsidRPr="00350E27">
              <w:rPr>
                <w:rFonts w:ascii="Calibri" w:eastAsiaTheme="minorEastAsia" w:hAnsi="Calibri" w:cs="Calibri"/>
                <w:color w:val="000000"/>
                <w:sz w:val="16"/>
                <w:szCs w:val="19"/>
                <w:vertAlign w:val="superscript"/>
                <w:lang w:eastAsia="en-AU"/>
              </w:rPr>
              <w:t>(c)</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bottom w:val="single" w:sz="6"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r>
      <w:tr w:rsidR="002C39A3" w:rsidRPr="00350E27" w:rsidTr="00361FA9">
        <w:tc>
          <w:tcPr>
            <w:tcW w:w="3969" w:type="dxa"/>
            <w:tcBorders>
              <w:top w:val="single" w:sz="6" w:space="0" w:color="auto"/>
              <w:left w:val="nil"/>
              <w:right w:val="nil"/>
            </w:tcBorders>
            <w:shd w:val="clear" w:color="000000" w:fill="FFFFFF"/>
          </w:tcPr>
          <w:p w:rsidR="002C39A3" w:rsidRPr="00350E27" w:rsidRDefault="00502FAF" w:rsidP="00361FA9">
            <w:pPr>
              <w:autoSpaceDE w:val="0"/>
              <w:autoSpaceDN w:val="0"/>
              <w:adjustRightInd w:val="0"/>
              <w:spacing w:after="0"/>
              <w:ind w:left="227" w:hanging="227"/>
              <w:rPr>
                <w:rFonts w:ascii="Calibri" w:eastAsiaTheme="minorEastAsia" w:hAnsi="Calibri" w:cs="Calibri"/>
                <w:b/>
                <w:bCs/>
                <w:color w:val="000000"/>
                <w:sz w:val="16"/>
                <w:szCs w:val="19"/>
                <w:lang w:eastAsia="en-AU"/>
              </w:rPr>
            </w:pPr>
            <w:r>
              <w:rPr>
                <w:rFonts w:ascii="Calibri" w:eastAsiaTheme="minorEastAsia" w:hAnsi="Calibri" w:cs="Calibri"/>
                <w:b/>
                <w:bCs/>
                <w:color w:val="000000"/>
                <w:sz w:val="16"/>
                <w:szCs w:val="19"/>
                <w:lang w:eastAsia="en-AU"/>
              </w:rPr>
              <w:t>Total appropriation</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325 126</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43 286</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w:t>
            </w:r>
          </w:p>
        </w:tc>
        <w:tc>
          <w:tcPr>
            <w:tcW w:w="949" w:type="dxa"/>
            <w:tcBorders>
              <w:top w:val="single" w:sz="6" w:space="0" w:color="auto"/>
              <w:left w:val="nil"/>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350E27">
              <w:rPr>
                <w:rFonts w:ascii="Calibri" w:eastAsiaTheme="minorEastAsia" w:hAnsi="Calibri" w:cs="Calibri"/>
                <w:b/>
                <w:bCs/>
                <w:color w:val="000000"/>
                <w:sz w:val="16"/>
                <w:szCs w:val="19"/>
                <w:lang w:eastAsia="en-AU"/>
              </w:rPr>
              <w:t>368 412</w:t>
            </w:r>
          </w:p>
        </w:tc>
      </w:tr>
      <w:tr w:rsidR="002C39A3" w:rsidRPr="00350E27" w:rsidTr="00361FA9">
        <w:tc>
          <w:tcPr>
            <w:tcW w:w="3969" w:type="dxa"/>
            <w:tcBorders>
              <w:top w:val="nil"/>
              <w:left w:val="nil"/>
              <w:bottom w:val="single" w:sz="12" w:space="0" w:color="auto"/>
              <w:right w:val="nil"/>
            </w:tcBorders>
            <w:shd w:val="clear" w:color="000000" w:fill="FFFFFF"/>
          </w:tcPr>
          <w:p w:rsidR="002C39A3" w:rsidRPr="00350E27" w:rsidRDefault="002C39A3" w:rsidP="00361FA9">
            <w:pPr>
              <w:autoSpaceDE w:val="0"/>
              <w:autoSpaceDN w:val="0"/>
              <w:adjustRightInd w:val="0"/>
              <w:spacing w:after="0"/>
              <w:ind w:left="227" w:hanging="227"/>
              <w:rPr>
                <w:rFonts w:ascii="Calibri" w:eastAsiaTheme="minorEastAsia" w:hAnsi="Calibri" w:cs="Calibri"/>
                <w:color w:val="000000"/>
                <w:sz w:val="16"/>
                <w:szCs w:val="19"/>
                <w:lang w:eastAsia="en-AU"/>
              </w:rPr>
            </w:pPr>
            <w:r w:rsidRPr="00350E27">
              <w:rPr>
                <w:rFonts w:ascii="Calibri" w:eastAsiaTheme="minorEastAsia" w:hAnsi="Calibri" w:cs="Calibri"/>
                <w:color w:val="000000"/>
                <w:sz w:val="16"/>
                <w:szCs w:val="19"/>
                <w:lang w:eastAsia="en-AU"/>
              </w:rPr>
              <w:t xml:space="preserve"> </w:t>
            </w:r>
          </w:p>
        </w:tc>
        <w:tc>
          <w:tcPr>
            <w:tcW w:w="949" w:type="dxa"/>
            <w:tcBorders>
              <w:top w:val="nil"/>
              <w:left w:val="nil"/>
              <w:bottom w:val="single" w:sz="12"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311 804</w:t>
            </w:r>
          </w:p>
        </w:tc>
        <w:tc>
          <w:tcPr>
            <w:tcW w:w="949" w:type="dxa"/>
            <w:tcBorders>
              <w:top w:val="nil"/>
              <w:left w:val="nil"/>
              <w:bottom w:val="single" w:sz="12"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47 605</w:t>
            </w:r>
          </w:p>
        </w:tc>
        <w:tc>
          <w:tcPr>
            <w:tcW w:w="949" w:type="dxa"/>
            <w:tcBorders>
              <w:top w:val="nil"/>
              <w:left w:val="nil"/>
              <w:bottom w:val="single" w:sz="12"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w:t>
            </w:r>
          </w:p>
        </w:tc>
        <w:tc>
          <w:tcPr>
            <w:tcW w:w="949" w:type="dxa"/>
            <w:tcBorders>
              <w:top w:val="nil"/>
              <w:left w:val="nil"/>
              <w:bottom w:val="single" w:sz="12" w:space="0" w:color="auto"/>
              <w:right w:val="nil"/>
            </w:tcBorders>
            <w:shd w:val="clear" w:color="000000" w:fill="FFFFFF"/>
          </w:tcPr>
          <w:p w:rsidR="002C39A3" w:rsidRPr="00350E27" w:rsidRDefault="002C39A3" w:rsidP="00361FA9">
            <w:pPr>
              <w:autoSpaceDE w:val="0"/>
              <w:autoSpaceDN w:val="0"/>
              <w:adjustRightInd w:val="0"/>
              <w:spacing w:after="0"/>
              <w:jc w:val="right"/>
              <w:rPr>
                <w:rFonts w:ascii="Calibri" w:eastAsiaTheme="minorEastAsia" w:hAnsi="Calibri" w:cs="Calibri"/>
                <w:i/>
                <w:iCs/>
                <w:color w:val="000000"/>
                <w:sz w:val="16"/>
                <w:szCs w:val="19"/>
                <w:lang w:eastAsia="en-AU"/>
              </w:rPr>
            </w:pPr>
            <w:r w:rsidRPr="00350E27">
              <w:rPr>
                <w:rFonts w:ascii="Calibri" w:eastAsiaTheme="minorEastAsia" w:hAnsi="Calibri" w:cs="Calibri"/>
                <w:i/>
                <w:iCs/>
                <w:color w:val="000000"/>
                <w:sz w:val="16"/>
                <w:szCs w:val="19"/>
                <w:lang w:eastAsia="en-AU"/>
              </w:rPr>
              <w:t>359 409</w:t>
            </w:r>
          </w:p>
        </w:tc>
      </w:tr>
    </w:tbl>
    <w:p w:rsidR="002C39A3" w:rsidRDefault="002C39A3" w:rsidP="00361FA9">
      <w:pPr>
        <w:pStyle w:val="Source"/>
      </w:pPr>
      <w:r>
        <w:t>Source: Department of Treasury and Finance</w:t>
      </w:r>
    </w:p>
    <w:p w:rsidR="002C39A3" w:rsidRDefault="002C39A3" w:rsidP="00361FA9">
      <w:pPr>
        <w:pStyle w:val="Notes"/>
      </w:pPr>
      <w:r>
        <w:t>Notes:</w:t>
      </w:r>
    </w:p>
    <w:p w:rsidR="002C39A3" w:rsidRPr="000802B5" w:rsidRDefault="002C39A3" w:rsidP="00361FA9">
      <w:pPr>
        <w:pStyle w:val="Notes"/>
        <w:rPr>
          <w:i w:val="0"/>
        </w:rPr>
      </w:pPr>
      <w:r>
        <w:t>(a)</w:t>
      </w:r>
      <w:r>
        <w:tab/>
      </w:r>
      <w:r>
        <w:rPr>
          <w:i w:val="0"/>
        </w:rPr>
        <w:t>Appropriation (2016-</w:t>
      </w:r>
      <w:r w:rsidRPr="000802B5">
        <w:rPr>
          <w:i w:val="0"/>
        </w:rPr>
        <w:t>17) Bill.</w:t>
      </w:r>
    </w:p>
    <w:p w:rsidR="002C39A3" w:rsidRDefault="002C39A3" w:rsidP="00361FA9">
      <w:pPr>
        <w:pStyle w:val="Notes"/>
      </w:pPr>
      <w:r>
        <w:t>(b)</w:t>
      </w:r>
      <w:r>
        <w:tab/>
      </w:r>
      <w:r w:rsidRPr="000802B5">
        <w:rPr>
          <w:i w:val="0"/>
        </w:rPr>
        <w:t xml:space="preserve">Financial Management Act 1994 </w:t>
      </w:r>
      <w:r>
        <w:t>Section 29.</w:t>
      </w:r>
    </w:p>
    <w:p w:rsidR="002C39A3" w:rsidRDefault="002C39A3" w:rsidP="00361FA9">
      <w:pPr>
        <w:pStyle w:val="Notes"/>
      </w:pPr>
      <w:r>
        <w:t>(c)</w:t>
      </w:r>
      <w:r>
        <w:tab/>
      </w:r>
      <w:r w:rsidRPr="000802B5">
        <w:rPr>
          <w:i w:val="0"/>
        </w:rPr>
        <w:t>Financial Management Act 1994</w:t>
      </w:r>
      <w:r>
        <w:t xml:space="preserve"> Section 32.</w:t>
      </w:r>
    </w:p>
    <w:p w:rsidR="002C39A3" w:rsidRDefault="002C39A3" w:rsidP="00361FA9">
      <w:pPr>
        <w:pStyle w:val="Notes"/>
        <w:tabs>
          <w:tab w:val="left" w:pos="3329"/>
        </w:tabs>
      </w:pPr>
      <w:r>
        <w:t>(d)</w:t>
      </w:r>
      <w:r>
        <w:tab/>
      </w:r>
      <w:r>
        <w:rPr>
          <w:i w:val="0"/>
        </w:rPr>
        <w:t>Appropriation (Parliament 2016-</w:t>
      </w:r>
      <w:r w:rsidRPr="000802B5">
        <w:rPr>
          <w:i w:val="0"/>
        </w:rPr>
        <w:t>17) Bill</w:t>
      </w:r>
      <w:r w:rsidRPr="00CC6F3D">
        <w:t>.</w:t>
      </w:r>
    </w:p>
    <w:p w:rsidR="002C39A3" w:rsidRPr="00CC6F3D" w:rsidRDefault="002C39A3" w:rsidP="00361FA9">
      <w:pPr>
        <w:pStyle w:val="Notes"/>
        <w:tabs>
          <w:tab w:val="left" w:pos="3329"/>
        </w:tabs>
        <w:rPr>
          <w:b/>
        </w:rPr>
      </w:pPr>
    </w:p>
    <w:p w:rsidR="002C39A3" w:rsidRDefault="002C39A3" w:rsidP="00361FA9">
      <w:pPr>
        <w:pStyle w:val="Tableheading"/>
        <w:rPr>
          <w:vertAlign w:val="superscript"/>
        </w:rPr>
      </w:pPr>
      <w:r>
        <w:t xml:space="preserve">Table A.6: </w:t>
      </w:r>
      <w:r>
        <w:tab/>
        <w:t xml:space="preserve">Appropriation of certain revenue and asset sales proceeds pursuant to Section 29 of the </w:t>
      </w:r>
      <w:r w:rsidRPr="00247D04">
        <w:rPr>
          <w:i/>
        </w:rPr>
        <w:t>Financial Management Act 1994</w:t>
      </w:r>
    </w:p>
    <w:p w:rsidR="002C39A3" w:rsidRDefault="002C39A3" w:rsidP="00361FA9">
      <w:r>
        <w:t xml:space="preserve">Estimated for the </w:t>
      </w:r>
      <w:r>
        <w:rPr>
          <w:i/>
        </w:rPr>
        <w:t xml:space="preserve">2016-17 </w:t>
      </w:r>
      <w:r w:rsidRPr="00B960F7">
        <w:rPr>
          <w:i/>
        </w:rPr>
        <w:t>Budget</w:t>
      </w:r>
      <w:r>
        <w:t xml:space="preserve"> are in </w:t>
      </w:r>
      <w:r w:rsidRPr="00B960F7">
        <w:t>bold</w:t>
      </w:r>
      <w:r>
        <w:t xml:space="preserve">; estimates for the </w:t>
      </w:r>
      <w:r w:rsidRPr="00B960F7">
        <w:rPr>
          <w:i/>
        </w:rPr>
        <w:t>2015-16</w:t>
      </w:r>
      <w:r>
        <w:t xml:space="preserve"> </w:t>
      </w:r>
      <w:r w:rsidRPr="00B960F7">
        <w:rPr>
          <w:i/>
        </w:rPr>
        <w:t>Budget</w:t>
      </w:r>
      <w:r>
        <w:t xml:space="preserve"> are in </w:t>
      </w:r>
      <w:r>
        <w:rPr>
          <w:i/>
        </w:rPr>
        <w:t>italics.</w:t>
      </w:r>
    </w:p>
    <w:p w:rsidR="002C39A3" w:rsidRPr="00A94240" w:rsidRDefault="002C39A3" w:rsidP="00361FA9">
      <w:pPr>
        <w:pStyle w:val="million"/>
        <w:rPr>
          <w:rFonts w:eastAsiaTheme="minorEastAsia"/>
          <w:b/>
          <w:bCs/>
          <w:lang w:val="en-US" w:eastAsia="en-AU"/>
        </w:rPr>
      </w:pPr>
      <w:r>
        <w:t>($ thousand)</w:t>
      </w:r>
    </w:p>
    <w:tbl>
      <w:tblPr>
        <w:tblW w:w="7760" w:type="dxa"/>
        <w:tblInd w:w="45" w:type="dxa"/>
        <w:tblBorders>
          <w:bottom w:val="single" w:sz="12" w:space="0" w:color="auto"/>
        </w:tblBorders>
        <w:tblLayout w:type="fixed"/>
        <w:tblCellMar>
          <w:left w:w="45" w:type="dxa"/>
          <w:right w:w="45" w:type="dxa"/>
        </w:tblCellMar>
        <w:tblLook w:val="0000" w:firstRow="0" w:lastRow="0" w:firstColumn="0" w:lastColumn="0" w:noHBand="0" w:noVBand="0"/>
      </w:tblPr>
      <w:tblGrid>
        <w:gridCol w:w="3827"/>
        <w:gridCol w:w="850"/>
        <w:gridCol w:w="1417"/>
        <w:gridCol w:w="850"/>
        <w:gridCol w:w="816"/>
      </w:tblGrid>
      <w:tr w:rsidR="00502FAF" w:rsidRPr="00A94240" w:rsidTr="00502FAF">
        <w:trPr>
          <w:cantSplit/>
          <w:tblHeader/>
        </w:trPr>
        <w:tc>
          <w:tcPr>
            <w:tcW w:w="3827" w:type="dxa"/>
            <w:shd w:val="solid" w:color="000000" w:fill="auto"/>
            <w:vAlign w:val="bottom"/>
          </w:tcPr>
          <w:p w:rsidR="00502FAF" w:rsidRPr="00A94240" w:rsidRDefault="00502FAF" w:rsidP="00361FA9">
            <w:pPr>
              <w:pStyle w:val="Source"/>
              <w:spacing w:after="0"/>
              <w:rPr>
                <w:rFonts w:eastAsiaTheme="minorEastAsia" w:cs="Calibri"/>
                <w:iCs/>
                <w:color w:val="FFFFFF"/>
                <w:sz w:val="19"/>
                <w:szCs w:val="19"/>
                <w:lang w:eastAsia="en-AU"/>
              </w:rPr>
            </w:pPr>
            <w:r w:rsidRPr="00A94240">
              <w:rPr>
                <w:rFonts w:eastAsiaTheme="minorEastAsia" w:cs="Calibri"/>
                <w:iCs/>
                <w:color w:val="FFFFFF"/>
                <w:sz w:val="19"/>
                <w:szCs w:val="19"/>
                <w:lang w:eastAsia="en-AU"/>
              </w:rPr>
              <w:t xml:space="preserve"> </w:t>
            </w:r>
          </w:p>
        </w:tc>
        <w:tc>
          <w:tcPr>
            <w:tcW w:w="850" w:type="dxa"/>
            <w:shd w:val="solid" w:color="000000" w:fill="auto"/>
            <w:vAlign w:val="bottom"/>
          </w:tcPr>
          <w:p w:rsidR="00502FAF" w:rsidRPr="00A94240" w:rsidRDefault="00502FA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A94240">
              <w:rPr>
                <w:rFonts w:ascii="Calibri" w:eastAsiaTheme="minorEastAsia" w:hAnsi="Calibri" w:cs="Calibri"/>
                <w:i/>
                <w:iCs/>
                <w:color w:val="FFFFFF"/>
                <w:sz w:val="19"/>
                <w:szCs w:val="19"/>
                <w:lang w:eastAsia="en-AU"/>
              </w:rPr>
              <w:t xml:space="preserve"> </w:t>
            </w:r>
          </w:p>
        </w:tc>
        <w:tc>
          <w:tcPr>
            <w:tcW w:w="2267" w:type="dxa"/>
            <w:gridSpan w:val="2"/>
            <w:shd w:val="solid" w:color="000000" w:fill="auto"/>
            <w:vAlign w:val="bottom"/>
          </w:tcPr>
          <w:p w:rsidR="00502FAF" w:rsidRPr="00A94240" w:rsidRDefault="00502FAF" w:rsidP="00502FAF">
            <w:pPr>
              <w:autoSpaceDE w:val="0"/>
              <w:autoSpaceDN w:val="0"/>
              <w:adjustRightInd w:val="0"/>
              <w:spacing w:after="0"/>
              <w:jc w:val="center"/>
              <w:rPr>
                <w:rFonts w:ascii="Calibri" w:eastAsiaTheme="minorEastAsia" w:hAnsi="Calibri" w:cs="Calibri"/>
                <w:i/>
                <w:iCs/>
                <w:color w:val="FFFFFF"/>
                <w:sz w:val="19"/>
                <w:szCs w:val="19"/>
                <w:lang w:eastAsia="en-AU"/>
              </w:rPr>
            </w:pPr>
            <w:r w:rsidRPr="00A94240">
              <w:rPr>
                <w:rFonts w:ascii="Calibri" w:eastAsiaTheme="minorEastAsia" w:hAnsi="Calibri" w:cs="Calibri"/>
                <w:i/>
                <w:iCs/>
                <w:color w:val="FFFFFF"/>
                <w:sz w:val="19"/>
                <w:szCs w:val="19"/>
                <w:lang w:eastAsia="en-AU"/>
              </w:rPr>
              <w:t>Receipt source</w:t>
            </w:r>
          </w:p>
        </w:tc>
        <w:tc>
          <w:tcPr>
            <w:tcW w:w="816" w:type="dxa"/>
            <w:shd w:val="solid" w:color="000000" w:fill="auto"/>
            <w:vAlign w:val="bottom"/>
          </w:tcPr>
          <w:p w:rsidR="00502FAF" w:rsidRPr="00A94240" w:rsidRDefault="00502FAF"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A94240">
              <w:rPr>
                <w:rFonts w:ascii="Calibri" w:eastAsiaTheme="minorEastAsia" w:hAnsi="Calibri" w:cs="Calibri"/>
                <w:i/>
                <w:iCs/>
                <w:color w:val="FFFFFF"/>
                <w:sz w:val="19"/>
                <w:szCs w:val="19"/>
                <w:lang w:eastAsia="en-AU"/>
              </w:rPr>
              <w:t xml:space="preserve"> </w:t>
            </w:r>
          </w:p>
        </w:tc>
      </w:tr>
      <w:tr w:rsidR="002C39A3" w:rsidRPr="00A94240" w:rsidTr="00361FA9">
        <w:trPr>
          <w:cantSplit/>
          <w:tblHeader/>
        </w:trPr>
        <w:tc>
          <w:tcPr>
            <w:tcW w:w="3827" w:type="dxa"/>
            <w:tcBorders>
              <w:bottom w:val="nil"/>
            </w:tcBorders>
            <w:shd w:val="solid" w:color="000000" w:fill="auto"/>
            <w:vAlign w:val="bottom"/>
          </w:tcPr>
          <w:p w:rsidR="002C39A3" w:rsidRPr="00A94240" w:rsidRDefault="002C39A3" w:rsidP="00361FA9">
            <w:pPr>
              <w:autoSpaceDE w:val="0"/>
              <w:autoSpaceDN w:val="0"/>
              <w:adjustRightInd w:val="0"/>
              <w:spacing w:after="0"/>
              <w:rPr>
                <w:rFonts w:ascii="Calibri" w:eastAsiaTheme="minorEastAsia" w:hAnsi="Calibri" w:cs="Calibri"/>
                <w:i/>
                <w:iCs/>
                <w:color w:val="FFFFFF"/>
                <w:sz w:val="19"/>
                <w:szCs w:val="19"/>
                <w:lang w:eastAsia="en-AU"/>
              </w:rPr>
            </w:pPr>
            <w:r w:rsidRPr="00A94240">
              <w:rPr>
                <w:rFonts w:ascii="Calibri" w:eastAsiaTheme="minorEastAsia" w:hAnsi="Calibri" w:cs="Calibri"/>
                <w:i/>
                <w:iCs/>
                <w:color w:val="FFFFFF"/>
                <w:sz w:val="19"/>
                <w:szCs w:val="19"/>
                <w:lang w:eastAsia="en-AU"/>
              </w:rPr>
              <w:t>Department</w:t>
            </w:r>
          </w:p>
        </w:tc>
        <w:tc>
          <w:tcPr>
            <w:tcW w:w="850" w:type="dxa"/>
            <w:tcBorders>
              <w:bottom w:val="nil"/>
            </w:tcBorders>
            <w:shd w:val="solid" w:color="000000" w:fill="auto"/>
            <w:vAlign w:val="bottom"/>
          </w:tcPr>
          <w:p w:rsidR="002C39A3" w:rsidRPr="00A94240"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A94240">
              <w:rPr>
                <w:rFonts w:ascii="Calibri" w:eastAsiaTheme="minorEastAsia" w:hAnsi="Calibri" w:cs="Calibri"/>
                <w:i/>
                <w:iCs/>
                <w:color w:val="FFFFFF"/>
                <w:sz w:val="19"/>
                <w:szCs w:val="19"/>
                <w:lang w:eastAsia="en-AU"/>
              </w:rPr>
              <w:t>Outputs</w:t>
            </w:r>
          </w:p>
        </w:tc>
        <w:tc>
          <w:tcPr>
            <w:tcW w:w="1417" w:type="dxa"/>
            <w:tcBorders>
              <w:bottom w:val="nil"/>
            </w:tcBorders>
            <w:shd w:val="solid" w:color="000000" w:fill="auto"/>
            <w:vAlign w:val="bottom"/>
          </w:tcPr>
          <w:p w:rsidR="002C39A3" w:rsidRPr="00A94240"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A94240">
              <w:rPr>
                <w:rFonts w:ascii="Calibri" w:eastAsiaTheme="minorEastAsia" w:hAnsi="Calibri" w:cs="Calibri"/>
                <w:i/>
                <w:iCs/>
                <w:color w:val="FFFFFF"/>
                <w:sz w:val="19"/>
                <w:szCs w:val="19"/>
                <w:lang w:eastAsia="en-AU"/>
              </w:rPr>
              <w:t>Commonwealth</w:t>
            </w:r>
          </w:p>
        </w:tc>
        <w:tc>
          <w:tcPr>
            <w:tcW w:w="850" w:type="dxa"/>
            <w:tcBorders>
              <w:bottom w:val="nil"/>
            </w:tcBorders>
            <w:shd w:val="solid" w:color="000000" w:fill="auto"/>
            <w:vAlign w:val="bottom"/>
          </w:tcPr>
          <w:p w:rsidR="002C39A3" w:rsidRPr="00A94240" w:rsidRDefault="002C39A3" w:rsidP="00361FA9">
            <w:pPr>
              <w:autoSpaceDE w:val="0"/>
              <w:autoSpaceDN w:val="0"/>
              <w:adjustRightInd w:val="0"/>
              <w:spacing w:after="0"/>
              <w:jc w:val="right"/>
              <w:rPr>
                <w:rFonts w:ascii="Calibri" w:eastAsiaTheme="minorEastAsia" w:hAnsi="Calibri" w:cs="Calibri"/>
                <w:i/>
                <w:iCs/>
                <w:color w:val="FFFFFF"/>
                <w:sz w:val="19"/>
                <w:szCs w:val="19"/>
                <w:vertAlign w:val="superscript"/>
                <w:lang w:eastAsia="en-AU"/>
              </w:rPr>
            </w:pPr>
            <w:r w:rsidRPr="00A94240">
              <w:rPr>
                <w:rFonts w:ascii="Calibri" w:eastAsiaTheme="minorEastAsia" w:hAnsi="Calibri" w:cs="Calibri"/>
                <w:i/>
                <w:iCs/>
                <w:color w:val="FFFFFF"/>
                <w:sz w:val="19"/>
                <w:szCs w:val="19"/>
                <w:lang w:eastAsia="en-AU"/>
              </w:rPr>
              <w:t xml:space="preserve">Other </w:t>
            </w:r>
            <w:r w:rsidRPr="00A94240">
              <w:rPr>
                <w:rFonts w:ascii="Calibri" w:eastAsiaTheme="minorEastAsia" w:hAnsi="Calibri" w:cs="Calibri"/>
                <w:i/>
                <w:iCs/>
                <w:color w:val="FFFFFF"/>
                <w:sz w:val="19"/>
                <w:szCs w:val="19"/>
                <w:vertAlign w:val="superscript"/>
                <w:lang w:eastAsia="en-AU"/>
              </w:rPr>
              <w:t>(a)</w:t>
            </w:r>
          </w:p>
        </w:tc>
        <w:tc>
          <w:tcPr>
            <w:tcW w:w="816" w:type="dxa"/>
            <w:tcBorders>
              <w:bottom w:val="nil"/>
            </w:tcBorders>
            <w:shd w:val="solid" w:color="000000" w:fill="auto"/>
            <w:vAlign w:val="bottom"/>
          </w:tcPr>
          <w:p w:rsidR="002C39A3" w:rsidRPr="00A94240"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A94240">
              <w:rPr>
                <w:rFonts w:ascii="Calibri" w:eastAsiaTheme="minorEastAsia" w:hAnsi="Calibri" w:cs="Calibri"/>
                <w:i/>
                <w:iCs/>
                <w:color w:val="FFFFFF"/>
                <w:sz w:val="19"/>
                <w:szCs w:val="19"/>
                <w:lang w:eastAsia="en-AU"/>
              </w:rPr>
              <w:t xml:space="preserve">Total </w:t>
            </w:r>
          </w:p>
        </w:tc>
      </w:tr>
      <w:tr w:rsidR="00502FAF" w:rsidRPr="00A94240" w:rsidTr="00502FAF">
        <w:trPr>
          <w:cantSplit/>
        </w:trPr>
        <w:tc>
          <w:tcPr>
            <w:tcW w:w="3827" w:type="dxa"/>
            <w:vMerge w:val="restart"/>
            <w:tcBorders>
              <w:top w:val="nil"/>
            </w:tcBorders>
            <w:shd w:val="clear" w:color="000000" w:fill="FFFFFF"/>
          </w:tcPr>
          <w:p w:rsidR="00502FAF" w:rsidRPr="00A94240" w:rsidRDefault="00502FAF" w:rsidP="00502FAF">
            <w:pPr>
              <w:autoSpaceDE w:val="0"/>
              <w:autoSpaceDN w:val="0"/>
              <w:adjustRightInd w:val="0"/>
              <w:spacing w:after="0"/>
              <w:ind w:left="227" w:hanging="227"/>
              <w:rPr>
                <w:rFonts w:ascii="Calibri" w:eastAsiaTheme="minorEastAsia" w:hAnsi="Calibri" w:cs="Calibri"/>
                <w:color w:val="000000"/>
                <w:sz w:val="19"/>
                <w:szCs w:val="19"/>
                <w:lang w:eastAsia="en-AU"/>
              </w:rPr>
            </w:pPr>
            <w:r w:rsidRPr="00A94240">
              <w:rPr>
                <w:rFonts w:ascii="Calibri" w:eastAsiaTheme="minorEastAsia" w:hAnsi="Calibri" w:cs="Calibri"/>
                <w:color w:val="000000"/>
                <w:sz w:val="19"/>
                <w:szCs w:val="19"/>
                <w:lang w:eastAsia="en-AU"/>
              </w:rPr>
              <w:t>Economic Development</w:t>
            </w:r>
            <w:r>
              <w:rPr>
                <w:rFonts w:ascii="Calibri" w:eastAsiaTheme="minorEastAsia" w:hAnsi="Calibri" w:cs="Calibri"/>
                <w:color w:val="000000"/>
                <w:sz w:val="19"/>
                <w:szCs w:val="19"/>
                <w:lang w:eastAsia="en-AU"/>
              </w:rPr>
              <w:t>, Jobs, Transport and Resources</w:t>
            </w:r>
          </w:p>
        </w:tc>
        <w:tc>
          <w:tcPr>
            <w:tcW w:w="850" w:type="dxa"/>
            <w:tcBorders>
              <w:top w:val="nil"/>
              <w:bottom w:val="nil"/>
            </w:tcBorders>
            <w:shd w:val="clear" w:color="000000" w:fill="FFFFFF"/>
          </w:tcPr>
          <w:p w:rsidR="00502FAF" w:rsidRPr="00A94240" w:rsidRDefault="00502FA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83 185</w:t>
            </w:r>
          </w:p>
        </w:tc>
        <w:tc>
          <w:tcPr>
            <w:tcW w:w="1417" w:type="dxa"/>
            <w:tcBorders>
              <w:top w:val="nil"/>
              <w:bottom w:val="nil"/>
            </w:tcBorders>
            <w:shd w:val="clear" w:color="000000" w:fill="FFFFFF"/>
          </w:tcPr>
          <w:p w:rsidR="00502FAF" w:rsidRPr="00A94240" w:rsidRDefault="00502FA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501 893</w:t>
            </w:r>
          </w:p>
        </w:tc>
        <w:tc>
          <w:tcPr>
            <w:tcW w:w="850" w:type="dxa"/>
            <w:tcBorders>
              <w:top w:val="nil"/>
              <w:bottom w:val="nil"/>
            </w:tcBorders>
            <w:shd w:val="clear" w:color="000000" w:fill="FFFFFF"/>
          </w:tcPr>
          <w:p w:rsidR="00502FAF" w:rsidRPr="00A94240" w:rsidRDefault="00502FAF"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A94240">
              <w:rPr>
                <w:rFonts w:ascii="Calibri" w:eastAsiaTheme="minorEastAsia" w:hAnsi="Calibri" w:cs="Calibri"/>
                <w:b/>
                <w:bCs/>
                <w:color w:val="000000"/>
                <w:sz w:val="19"/>
                <w:szCs w:val="19"/>
                <w:lang w:eastAsia="en-AU"/>
              </w:rPr>
              <w:t>..</w:t>
            </w:r>
          </w:p>
        </w:tc>
        <w:tc>
          <w:tcPr>
            <w:tcW w:w="816" w:type="dxa"/>
            <w:tcBorders>
              <w:top w:val="nil"/>
              <w:bottom w:val="nil"/>
            </w:tcBorders>
            <w:shd w:val="clear" w:color="000000" w:fill="FFFFFF"/>
          </w:tcPr>
          <w:p w:rsidR="00502FAF" w:rsidRPr="00A94240" w:rsidRDefault="00502FAF"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585 078</w:t>
            </w:r>
          </w:p>
        </w:tc>
      </w:tr>
      <w:tr w:rsidR="00502FAF" w:rsidRPr="00A94240" w:rsidTr="00502FAF">
        <w:trPr>
          <w:cantSplit/>
        </w:trPr>
        <w:tc>
          <w:tcPr>
            <w:tcW w:w="3827" w:type="dxa"/>
            <w:vMerge/>
            <w:tcBorders>
              <w:bottom w:val="nil"/>
            </w:tcBorders>
            <w:shd w:val="clear" w:color="000000" w:fill="FFFFFF"/>
          </w:tcPr>
          <w:p w:rsidR="00502FAF" w:rsidRPr="00A94240" w:rsidRDefault="00502FAF" w:rsidP="00361FA9">
            <w:pPr>
              <w:autoSpaceDE w:val="0"/>
              <w:autoSpaceDN w:val="0"/>
              <w:adjustRightInd w:val="0"/>
              <w:spacing w:after="0"/>
              <w:ind w:left="227" w:hanging="227"/>
              <w:rPr>
                <w:rFonts w:ascii="Calibri" w:eastAsiaTheme="minorEastAsia" w:hAnsi="Calibri" w:cs="Calibri"/>
                <w:color w:val="000000"/>
                <w:sz w:val="19"/>
                <w:szCs w:val="19"/>
                <w:lang w:eastAsia="en-AU"/>
              </w:rPr>
            </w:pPr>
          </w:p>
        </w:tc>
        <w:tc>
          <w:tcPr>
            <w:tcW w:w="850" w:type="dxa"/>
            <w:tcBorders>
              <w:top w:val="nil"/>
              <w:bottom w:val="nil"/>
            </w:tcBorders>
            <w:shd w:val="clear" w:color="000000" w:fill="FFFFFF"/>
          </w:tcPr>
          <w:p w:rsidR="00502FAF" w:rsidRPr="00A94240" w:rsidRDefault="00502FAF"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94 420</w:t>
            </w:r>
          </w:p>
        </w:tc>
        <w:tc>
          <w:tcPr>
            <w:tcW w:w="1417" w:type="dxa"/>
            <w:tcBorders>
              <w:top w:val="nil"/>
              <w:bottom w:val="nil"/>
            </w:tcBorders>
            <w:shd w:val="clear" w:color="000000" w:fill="FFFFFF"/>
          </w:tcPr>
          <w:p w:rsidR="00502FAF" w:rsidRPr="00A94240" w:rsidRDefault="00502FAF"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469 976</w:t>
            </w:r>
          </w:p>
        </w:tc>
        <w:tc>
          <w:tcPr>
            <w:tcW w:w="850" w:type="dxa"/>
            <w:tcBorders>
              <w:top w:val="nil"/>
              <w:bottom w:val="nil"/>
            </w:tcBorders>
            <w:shd w:val="clear" w:color="000000" w:fill="FFFFFF"/>
          </w:tcPr>
          <w:p w:rsidR="00502FAF" w:rsidRPr="00A94240" w:rsidRDefault="00502FAF" w:rsidP="00361FA9">
            <w:pPr>
              <w:autoSpaceDE w:val="0"/>
              <w:autoSpaceDN w:val="0"/>
              <w:adjustRightInd w:val="0"/>
              <w:spacing w:after="0"/>
              <w:jc w:val="right"/>
              <w:rPr>
                <w:rFonts w:ascii="Calibri" w:eastAsiaTheme="minorEastAsia" w:hAnsi="Calibri" w:cs="Calibri"/>
                <w:i/>
                <w:iCs/>
                <w:color w:val="000000"/>
                <w:sz w:val="19"/>
                <w:szCs w:val="19"/>
                <w:lang w:eastAsia="en-AU"/>
              </w:rPr>
            </w:pPr>
            <w:r w:rsidRPr="00A94240">
              <w:rPr>
                <w:rFonts w:ascii="Calibri" w:eastAsiaTheme="minorEastAsia" w:hAnsi="Calibri" w:cs="Calibri"/>
                <w:i/>
                <w:iCs/>
                <w:color w:val="000000"/>
                <w:sz w:val="19"/>
                <w:szCs w:val="19"/>
                <w:lang w:eastAsia="en-AU"/>
              </w:rPr>
              <w:t>..</w:t>
            </w:r>
          </w:p>
        </w:tc>
        <w:tc>
          <w:tcPr>
            <w:tcW w:w="816" w:type="dxa"/>
            <w:tcBorders>
              <w:top w:val="nil"/>
              <w:bottom w:val="nil"/>
            </w:tcBorders>
            <w:shd w:val="clear" w:color="000000" w:fill="FFFFFF"/>
          </w:tcPr>
          <w:p w:rsidR="00502FAF" w:rsidRPr="00A94240" w:rsidRDefault="00502FAF"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564 396</w:t>
            </w:r>
          </w:p>
        </w:tc>
      </w:tr>
      <w:tr w:rsidR="002C39A3" w:rsidRPr="00A94240" w:rsidTr="00361FA9">
        <w:trPr>
          <w:cantSplit/>
        </w:trPr>
        <w:tc>
          <w:tcPr>
            <w:tcW w:w="3827" w:type="dxa"/>
            <w:tcBorders>
              <w:top w:val="nil"/>
              <w:bottom w:val="nil"/>
            </w:tcBorders>
            <w:shd w:val="clear" w:color="000000" w:fill="FFFFFF"/>
          </w:tcPr>
          <w:p w:rsidR="002C39A3" w:rsidRPr="00A94240"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A94240">
              <w:rPr>
                <w:rFonts w:ascii="Calibri" w:eastAsiaTheme="minorEastAsia" w:hAnsi="Calibri" w:cs="Calibri"/>
                <w:color w:val="000000"/>
                <w:sz w:val="19"/>
                <w:szCs w:val="19"/>
                <w:lang w:eastAsia="en-AU"/>
              </w:rPr>
              <w:t>Education and Training</w:t>
            </w: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1 957</w:t>
            </w:r>
          </w:p>
        </w:tc>
        <w:tc>
          <w:tcPr>
            <w:tcW w:w="1417"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490 552</w:t>
            </w: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33 000</w:t>
            </w:r>
          </w:p>
        </w:tc>
        <w:tc>
          <w:tcPr>
            <w:tcW w:w="816"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525 509</w:t>
            </w:r>
          </w:p>
        </w:tc>
      </w:tr>
      <w:tr w:rsidR="002C39A3" w:rsidRPr="00A94240" w:rsidTr="00361FA9">
        <w:trPr>
          <w:cantSplit/>
        </w:trPr>
        <w:tc>
          <w:tcPr>
            <w:tcW w:w="3827" w:type="dxa"/>
            <w:tcBorders>
              <w:top w:val="nil"/>
              <w:bottom w:val="nil"/>
            </w:tcBorders>
            <w:shd w:val="clear" w:color="000000" w:fill="FFFFFF"/>
          </w:tcPr>
          <w:p w:rsidR="002C39A3" w:rsidRPr="00A94240" w:rsidRDefault="002C39A3" w:rsidP="00502FAF">
            <w:pPr>
              <w:autoSpaceDE w:val="0"/>
              <w:autoSpaceDN w:val="0"/>
              <w:adjustRightInd w:val="0"/>
              <w:spacing w:after="0"/>
              <w:rPr>
                <w:rFonts w:ascii="Calibri" w:eastAsiaTheme="minorEastAsia" w:hAnsi="Calibri" w:cs="Calibri"/>
                <w:color w:val="000000"/>
                <w:sz w:val="19"/>
                <w:szCs w:val="19"/>
                <w:lang w:eastAsia="en-AU"/>
              </w:rPr>
            </w:pP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1 909</w:t>
            </w:r>
          </w:p>
        </w:tc>
        <w:tc>
          <w:tcPr>
            <w:tcW w:w="1417"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460 567</w:t>
            </w: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45 220</w:t>
            </w:r>
          </w:p>
        </w:tc>
        <w:tc>
          <w:tcPr>
            <w:tcW w:w="816"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507 696</w:t>
            </w:r>
          </w:p>
        </w:tc>
      </w:tr>
      <w:tr w:rsidR="002C39A3" w:rsidRPr="00A94240" w:rsidTr="00361FA9">
        <w:trPr>
          <w:cantSplit/>
        </w:trPr>
        <w:tc>
          <w:tcPr>
            <w:tcW w:w="3827" w:type="dxa"/>
            <w:tcBorders>
              <w:top w:val="nil"/>
              <w:bottom w:val="nil"/>
            </w:tcBorders>
            <w:shd w:val="clear" w:color="auto" w:fill="FFFFFF"/>
          </w:tcPr>
          <w:p w:rsidR="002C39A3" w:rsidRPr="00A94240"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A94240">
              <w:rPr>
                <w:rFonts w:ascii="Calibri" w:eastAsiaTheme="minorEastAsia" w:hAnsi="Calibri" w:cs="Calibri"/>
                <w:color w:val="000000"/>
                <w:sz w:val="19"/>
                <w:szCs w:val="19"/>
                <w:lang w:eastAsia="en-AU"/>
              </w:rPr>
              <w:t>Environment, Land, Water and Planning</w:t>
            </w:r>
          </w:p>
        </w:tc>
        <w:tc>
          <w:tcPr>
            <w:tcW w:w="850" w:type="dxa"/>
            <w:tcBorders>
              <w:top w:val="nil"/>
              <w:bottom w:val="nil"/>
            </w:tcBorders>
            <w:shd w:val="clear" w:color="auto"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49 445</w:t>
            </w:r>
          </w:p>
        </w:tc>
        <w:tc>
          <w:tcPr>
            <w:tcW w:w="1417" w:type="dxa"/>
            <w:tcBorders>
              <w:top w:val="nil"/>
              <w:bottom w:val="nil"/>
            </w:tcBorders>
            <w:shd w:val="clear" w:color="auto"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68 560</w:t>
            </w:r>
          </w:p>
        </w:tc>
        <w:tc>
          <w:tcPr>
            <w:tcW w:w="850" w:type="dxa"/>
            <w:tcBorders>
              <w:top w:val="nil"/>
              <w:bottom w:val="nil"/>
            </w:tcBorders>
            <w:shd w:val="clear" w:color="auto"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A94240">
              <w:rPr>
                <w:rFonts w:ascii="Calibri" w:eastAsiaTheme="minorEastAsia" w:hAnsi="Calibri" w:cs="Calibri"/>
                <w:b/>
                <w:bCs/>
                <w:color w:val="000000"/>
                <w:sz w:val="19"/>
                <w:szCs w:val="19"/>
                <w:lang w:eastAsia="en-AU"/>
              </w:rPr>
              <w:t>..</w:t>
            </w:r>
          </w:p>
        </w:tc>
        <w:tc>
          <w:tcPr>
            <w:tcW w:w="816" w:type="dxa"/>
            <w:tcBorders>
              <w:top w:val="nil"/>
              <w:bottom w:val="nil"/>
            </w:tcBorders>
            <w:shd w:val="clear" w:color="auto"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118 006</w:t>
            </w:r>
          </w:p>
        </w:tc>
      </w:tr>
      <w:tr w:rsidR="002C39A3" w:rsidRPr="00A94240" w:rsidTr="00361FA9">
        <w:trPr>
          <w:cantSplit/>
        </w:trPr>
        <w:tc>
          <w:tcPr>
            <w:tcW w:w="3827" w:type="dxa"/>
            <w:tcBorders>
              <w:top w:val="nil"/>
              <w:bottom w:val="nil"/>
            </w:tcBorders>
            <w:shd w:val="clear" w:color="auto" w:fill="FFFFFF"/>
          </w:tcPr>
          <w:p w:rsidR="002C39A3" w:rsidRPr="00A94240"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p>
        </w:tc>
        <w:tc>
          <w:tcPr>
            <w:tcW w:w="850" w:type="dxa"/>
            <w:tcBorders>
              <w:top w:val="nil"/>
              <w:bottom w:val="nil"/>
            </w:tcBorders>
            <w:shd w:val="clear" w:color="auto"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52 486</w:t>
            </w:r>
          </w:p>
        </w:tc>
        <w:tc>
          <w:tcPr>
            <w:tcW w:w="1417" w:type="dxa"/>
            <w:tcBorders>
              <w:top w:val="nil"/>
              <w:bottom w:val="nil"/>
            </w:tcBorders>
            <w:shd w:val="clear" w:color="auto"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94 307</w:t>
            </w:r>
          </w:p>
        </w:tc>
        <w:tc>
          <w:tcPr>
            <w:tcW w:w="850" w:type="dxa"/>
            <w:tcBorders>
              <w:top w:val="nil"/>
              <w:bottom w:val="nil"/>
            </w:tcBorders>
            <w:shd w:val="clear" w:color="auto"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sidRPr="00A94240">
              <w:rPr>
                <w:rFonts w:ascii="Calibri" w:eastAsiaTheme="minorEastAsia" w:hAnsi="Calibri" w:cs="Calibri"/>
                <w:i/>
                <w:iCs/>
                <w:color w:val="000000"/>
                <w:sz w:val="19"/>
                <w:szCs w:val="19"/>
                <w:lang w:eastAsia="en-AU"/>
              </w:rPr>
              <w:t>..</w:t>
            </w:r>
          </w:p>
        </w:tc>
        <w:tc>
          <w:tcPr>
            <w:tcW w:w="816" w:type="dxa"/>
            <w:tcBorders>
              <w:top w:val="nil"/>
              <w:bottom w:val="nil"/>
            </w:tcBorders>
            <w:shd w:val="clear" w:color="auto"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146 793</w:t>
            </w:r>
          </w:p>
        </w:tc>
      </w:tr>
      <w:tr w:rsidR="002C39A3" w:rsidRPr="00A94240" w:rsidTr="00361FA9">
        <w:trPr>
          <w:cantSplit/>
        </w:trPr>
        <w:tc>
          <w:tcPr>
            <w:tcW w:w="3827" w:type="dxa"/>
            <w:tcBorders>
              <w:top w:val="nil"/>
              <w:bottom w:val="nil"/>
            </w:tcBorders>
            <w:shd w:val="clear" w:color="000000" w:fill="FFFFFF"/>
          </w:tcPr>
          <w:p w:rsidR="002C39A3" w:rsidRPr="00A94240" w:rsidRDefault="00502FAF"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Health and Human Services</w:t>
            </w: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324 121</w:t>
            </w:r>
          </w:p>
        </w:tc>
        <w:tc>
          <w:tcPr>
            <w:tcW w:w="1417"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137 920</w:t>
            </w: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7 750</w:t>
            </w:r>
          </w:p>
        </w:tc>
        <w:tc>
          <w:tcPr>
            <w:tcW w:w="816"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469 791</w:t>
            </w:r>
          </w:p>
        </w:tc>
      </w:tr>
      <w:tr w:rsidR="002C39A3" w:rsidRPr="00A94240" w:rsidTr="00361FA9">
        <w:trPr>
          <w:cantSplit/>
        </w:trPr>
        <w:tc>
          <w:tcPr>
            <w:tcW w:w="3827" w:type="dxa"/>
            <w:tcBorders>
              <w:top w:val="nil"/>
              <w:bottom w:val="nil"/>
            </w:tcBorders>
            <w:shd w:val="clear" w:color="000000" w:fill="FFFFFF"/>
          </w:tcPr>
          <w:p w:rsidR="002C39A3" w:rsidRPr="00A94240"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323 274</w:t>
            </w:r>
          </w:p>
        </w:tc>
        <w:tc>
          <w:tcPr>
            <w:tcW w:w="1417"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622 990</w:t>
            </w: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7 750</w:t>
            </w:r>
          </w:p>
        </w:tc>
        <w:tc>
          <w:tcPr>
            <w:tcW w:w="816"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954 014</w:t>
            </w:r>
          </w:p>
        </w:tc>
      </w:tr>
      <w:tr w:rsidR="002C39A3" w:rsidRPr="00A94240" w:rsidTr="00361FA9">
        <w:trPr>
          <w:cantSplit/>
        </w:trPr>
        <w:tc>
          <w:tcPr>
            <w:tcW w:w="3827" w:type="dxa"/>
            <w:tcBorders>
              <w:top w:val="nil"/>
              <w:bottom w:val="nil"/>
            </w:tcBorders>
            <w:shd w:val="clear" w:color="000000" w:fill="FFFFFF"/>
          </w:tcPr>
          <w:p w:rsidR="002C39A3" w:rsidRPr="00A94240" w:rsidRDefault="00502FAF"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Justice and Regulation</w:t>
            </w: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150 847</w:t>
            </w:r>
          </w:p>
        </w:tc>
        <w:tc>
          <w:tcPr>
            <w:tcW w:w="1417"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67 284</w:t>
            </w: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600</w:t>
            </w:r>
          </w:p>
        </w:tc>
        <w:tc>
          <w:tcPr>
            <w:tcW w:w="816"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218 731</w:t>
            </w:r>
          </w:p>
        </w:tc>
      </w:tr>
      <w:tr w:rsidR="002C39A3" w:rsidRPr="00A94240" w:rsidTr="00361FA9">
        <w:trPr>
          <w:cantSplit/>
        </w:trPr>
        <w:tc>
          <w:tcPr>
            <w:tcW w:w="3827" w:type="dxa"/>
            <w:tcBorders>
              <w:top w:val="nil"/>
              <w:bottom w:val="nil"/>
            </w:tcBorders>
            <w:shd w:val="clear" w:color="000000" w:fill="FFFFFF"/>
          </w:tcPr>
          <w:p w:rsidR="002C39A3" w:rsidRPr="00A94240"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143 823</w:t>
            </w:r>
          </w:p>
        </w:tc>
        <w:tc>
          <w:tcPr>
            <w:tcW w:w="1417"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56 376</w:t>
            </w: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600</w:t>
            </w:r>
          </w:p>
        </w:tc>
        <w:tc>
          <w:tcPr>
            <w:tcW w:w="816"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200 799</w:t>
            </w:r>
          </w:p>
        </w:tc>
      </w:tr>
      <w:tr w:rsidR="002C39A3" w:rsidRPr="00A94240" w:rsidTr="00361FA9">
        <w:trPr>
          <w:cantSplit/>
        </w:trPr>
        <w:tc>
          <w:tcPr>
            <w:tcW w:w="3827" w:type="dxa"/>
            <w:tcBorders>
              <w:top w:val="nil"/>
              <w:bottom w:val="nil"/>
            </w:tcBorders>
            <w:shd w:val="clear" w:color="000000" w:fill="FFFFFF"/>
          </w:tcPr>
          <w:p w:rsidR="002C39A3" w:rsidRPr="00A94240"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A94240">
              <w:rPr>
                <w:rFonts w:ascii="Calibri" w:eastAsiaTheme="minorEastAsia" w:hAnsi="Calibri" w:cs="Calibri"/>
                <w:color w:val="000000"/>
                <w:sz w:val="19"/>
                <w:szCs w:val="19"/>
                <w:lang w:eastAsia="en-AU"/>
              </w:rPr>
              <w:t>Premier and Cabinet</w:t>
            </w: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1 750</w:t>
            </w:r>
          </w:p>
        </w:tc>
        <w:tc>
          <w:tcPr>
            <w:tcW w:w="1417"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A94240">
              <w:rPr>
                <w:rFonts w:ascii="Calibri" w:eastAsiaTheme="minorEastAsia" w:hAnsi="Calibri" w:cs="Calibri"/>
                <w:b/>
                <w:bCs/>
                <w:color w:val="000000"/>
                <w:sz w:val="19"/>
                <w:szCs w:val="19"/>
                <w:lang w:eastAsia="en-AU"/>
              </w:rPr>
              <w:t>..</w:t>
            </w: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A94240">
              <w:rPr>
                <w:rFonts w:ascii="Calibri" w:eastAsiaTheme="minorEastAsia" w:hAnsi="Calibri" w:cs="Calibri"/>
                <w:b/>
                <w:bCs/>
                <w:color w:val="000000"/>
                <w:sz w:val="19"/>
                <w:szCs w:val="19"/>
                <w:lang w:eastAsia="en-AU"/>
              </w:rPr>
              <w:t>..</w:t>
            </w:r>
          </w:p>
        </w:tc>
        <w:tc>
          <w:tcPr>
            <w:tcW w:w="816"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1 750</w:t>
            </w:r>
          </w:p>
        </w:tc>
      </w:tr>
      <w:tr w:rsidR="002C39A3" w:rsidRPr="00A94240" w:rsidTr="00361FA9">
        <w:trPr>
          <w:cantSplit/>
        </w:trPr>
        <w:tc>
          <w:tcPr>
            <w:tcW w:w="3827" w:type="dxa"/>
            <w:tcBorders>
              <w:top w:val="nil"/>
              <w:bottom w:val="nil"/>
            </w:tcBorders>
            <w:shd w:val="clear" w:color="000000" w:fill="FFFFFF"/>
          </w:tcPr>
          <w:p w:rsidR="002C39A3" w:rsidRPr="00A94240"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520</w:t>
            </w:r>
          </w:p>
        </w:tc>
        <w:tc>
          <w:tcPr>
            <w:tcW w:w="1417"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sidRPr="00A94240">
              <w:rPr>
                <w:rFonts w:ascii="Calibri" w:eastAsiaTheme="minorEastAsia" w:hAnsi="Calibri" w:cs="Calibri"/>
                <w:i/>
                <w:iCs/>
                <w:color w:val="000000"/>
                <w:sz w:val="19"/>
                <w:szCs w:val="19"/>
                <w:lang w:eastAsia="en-AU"/>
              </w:rPr>
              <w:t>..</w:t>
            </w: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sidRPr="00A94240">
              <w:rPr>
                <w:rFonts w:ascii="Calibri" w:eastAsiaTheme="minorEastAsia" w:hAnsi="Calibri" w:cs="Calibri"/>
                <w:i/>
                <w:iCs/>
                <w:color w:val="000000"/>
                <w:sz w:val="19"/>
                <w:szCs w:val="19"/>
                <w:lang w:eastAsia="en-AU"/>
              </w:rPr>
              <w:t>..</w:t>
            </w:r>
          </w:p>
        </w:tc>
        <w:tc>
          <w:tcPr>
            <w:tcW w:w="816"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520</w:t>
            </w:r>
          </w:p>
        </w:tc>
      </w:tr>
      <w:tr w:rsidR="002C39A3" w:rsidRPr="00A94240" w:rsidTr="00361FA9">
        <w:trPr>
          <w:cantSplit/>
        </w:trPr>
        <w:tc>
          <w:tcPr>
            <w:tcW w:w="3827" w:type="dxa"/>
            <w:tcBorders>
              <w:top w:val="nil"/>
              <w:bottom w:val="nil"/>
            </w:tcBorders>
            <w:shd w:val="clear" w:color="000000" w:fill="FFFFFF"/>
          </w:tcPr>
          <w:p w:rsidR="002C39A3" w:rsidRPr="00A94240"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A94240">
              <w:rPr>
                <w:rFonts w:ascii="Calibri" w:eastAsiaTheme="minorEastAsia" w:hAnsi="Calibri" w:cs="Calibri"/>
                <w:color w:val="000000"/>
                <w:sz w:val="19"/>
                <w:szCs w:val="19"/>
                <w:lang w:eastAsia="en-AU"/>
              </w:rPr>
              <w:t>Treasury and Finance</w:t>
            </w: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7 868</w:t>
            </w:r>
          </w:p>
        </w:tc>
        <w:tc>
          <w:tcPr>
            <w:tcW w:w="1417"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A94240">
              <w:rPr>
                <w:rFonts w:ascii="Calibri" w:eastAsiaTheme="minorEastAsia" w:hAnsi="Calibri" w:cs="Calibri"/>
                <w:b/>
                <w:bCs/>
                <w:color w:val="000000"/>
                <w:sz w:val="19"/>
                <w:szCs w:val="19"/>
                <w:lang w:eastAsia="en-AU"/>
              </w:rPr>
              <w:t>..</w:t>
            </w: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A94240">
              <w:rPr>
                <w:rFonts w:ascii="Calibri" w:eastAsiaTheme="minorEastAsia" w:hAnsi="Calibri" w:cs="Calibri"/>
                <w:b/>
                <w:bCs/>
                <w:color w:val="000000"/>
                <w:sz w:val="19"/>
                <w:szCs w:val="19"/>
                <w:lang w:eastAsia="en-AU"/>
              </w:rPr>
              <w:t>..</w:t>
            </w:r>
          </w:p>
        </w:tc>
        <w:tc>
          <w:tcPr>
            <w:tcW w:w="816"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7 868</w:t>
            </w:r>
          </w:p>
        </w:tc>
      </w:tr>
      <w:tr w:rsidR="002C39A3" w:rsidRPr="00A94240" w:rsidTr="00361FA9">
        <w:trPr>
          <w:cantSplit/>
        </w:trPr>
        <w:tc>
          <w:tcPr>
            <w:tcW w:w="3827" w:type="dxa"/>
            <w:tcBorders>
              <w:top w:val="nil"/>
              <w:bottom w:val="nil"/>
            </w:tcBorders>
            <w:shd w:val="clear" w:color="000000" w:fill="FFFFFF"/>
          </w:tcPr>
          <w:p w:rsidR="002C39A3" w:rsidRPr="00A94240"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7 068</w:t>
            </w:r>
          </w:p>
        </w:tc>
        <w:tc>
          <w:tcPr>
            <w:tcW w:w="1417"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sidRPr="00A94240">
              <w:rPr>
                <w:rFonts w:ascii="Calibri" w:eastAsiaTheme="minorEastAsia" w:hAnsi="Calibri" w:cs="Calibri"/>
                <w:i/>
                <w:iCs/>
                <w:color w:val="000000"/>
                <w:sz w:val="19"/>
                <w:szCs w:val="19"/>
                <w:lang w:eastAsia="en-AU"/>
              </w:rPr>
              <w:t>..</w:t>
            </w: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sidRPr="00A94240">
              <w:rPr>
                <w:rFonts w:ascii="Calibri" w:eastAsiaTheme="minorEastAsia" w:hAnsi="Calibri" w:cs="Calibri"/>
                <w:i/>
                <w:iCs/>
                <w:color w:val="000000"/>
                <w:sz w:val="19"/>
                <w:szCs w:val="19"/>
                <w:lang w:eastAsia="en-AU"/>
              </w:rPr>
              <w:t>..</w:t>
            </w:r>
          </w:p>
        </w:tc>
        <w:tc>
          <w:tcPr>
            <w:tcW w:w="816"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7 068</w:t>
            </w:r>
          </w:p>
        </w:tc>
      </w:tr>
      <w:tr w:rsidR="002C39A3" w:rsidRPr="00A94240" w:rsidTr="00361FA9">
        <w:trPr>
          <w:cantSplit/>
        </w:trPr>
        <w:tc>
          <w:tcPr>
            <w:tcW w:w="3827" w:type="dxa"/>
            <w:tcBorders>
              <w:top w:val="nil"/>
              <w:bottom w:val="nil"/>
            </w:tcBorders>
            <w:shd w:val="clear" w:color="000000" w:fill="FFFFFF"/>
          </w:tcPr>
          <w:p w:rsidR="002C39A3" w:rsidRPr="00A94240"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A94240">
              <w:rPr>
                <w:rFonts w:ascii="Calibri" w:eastAsiaTheme="minorEastAsia" w:hAnsi="Calibri" w:cs="Calibri"/>
                <w:color w:val="000000"/>
                <w:sz w:val="19"/>
                <w:szCs w:val="19"/>
                <w:lang w:eastAsia="en-AU"/>
              </w:rPr>
              <w:t>Parliament</w:t>
            </w: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25 603</w:t>
            </w:r>
          </w:p>
        </w:tc>
        <w:tc>
          <w:tcPr>
            <w:tcW w:w="1417"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A94240">
              <w:rPr>
                <w:rFonts w:ascii="Calibri" w:eastAsiaTheme="minorEastAsia" w:hAnsi="Calibri" w:cs="Calibri"/>
                <w:b/>
                <w:bCs/>
                <w:color w:val="000000"/>
                <w:sz w:val="19"/>
                <w:szCs w:val="19"/>
                <w:lang w:eastAsia="en-AU"/>
              </w:rPr>
              <w:t>..</w:t>
            </w: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A94240">
              <w:rPr>
                <w:rFonts w:ascii="Calibri" w:eastAsiaTheme="minorEastAsia" w:hAnsi="Calibri" w:cs="Calibri"/>
                <w:b/>
                <w:bCs/>
                <w:color w:val="000000"/>
                <w:sz w:val="19"/>
                <w:szCs w:val="19"/>
                <w:lang w:eastAsia="en-AU"/>
              </w:rPr>
              <w:t>..</w:t>
            </w:r>
          </w:p>
        </w:tc>
        <w:tc>
          <w:tcPr>
            <w:tcW w:w="816"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25 603</w:t>
            </w:r>
          </w:p>
        </w:tc>
      </w:tr>
      <w:tr w:rsidR="002C39A3" w:rsidRPr="00A94240" w:rsidTr="00361FA9">
        <w:trPr>
          <w:cantSplit/>
        </w:trPr>
        <w:tc>
          <w:tcPr>
            <w:tcW w:w="3827" w:type="dxa"/>
            <w:tcBorders>
              <w:top w:val="nil"/>
              <w:bottom w:val="nil"/>
            </w:tcBorders>
            <w:shd w:val="clear" w:color="000000" w:fill="FFFFFF"/>
          </w:tcPr>
          <w:p w:rsidR="002C39A3" w:rsidRPr="00A94240"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23 904</w:t>
            </w:r>
          </w:p>
        </w:tc>
        <w:tc>
          <w:tcPr>
            <w:tcW w:w="1417"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sidRPr="00A94240">
              <w:rPr>
                <w:rFonts w:ascii="Calibri" w:eastAsiaTheme="minorEastAsia" w:hAnsi="Calibri" w:cs="Calibri"/>
                <w:i/>
                <w:iCs/>
                <w:color w:val="000000"/>
                <w:sz w:val="19"/>
                <w:szCs w:val="19"/>
                <w:lang w:eastAsia="en-AU"/>
              </w:rPr>
              <w:t>..</w:t>
            </w: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sidRPr="00A94240">
              <w:rPr>
                <w:rFonts w:ascii="Calibri" w:eastAsiaTheme="minorEastAsia" w:hAnsi="Calibri" w:cs="Calibri"/>
                <w:i/>
                <w:iCs/>
                <w:color w:val="000000"/>
                <w:sz w:val="19"/>
                <w:szCs w:val="19"/>
                <w:lang w:eastAsia="en-AU"/>
              </w:rPr>
              <w:t>..</w:t>
            </w:r>
          </w:p>
        </w:tc>
        <w:tc>
          <w:tcPr>
            <w:tcW w:w="816"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23 904</w:t>
            </w:r>
          </w:p>
        </w:tc>
      </w:tr>
      <w:tr w:rsidR="002C39A3" w:rsidRPr="00A94240" w:rsidTr="00361FA9">
        <w:trPr>
          <w:cantSplit/>
        </w:trPr>
        <w:tc>
          <w:tcPr>
            <w:tcW w:w="3827" w:type="dxa"/>
            <w:tcBorders>
              <w:top w:val="nil"/>
              <w:bottom w:val="nil"/>
            </w:tcBorders>
            <w:shd w:val="clear" w:color="000000" w:fill="FFFFFF"/>
          </w:tcPr>
          <w:p w:rsidR="002C39A3" w:rsidRPr="00A94240"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A94240">
              <w:rPr>
                <w:rFonts w:ascii="Calibri" w:eastAsiaTheme="minorEastAsia" w:hAnsi="Calibri" w:cs="Calibri"/>
                <w:color w:val="000000"/>
                <w:sz w:val="19"/>
                <w:szCs w:val="19"/>
                <w:lang w:eastAsia="en-AU"/>
              </w:rPr>
              <w:t>Courts</w:t>
            </w: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56 947</w:t>
            </w:r>
          </w:p>
        </w:tc>
        <w:tc>
          <w:tcPr>
            <w:tcW w:w="1417"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8 460</w:t>
            </w:r>
          </w:p>
        </w:tc>
        <w:tc>
          <w:tcPr>
            <w:tcW w:w="850"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A94240">
              <w:rPr>
                <w:rFonts w:ascii="Calibri" w:eastAsiaTheme="minorEastAsia" w:hAnsi="Calibri" w:cs="Calibri"/>
                <w:b/>
                <w:bCs/>
                <w:color w:val="000000"/>
                <w:sz w:val="19"/>
                <w:szCs w:val="19"/>
                <w:lang w:eastAsia="en-AU"/>
              </w:rPr>
              <w:t>..</w:t>
            </w:r>
          </w:p>
        </w:tc>
        <w:tc>
          <w:tcPr>
            <w:tcW w:w="816" w:type="dxa"/>
            <w:tcBorders>
              <w:top w:val="nil"/>
              <w:bottom w:val="nil"/>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65 407</w:t>
            </w:r>
          </w:p>
        </w:tc>
      </w:tr>
      <w:tr w:rsidR="002C39A3" w:rsidRPr="00A94240" w:rsidTr="00361FA9">
        <w:trPr>
          <w:cantSplit/>
        </w:trPr>
        <w:tc>
          <w:tcPr>
            <w:tcW w:w="3827" w:type="dxa"/>
            <w:tcBorders>
              <w:top w:val="nil"/>
              <w:bottom w:val="single" w:sz="12" w:space="0" w:color="auto"/>
            </w:tcBorders>
            <w:shd w:val="clear" w:color="000000" w:fill="FFFFFF"/>
          </w:tcPr>
          <w:p w:rsidR="002C39A3" w:rsidRPr="00A94240"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p>
        </w:tc>
        <w:tc>
          <w:tcPr>
            <w:tcW w:w="850" w:type="dxa"/>
            <w:tcBorders>
              <w:top w:val="nil"/>
              <w:bottom w:val="single" w:sz="12" w:space="0" w:color="auto"/>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56 947</w:t>
            </w:r>
          </w:p>
        </w:tc>
        <w:tc>
          <w:tcPr>
            <w:tcW w:w="1417" w:type="dxa"/>
            <w:tcBorders>
              <w:top w:val="nil"/>
              <w:bottom w:val="single" w:sz="12" w:space="0" w:color="auto"/>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7 200</w:t>
            </w:r>
          </w:p>
        </w:tc>
        <w:tc>
          <w:tcPr>
            <w:tcW w:w="850" w:type="dxa"/>
            <w:tcBorders>
              <w:top w:val="nil"/>
              <w:bottom w:val="single" w:sz="12" w:space="0" w:color="auto"/>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sidRPr="00A94240">
              <w:rPr>
                <w:rFonts w:ascii="Calibri" w:eastAsiaTheme="minorEastAsia" w:hAnsi="Calibri" w:cs="Calibri"/>
                <w:i/>
                <w:iCs/>
                <w:color w:val="000000"/>
                <w:sz w:val="19"/>
                <w:szCs w:val="19"/>
                <w:lang w:eastAsia="en-AU"/>
              </w:rPr>
              <w:t>..</w:t>
            </w:r>
          </w:p>
        </w:tc>
        <w:tc>
          <w:tcPr>
            <w:tcW w:w="816" w:type="dxa"/>
            <w:tcBorders>
              <w:top w:val="nil"/>
              <w:bottom w:val="single" w:sz="12" w:space="0" w:color="auto"/>
            </w:tcBorders>
            <w:shd w:val="clear" w:color="000000" w:fill="FFFFFF"/>
          </w:tcPr>
          <w:p w:rsidR="002C39A3" w:rsidRPr="00A94240"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Pr>
                <w:rFonts w:ascii="Calibri" w:eastAsiaTheme="minorEastAsia" w:hAnsi="Calibri" w:cs="Calibri"/>
                <w:i/>
                <w:iCs/>
                <w:color w:val="000000"/>
                <w:sz w:val="19"/>
                <w:szCs w:val="19"/>
                <w:lang w:eastAsia="en-AU"/>
              </w:rPr>
              <w:t>64 147</w:t>
            </w:r>
          </w:p>
        </w:tc>
      </w:tr>
    </w:tbl>
    <w:p w:rsidR="002C39A3" w:rsidRDefault="002C39A3" w:rsidP="00361FA9">
      <w:pPr>
        <w:pStyle w:val="Source"/>
      </w:pPr>
      <w:r>
        <w:t>Source: Department of Treasury and Finance</w:t>
      </w:r>
    </w:p>
    <w:p w:rsidR="002C39A3" w:rsidRDefault="002C39A3" w:rsidP="00361FA9">
      <w:pPr>
        <w:pStyle w:val="Notes"/>
      </w:pPr>
      <w:r>
        <w:t>Note:</w:t>
      </w:r>
    </w:p>
    <w:p w:rsidR="002C39A3" w:rsidRPr="00527F6E" w:rsidRDefault="002C39A3" w:rsidP="00361FA9">
      <w:pPr>
        <w:pStyle w:val="Notes"/>
      </w:pPr>
      <w:r>
        <w:t>(a)</w:t>
      </w:r>
      <w:r>
        <w:tab/>
        <w:t>Includes asset sales and contributions from local governments.</w:t>
      </w:r>
    </w:p>
    <w:p w:rsidR="002C39A3" w:rsidRDefault="002C39A3" w:rsidP="00361FA9">
      <w:pPr>
        <w:pStyle w:val="million"/>
        <w:jc w:val="left"/>
      </w:pPr>
    </w:p>
    <w:p w:rsidR="002C39A3" w:rsidRDefault="002C39A3">
      <w:pPr>
        <w:spacing w:after="0"/>
        <w:rPr>
          <w:rFonts w:ascii="Calibri" w:hAnsi="Calibri"/>
          <w:b/>
        </w:rPr>
      </w:pPr>
      <w:r>
        <w:br w:type="page"/>
      </w:r>
    </w:p>
    <w:p w:rsidR="002C39A3" w:rsidRDefault="002C39A3" w:rsidP="00361FA9">
      <w:pPr>
        <w:pStyle w:val="Tableheading"/>
      </w:pPr>
      <w:r>
        <w:t>Table A.7:</w:t>
      </w:r>
      <w:r>
        <w:tab/>
        <w:t>The Trust Fund</w:t>
      </w:r>
    </w:p>
    <w:p w:rsidR="002C39A3" w:rsidRPr="005623A6" w:rsidRDefault="002C39A3" w:rsidP="00361FA9">
      <w:pPr>
        <w:pStyle w:val="million"/>
        <w:rPr>
          <w:b/>
          <w:bCs/>
          <w:sz w:val="15"/>
          <w:lang w:val="en-US"/>
        </w:rPr>
      </w:pPr>
      <w:r>
        <w:t>($ thousand)</w:t>
      </w:r>
    </w:p>
    <w:tbl>
      <w:tblPr>
        <w:tblW w:w="7756" w:type="dxa"/>
        <w:tblInd w:w="45" w:type="dxa"/>
        <w:tblLayout w:type="fixed"/>
        <w:tblCellMar>
          <w:left w:w="45" w:type="dxa"/>
          <w:right w:w="45" w:type="dxa"/>
        </w:tblCellMar>
        <w:tblLook w:val="0000" w:firstRow="0" w:lastRow="0" w:firstColumn="0" w:lastColumn="0" w:noHBand="0" w:noVBand="0"/>
      </w:tblPr>
      <w:tblGrid>
        <w:gridCol w:w="3543"/>
        <w:gridCol w:w="1117"/>
        <w:gridCol w:w="1117"/>
        <w:gridCol w:w="1117"/>
        <w:gridCol w:w="862"/>
      </w:tblGrid>
      <w:tr w:rsidR="002562F0" w:rsidRPr="005623A6" w:rsidTr="00825882">
        <w:trPr>
          <w:trHeight w:val="464"/>
          <w:tblHeader/>
        </w:trPr>
        <w:tc>
          <w:tcPr>
            <w:tcW w:w="3543" w:type="dxa"/>
            <w:tcBorders>
              <w:top w:val="nil"/>
              <w:left w:val="nil"/>
              <w:right w:val="nil"/>
            </w:tcBorders>
            <w:shd w:val="solid" w:color="000000" w:fill="auto"/>
            <w:vAlign w:val="bottom"/>
          </w:tcPr>
          <w:p w:rsidR="002562F0" w:rsidRPr="005623A6" w:rsidRDefault="002562F0" w:rsidP="00361FA9">
            <w:pPr>
              <w:autoSpaceDE w:val="0"/>
              <w:autoSpaceDN w:val="0"/>
              <w:adjustRightInd w:val="0"/>
              <w:spacing w:after="0"/>
              <w:rPr>
                <w:rFonts w:eastAsiaTheme="minorEastAsia" w:cs="Calibri"/>
                <w:iCs/>
                <w:color w:val="FFFFFF"/>
                <w:sz w:val="19"/>
                <w:szCs w:val="19"/>
                <w:lang w:eastAsia="en-AU"/>
              </w:rPr>
            </w:pPr>
          </w:p>
        </w:tc>
        <w:tc>
          <w:tcPr>
            <w:tcW w:w="1117" w:type="dxa"/>
            <w:tcBorders>
              <w:top w:val="nil"/>
              <w:left w:val="nil"/>
              <w:right w:val="nil"/>
            </w:tcBorders>
            <w:shd w:val="solid" w:color="000000" w:fill="auto"/>
            <w:vAlign w:val="bottom"/>
          </w:tcPr>
          <w:p w:rsidR="002562F0" w:rsidRPr="005623A6" w:rsidRDefault="002562F0"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5623A6">
              <w:rPr>
                <w:rFonts w:ascii="Calibri" w:eastAsiaTheme="minorEastAsia" w:hAnsi="Calibri" w:cs="Calibri"/>
                <w:i/>
                <w:iCs/>
                <w:color w:val="FFFFFF"/>
                <w:sz w:val="19"/>
                <w:szCs w:val="19"/>
                <w:lang w:eastAsia="en-AU"/>
              </w:rPr>
              <w:t>2015-16</w:t>
            </w:r>
          </w:p>
          <w:p w:rsidR="002562F0" w:rsidRPr="005623A6" w:rsidRDefault="002562F0"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5623A6">
              <w:rPr>
                <w:rFonts w:ascii="Calibri" w:eastAsiaTheme="minorEastAsia" w:hAnsi="Calibri" w:cs="Calibri"/>
                <w:i/>
                <w:iCs/>
                <w:color w:val="FFFFFF"/>
                <w:sz w:val="19"/>
                <w:szCs w:val="19"/>
                <w:lang w:eastAsia="en-AU"/>
              </w:rPr>
              <w:t>budget</w:t>
            </w:r>
          </w:p>
        </w:tc>
        <w:tc>
          <w:tcPr>
            <w:tcW w:w="1117" w:type="dxa"/>
            <w:tcBorders>
              <w:top w:val="nil"/>
              <w:left w:val="nil"/>
              <w:right w:val="nil"/>
            </w:tcBorders>
            <w:shd w:val="solid" w:color="000000" w:fill="auto"/>
            <w:vAlign w:val="bottom"/>
          </w:tcPr>
          <w:p w:rsidR="002562F0" w:rsidRPr="005623A6" w:rsidRDefault="002562F0"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5623A6">
              <w:rPr>
                <w:rFonts w:ascii="Calibri" w:eastAsiaTheme="minorEastAsia" w:hAnsi="Calibri" w:cs="Calibri"/>
                <w:i/>
                <w:iCs/>
                <w:color w:val="FFFFFF"/>
                <w:sz w:val="19"/>
                <w:szCs w:val="19"/>
                <w:lang w:eastAsia="en-AU"/>
              </w:rPr>
              <w:t>2015-16</w:t>
            </w:r>
          </w:p>
          <w:p w:rsidR="002562F0" w:rsidRPr="005623A6" w:rsidRDefault="002562F0"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5623A6">
              <w:rPr>
                <w:rFonts w:ascii="Calibri" w:eastAsiaTheme="minorEastAsia" w:hAnsi="Calibri" w:cs="Calibri"/>
                <w:i/>
                <w:iCs/>
                <w:color w:val="FFFFFF"/>
                <w:sz w:val="19"/>
                <w:szCs w:val="19"/>
                <w:lang w:eastAsia="en-AU"/>
              </w:rPr>
              <w:t>revised</w:t>
            </w:r>
          </w:p>
        </w:tc>
        <w:tc>
          <w:tcPr>
            <w:tcW w:w="1117" w:type="dxa"/>
            <w:tcBorders>
              <w:top w:val="nil"/>
              <w:left w:val="nil"/>
              <w:right w:val="nil"/>
            </w:tcBorders>
            <w:shd w:val="solid" w:color="000000" w:fill="auto"/>
            <w:vAlign w:val="bottom"/>
          </w:tcPr>
          <w:p w:rsidR="002562F0" w:rsidRPr="005623A6" w:rsidRDefault="002562F0"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5623A6">
              <w:rPr>
                <w:rFonts w:ascii="Calibri" w:eastAsiaTheme="minorEastAsia" w:hAnsi="Calibri" w:cs="Calibri"/>
                <w:i/>
                <w:iCs/>
                <w:color w:val="FFFFFF"/>
                <w:sz w:val="19"/>
                <w:szCs w:val="19"/>
                <w:lang w:eastAsia="en-AU"/>
              </w:rPr>
              <w:t>2016-17</w:t>
            </w:r>
          </w:p>
          <w:p w:rsidR="002562F0" w:rsidRPr="005623A6" w:rsidRDefault="002562F0"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5623A6">
              <w:rPr>
                <w:rFonts w:ascii="Calibri" w:eastAsiaTheme="minorEastAsia" w:hAnsi="Calibri" w:cs="Calibri"/>
                <w:i/>
                <w:iCs/>
                <w:color w:val="FFFFFF"/>
                <w:sz w:val="19"/>
                <w:szCs w:val="19"/>
                <w:lang w:eastAsia="en-AU"/>
              </w:rPr>
              <w:t>budget</w:t>
            </w:r>
          </w:p>
        </w:tc>
        <w:tc>
          <w:tcPr>
            <w:tcW w:w="862" w:type="dxa"/>
            <w:tcBorders>
              <w:top w:val="nil"/>
              <w:left w:val="nil"/>
              <w:right w:val="nil"/>
            </w:tcBorders>
            <w:shd w:val="solid" w:color="000000" w:fill="auto"/>
            <w:vAlign w:val="bottom"/>
          </w:tcPr>
          <w:p w:rsidR="002562F0" w:rsidRPr="005623A6" w:rsidRDefault="002562F0"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5623A6">
              <w:rPr>
                <w:rFonts w:ascii="Calibri" w:eastAsiaTheme="minorEastAsia" w:hAnsi="Calibri" w:cs="Calibri"/>
                <w:i/>
                <w:iCs/>
                <w:color w:val="FFFFFF"/>
                <w:sz w:val="19"/>
                <w:szCs w:val="19"/>
                <w:lang w:eastAsia="en-AU"/>
              </w:rPr>
              <w:t>Variation</w:t>
            </w:r>
          </w:p>
          <w:p w:rsidR="002562F0" w:rsidRPr="005623A6" w:rsidRDefault="002562F0"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5623A6">
              <w:rPr>
                <w:rFonts w:ascii="Calibri" w:eastAsiaTheme="minorEastAsia" w:hAnsi="Calibri" w:cs="Calibri"/>
                <w:i/>
                <w:iCs/>
                <w:color w:val="FFFFFF"/>
                <w:sz w:val="19"/>
                <w:szCs w:val="19"/>
                <w:lang w:eastAsia="en-AU"/>
              </w:rPr>
              <w:t>%</w:t>
            </w:r>
          </w:p>
        </w:tc>
      </w:tr>
      <w:tr w:rsidR="002562F0" w:rsidRPr="005623A6" w:rsidTr="00A517C7">
        <w:tc>
          <w:tcPr>
            <w:tcW w:w="7756" w:type="dxa"/>
            <w:gridSpan w:val="5"/>
            <w:tcBorders>
              <w:top w:val="nil"/>
              <w:left w:val="nil"/>
              <w:right w:val="nil"/>
            </w:tcBorders>
            <w:shd w:val="solid" w:color="FFFFFF" w:fill="FFFFFF"/>
          </w:tcPr>
          <w:p w:rsidR="002562F0" w:rsidRPr="005623A6" w:rsidRDefault="002562F0" w:rsidP="002562F0">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b/>
                <w:bCs/>
                <w:color w:val="000000"/>
                <w:sz w:val="19"/>
                <w:szCs w:val="19"/>
                <w:lang w:eastAsia="en-AU"/>
              </w:rPr>
              <w:t>Cash flows from operating activities</w:t>
            </w:r>
          </w:p>
        </w:tc>
      </w:tr>
      <w:tr w:rsidR="002562F0" w:rsidRPr="005623A6" w:rsidTr="004F7B63">
        <w:tc>
          <w:tcPr>
            <w:tcW w:w="7756" w:type="dxa"/>
            <w:gridSpan w:val="5"/>
            <w:tcBorders>
              <w:top w:val="nil"/>
              <w:left w:val="nil"/>
              <w:right w:val="nil"/>
            </w:tcBorders>
            <w:shd w:val="solid" w:color="FFFFFF" w:fill="FFFFFF"/>
          </w:tcPr>
          <w:p w:rsidR="002562F0" w:rsidRPr="005623A6" w:rsidRDefault="002562F0" w:rsidP="002562F0">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b/>
                <w:bCs/>
                <w:color w:val="000000"/>
                <w:sz w:val="19"/>
                <w:szCs w:val="19"/>
                <w:lang w:eastAsia="en-AU"/>
              </w:rPr>
              <w:t>Receipts</w:t>
            </w:r>
          </w:p>
        </w:tc>
      </w:tr>
      <w:tr w:rsidR="002C39A3" w:rsidRPr="005623A6" w:rsidTr="00361FA9">
        <w:tc>
          <w:tcPr>
            <w:tcW w:w="3543" w:type="dxa"/>
            <w:tcBorders>
              <w:top w:val="nil"/>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Taxation</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325 054</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349 995</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1 276 291</w:t>
            </w:r>
          </w:p>
        </w:tc>
        <w:tc>
          <w:tcPr>
            <w:tcW w:w="862"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292.6</w:t>
            </w:r>
          </w:p>
        </w:tc>
      </w:tr>
      <w:tr w:rsidR="002C39A3" w:rsidRPr="005623A6" w:rsidTr="00361FA9">
        <w:tc>
          <w:tcPr>
            <w:tcW w:w="3543" w:type="dxa"/>
            <w:tcBorders>
              <w:top w:val="nil"/>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Regulatory fees and fines</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30 365</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31 867</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11 600</w:t>
            </w:r>
          </w:p>
        </w:tc>
        <w:tc>
          <w:tcPr>
            <w:tcW w:w="862"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(61.8)</w:t>
            </w:r>
          </w:p>
        </w:tc>
      </w:tr>
      <w:tr w:rsidR="002C39A3" w:rsidRPr="005623A6" w:rsidTr="00361FA9">
        <w:tc>
          <w:tcPr>
            <w:tcW w:w="3543" w:type="dxa"/>
            <w:tcBorders>
              <w:top w:val="nil"/>
              <w:left w:val="nil"/>
              <w:right w:val="nil"/>
            </w:tcBorders>
            <w:shd w:val="clear" w:color="000000" w:fill="FFFFFF"/>
          </w:tcPr>
          <w:p w:rsidR="002C39A3" w:rsidRPr="005623A6" w:rsidRDefault="002C39A3" w:rsidP="002562F0">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5623A6">
              <w:rPr>
                <w:rFonts w:ascii="Calibri" w:eastAsiaTheme="minorEastAsia" w:hAnsi="Calibri" w:cs="Calibri"/>
                <w:color w:val="000000"/>
                <w:sz w:val="19"/>
                <w:szCs w:val="19"/>
                <w:lang w:eastAsia="en-AU"/>
              </w:rPr>
              <w:t xml:space="preserve">Grants received </w:t>
            </w:r>
            <w:r w:rsidRPr="005623A6">
              <w:rPr>
                <w:rFonts w:ascii="Calibri" w:eastAsiaTheme="minorEastAsia" w:hAnsi="Calibri" w:cs="Calibri"/>
                <w:color w:val="000000"/>
                <w:sz w:val="19"/>
                <w:szCs w:val="19"/>
                <w:vertAlign w:val="superscript"/>
                <w:lang w:eastAsia="en-AU"/>
              </w:rPr>
              <w:t>(a)</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12 581 948</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12 355 523</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14 045 737</w:t>
            </w:r>
          </w:p>
        </w:tc>
        <w:tc>
          <w:tcPr>
            <w:tcW w:w="862"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11.6</w:t>
            </w:r>
          </w:p>
        </w:tc>
      </w:tr>
      <w:tr w:rsidR="002C39A3" w:rsidRPr="005623A6" w:rsidTr="00361FA9">
        <w:tc>
          <w:tcPr>
            <w:tcW w:w="3543" w:type="dxa"/>
            <w:tcBorders>
              <w:top w:val="nil"/>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Sale of goods and services</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164 874</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135 971</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137 553</w:t>
            </w:r>
          </w:p>
        </w:tc>
        <w:tc>
          <w:tcPr>
            <w:tcW w:w="862"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(16.6)</w:t>
            </w:r>
          </w:p>
        </w:tc>
      </w:tr>
      <w:tr w:rsidR="002C39A3" w:rsidRPr="005623A6" w:rsidTr="00361FA9">
        <w:tc>
          <w:tcPr>
            <w:tcW w:w="3543" w:type="dxa"/>
            <w:tcBorders>
              <w:top w:val="nil"/>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Interest received</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105 605</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85 386</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182 063</w:t>
            </w:r>
          </w:p>
        </w:tc>
        <w:tc>
          <w:tcPr>
            <w:tcW w:w="862"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72.4</w:t>
            </w:r>
          </w:p>
        </w:tc>
      </w:tr>
      <w:tr w:rsidR="002C39A3" w:rsidRPr="005623A6" w:rsidTr="00361FA9">
        <w:tc>
          <w:tcPr>
            <w:tcW w:w="3543" w:type="dxa"/>
            <w:tcBorders>
              <w:top w:val="nil"/>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Net transfers from Consolidated Fund</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7 671 967</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7 633 609</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7 861 809</w:t>
            </w:r>
          </w:p>
        </w:tc>
        <w:tc>
          <w:tcPr>
            <w:tcW w:w="862"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2.5</w:t>
            </w:r>
          </w:p>
        </w:tc>
      </w:tr>
      <w:tr w:rsidR="002C39A3" w:rsidRPr="005623A6" w:rsidTr="00361FA9">
        <w:tc>
          <w:tcPr>
            <w:tcW w:w="3543" w:type="dxa"/>
            <w:tcBorders>
              <w:top w:val="nil"/>
              <w:left w:val="nil"/>
              <w:right w:val="nil"/>
            </w:tcBorders>
            <w:shd w:val="clear" w:color="000000" w:fill="FFFFFF"/>
          </w:tcPr>
          <w:p w:rsidR="002C39A3" w:rsidRPr="005623A6" w:rsidRDefault="002C39A3" w:rsidP="002562F0">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5623A6">
              <w:rPr>
                <w:rFonts w:ascii="Calibri" w:eastAsiaTheme="minorEastAsia" w:hAnsi="Calibri" w:cs="Calibri"/>
                <w:color w:val="000000"/>
                <w:sz w:val="19"/>
                <w:szCs w:val="19"/>
                <w:lang w:eastAsia="en-AU"/>
              </w:rPr>
              <w:t xml:space="preserve">Dividend receipts </w:t>
            </w:r>
            <w:r w:rsidRPr="005623A6">
              <w:rPr>
                <w:rFonts w:ascii="Calibri" w:eastAsiaTheme="minorEastAsia" w:hAnsi="Calibri" w:cs="Calibri"/>
                <w:color w:val="000000"/>
                <w:sz w:val="19"/>
                <w:szCs w:val="19"/>
                <w:vertAlign w:val="superscript"/>
                <w:lang w:eastAsia="en-AU"/>
              </w:rPr>
              <w:t>(a)</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10 079</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13 202</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12 975</w:t>
            </w:r>
          </w:p>
        </w:tc>
        <w:tc>
          <w:tcPr>
            <w:tcW w:w="862"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28.7</w:t>
            </w:r>
          </w:p>
        </w:tc>
      </w:tr>
      <w:tr w:rsidR="002C39A3" w:rsidRPr="005623A6" w:rsidTr="00361FA9">
        <w:tc>
          <w:tcPr>
            <w:tcW w:w="3543"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Other receipts</w:t>
            </w:r>
          </w:p>
        </w:tc>
        <w:tc>
          <w:tcPr>
            <w:tcW w:w="1117"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141 339</w:t>
            </w:r>
          </w:p>
        </w:tc>
        <w:tc>
          <w:tcPr>
            <w:tcW w:w="1117"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147 680</w:t>
            </w:r>
          </w:p>
        </w:tc>
        <w:tc>
          <w:tcPr>
            <w:tcW w:w="1117"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140 662</w:t>
            </w:r>
          </w:p>
        </w:tc>
        <w:tc>
          <w:tcPr>
            <w:tcW w:w="862"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(0.5)</w:t>
            </w:r>
          </w:p>
        </w:tc>
      </w:tr>
      <w:tr w:rsidR="002C39A3" w:rsidRPr="005623A6" w:rsidTr="00361FA9">
        <w:tc>
          <w:tcPr>
            <w:tcW w:w="3543"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 xml:space="preserve"> </w:t>
            </w:r>
          </w:p>
        </w:tc>
        <w:tc>
          <w:tcPr>
            <w:tcW w:w="1117"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21 031 231</w:t>
            </w:r>
          </w:p>
        </w:tc>
        <w:tc>
          <w:tcPr>
            <w:tcW w:w="1117"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20 753 232</w:t>
            </w:r>
          </w:p>
        </w:tc>
        <w:tc>
          <w:tcPr>
            <w:tcW w:w="1117"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23 668 690</w:t>
            </w:r>
          </w:p>
        </w:tc>
        <w:tc>
          <w:tcPr>
            <w:tcW w:w="862"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12.5</w:t>
            </w:r>
          </w:p>
        </w:tc>
      </w:tr>
      <w:tr w:rsidR="002562F0" w:rsidRPr="005623A6" w:rsidTr="00A941C7">
        <w:tc>
          <w:tcPr>
            <w:tcW w:w="7756" w:type="dxa"/>
            <w:gridSpan w:val="5"/>
            <w:tcBorders>
              <w:top w:val="nil"/>
              <w:left w:val="nil"/>
              <w:right w:val="nil"/>
            </w:tcBorders>
            <w:shd w:val="clear" w:color="000000" w:fill="FFFFFF"/>
          </w:tcPr>
          <w:p w:rsidR="002562F0" w:rsidRPr="005623A6" w:rsidRDefault="002562F0" w:rsidP="002562F0">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b/>
                <w:bCs/>
                <w:color w:val="000000"/>
                <w:sz w:val="19"/>
                <w:szCs w:val="19"/>
                <w:lang w:eastAsia="en-AU"/>
              </w:rPr>
              <w:t>Payments</w:t>
            </w:r>
          </w:p>
        </w:tc>
      </w:tr>
      <w:tr w:rsidR="002C39A3" w:rsidRPr="005623A6" w:rsidTr="00361FA9">
        <w:tc>
          <w:tcPr>
            <w:tcW w:w="3543" w:type="dxa"/>
            <w:tcBorders>
              <w:top w:val="nil"/>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Payments for employees</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(191 737)</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(163 895)</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(170 073)</w:t>
            </w:r>
          </w:p>
        </w:tc>
        <w:tc>
          <w:tcPr>
            <w:tcW w:w="862"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(11.3)</w:t>
            </w:r>
          </w:p>
        </w:tc>
      </w:tr>
      <w:tr w:rsidR="002C39A3" w:rsidRPr="005623A6" w:rsidTr="00361FA9">
        <w:tc>
          <w:tcPr>
            <w:tcW w:w="3543" w:type="dxa"/>
            <w:tcBorders>
              <w:top w:val="nil"/>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Superannuation</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(14 354)</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(13 001)</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(13 405)</w:t>
            </w:r>
          </w:p>
        </w:tc>
        <w:tc>
          <w:tcPr>
            <w:tcW w:w="862"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(6.6)</w:t>
            </w:r>
          </w:p>
        </w:tc>
      </w:tr>
      <w:tr w:rsidR="002C39A3" w:rsidRPr="005623A6" w:rsidTr="00361FA9">
        <w:tc>
          <w:tcPr>
            <w:tcW w:w="3543" w:type="dxa"/>
            <w:tcBorders>
              <w:top w:val="nil"/>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Interest paid</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(7 519)</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(6 687)</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(7 314)</w:t>
            </w:r>
          </w:p>
        </w:tc>
        <w:tc>
          <w:tcPr>
            <w:tcW w:w="862"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(2.7)</w:t>
            </w:r>
          </w:p>
        </w:tc>
      </w:tr>
      <w:tr w:rsidR="002C39A3" w:rsidRPr="005623A6" w:rsidTr="00361FA9">
        <w:tc>
          <w:tcPr>
            <w:tcW w:w="3543" w:type="dxa"/>
            <w:tcBorders>
              <w:top w:val="nil"/>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5623A6">
              <w:rPr>
                <w:rFonts w:ascii="Calibri" w:eastAsiaTheme="minorEastAsia" w:hAnsi="Calibri" w:cs="Calibri"/>
                <w:color w:val="000000"/>
                <w:sz w:val="19"/>
                <w:szCs w:val="19"/>
                <w:lang w:eastAsia="en-AU"/>
              </w:rPr>
              <w:t>Grants and subsidies</w:t>
            </w:r>
            <w:r w:rsidRPr="005623A6">
              <w:rPr>
                <w:rFonts w:ascii="Calibri" w:eastAsiaTheme="minorEastAsia" w:hAnsi="Calibri" w:cs="Calibri"/>
                <w:color w:val="000000"/>
                <w:sz w:val="19"/>
                <w:szCs w:val="19"/>
                <w:vertAlign w:val="superscript"/>
                <w:lang w:eastAsia="en-AU"/>
              </w:rPr>
              <w:t xml:space="preserve"> (a)</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(18 133 655)</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(17 769 404)</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(20 055 974)</w:t>
            </w:r>
          </w:p>
        </w:tc>
        <w:tc>
          <w:tcPr>
            <w:tcW w:w="862"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10.6</w:t>
            </w:r>
          </w:p>
        </w:tc>
      </w:tr>
      <w:tr w:rsidR="002C39A3" w:rsidRPr="005623A6" w:rsidTr="00361FA9">
        <w:tc>
          <w:tcPr>
            <w:tcW w:w="3543"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Goods and services and other payments</w:t>
            </w:r>
          </w:p>
        </w:tc>
        <w:tc>
          <w:tcPr>
            <w:tcW w:w="1117"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(2 264 531)</w:t>
            </w:r>
          </w:p>
        </w:tc>
        <w:tc>
          <w:tcPr>
            <w:tcW w:w="1117"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(2 234 860)</w:t>
            </w:r>
          </w:p>
        </w:tc>
        <w:tc>
          <w:tcPr>
            <w:tcW w:w="1117"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(2 256 115)</w:t>
            </w:r>
          </w:p>
        </w:tc>
        <w:tc>
          <w:tcPr>
            <w:tcW w:w="862"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(0.4)</w:t>
            </w:r>
          </w:p>
        </w:tc>
      </w:tr>
      <w:tr w:rsidR="002C39A3" w:rsidRPr="005623A6" w:rsidTr="00361FA9">
        <w:tc>
          <w:tcPr>
            <w:tcW w:w="3543"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 xml:space="preserve"> </w:t>
            </w:r>
          </w:p>
        </w:tc>
        <w:tc>
          <w:tcPr>
            <w:tcW w:w="1117"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(20 611 796)</w:t>
            </w:r>
          </w:p>
        </w:tc>
        <w:tc>
          <w:tcPr>
            <w:tcW w:w="1117"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(20 187 847)</w:t>
            </w:r>
          </w:p>
        </w:tc>
        <w:tc>
          <w:tcPr>
            <w:tcW w:w="1117"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(22 502 880)</w:t>
            </w:r>
          </w:p>
        </w:tc>
        <w:tc>
          <w:tcPr>
            <w:tcW w:w="862"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9.2</w:t>
            </w:r>
          </w:p>
        </w:tc>
      </w:tr>
      <w:tr w:rsidR="002C39A3" w:rsidRPr="005623A6" w:rsidTr="00361FA9">
        <w:tc>
          <w:tcPr>
            <w:tcW w:w="3543" w:type="dxa"/>
            <w:tcBorders>
              <w:top w:val="nil"/>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b/>
                <w:bCs/>
                <w:color w:val="000000"/>
                <w:sz w:val="19"/>
                <w:szCs w:val="19"/>
                <w:vertAlign w:val="superscript"/>
                <w:lang w:eastAsia="en-AU"/>
              </w:rPr>
            </w:pPr>
            <w:r w:rsidRPr="005623A6">
              <w:rPr>
                <w:rFonts w:ascii="Calibri" w:eastAsiaTheme="minorEastAsia" w:hAnsi="Calibri" w:cs="Calibri"/>
                <w:b/>
                <w:bCs/>
                <w:color w:val="000000"/>
                <w:sz w:val="19"/>
                <w:szCs w:val="19"/>
                <w:lang w:eastAsia="en-AU"/>
              </w:rPr>
              <w:t>Net cash flows from operating activities</w:t>
            </w:r>
            <w:r w:rsidRPr="005623A6">
              <w:rPr>
                <w:rFonts w:ascii="Calibri" w:eastAsiaTheme="minorEastAsia" w:hAnsi="Calibri" w:cs="Calibri"/>
                <w:b/>
                <w:bCs/>
                <w:color w:val="000000"/>
                <w:sz w:val="19"/>
                <w:szCs w:val="19"/>
                <w:vertAlign w:val="superscript"/>
                <w:lang w:eastAsia="en-AU"/>
              </w:rPr>
              <w:t xml:space="preserve"> (a)</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419 435</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565 385</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1 165 810</w:t>
            </w:r>
          </w:p>
        </w:tc>
        <w:tc>
          <w:tcPr>
            <w:tcW w:w="862"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177.9</w:t>
            </w:r>
          </w:p>
        </w:tc>
      </w:tr>
      <w:tr w:rsidR="002562F0" w:rsidRPr="005623A6" w:rsidTr="006C6B8C">
        <w:tc>
          <w:tcPr>
            <w:tcW w:w="7756" w:type="dxa"/>
            <w:gridSpan w:val="5"/>
            <w:tcBorders>
              <w:top w:val="nil"/>
              <w:left w:val="nil"/>
              <w:right w:val="nil"/>
            </w:tcBorders>
            <w:shd w:val="clear" w:color="000000" w:fill="FFFFFF"/>
          </w:tcPr>
          <w:p w:rsidR="002562F0" w:rsidRPr="005623A6" w:rsidRDefault="002562F0" w:rsidP="002562F0">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b/>
                <w:bCs/>
                <w:color w:val="000000"/>
                <w:sz w:val="19"/>
                <w:szCs w:val="19"/>
                <w:lang w:eastAsia="en-AU"/>
              </w:rPr>
              <w:t>Cash flows from investing activities</w:t>
            </w:r>
            <w:r w:rsidRPr="005623A6">
              <w:rPr>
                <w:rFonts w:ascii="Calibri" w:eastAsiaTheme="minorEastAsia" w:hAnsi="Calibri" w:cs="Calibri"/>
                <w:color w:val="000000"/>
                <w:sz w:val="19"/>
                <w:szCs w:val="19"/>
                <w:lang w:eastAsia="en-AU"/>
              </w:rPr>
              <w:t xml:space="preserve"> </w:t>
            </w:r>
          </w:p>
        </w:tc>
      </w:tr>
      <w:tr w:rsidR="002C39A3" w:rsidRPr="005623A6" w:rsidTr="00361FA9">
        <w:tc>
          <w:tcPr>
            <w:tcW w:w="3543" w:type="dxa"/>
            <w:tcBorders>
              <w:top w:val="nil"/>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Pu</w:t>
            </w:r>
            <w:r w:rsidR="002562F0">
              <w:rPr>
                <w:rFonts w:ascii="Calibri" w:eastAsiaTheme="minorEastAsia" w:hAnsi="Calibri" w:cs="Calibri"/>
                <w:color w:val="000000"/>
                <w:sz w:val="19"/>
                <w:szCs w:val="19"/>
                <w:lang w:eastAsia="en-AU"/>
              </w:rPr>
              <w:t>rchases of non-financial assets</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(34 770)</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(40 567)</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(1 406 975)</w:t>
            </w:r>
          </w:p>
        </w:tc>
        <w:tc>
          <w:tcPr>
            <w:tcW w:w="862"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3 946.5</w:t>
            </w:r>
          </w:p>
        </w:tc>
      </w:tr>
      <w:tr w:rsidR="002C39A3" w:rsidRPr="005623A6" w:rsidTr="00361FA9">
        <w:tc>
          <w:tcPr>
            <w:tcW w:w="3543" w:type="dxa"/>
            <w:tcBorders>
              <w:top w:val="nil"/>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Sales of non-financial assets</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36 200</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36 200</w:t>
            </w:r>
          </w:p>
        </w:tc>
        <w:tc>
          <w:tcPr>
            <w:tcW w:w="1117"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34 200</w:t>
            </w:r>
          </w:p>
        </w:tc>
        <w:tc>
          <w:tcPr>
            <w:tcW w:w="862" w:type="dxa"/>
            <w:tcBorders>
              <w:top w:val="nil"/>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(5.5)</w:t>
            </w:r>
          </w:p>
        </w:tc>
      </w:tr>
      <w:tr w:rsidR="002C39A3" w:rsidRPr="005623A6" w:rsidTr="00361FA9">
        <w:tc>
          <w:tcPr>
            <w:tcW w:w="3543"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Other investing activities</w:t>
            </w:r>
          </w:p>
        </w:tc>
        <w:tc>
          <w:tcPr>
            <w:tcW w:w="1117"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(82 791)</w:t>
            </w:r>
          </w:p>
        </w:tc>
        <w:tc>
          <w:tcPr>
            <w:tcW w:w="1117"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(91 423)</w:t>
            </w:r>
          </w:p>
        </w:tc>
        <w:tc>
          <w:tcPr>
            <w:tcW w:w="1117"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315 146</w:t>
            </w:r>
          </w:p>
        </w:tc>
        <w:tc>
          <w:tcPr>
            <w:tcW w:w="862"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(480.7)</w:t>
            </w:r>
          </w:p>
        </w:tc>
      </w:tr>
      <w:tr w:rsidR="002C39A3" w:rsidRPr="005623A6" w:rsidTr="00361FA9">
        <w:tc>
          <w:tcPr>
            <w:tcW w:w="3543"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Net cash flows from investing activities</w:t>
            </w:r>
          </w:p>
        </w:tc>
        <w:tc>
          <w:tcPr>
            <w:tcW w:w="1117"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(81 361)</w:t>
            </w:r>
          </w:p>
        </w:tc>
        <w:tc>
          <w:tcPr>
            <w:tcW w:w="1117"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(95 790)</w:t>
            </w:r>
          </w:p>
        </w:tc>
        <w:tc>
          <w:tcPr>
            <w:tcW w:w="1117"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(1 057 629)</w:t>
            </w:r>
          </w:p>
        </w:tc>
        <w:tc>
          <w:tcPr>
            <w:tcW w:w="862"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1 199.9</w:t>
            </w:r>
          </w:p>
        </w:tc>
      </w:tr>
      <w:tr w:rsidR="002562F0" w:rsidRPr="005623A6" w:rsidTr="005F4096">
        <w:tc>
          <w:tcPr>
            <w:tcW w:w="7756" w:type="dxa"/>
            <w:gridSpan w:val="5"/>
            <w:tcBorders>
              <w:top w:val="nil"/>
              <w:left w:val="nil"/>
              <w:right w:val="nil"/>
            </w:tcBorders>
            <w:shd w:val="clear" w:color="000000" w:fill="FFFFFF"/>
          </w:tcPr>
          <w:p w:rsidR="002562F0" w:rsidRPr="005623A6" w:rsidRDefault="002562F0" w:rsidP="002562F0">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b/>
                <w:bCs/>
                <w:color w:val="000000"/>
                <w:sz w:val="19"/>
                <w:szCs w:val="19"/>
                <w:lang w:eastAsia="en-AU"/>
              </w:rPr>
              <w:t>Cash flows from financing activities</w:t>
            </w:r>
          </w:p>
        </w:tc>
      </w:tr>
      <w:tr w:rsidR="002C39A3" w:rsidRPr="005623A6" w:rsidTr="00361FA9">
        <w:tc>
          <w:tcPr>
            <w:tcW w:w="3543"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Net borrowings</w:t>
            </w:r>
          </w:p>
        </w:tc>
        <w:tc>
          <w:tcPr>
            <w:tcW w:w="1117"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(29 096)</w:t>
            </w:r>
          </w:p>
        </w:tc>
        <w:tc>
          <w:tcPr>
            <w:tcW w:w="1117"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(29 146)</w:t>
            </w:r>
          </w:p>
        </w:tc>
        <w:tc>
          <w:tcPr>
            <w:tcW w:w="1117"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(24 146)</w:t>
            </w:r>
          </w:p>
        </w:tc>
        <w:tc>
          <w:tcPr>
            <w:tcW w:w="862"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(17.0)</w:t>
            </w:r>
          </w:p>
        </w:tc>
      </w:tr>
      <w:tr w:rsidR="002C39A3" w:rsidRPr="005623A6" w:rsidTr="00361FA9">
        <w:tc>
          <w:tcPr>
            <w:tcW w:w="3543"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Net cash flow from financing activities</w:t>
            </w:r>
          </w:p>
        </w:tc>
        <w:tc>
          <w:tcPr>
            <w:tcW w:w="1117"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(29 096)</w:t>
            </w:r>
          </w:p>
        </w:tc>
        <w:tc>
          <w:tcPr>
            <w:tcW w:w="1117"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(29 146)</w:t>
            </w:r>
          </w:p>
        </w:tc>
        <w:tc>
          <w:tcPr>
            <w:tcW w:w="1117"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(24 146)</w:t>
            </w:r>
          </w:p>
        </w:tc>
        <w:tc>
          <w:tcPr>
            <w:tcW w:w="862" w:type="dxa"/>
            <w:tcBorders>
              <w:top w:val="single" w:sz="6" w:space="0" w:color="auto"/>
              <w:left w:val="nil"/>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(17.0)</w:t>
            </w:r>
          </w:p>
        </w:tc>
      </w:tr>
      <w:tr w:rsidR="002C39A3" w:rsidRPr="005623A6" w:rsidTr="00361FA9">
        <w:tc>
          <w:tcPr>
            <w:tcW w:w="3543" w:type="dxa"/>
            <w:tcBorders>
              <w:top w:val="nil"/>
              <w:left w:val="nil"/>
              <w:bottom w:val="single" w:sz="12" w:space="0" w:color="auto"/>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b/>
                <w:bCs/>
                <w:color w:val="000000"/>
                <w:sz w:val="19"/>
                <w:szCs w:val="19"/>
                <w:vertAlign w:val="superscript"/>
                <w:lang w:eastAsia="en-AU"/>
              </w:rPr>
            </w:pPr>
            <w:r w:rsidRPr="005623A6">
              <w:rPr>
                <w:rFonts w:ascii="Calibri" w:eastAsiaTheme="minorEastAsia" w:hAnsi="Calibri" w:cs="Calibri"/>
                <w:b/>
                <w:bCs/>
                <w:color w:val="000000"/>
                <w:sz w:val="19"/>
                <w:szCs w:val="19"/>
                <w:lang w:eastAsia="en-AU"/>
              </w:rPr>
              <w:t>Net cash inflow/(outflow)</w:t>
            </w:r>
            <w:r w:rsidRPr="005623A6">
              <w:rPr>
                <w:rFonts w:ascii="Calibri" w:eastAsiaTheme="minorEastAsia" w:hAnsi="Calibri" w:cs="Calibri"/>
                <w:b/>
                <w:bCs/>
                <w:color w:val="000000"/>
                <w:sz w:val="19"/>
                <w:szCs w:val="19"/>
                <w:vertAlign w:val="superscript"/>
                <w:lang w:eastAsia="en-AU"/>
              </w:rPr>
              <w:t xml:space="preserve"> (a)</w:t>
            </w:r>
          </w:p>
        </w:tc>
        <w:tc>
          <w:tcPr>
            <w:tcW w:w="1117" w:type="dxa"/>
            <w:tcBorders>
              <w:top w:val="nil"/>
              <w:left w:val="nil"/>
              <w:bottom w:val="single" w:sz="12"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308 978</w:t>
            </w:r>
          </w:p>
        </w:tc>
        <w:tc>
          <w:tcPr>
            <w:tcW w:w="1117" w:type="dxa"/>
            <w:tcBorders>
              <w:top w:val="nil"/>
              <w:left w:val="nil"/>
              <w:bottom w:val="single" w:sz="12"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440 450</w:t>
            </w:r>
          </w:p>
        </w:tc>
        <w:tc>
          <w:tcPr>
            <w:tcW w:w="1117" w:type="dxa"/>
            <w:tcBorders>
              <w:top w:val="nil"/>
              <w:left w:val="nil"/>
              <w:bottom w:val="single" w:sz="12"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84 035</w:t>
            </w:r>
          </w:p>
        </w:tc>
        <w:tc>
          <w:tcPr>
            <w:tcW w:w="862" w:type="dxa"/>
            <w:tcBorders>
              <w:top w:val="nil"/>
              <w:left w:val="nil"/>
              <w:bottom w:val="single" w:sz="12"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(72.8)</w:t>
            </w:r>
          </w:p>
        </w:tc>
      </w:tr>
      <w:tr w:rsidR="002562F0" w:rsidRPr="005623A6" w:rsidTr="00954CC8">
        <w:tc>
          <w:tcPr>
            <w:tcW w:w="7756" w:type="dxa"/>
            <w:gridSpan w:val="5"/>
            <w:tcBorders>
              <w:top w:val="single" w:sz="12" w:space="0" w:color="auto"/>
              <w:left w:val="nil"/>
              <w:right w:val="nil"/>
            </w:tcBorders>
            <w:shd w:val="clear" w:color="000000" w:fill="FFFFFF"/>
          </w:tcPr>
          <w:p w:rsidR="002562F0" w:rsidRPr="005623A6" w:rsidRDefault="002562F0" w:rsidP="002562F0">
            <w:pPr>
              <w:autoSpaceDE w:val="0"/>
              <w:autoSpaceDN w:val="0"/>
              <w:adjustRightInd w:val="0"/>
              <w:spacing w:after="0"/>
              <w:ind w:left="227" w:hanging="227"/>
              <w:rPr>
                <w:rFonts w:ascii="Calibri" w:eastAsiaTheme="minorEastAsia" w:hAnsi="Calibri" w:cs="Calibri"/>
                <w:color w:val="000000"/>
                <w:sz w:val="19"/>
                <w:szCs w:val="19"/>
                <w:lang w:eastAsia="en-AU"/>
              </w:rPr>
            </w:pPr>
            <w:r w:rsidRPr="005623A6">
              <w:rPr>
                <w:rFonts w:ascii="Calibri" w:eastAsiaTheme="minorEastAsia" w:hAnsi="Calibri" w:cs="Calibri"/>
                <w:b/>
                <w:bCs/>
                <w:color w:val="000000"/>
                <w:sz w:val="19"/>
                <w:szCs w:val="19"/>
                <w:lang w:eastAsia="en-AU"/>
              </w:rPr>
              <w:t>Represented by:</w:t>
            </w:r>
          </w:p>
        </w:tc>
      </w:tr>
      <w:tr w:rsidR="002C39A3" w:rsidRPr="005623A6" w:rsidTr="00361FA9">
        <w:tc>
          <w:tcPr>
            <w:tcW w:w="3543"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5623A6">
              <w:rPr>
                <w:rFonts w:ascii="Calibri" w:eastAsiaTheme="minorEastAsia" w:hAnsi="Calibri" w:cs="Calibri"/>
                <w:color w:val="000000"/>
                <w:sz w:val="19"/>
                <w:szCs w:val="19"/>
                <w:lang w:eastAsia="en-AU"/>
              </w:rPr>
              <w:t>Cash and cash equivalents held a</w:t>
            </w:r>
            <w:r w:rsidR="002562F0">
              <w:rPr>
                <w:rFonts w:ascii="Calibri" w:eastAsiaTheme="minorEastAsia" w:hAnsi="Calibri" w:cs="Calibri"/>
                <w:color w:val="000000"/>
                <w:sz w:val="19"/>
                <w:szCs w:val="19"/>
                <w:lang w:eastAsia="en-AU"/>
              </w:rPr>
              <w:t>t beginning of reporting period</w:t>
            </w:r>
          </w:p>
        </w:tc>
        <w:tc>
          <w:tcPr>
            <w:tcW w:w="1117"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3 276 682</w:t>
            </w:r>
          </w:p>
        </w:tc>
        <w:tc>
          <w:tcPr>
            <w:tcW w:w="1117"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3 276 682</w:t>
            </w:r>
          </w:p>
        </w:tc>
        <w:tc>
          <w:tcPr>
            <w:tcW w:w="1117"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3 717 132</w:t>
            </w:r>
          </w:p>
        </w:tc>
        <w:tc>
          <w:tcPr>
            <w:tcW w:w="862" w:type="dxa"/>
            <w:tcBorders>
              <w:top w:val="nil"/>
              <w:left w:val="nil"/>
              <w:bottom w:val="single" w:sz="6"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5623A6">
              <w:rPr>
                <w:rFonts w:ascii="Calibri" w:eastAsiaTheme="minorEastAsia" w:hAnsi="Calibri" w:cs="Calibri"/>
                <w:color w:val="000000"/>
                <w:sz w:val="19"/>
                <w:szCs w:val="19"/>
                <w:lang w:eastAsia="en-AU"/>
              </w:rPr>
              <w:t>13.4</w:t>
            </w:r>
          </w:p>
        </w:tc>
      </w:tr>
      <w:tr w:rsidR="002C39A3" w:rsidRPr="005623A6" w:rsidTr="00361FA9">
        <w:tc>
          <w:tcPr>
            <w:tcW w:w="3543" w:type="dxa"/>
            <w:tcBorders>
              <w:top w:val="single" w:sz="6" w:space="0" w:color="auto"/>
              <w:left w:val="nil"/>
              <w:bottom w:val="single" w:sz="12" w:space="0" w:color="auto"/>
              <w:right w:val="nil"/>
            </w:tcBorders>
            <w:shd w:val="clear" w:color="000000" w:fill="FFFFFF"/>
          </w:tcPr>
          <w:p w:rsidR="002C39A3" w:rsidRPr="005623A6"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Cash and de</w:t>
            </w:r>
            <w:r w:rsidR="002562F0">
              <w:rPr>
                <w:rFonts w:ascii="Calibri" w:eastAsiaTheme="minorEastAsia" w:hAnsi="Calibri" w:cs="Calibri"/>
                <w:b/>
                <w:bCs/>
                <w:color w:val="000000"/>
                <w:sz w:val="19"/>
                <w:szCs w:val="19"/>
                <w:lang w:eastAsia="en-AU"/>
              </w:rPr>
              <w:t>posits held at end of reporting </w:t>
            </w:r>
            <w:r w:rsidRPr="005623A6">
              <w:rPr>
                <w:rFonts w:ascii="Calibri" w:eastAsiaTheme="minorEastAsia" w:hAnsi="Calibri" w:cs="Calibri"/>
                <w:b/>
                <w:bCs/>
                <w:color w:val="000000"/>
                <w:sz w:val="19"/>
                <w:szCs w:val="19"/>
                <w:lang w:eastAsia="en-AU"/>
              </w:rPr>
              <w:t>period</w:t>
            </w:r>
          </w:p>
        </w:tc>
        <w:tc>
          <w:tcPr>
            <w:tcW w:w="1117" w:type="dxa"/>
            <w:tcBorders>
              <w:top w:val="single" w:sz="6" w:space="0" w:color="auto"/>
              <w:left w:val="nil"/>
              <w:bottom w:val="single" w:sz="12"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3 585 660</w:t>
            </w:r>
          </w:p>
        </w:tc>
        <w:tc>
          <w:tcPr>
            <w:tcW w:w="1117" w:type="dxa"/>
            <w:tcBorders>
              <w:top w:val="single" w:sz="6" w:space="0" w:color="auto"/>
              <w:left w:val="nil"/>
              <w:bottom w:val="single" w:sz="12"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3 717 132</w:t>
            </w:r>
          </w:p>
        </w:tc>
        <w:tc>
          <w:tcPr>
            <w:tcW w:w="1117" w:type="dxa"/>
            <w:tcBorders>
              <w:top w:val="single" w:sz="6" w:space="0" w:color="auto"/>
              <w:left w:val="nil"/>
              <w:bottom w:val="single" w:sz="12"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3 801 167</w:t>
            </w:r>
          </w:p>
        </w:tc>
        <w:tc>
          <w:tcPr>
            <w:tcW w:w="862" w:type="dxa"/>
            <w:tcBorders>
              <w:top w:val="single" w:sz="6" w:space="0" w:color="auto"/>
              <w:left w:val="nil"/>
              <w:bottom w:val="single" w:sz="12" w:space="0" w:color="auto"/>
              <w:right w:val="nil"/>
            </w:tcBorders>
            <w:shd w:val="clear" w:color="000000" w:fill="FFFFFF"/>
          </w:tcPr>
          <w:p w:rsidR="002C39A3" w:rsidRPr="005623A6"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5623A6">
              <w:rPr>
                <w:rFonts w:ascii="Calibri" w:eastAsiaTheme="minorEastAsia" w:hAnsi="Calibri" w:cs="Calibri"/>
                <w:b/>
                <w:bCs/>
                <w:color w:val="000000"/>
                <w:sz w:val="19"/>
                <w:szCs w:val="19"/>
                <w:lang w:eastAsia="en-AU"/>
              </w:rPr>
              <w:t>6.0</w:t>
            </w:r>
          </w:p>
        </w:tc>
      </w:tr>
    </w:tbl>
    <w:p w:rsidR="002C39A3" w:rsidRDefault="002C39A3" w:rsidP="00361FA9">
      <w:pPr>
        <w:pStyle w:val="Source"/>
      </w:pPr>
      <w:r>
        <w:t>Source: Department of Treasury and Finance</w:t>
      </w:r>
    </w:p>
    <w:p w:rsidR="002C39A3" w:rsidRDefault="002C39A3" w:rsidP="00361FA9">
      <w:pPr>
        <w:pStyle w:val="Notes"/>
      </w:pPr>
      <w:r>
        <w:t>Note:</w:t>
      </w:r>
    </w:p>
    <w:p w:rsidR="002C39A3" w:rsidRDefault="002C39A3" w:rsidP="00361FA9">
      <w:pPr>
        <w:pStyle w:val="Notes"/>
      </w:pPr>
      <w:r>
        <w:t>(a)</w:t>
      </w:r>
      <w:r>
        <w:tab/>
      </w:r>
      <w:r w:rsidRPr="00AF5FE3">
        <w:t>The</w:t>
      </w:r>
      <w:r>
        <w:rPr>
          <w:i w:val="0"/>
        </w:rPr>
        <w:t xml:space="preserve"> </w:t>
      </w:r>
      <w:r w:rsidRPr="00AF5FE3">
        <w:rPr>
          <w:i w:val="0"/>
        </w:rPr>
        <w:t>2015-16 Budget</w:t>
      </w:r>
      <w:r w:rsidRPr="00F4741D">
        <w:t xml:space="preserve"> has been restated to reflect more current information.</w:t>
      </w:r>
    </w:p>
    <w:p w:rsidR="002C39A3" w:rsidRPr="00B87D35" w:rsidRDefault="002C39A3" w:rsidP="00361FA9">
      <w:pPr>
        <w:pStyle w:val="Notes"/>
      </w:pPr>
    </w:p>
    <w:p w:rsidR="002C39A3" w:rsidRDefault="002C39A3" w:rsidP="00273B20">
      <w:pPr>
        <w:rPr>
          <w:rFonts w:eastAsiaTheme="minorHAnsi"/>
        </w:rPr>
        <w:sectPr w:rsidR="002C39A3" w:rsidSect="00F302FC">
          <w:footerReference w:type="even" r:id="rId66"/>
          <w:footerReference w:type="default" r:id="rId67"/>
          <w:type w:val="oddPage"/>
          <w:pgSz w:w="9979" w:h="14181" w:code="138"/>
          <w:pgMar w:top="1138" w:right="1138" w:bottom="1138" w:left="1138" w:header="720" w:footer="432" w:gutter="0"/>
          <w:cols w:space="708"/>
          <w:docGrid w:linePitch="360"/>
        </w:sectPr>
      </w:pPr>
    </w:p>
    <w:p w:rsidR="002C39A3" w:rsidRPr="00980A7C" w:rsidRDefault="002C39A3" w:rsidP="00361FA9">
      <w:pPr>
        <w:pStyle w:val="ChapterHeading"/>
      </w:pPr>
      <w:bookmarkStart w:id="62" w:name="_Toc449116219"/>
      <w:r>
        <w:t xml:space="preserve">Appendix B – </w:t>
      </w:r>
      <w:r w:rsidRPr="00980A7C">
        <w:rPr>
          <w:i/>
        </w:rPr>
        <w:t>2015</w:t>
      </w:r>
      <w:r w:rsidRPr="00980A7C">
        <w:rPr>
          <w:i/>
        </w:rPr>
        <w:noBreakHyphen/>
        <w:t>16 Budget</w:t>
      </w:r>
      <w:r>
        <w:t xml:space="preserve"> outcome incorporating the financial report for the March quarter 2016</w:t>
      </w:r>
      <w:bookmarkEnd w:id="62"/>
    </w:p>
    <w:p w:rsidR="002C39A3" w:rsidRDefault="002C39A3" w:rsidP="00361FA9">
      <w:pPr>
        <w:spacing w:after="0"/>
        <w:rPr>
          <w:i/>
        </w:rPr>
      </w:pPr>
      <w:r>
        <w:t>The financial statements included in this appendix estimate the budget outcomes for the 2015</w:t>
      </w:r>
      <w:r>
        <w:noBreakHyphen/>
        <w:t xml:space="preserve">16 financial year, taking into account government policy decisions and economic developments impacting on both income and expenses since the presentation of the </w:t>
      </w:r>
      <w:r>
        <w:rPr>
          <w:i/>
        </w:rPr>
        <w:t>2015</w:t>
      </w:r>
      <w:r>
        <w:rPr>
          <w:i/>
        </w:rPr>
        <w:noBreakHyphen/>
        <w:t>16 Budget</w:t>
      </w:r>
      <w:r>
        <w:t xml:space="preserve"> to Parliament in May 2015. This appendix also presents the financial results for the general government sector for the nine months ended 31 March 2016, prepared in accordance with the </w:t>
      </w:r>
      <w:r>
        <w:rPr>
          <w:i/>
        </w:rPr>
        <w:t>Financial Management Act 1994.</w:t>
      </w:r>
    </w:p>
    <w:p w:rsidR="002C39A3" w:rsidRDefault="002C39A3" w:rsidP="00361FA9">
      <w:pPr>
        <w:pStyle w:val="Heading1"/>
      </w:pPr>
      <w:bookmarkStart w:id="63" w:name="_Toc449116220"/>
      <w:r>
        <w:t>Financial results for the general government sector</w:t>
      </w:r>
      <w:bookmarkEnd w:id="63"/>
    </w:p>
    <w:p w:rsidR="002C39A3" w:rsidRDefault="002C39A3" w:rsidP="00361FA9">
      <w:pPr>
        <w:pStyle w:val="Heading2"/>
      </w:pPr>
      <w:r>
        <w:t>Revised 2015</w:t>
      </w:r>
      <w:r>
        <w:noBreakHyphen/>
        <w:t>16 budget outcome and result for the period to 31 March 2016</w:t>
      </w:r>
    </w:p>
    <w:p w:rsidR="002C39A3" w:rsidRDefault="002C39A3" w:rsidP="00361FA9">
      <w:r>
        <w:t>As shown in Table B.1, the net result from transactions for 2015-16 is estimated at $1.9 billion. For the nine months ended 31 March 2016, the general government sector reported a surplus of $3.2 billion. The quarterly outcome is consistent with the full year estimate, taking account of the expected timing of revenues and expenses during the year.</w:t>
      </w:r>
    </w:p>
    <w:p w:rsidR="002C39A3" w:rsidRPr="00E5481E" w:rsidRDefault="002C39A3" w:rsidP="00361FA9">
      <w:r>
        <w:t>The likely result of the 2015-16 financial year cannot be extrapolated from the results for the nine months ended 31 March 2016, due to seasonal and other factors impacting on the timing of activity and transactions.</w:t>
      </w:r>
    </w:p>
    <w:p w:rsidR="002C39A3" w:rsidRDefault="002C39A3" w:rsidP="00361FA9">
      <w:pPr>
        <w:pStyle w:val="Heading2"/>
        <w:spacing w:before="120"/>
      </w:pPr>
      <w:r>
        <w:t>Revenue from transactions</w:t>
      </w:r>
    </w:p>
    <w:p w:rsidR="002C39A3" w:rsidRDefault="002C39A3" w:rsidP="00361FA9">
      <w:r>
        <w:t>Revenue for the period totalled $42.9 billion, representing 76 per cent of the revised budget estimate. This is above pro rata mainly due to the timing of levying certain taxation revenues such as land tax and the Fire Services Property Levy, and the large one-off increase in revenue associated with the High Court of Australia</w:t>
      </w:r>
      <w:r w:rsidR="0097550F">
        <w:t>’</w:t>
      </w:r>
      <w:r>
        <w:t>s decision in favour of the State relating to the Tatts Group Limited</w:t>
      </w:r>
      <w:r w:rsidR="0097550F">
        <w:t>’</w:t>
      </w:r>
      <w:r>
        <w:t xml:space="preserve">s </w:t>
      </w:r>
      <w:r w:rsidR="0097550F">
        <w:t>‘</w:t>
      </w:r>
      <w:r>
        <w:t>Gambling Licences</w:t>
      </w:r>
      <w:r w:rsidR="0097550F">
        <w:t>’</w:t>
      </w:r>
      <w:r>
        <w:t xml:space="preserve"> proceedings which resulted in an additional $540.5 million of revenue plus interest for the period to 31 March 2016. </w:t>
      </w:r>
    </w:p>
    <w:p w:rsidR="002C39A3" w:rsidRDefault="002C39A3" w:rsidP="00361FA9">
      <w:r>
        <w:t>The Fire Services Property Levy, and land tax assessments are recognised in the first quarter and third quarter of each year, respectively.</w:t>
      </w:r>
    </w:p>
    <w:p w:rsidR="002C39A3" w:rsidRDefault="002C39A3" w:rsidP="00361FA9">
      <w:pPr>
        <w:pStyle w:val="Heading2"/>
        <w:spacing w:before="120"/>
      </w:pPr>
      <w:r>
        <w:t>Expenses from transactions</w:t>
      </w:r>
    </w:p>
    <w:p w:rsidR="002C39A3" w:rsidRDefault="002C39A3">
      <w:pPr>
        <w:spacing w:after="0"/>
        <w:rPr>
          <w:rFonts w:ascii="Calibri" w:hAnsi="Calibri"/>
          <w:b/>
          <w:kern w:val="28"/>
          <w:sz w:val="26"/>
          <w:szCs w:val="22"/>
        </w:rPr>
      </w:pPr>
      <w:r>
        <w:t xml:space="preserve">Total expenses were $39.6 billion, slightly lower than the pro-rata revised budget estimate, at 73 per cent. Compared with the same time last year, expenditure is higher by $768 million (2.0 per cent) primarily due to increased service delivery in the health and education sectors. </w:t>
      </w:r>
    </w:p>
    <w:p w:rsidR="002C39A3" w:rsidRDefault="002C39A3" w:rsidP="00361FA9">
      <w:pPr>
        <w:pStyle w:val="Heading2"/>
      </w:pPr>
      <w:r>
        <w:t>Other economic flows</w:t>
      </w:r>
    </w:p>
    <w:p w:rsidR="002C39A3" w:rsidRDefault="002C39A3" w:rsidP="00361FA9">
      <w:r>
        <w:t>Other economic flows – other comprehensive income for the period was $2.3 billion. This primarily reflects an actuarial loss</w:t>
      </w:r>
      <w:r w:rsidRPr="003D28B6">
        <w:t xml:space="preserve"> on the State</w:t>
      </w:r>
      <w:r w:rsidR="0097550F">
        <w:t>’</w:t>
      </w:r>
      <w:r w:rsidRPr="003D28B6">
        <w:t>s defined benefit superannu</w:t>
      </w:r>
      <w:r>
        <w:t>ation plans. This actuarial loss</w:t>
      </w:r>
      <w:r w:rsidRPr="003D28B6">
        <w:t xml:space="preserve"> is primarily attributable to </w:t>
      </w:r>
      <w:r>
        <w:t>un</w:t>
      </w:r>
      <w:r w:rsidRPr="003D28B6">
        <w:t>favourable movements in the</w:t>
      </w:r>
      <w:r>
        <w:t xml:space="preserve"> Commonwealth</w:t>
      </w:r>
      <w:r w:rsidRPr="003D28B6">
        <w:t xml:space="preserve"> bond rates that </w:t>
      </w:r>
      <w:r>
        <w:t>underlie the key superannuation valuation assumptions.</w:t>
      </w:r>
      <w:r w:rsidRPr="003D28B6">
        <w:t xml:space="preserve"> </w:t>
      </w:r>
    </w:p>
    <w:p w:rsidR="002C39A3" w:rsidRPr="00962440" w:rsidRDefault="002C39A3" w:rsidP="00361FA9">
      <w:r w:rsidRPr="003D28B6">
        <w:t>It</w:t>
      </w:r>
      <w:r>
        <w:t xml:space="preserve"> </w:t>
      </w:r>
      <w:r w:rsidRPr="003D28B6">
        <w:t xml:space="preserve">is important to note that movements </w:t>
      </w:r>
      <w:r>
        <w:t xml:space="preserve">in the superannuation liability </w:t>
      </w:r>
      <w:r w:rsidRPr="003D28B6">
        <w:t xml:space="preserve">associated with </w:t>
      </w:r>
      <w:r>
        <w:t xml:space="preserve">Commonwealth </w:t>
      </w:r>
      <w:r w:rsidRPr="003D28B6">
        <w:t>bond rate fluctuations arise solely due to the application of Australian Accounting Standards and do not affect the amount of cash required to f</w:t>
      </w:r>
      <w:r>
        <w:t>und the liability over time.</w:t>
      </w:r>
    </w:p>
    <w:p w:rsidR="002C39A3" w:rsidRDefault="002C39A3" w:rsidP="00361FA9">
      <w:pPr>
        <w:pStyle w:val="Heading2"/>
      </w:pPr>
      <w:r>
        <w:t>Balance sheet</w:t>
      </w:r>
    </w:p>
    <w:p w:rsidR="002C39A3" w:rsidRPr="00FD03AC" w:rsidRDefault="002C39A3" w:rsidP="00361FA9">
      <w:r w:rsidRPr="00FD03AC">
        <w:t xml:space="preserve">The balance sheet presented in Table B.2 shows </w:t>
      </w:r>
      <w:r>
        <w:t>a net assets position of $136.8 </w:t>
      </w:r>
      <w:r w:rsidRPr="00FD03AC">
        <w:t>billion as at 31</w:t>
      </w:r>
      <w:r>
        <w:t> </w:t>
      </w:r>
      <w:r w:rsidRPr="00FD03AC">
        <w:t>March 2016, reflecting an increase of $528 million from 30 June 2015. This is primarily due to an increase in investment</w:t>
      </w:r>
      <w:r>
        <w:t>s</w:t>
      </w:r>
      <w:r w:rsidRPr="00FD03AC">
        <w:t xml:space="preserve"> in other sector entities and </w:t>
      </w:r>
      <w:r>
        <w:t xml:space="preserve">other </w:t>
      </w:r>
      <w:r w:rsidRPr="00FD03AC">
        <w:t xml:space="preserve">financial assets, including receivables relating to land tax following the issuing of the annual land tax assessments in the March quarter, which </w:t>
      </w:r>
      <w:r>
        <w:t xml:space="preserve">are </w:t>
      </w:r>
      <w:r w:rsidRPr="00FD03AC">
        <w:t xml:space="preserve">off-set by </w:t>
      </w:r>
      <w:r>
        <w:t xml:space="preserve">an </w:t>
      </w:r>
      <w:r w:rsidRPr="00FD03AC">
        <w:t xml:space="preserve">increase </w:t>
      </w:r>
      <w:r>
        <w:t xml:space="preserve">in </w:t>
      </w:r>
      <w:r w:rsidRPr="00FD03AC">
        <w:t xml:space="preserve">the </w:t>
      </w:r>
      <w:r>
        <w:t xml:space="preserve">value of the superannuation liability, </w:t>
      </w:r>
      <w:r w:rsidRPr="00FD03AC">
        <w:t>as explained above.</w:t>
      </w:r>
    </w:p>
    <w:p w:rsidR="002C39A3" w:rsidRDefault="002C39A3" w:rsidP="00361FA9">
      <w:r w:rsidRPr="00FD03AC">
        <w:t xml:space="preserve">The net asset position is </w:t>
      </w:r>
      <w:r>
        <w:t>expected to strengthen to $138.1</w:t>
      </w:r>
      <w:r w:rsidRPr="00FD03AC">
        <w:t xml:space="preserve"> billion for the period ending 30</w:t>
      </w:r>
      <w:r>
        <w:t> </w:t>
      </w:r>
      <w:r w:rsidRPr="00FD03AC">
        <w:t>June 2016, mainly due to the timing of the water sector asset revaluations</w:t>
      </w:r>
      <w:r>
        <w:t>,</w:t>
      </w:r>
      <w:r w:rsidRPr="00FD03AC">
        <w:t xml:space="preserve"> expected to increase the investments in the other sector entities at the end of the year.</w:t>
      </w:r>
    </w:p>
    <w:p w:rsidR="002C39A3" w:rsidRDefault="002C39A3" w:rsidP="00361FA9">
      <w:pPr>
        <w:pStyle w:val="Heading2"/>
      </w:pPr>
      <w:r>
        <w:t>Cash flow statement</w:t>
      </w:r>
    </w:p>
    <w:p w:rsidR="002C39A3" w:rsidRDefault="002C39A3">
      <w:pPr>
        <w:spacing w:after="0"/>
      </w:pPr>
      <w:r>
        <w:t>Movements in cash flows from operations shown in Table B.3 are consistent with the combined impact of the previously mentioned drivers associated with the operating statement and balance sheet.</w:t>
      </w:r>
    </w:p>
    <w:p w:rsidR="002C39A3" w:rsidRDefault="002C39A3">
      <w:pPr>
        <w:spacing w:after="0"/>
        <w:rPr>
          <w:rFonts w:ascii="Calibri" w:hAnsi="Calibri"/>
          <w:b/>
          <w:kern w:val="28"/>
          <w:sz w:val="26"/>
          <w:szCs w:val="22"/>
        </w:rPr>
      </w:pPr>
      <w:r>
        <w:br w:type="page"/>
      </w:r>
    </w:p>
    <w:p w:rsidR="002C39A3" w:rsidRDefault="002C39A3" w:rsidP="00361FA9">
      <w:pPr>
        <w:pStyle w:val="Heading2"/>
      </w:pPr>
      <w:r>
        <w:t>Infrastructure investment</w:t>
      </w:r>
    </w:p>
    <w:p w:rsidR="002C39A3" w:rsidRDefault="002C39A3" w:rsidP="00361FA9">
      <w:pPr>
        <w:spacing w:after="0"/>
      </w:pPr>
      <w:r>
        <w:t>For the year to 31 March 2016, net infrastructure investment totalled $3.2 billion, mainly reflecting investment in the transport, justice and health sectors.</w:t>
      </w:r>
    </w:p>
    <w:p w:rsidR="002C39A3" w:rsidRDefault="002C39A3" w:rsidP="00361FA9">
      <w:pPr>
        <w:spacing w:after="0"/>
      </w:pPr>
    </w:p>
    <w:p w:rsidR="002C39A3" w:rsidRPr="000A2198" w:rsidRDefault="002C39A3" w:rsidP="00361FA9">
      <w:pPr>
        <w:pStyle w:val="HighlightBoxHeading"/>
      </w:pPr>
      <w:r w:rsidRPr="000A2198">
        <w:t xml:space="preserve">Infrastructure investment to 31 March 2016 </w:t>
      </w:r>
    </w:p>
    <w:p w:rsidR="002C39A3" w:rsidRPr="000A2198" w:rsidRDefault="002C39A3" w:rsidP="00361FA9">
      <w:pPr>
        <w:pStyle w:val="HighlightBoxText"/>
      </w:pPr>
      <w:r w:rsidRPr="000A2198">
        <w:t>Major projects completed so far this year include:</w:t>
      </w:r>
    </w:p>
    <w:p w:rsidR="002C39A3" w:rsidRPr="000A2198" w:rsidRDefault="002C39A3" w:rsidP="00361FA9">
      <w:pPr>
        <w:pStyle w:val="HighlightBoxBullet"/>
      </w:pPr>
      <w:r w:rsidRPr="000A2198">
        <w:t>Melbourne Wholesale Market Redevelopment; and</w:t>
      </w:r>
    </w:p>
    <w:p w:rsidR="002C39A3" w:rsidRPr="000A2198" w:rsidRDefault="002C39A3" w:rsidP="00361FA9">
      <w:pPr>
        <w:pStyle w:val="HighlightBoxBullet"/>
      </w:pPr>
      <w:r w:rsidRPr="000A2198">
        <w:t>Dingley Bypass.</w:t>
      </w:r>
    </w:p>
    <w:p w:rsidR="002C39A3" w:rsidRPr="000A2198" w:rsidRDefault="002C39A3" w:rsidP="00361FA9">
      <w:pPr>
        <w:pStyle w:val="HighlightBoxText"/>
      </w:pPr>
      <w:r w:rsidRPr="000A2198">
        <w:t>Major projects under procurement or in progress include:</w:t>
      </w:r>
    </w:p>
    <w:p w:rsidR="002C39A3" w:rsidRPr="000A2198" w:rsidRDefault="002C39A3" w:rsidP="00361FA9">
      <w:pPr>
        <w:pStyle w:val="HighlightBoxBullet"/>
      </w:pPr>
      <w:r w:rsidRPr="000A2198">
        <w:t xml:space="preserve">Level Crossing Removal Program; </w:t>
      </w:r>
    </w:p>
    <w:p w:rsidR="002C39A3" w:rsidRPr="000A2198" w:rsidRDefault="002C39A3" w:rsidP="00361FA9">
      <w:pPr>
        <w:pStyle w:val="HighlightBoxBullet"/>
      </w:pPr>
      <w:r w:rsidRPr="000A2198">
        <w:t xml:space="preserve">Bendigo Hospital project; </w:t>
      </w:r>
    </w:p>
    <w:p w:rsidR="002C39A3" w:rsidRPr="000A2198" w:rsidRDefault="002C39A3" w:rsidP="00361FA9">
      <w:pPr>
        <w:pStyle w:val="HighlightBoxBullet"/>
      </w:pPr>
      <w:r w:rsidRPr="000A2198">
        <w:t xml:space="preserve">Box Hill Hospital redevelopment; </w:t>
      </w:r>
    </w:p>
    <w:p w:rsidR="002C39A3" w:rsidRPr="000A2198" w:rsidRDefault="002C39A3" w:rsidP="00361FA9">
      <w:pPr>
        <w:pStyle w:val="HighlightBoxBullet"/>
      </w:pPr>
      <w:r w:rsidRPr="000A2198">
        <w:t>CityLink Tullamarine widening;</w:t>
      </w:r>
    </w:p>
    <w:p w:rsidR="002C39A3" w:rsidRPr="000A2198" w:rsidRDefault="002C39A3" w:rsidP="00361FA9">
      <w:pPr>
        <w:pStyle w:val="HighlightBoxBullet"/>
      </w:pPr>
      <w:r w:rsidRPr="000A2198">
        <w:t xml:space="preserve">Goulburn-Murray Water Connections Project </w:t>
      </w:r>
      <w:r w:rsidR="00251C6B">
        <w:br/>
      </w:r>
      <w:r w:rsidRPr="000A2198">
        <w:t>(Northern Victoria Irrigation Renewal Project);</w:t>
      </w:r>
    </w:p>
    <w:p w:rsidR="002C39A3" w:rsidRPr="000A2198" w:rsidRDefault="002C39A3" w:rsidP="00361FA9">
      <w:pPr>
        <w:pStyle w:val="HighlightBoxBullet"/>
      </w:pPr>
      <w:r w:rsidRPr="000A2198">
        <w:t>Monash Children</w:t>
      </w:r>
      <w:r w:rsidR="0097550F">
        <w:t>’</w:t>
      </w:r>
      <w:r w:rsidRPr="000A2198">
        <w:t>s Hospital;</w:t>
      </w:r>
    </w:p>
    <w:p w:rsidR="002C39A3" w:rsidRPr="000A2198" w:rsidRDefault="002C39A3" w:rsidP="00361FA9">
      <w:pPr>
        <w:pStyle w:val="HighlightBoxBullet"/>
      </w:pPr>
      <w:r w:rsidRPr="000A2198">
        <w:t>Murray Basin Rail Project;</w:t>
      </w:r>
    </w:p>
    <w:p w:rsidR="002C39A3" w:rsidRPr="000A2198" w:rsidRDefault="002C39A3" w:rsidP="00361FA9">
      <w:pPr>
        <w:pStyle w:val="HighlightBoxBullet"/>
      </w:pPr>
      <w:r w:rsidRPr="000A2198">
        <w:t>New Schools (PPP) project;</w:t>
      </w:r>
    </w:p>
    <w:p w:rsidR="002C39A3" w:rsidRPr="000A2198" w:rsidRDefault="002C39A3" w:rsidP="00361FA9">
      <w:pPr>
        <w:pStyle w:val="HighlightBoxBullet"/>
      </w:pPr>
      <w:r w:rsidRPr="000A2198">
        <w:t>new trains, trams and associated infrastructure for Melbourne commuters;</w:t>
      </w:r>
    </w:p>
    <w:p w:rsidR="002C39A3" w:rsidRPr="000A2198" w:rsidRDefault="002C39A3" w:rsidP="00361FA9">
      <w:pPr>
        <w:pStyle w:val="HighlightBoxBullet"/>
      </w:pPr>
      <w:r w:rsidRPr="000A2198">
        <w:t>Port capacity;</w:t>
      </w:r>
    </w:p>
    <w:p w:rsidR="002C39A3" w:rsidRPr="000A2198" w:rsidRDefault="002C39A3" w:rsidP="00361FA9">
      <w:pPr>
        <w:pStyle w:val="HighlightBoxBullet"/>
      </w:pPr>
      <w:r w:rsidRPr="000A2198">
        <w:t>Princes Highway duplication project – Winchelsea to Colac;</w:t>
      </w:r>
    </w:p>
    <w:p w:rsidR="002C39A3" w:rsidRPr="000A2198" w:rsidRDefault="002C39A3" w:rsidP="00361FA9">
      <w:pPr>
        <w:pStyle w:val="HighlightBoxBullet"/>
      </w:pPr>
      <w:r w:rsidRPr="000A2198">
        <w:t>Princes Highway East – Traralgon to Sale duplication;</w:t>
      </w:r>
    </w:p>
    <w:p w:rsidR="002C39A3" w:rsidRPr="000A2198" w:rsidRDefault="002C39A3" w:rsidP="00361FA9">
      <w:pPr>
        <w:pStyle w:val="HighlightBoxBullet"/>
      </w:pPr>
      <w:r w:rsidRPr="000A2198">
        <w:t>Ravenhall Prison;</w:t>
      </w:r>
    </w:p>
    <w:p w:rsidR="002C39A3" w:rsidRPr="000A2198" w:rsidRDefault="002C39A3" w:rsidP="00361FA9">
      <w:pPr>
        <w:pStyle w:val="HighlightBoxBullet"/>
      </w:pPr>
      <w:r w:rsidRPr="000A2198">
        <w:t>redevelopment of Melbourne Park;</w:t>
      </w:r>
    </w:p>
    <w:p w:rsidR="002C39A3" w:rsidRPr="000A2198" w:rsidRDefault="002C39A3" w:rsidP="00361FA9">
      <w:pPr>
        <w:pStyle w:val="HighlightBoxBullet"/>
      </w:pPr>
      <w:r w:rsidRPr="000A2198">
        <w:t>regional rolling stock;</w:t>
      </w:r>
    </w:p>
    <w:p w:rsidR="002C39A3" w:rsidRPr="000A2198" w:rsidRDefault="002C39A3" w:rsidP="00361FA9">
      <w:pPr>
        <w:pStyle w:val="HighlightBoxBullet"/>
      </w:pPr>
      <w:r w:rsidRPr="000A2198">
        <w:t>Royal Victorian Eye and Ear Hospital;</w:t>
      </w:r>
    </w:p>
    <w:p w:rsidR="002C39A3" w:rsidRPr="000A2198" w:rsidRDefault="002C39A3" w:rsidP="00361FA9">
      <w:pPr>
        <w:pStyle w:val="HighlightBoxBullet"/>
      </w:pPr>
      <w:r w:rsidRPr="000A2198">
        <w:t>Victorian Comprehensive Cancer Centre; and</w:t>
      </w:r>
    </w:p>
    <w:p w:rsidR="002C39A3" w:rsidRPr="000A2198" w:rsidRDefault="002C39A3" w:rsidP="00361FA9">
      <w:pPr>
        <w:pStyle w:val="HighlightBoxBullet"/>
      </w:pPr>
      <w:r w:rsidRPr="000A2198">
        <w:t>Western Highway duplication – Ballarat to Stawell.</w:t>
      </w:r>
    </w:p>
    <w:p w:rsidR="002C39A3" w:rsidRDefault="002C39A3">
      <w:pPr>
        <w:spacing w:after="0"/>
      </w:pPr>
      <w:r>
        <w:br w:type="page"/>
      </w:r>
    </w:p>
    <w:p w:rsidR="002C39A3" w:rsidRPr="000A2198" w:rsidRDefault="002C39A3" w:rsidP="00361FA9">
      <w:pPr>
        <w:pStyle w:val="HighlightBoxText"/>
      </w:pPr>
      <w:r w:rsidRPr="000A2198">
        <w:t>Major projects that commenced procurement in 2015-16 include:</w:t>
      </w:r>
    </w:p>
    <w:p w:rsidR="002C39A3" w:rsidRPr="000A2198" w:rsidRDefault="002C39A3" w:rsidP="00361FA9">
      <w:pPr>
        <w:pStyle w:val="HighlightBoxBullet"/>
      </w:pPr>
      <w:r w:rsidRPr="000A2198">
        <w:t>Joan Kirner Women</w:t>
      </w:r>
      <w:r w:rsidR="0097550F">
        <w:t>’</w:t>
      </w:r>
      <w:r w:rsidRPr="000A2198">
        <w:t>s and Children</w:t>
      </w:r>
      <w:r w:rsidR="0097550F">
        <w:t>’</w:t>
      </w:r>
      <w:r w:rsidRPr="000A2198">
        <w:t>s Hospital;</w:t>
      </w:r>
    </w:p>
    <w:p w:rsidR="002C39A3" w:rsidRPr="000A2198" w:rsidRDefault="002C39A3" w:rsidP="00361FA9">
      <w:pPr>
        <w:pStyle w:val="HighlightBoxBullet"/>
      </w:pPr>
      <w:r w:rsidRPr="000A2198">
        <w:t xml:space="preserve">M80 Upgrade – Sunshine Avenue to Calder Freeway; </w:t>
      </w:r>
    </w:p>
    <w:p w:rsidR="002C39A3" w:rsidRPr="000A2198" w:rsidRDefault="002C39A3" w:rsidP="00361FA9">
      <w:pPr>
        <w:pStyle w:val="HighlightBoxBullet"/>
      </w:pPr>
      <w:r w:rsidRPr="000A2198">
        <w:t xml:space="preserve">Melbourne Convention and Exhibition Centre Stage 2 development; </w:t>
      </w:r>
    </w:p>
    <w:p w:rsidR="002C39A3" w:rsidRPr="000A2198" w:rsidRDefault="002C39A3" w:rsidP="00361FA9">
      <w:pPr>
        <w:pStyle w:val="HighlightBoxBullet"/>
      </w:pPr>
      <w:r w:rsidRPr="000A2198">
        <w:t xml:space="preserve">Melbourne Metro Rail Project – Early Works Package; </w:t>
      </w:r>
    </w:p>
    <w:p w:rsidR="002C39A3" w:rsidRPr="000A2198" w:rsidRDefault="002C39A3" w:rsidP="00361FA9">
      <w:pPr>
        <w:pStyle w:val="HighlightBoxBullet"/>
      </w:pPr>
      <w:r w:rsidRPr="000A2198">
        <w:t>Mernda Rail Extension Project;</w:t>
      </w:r>
    </w:p>
    <w:p w:rsidR="002C39A3" w:rsidRPr="000A2198" w:rsidRDefault="002C39A3" w:rsidP="00361FA9">
      <w:pPr>
        <w:pStyle w:val="HighlightBoxBullet"/>
      </w:pPr>
      <w:r w:rsidRPr="000A2198">
        <w:t>Casey Hospital Expansion; and</w:t>
      </w:r>
    </w:p>
    <w:p w:rsidR="002C39A3" w:rsidRPr="000A2198" w:rsidRDefault="002C39A3" w:rsidP="00361FA9">
      <w:pPr>
        <w:pStyle w:val="HighlightBoxBullet"/>
      </w:pPr>
      <w:r w:rsidRPr="000A2198">
        <w:t>Western Distributor market-led proposal.</w:t>
      </w:r>
    </w:p>
    <w:p w:rsidR="002C39A3" w:rsidRDefault="002C39A3">
      <w:pPr>
        <w:spacing w:after="0"/>
      </w:pPr>
    </w:p>
    <w:p w:rsidR="002C39A3" w:rsidRDefault="002C39A3">
      <w:pPr>
        <w:spacing w:after="0"/>
        <w:rPr>
          <w:rFonts w:ascii="Calibri" w:hAnsi="Calibri"/>
          <w:b/>
        </w:rPr>
      </w:pPr>
      <w:r>
        <w:br w:type="page"/>
      </w:r>
    </w:p>
    <w:p w:rsidR="002C39A3" w:rsidRDefault="002C39A3" w:rsidP="00361FA9">
      <w:pPr>
        <w:pStyle w:val="Tableheading"/>
      </w:pPr>
      <w:r>
        <w:t>Table B.1:</w:t>
      </w:r>
      <w:r>
        <w:tab/>
        <w:t>Comprehensive operating statement for the period ended 31 March</w:t>
      </w:r>
    </w:p>
    <w:p w:rsidR="002C39A3" w:rsidRPr="00F944DD" w:rsidRDefault="002C39A3" w:rsidP="00361FA9">
      <w:pPr>
        <w:pStyle w:val="million"/>
        <w:rPr>
          <w:rFonts w:eastAsiaTheme="minorEastAsia"/>
          <w:b/>
          <w:bCs/>
          <w:lang w:val="en-US" w:eastAsia="en-AU"/>
        </w:rPr>
      </w:pPr>
      <w:r>
        <w:t xml:space="preserve">($ </w:t>
      </w:r>
      <w:r w:rsidRPr="00444F35">
        <w:t>million</w:t>
      </w:r>
      <w:r>
        <w:t>)</w:t>
      </w:r>
    </w:p>
    <w:tbl>
      <w:tblPr>
        <w:tblW w:w="7759" w:type="dxa"/>
        <w:tblInd w:w="45" w:type="dxa"/>
        <w:tblLayout w:type="fixed"/>
        <w:tblCellMar>
          <w:left w:w="45" w:type="dxa"/>
          <w:right w:w="45" w:type="dxa"/>
        </w:tblCellMar>
        <w:tblLook w:val="0000" w:firstRow="0" w:lastRow="0" w:firstColumn="0" w:lastColumn="0" w:noHBand="0" w:noVBand="0"/>
      </w:tblPr>
      <w:tblGrid>
        <w:gridCol w:w="737"/>
        <w:gridCol w:w="2738"/>
        <w:gridCol w:w="544"/>
        <w:gridCol w:w="697"/>
        <w:gridCol w:w="697"/>
        <w:gridCol w:w="540"/>
        <w:gridCol w:w="276"/>
        <w:gridCol w:w="7"/>
        <w:gridCol w:w="283"/>
        <w:gridCol w:w="283"/>
        <w:gridCol w:w="277"/>
        <w:gridCol w:w="6"/>
        <w:gridCol w:w="283"/>
        <w:gridCol w:w="283"/>
        <w:gridCol w:w="108"/>
      </w:tblGrid>
      <w:tr w:rsidR="00251C6B" w:rsidRPr="00F944DD" w:rsidTr="00485799">
        <w:trPr>
          <w:trHeight w:val="831"/>
          <w:tblHeader/>
        </w:trPr>
        <w:tc>
          <w:tcPr>
            <w:tcW w:w="737" w:type="dxa"/>
            <w:tcBorders>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251C6B">
              <w:rPr>
                <w:rFonts w:ascii="Calibri" w:eastAsiaTheme="minorEastAsia" w:hAnsi="Calibri" w:cs="Calibri"/>
                <w:i/>
                <w:iCs/>
                <w:color w:val="FFFFFF"/>
                <w:sz w:val="17"/>
                <w:szCs w:val="19"/>
                <w:lang w:eastAsia="en-AU"/>
              </w:rPr>
              <w:t xml:space="preserve">2014-15 </w:t>
            </w:r>
            <w:r w:rsidRPr="00F944DD">
              <w:rPr>
                <w:rFonts w:ascii="Calibri" w:eastAsiaTheme="minorEastAsia" w:hAnsi="Calibri" w:cs="Calibri"/>
                <w:i/>
                <w:iCs/>
                <w:color w:val="FFFFFF"/>
                <w:sz w:val="17"/>
                <w:szCs w:val="19"/>
                <w:lang w:eastAsia="en-AU"/>
              </w:rPr>
              <w:t xml:space="preserve">Actual </w:t>
            </w:r>
          </w:p>
          <w:p w:rsidR="00251C6B" w:rsidRPr="00F944DD" w:rsidRDefault="00251C6B" w:rsidP="00361FA9">
            <w:pPr>
              <w:autoSpaceDE w:val="0"/>
              <w:autoSpaceDN w:val="0"/>
              <w:adjustRightInd w:val="0"/>
              <w:spacing w:after="0"/>
              <w:jc w:val="right"/>
              <w:rPr>
                <w:rFonts w:eastAsiaTheme="minorEastAsia" w:cs="Calibri"/>
                <w:iCs/>
                <w:color w:val="FFFFFF"/>
                <w:sz w:val="17"/>
                <w:szCs w:val="19"/>
                <w:lang w:eastAsia="en-AU"/>
              </w:rPr>
            </w:pPr>
            <w:r w:rsidRPr="00F944DD">
              <w:rPr>
                <w:rFonts w:ascii="Calibri" w:eastAsiaTheme="minorEastAsia" w:hAnsi="Calibri" w:cs="Calibri"/>
                <w:i/>
                <w:iCs/>
                <w:color w:val="FFFFFF"/>
                <w:sz w:val="17"/>
                <w:szCs w:val="19"/>
                <w:lang w:eastAsia="en-AU"/>
              </w:rPr>
              <w:t>to Mar</w:t>
            </w:r>
            <w:r>
              <w:rPr>
                <w:rFonts w:ascii="Calibri" w:eastAsiaTheme="minorEastAsia" w:hAnsi="Calibri" w:cs="Calibri"/>
                <w:i/>
                <w:iCs/>
                <w:color w:val="FFFFFF"/>
                <w:sz w:val="17"/>
                <w:szCs w:val="19"/>
                <w:lang w:eastAsia="en-AU"/>
              </w:rPr>
              <w:t xml:space="preserve"> </w:t>
            </w:r>
            <w:r w:rsidRPr="00345E3E">
              <w:rPr>
                <w:rFonts w:ascii="Calibri" w:eastAsiaTheme="minorEastAsia" w:hAnsi="Calibri" w:cs="Calibri"/>
                <w:i/>
                <w:iCs/>
                <w:color w:val="FFFFFF"/>
                <w:sz w:val="17"/>
                <w:szCs w:val="19"/>
                <w:vertAlign w:val="superscript"/>
                <w:lang w:eastAsia="en-AU"/>
              </w:rPr>
              <w:t>(a)</w:t>
            </w:r>
          </w:p>
        </w:tc>
        <w:tc>
          <w:tcPr>
            <w:tcW w:w="2738" w:type="dxa"/>
            <w:tcBorders>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 xml:space="preserve"> </w:t>
            </w:r>
          </w:p>
        </w:tc>
        <w:tc>
          <w:tcPr>
            <w:tcW w:w="544"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center"/>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Notes</w:t>
            </w:r>
          </w:p>
        </w:tc>
        <w:tc>
          <w:tcPr>
            <w:tcW w:w="697" w:type="dxa"/>
            <w:tcBorders>
              <w:left w:val="nil"/>
              <w:right w:val="nil"/>
            </w:tcBorders>
            <w:shd w:val="solid" w:color="000000" w:fill="auto"/>
            <w:vAlign w:val="bottom"/>
          </w:tcPr>
          <w:p w:rsidR="00251C6B" w:rsidRDefault="00251C6B"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251C6B">
              <w:rPr>
                <w:rFonts w:ascii="Calibri" w:eastAsiaTheme="minorEastAsia" w:hAnsi="Calibri" w:cs="Calibri"/>
                <w:i/>
                <w:iCs/>
                <w:color w:val="FFFFFF"/>
                <w:sz w:val="17"/>
                <w:szCs w:val="19"/>
                <w:lang w:eastAsia="en-AU"/>
              </w:rPr>
              <w:t>2015-16</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 xml:space="preserve">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to Mar</w:t>
            </w:r>
          </w:p>
        </w:tc>
        <w:tc>
          <w:tcPr>
            <w:tcW w:w="697"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Revised</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budget</w:t>
            </w:r>
          </w:p>
        </w:tc>
        <w:tc>
          <w:tcPr>
            <w:tcW w:w="816" w:type="dxa"/>
            <w:gridSpan w:val="2"/>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Published</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budget</w:t>
            </w:r>
          </w:p>
        </w:tc>
        <w:tc>
          <w:tcPr>
            <w:tcW w:w="850" w:type="dxa"/>
            <w:gridSpan w:val="4"/>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 xml:space="preserve">Budget to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 xml:space="preserve"> revised budget</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change</w:t>
            </w:r>
          </w:p>
        </w:tc>
        <w:tc>
          <w:tcPr>
            <w:tcW w:w="680" w:type="dxa"/>
            <w:gridSpan w:val="4"/>
            <w:tcBorders>
              <w:lef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Change</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Revenue from transactions</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81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850" w:type="dxa"/>
            <w:gridSpan w:val="4"/>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680" w:type="dxa"/>
            <w:gridSpan w:val="4"/>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14 240</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Taxation revenue</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15 542</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20 079</w:t>
            </w:r>
          </w:p>
        </w:tc>
        <w:tc>
          <w:tcPr>
            <w:tcW w:w="81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19 024</w:t>
            </w:r>
          </w:p>
        </w:tc>
        <w:tc>
          <w:tcPr>
            <w:tcW w:w="850" w:type="dxa"/>
            <w:gridSpan w:val="4"/>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1 054</w:t>
            </w:r>
          </w:p>
        </w:tc>
        <w:tc>
          <w:tcPr>
            <w:tcW w:w="680" w:type="dxa"/>
            <w:gridSpan w:val="4"/>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608</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Interest revenue</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580</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795</w:t>
            </w:r>
          </w:p>
        </w:tc>
        <w:tc>
          <w:tcPr>
            <w:tcW w:w="81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831</w:t>
            </w:r>
          </w:p>
        </w:tc>
        <w:tc>
          <w:tcPr>
            <w:tcW w:w="850" w:type="dxa"/>
            <w:gridSpan w:val="4"/>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(36)</w:t>
            </w:r>
          </w:p>
        </w:tc>
        <w:tc>
          <w:tcPr>
            <w:tcW w:w="680" w:type="dxa"/>
            <w:gridSpan w:val="4"/>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730</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Dividends and income tax equivalent and rate equivalent revenue</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560</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762</w:t>
            </w:r>
          </w:p>
        </w:tc>
        <w:tc>
          <w:tcPr>
            <w:tcW w:w="81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1 144</w:t>
            </w:r>
          </w:p>
        </w:tc>
        <w:tc>
          <w:tcPr>
            <w:tcW w:w="850" w:type="dxa"/>
            <w:gridSpan w:val="4"/>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(382)</w:t>
            </w:r>
          </w:p>
        </w:tc>
        <w:tc>
          <w:tcPr>
            <w:tcW w:w="680" w:type="dxa"/>
            <w:gridSpan w:val="4"/>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(33)</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5 044</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Sales of goods and services</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4 792</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6 643</w:t>
            </w:r>
          </w:p>
        </w:tc>
        <w:tc>
          <w:tcPr>
            <w:tcW w:w="81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6 779</w:t>
            </w:r>
          </w:p>
        </w:tc>
        <w:tc>
          <w:tcPr>
            <w:tcW w:w="850" w:type="dxa"/>
            <w:gridSpan w:val="4"/>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(136)</w:t>
            </w:r>
          </w:p>
        </w:tc>
        <w:tc>
          <w:tcPr>
            <w:tcW w:w="680" w:type="dxa"/>
            <w:gridSpan w:val="4"/>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18 464</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Grant revenue</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19 179</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25 364</w:t>
            </w:r>
          </w:p>
        </w:tc>
        <w:tc>
          <w:tcPr>
            <w:tcW w:w="81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25 579</w:t>
            </w:r>
          </w:p>
        </w:tc>
        <w:tc>
          <w:tcPr>
            <w:tcW w:w="850" w:type="dxa"/>
            <w:gridSpan w:val="4"/>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(216)</w:t>
            </w:r>
          </w:p>
        </w:tc>
        <w:tc>
          <w:tcPr>
            <w:tcW w:w="680" w:type="dxa"/>
            <w:gridSpan w:val="4"/>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w:t>
            </w:r>
          </w:p>
        </w:tc>
      </w:tr>
      <w:tr w:rsidR="002C39A3" w:rsidRPr="00F944DD" w:rsidTr="00361FA9">
        <w:tc>
          <w:tcPr>
            <w:tcW w:w="737"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1 651</w:t>
            </w:r>
          </w:p>
        </w:tc>
        <w:tc>
          <w:tcPr>
            <w:tcW w:w="273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Other revenue</w:t>
            </w:r>
          </w:p>
        </w:tc>
        <w:tc>
          <w:tcPr>
            <w:tcW w:w="544"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2 215</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2 828</w:t>
            </w:r>
          </w:p>
        </w:tc>
        <w:tc>
          <w:tcPr>
            <w:tcW w:w="816" w:type="dxa"/>
            <w:gridSpan w:val="2"/>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2 171</w:t>
            </w:r>
          </w:p>
        </w:tc>
        <w:tc>
          <w:tcPr>
            <w:tcW w:w="850" w:type="dxa"/>
            <w:gridSpan w:val="4"/>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657</w:t>
            </w:r>
          </w:p>
        </w:tc>
        <w:tc>
          <w:tcPr>
            <w:tcW w:w="680" w:type="dxa"/>
            <w:gridSpan w:val="4"/>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30</w:t>
            </w:r>
          </w:p>
        </w:tc>
      </w:tr>
      <w:tr w:rsidR="002C39A3" w:rsidRPr="00F944DD" w:rsidTr="00361FA9">
        <w:tc>
          <w:tcPr>
            <w:tcW w:w="737"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40 737</w:t>
            </w:r>
          </w:p>
        </w:tc>
        <w:tc>
          <w:tcPr>
            <w:tcW w:w="2738"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Total revenue from transactions</w:t>
            </w:r>
          </w:p>
        </w:tc>
        <w:tc>
          <w:tcPr>
            <w:tcW w:w="544"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69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42 869</w:t>
            </w:r>
          </w:p>
        </w:tc>
        <w:tc>
          <w:tcPr>
            <w:tcW w:w="69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56 470</w:t>
            </w:r>
          </w:p>
        </w:tc>
        <w:tc>
          <w:tcPr>
            <w:tcW w:w="816" w:type="dxa"/>
            <w:gridSpan w:val="2"/>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55 529</w:t>
            </w:r>
          </w:p>
        </w:tc>
        <w:tc>
          <w:tcPr>
            <w:tcW w:w="850" w:type="dxa"/>
            <w:gridSpan w:val="4"/>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941</w:t>
            </w:r>
          </w:p>
        </w:tc>
        <w:tc>
          <w:tcPr>
            <w:tcW w:w="680" w:type="dxa"/>
            <w:gridSpan w:val="4"/>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2</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Expenses from transactions</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81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850" w:type="dxa"/>
            <w:gridSpan w:val="4"/>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680" w:type="dxa"/>
            <w:gridSpan w:val="4"/>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13 947</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Employee expenses</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14 635</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20 057</w:t>
            </w:r>
          </w:p>
        </w:tc>
        <w:tc>
          <w:tcPr>
            <w:tcW w:w="81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19 903</w:t>
            </w:r>
          </w:p>
        </w:tc>
        <w:tc>
          <w:tcPr>
            <w:tcW w:w="850" w:type="dxa"/>
            <w:gridSpan w:val="4"/>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153</w:t>
            </w:r>
          </w:p>
        </w:tc>
        <w:tc>
          <w:tcPr>
            <w:tcW w:w="680" w:type="dxa"/>
            <w:gridSpan w:val="4"/>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762</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Net superannuation interest expense</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7a</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660</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878</w:t>
            </w:r>
          </w:p>
        </w:tc>
        <w:tc>
          <w:tcPr>
            <w:tcW w:w="81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886</w:t>
            </w:r>
          </w:p>
        </w:tc>
        <w:tc>
          <w:tcPr>
            <w:tcW w:w="850" w:type="dxa"/>
            <w:gridSpan w:val="4"/>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(8)</w:t>
            </w:r>
          </w:p>
        </w:tc>
        <w:tc>
          <w:tcPr>
            <w:tcW w:w="680" w:type="dxa"/>
            <w:gridSpan w:val="4"/>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1 517</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Other superannuation</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7a</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1 635</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2 130</w:t>
            </w:r>
          </w:p>
        </w:tc>
        <w:tc>
          <w:tcPr>
            <w:tcW w:w="81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2 102</w:t>
            </w:r>
          </w:p>
        </w:tc>
        <w:tc>
          <w:tcPr>
            <w:tcW w:w="850" w:type="dxa"/>
            <w:gridSpan w:val="4"/>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28</w:t>
            </w:r>
          </w:p>
        </w:tc>
        <w:tc>
          <w:tcPr>
            <w:tcW w:w="680" w:type="dxa"/>
            <w:gridSpan w:val="4"/>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1 809</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Depreciation</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8</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1 806</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2 506</w:t>
            </w:r>
          </w:p>
        </w:tc>
        <w:tc>
          <w:tcPr>
            <w:tcW w:w="81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2 577</w:t>
            </w:r>
          </w:p>
        </w:tc>
        <w:tc>
          <w:tcPr>
            <w:tcW w:w="850" w:type="dxa"/>
            <w:gridSpan w:val="4"/>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(71)</w:t>
            </w:r>
          </w:p>
        </w:tc>
        <w:tc>
          <w:tcPr>
            <w:tcW w:w="680" w:type="dxa"/>
            <w:gridSpan w:val="4"/>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1 559</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Interest expense</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1 554</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2 134</w:t>
            </w:r>
          </w:p>
        </w:tc>
        <w:tc>
          <w:tcPr>
            <w:tcW w:w="81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2 096</w:t>
            </w:r>
          </w:p>
        </w:tc>
        <w:tc>
          <w:tcPr>
            <w:tcW w:w="850" w:type="dxa"/>
            <w:gridSpan w:val="4"/>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38</w:t>
            </w:r>
          </w:p>
        </w:tc>
        <w:tc>
          <w:tcPr>
            <w:tcW w:w="680" w:type="dxa"/>
            <w:gridSpan w:val="4"/>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6 776</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Grant expense</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6 987</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8 547</w:t>
            </w:r>
          </w:p>
        </w:tc>
        <w:tc>
          <w:tcPr>
            <w:tcW w:w="81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8 687</w:t>
            </w:r>
          </w:p>
        </w:tc>
        <w:tc>
          <w:tcPr>
            <w:tcW w:w="850" w:type="dxa"/>
            <w:gridSpan w:val="4"/>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(140)</w:t>
            </w:r>
          </w:p>
        </w:tc>
        <w:tc>
          <w:tcPr>
            <w:tcW w:w="680" w:type="dxa"/>
            <w:gridSpan w:val="4"/>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w:t>
            </w:r>
          </w:p>
        </w:tc>
      </w:tr>
      <w:tr w:rsidR="002C39A3" w:rsidRPr="00F944DD" w:rsidTr="00361FA9">
        <w:tc>
          <w:tcPr>
            <w:tcW w:w="737"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12 494</w:t>
            </w:r>
          </w:p>
        </w:tc>
        <w:tc>
          <w:tcPr>
            <w:tcW w:w="273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Other operating expenses</w:t>
            </w:r>
          </w:p>
        </w:tc>
        <w:tc>
          <w:tcPr>
            <w:tcW w:w="544"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 xml:space="preserve"> </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12 356</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18 331</w:t>
            </w:r>
          </w:p>
        </w:tc>
        <w:tc>
          <w:tcPr>
            <w:tcW w:w="816" w:type="dxa"/>
            <w:gridSpan w:val="2"/>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18 058</w:t>
            </w:r>
          </w:p>
        </w:tc>
        <w:tc>
          <w:tcPr>
            <w:tcW w:w="850" w:type="dxa"/>
            <w:gridSpan w:val="4"/>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272</w:t>
            </w:r>
          </w:p>
        </w:tc>
        <w:tc>
          <w:tcPr>
            <w:tcW w:w="680" w:type="dxa"/>
            <w:gridSpan w:val="4"/>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w:t>
            </w:r>
          </w:p>
        </w:tc>
      </w:tr>
      <w:tr w:rsidR="002C39A3" w:rsidRPr="00F944DD" w:rsidTr="00361FA9">
        <w:tc>
          <w:tcPr>
            <w:tcW w:w="737" w:type="dxa"/>
            <w:tcBorders>
              <w:top w:val="single" w:sz="6" w:space="0" w:color="000000"/>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38 865</w:t>
            </w:r>
          </w:p>
        </w:tc>
        <w:tc>
          <w:tcPr>
            <w:tcW w:w="2738"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Total expenses from transactions</w:t>
            </w:r>
          </w:p>
        </w:tc>
        <w:tc>
          <w:tcPr>
            <w:tcW w:w="544" w:type="dxa"/>
            <w:tcBorders>
              <w:top w:val="single" w:sz="6" w:space="0" w:color="000000"/>
              <w:left w:val="nil"/>
              <w:bottom w:val="single" w:sz="6" w:space="0" w:color="000000"/>
              <w:right w:val="nil"/>
            </w:tcBorders>
            <w:shd w:val="clear" w:color="auto" w:fill="FFFFFF"/>
          </w:tcPr>
          <w:p w:rsidR="002C39A3" w:rsidRPr="00F33682" w:rsidRDefault="002C39A3" w:rsidP="00361FA9">
            <w:pPr>
              <w:autoSpaceDE w:val="0"/>
              <w:autoSpaceDN w:val="0"/>
              <w:adjustRightInd w:val="0"/>
              <w:spacing w:after="0"/>
              <w:jc w:val="center"/>
              <w:rPr>
                <w:rFonts w:ascii="Calibri" w:eastAsiaTheme="minorEastAsia" w:hAnsi="Calibri" w:cs="Calibri"/>
                <w:bCs/>
                <w:color w:val="000000"/>
                <w:sz w:val="17"/>
                <w:szCs w:val="19"/>
                <w:lang w:eastAsia="en-AU"/>
              </w:rPr>
            </w:pPr>
            <w:r w:rsidRPr="00F33682">
              <w:rPr>
                <w:rFonts w:ascii="Calibri" w:eastAsiaTheme="minorEastAsia" w:hAnsi="Calibri" w:cs="Calibri"/>
                <w:bCs/>
                <w:color w:val="000000"/>
                <w:sz w:val="17"/>
                <w:szCs w:val="19"/>
                <w:lang w:eastAsia="en-AU"/>
              </w:rPr>
              <w:t>9</w:t>
            </w:r>
          </w:p>
        </w:tc>
        <w:tc>
          <w:tcPr>
            <w:tcW w:w="697"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39 633</w:t>
            </w:r>
          </w:p>
        </w:tc>
        <w:tc>
          <w:tcPr>
            <w:tcW w:w="697"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54 582</w:t>
            </w:r>
          </w:p>
        </w:tc>
        <w:tc>
          <w:tcPr>
            <w:tcW w:w="816" w:type="dxa"/>
            <w:gridSpan w:val="2"/>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54 310</w:t>
            </w:r>
          </w:p>
        </w:tc>
        <w:tc>
          <w:tcPr>
            <w:tcW w:w="850" w:type="dxa"/>
            <w:gridSpan w:val="4"/>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272</w:t>
            </w:r>
          </w:p>
        </w:tc>
        <w:tc>
          <w:tcPr>
            <w:tcW w:w="680" w:type="dxa"/>
            <w:gridSpan w:val="4"/>
            <w:tcBorders>
              <w:top w:val="single" w:sz="6" w:space="0" w:color="000000"/>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w:t>
            </w:r>
          </w:p>
        </w:tc>
      </w:tr>
      <w:tr w:rsidR="002C39A3" w:rsidRPr="00F944DD" w:rsidTr="00361FA9">
        <w:tc>
          <w:tcPr>
            <w:tcW w:w="737" w:type="dxa"/>
            <w:tcBorders>
              <w:top w:val="single" w:sz="6" w:space="0" w:color="000000"/>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1 872</w:t>
            </w:r>
          </w:p>
        </w:tc>
        <w:tc>
          <w:tcPr>
            <w:tcW w:w="2738"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Net result from transactions – net operating balance</w:t>
            </w:r>
          </w:p>
        </w:tc>
        <w:tc>
          <w:tcPr>
            <w:tcW w:w="544"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697"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3 236</w:t>
            </w:r>
          </w:p>
        </w:tc>
        <w:tc>
          <w:tcPr>
            <w:tcW w:w="697"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1 888</w:t>
            </w:r>
          </w:p>
        </w:tc>
        <w:tc>
          <w:tcPr>
            <w:tcW w:w="816" w:type="dxa"/>
            <w:gridSpan w:val="2"/>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1 219</w:t>
            </w:r>
          </w:p>
        </w:tc>
        <w:tc>
          <w:tcPr>
            <w:tcW w:w="850" w:type="dxa"/>
            <w:gridSpan w:val="4"/>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669</w:t>
            </w:r>
          </w:p>
        </w:tc>
        <w:tc>
          <w:tcPr>
            <w:tcW w:w="680" w:type="dxa"/>
            <w:gridSpan w:val="4"/>
            <w:tcBorders>
              <w:top w:val="single" w:sz="6" w:space="0" w:color="000000"/>
              <w:left w:val="nil"/>
              <w:bottom w:val="single" w:sz="12"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55</w:t>
            </w:r>
          </w:p>
        </w:tc>
      </w:tr>
      <w:tr w:rsidR="002C39A3" w:rsidRPr="00F944DD" w:rsidTr="00361FA9">
        <w:trPr>
          <w:gridAfter w:val="1"/>
          <w:wAfter w:w="108" w:type="dxa"/>
        </w:trPr>
        <w:tc>
          <w:tcPr>
            <w:tcW w:w="737" w:type="dxa"/>
            <w:tcBorders>
              <w:top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5216" w:type="dxa"/>
            <w:gridSpan w:val="5"/>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Other economic flows included in net result</w:t>
            </w:r>
          </w:p>
        </w:tc>
        <w:tc>
          <w:tcPr>
            <w:tcW w:w="283" w:type="dxa"/>
            <w:gridSpan w:val="2"/>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283"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283"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283" w:type="dxa"/>
            <w:gridSpan w:val="2"/>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283"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283" w:type="dxa"/>
            <w:tcBorders>
              <w:top w:val="single" w:sz="12"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47</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Net gain/(loss) on disposal of non-financial assets</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55</w:t>
            </w:r>
          </w:p>
        </w:tc>
        <w:tc>
          <w:tcPr>
            <w:tcW w:w="81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64</w:t>
            </w:r>
          </w:p>
        </w:tc>
        <w:tc>
          <w:tcPr>
            <w:tcW w:w="850" w:type="dxa"/>
            <w:gridSpan w:val="4"/>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(8)</w:t>
            </w:r>
          </w:p>
        </w:tc>
        <w:tc>
          <w:tcPr>
            <w:tcW w:w="680" w:type="dxa"/>
            <w:gridSpan w:val="4"/>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(13)</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81</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Net gain/(loss) on financial assets or liabilities at fair value</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(32)</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w:t>
            </w:r>
          </w:p>
        </w:tc>
        <w:tc>
          <w:tcPr>
            <w:tcW w:w="81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5 402</w:t>
            </w:r>
          </w:p>
        </w:tc>
        <w:tc>
          <w:tcPr>
            <w:tcW w:w="850" w:type="dxa"/>
            <w:gridSpan w:val="4"/>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(5 404)</w:t>
            </w:r>
          </w:p>
        </w:tc>
        <w:tc>
          <w:tcPr>
            <w:tcW w:w="680" w:type="dxa"/>
            <w:gridSpan w:val="4"/>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(100)</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Share of net profit/(loss) from associates/joint venture entities</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w:t>
            </w:r>
          </w:p>
        </w:tc>
        <w:tc>
          <w:tcPr>
            <w:tcW w:w="81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w:t>
            </w:r>
          </w:p>
        </w:tc>
        <w:tc>
          <w:tcPr>
            <w:tcW w:w="850" w:type="dxa"/>
            <w:gridSpan w:val="4"/>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w:t>
            </w:r>
          </w:p>
        </w:tc>
        <w:tc>
          <w:tcPr>
            <w:tcW w:w="680" w:type="dxa"/>
            <w:gridSpan w:val="4"/>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w:t>
            </w:r>
          </w:p>
        </w:tc>
      </w:tr>
      <w:tr w:rsidR="002C39A3" w:rsidRPr="00F944DD" w:rsidTr="00361FA9">
        <w:tc>
          <w:tcPr>
            <w:tcW w:w="737"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(495)</w:t>
            </w:r>
          </w:p>
        </w:tc>
        <w:tc>
          <w:tcPr>
            <w:tcW w:w="273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Other gains/(losses) from other economic flows</w:t>
            </w:r>
          </w:p>
        </w:tc>
        <w:tc>
          <w:tcPr>
            <w:tcW w:w="544"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10</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(385)</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(304)</w:t>
            </w:r>
          </w:p>
        </w:tc>
        <w:tc>
          <w:tcPr>
            <w:tcW w:w="816" w:type="dxa"/>
            <w:gridSpan w:val="2"/>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(318)</w:t>
            </w:r>
          </w:p>
        </w:tc>
        <w:tc>
          <w:tcPr>
            <w:tcW w:w="850" w:type="dxa"/>
            <w:gridSpan w:val="4"/>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15</w:t>
            </w:r>
          </w:p>
        </w:tc>
        <w:tc>
          <w:tcPr>
            <w:tcW w:w="680" w:type="dxa"/>
            <w:gridSpan w:val="4"/>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w:t>
            </w:r>
          </w:p>
        </w:tc>
      </w:tr>
      <w:tr w:rsidR="002C39A3" w:rsidRPr="00F944DD" w:rsidTr="00361FA9">
        <w:tc>
          <w:tcPr>
            <w:tcW w:w="737" w:type="dxa"/>
            <w:tcBorders>
              <w:top w:val="single" w:sz="6" w:space="0" w:color="000000"/>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(367)</w:t>
            </w:r>
          </w:p>
        </w:tc>
        <w:tc>
          <w:tcPr>
            <w:tcW w:w="2738"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Total other economic flows included in net result</w:t>
            </w:r>
          </w:p>
        </w:tc>
        <w:tc>
          <w:tcPr>
            <w:tcW w:w="544"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697"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(417)</w:t>
            </w:r>
          </w:p>
        </w:tc>
        <w:tc>
          <w:tcPr>
            <w:tcW w:w="697"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(250)</w:t>
            </w:r>
          </w:p>
        </w:tc>
        <w:tc>
          <w:tcPr>
            <w:tcW w:w="816" w:type="dxa"/>
            <w:gridSpan w:val="2"/>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5 147</w:t>
            </w:r>
          </w:p>
        </w:tc>
        <w:tc>
          <w:tcPr>
            <w:tcW w:w="850" w:type="dxa"/>
            <w:gridSpan w:val="4"/>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(5 398)</w:t>
            </w:r>
          </w:p>
        </w:tc>
        <w:tc>
          <w:tcPr>
            <w:tcW w:w="680" w:type="dxa"/>
            <w:gridSpan w:val="4"/>
            <w:tcBorders>
              <w:top w:val="single" w:sz="6" w:space="0" w:color="000000"/>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(105)</w:t>
            </w:r>
          </w:p>
        </w:tc>
      </w:tr>
      <w:tr w:rsidR="002C39A3" w:rsidRPr="00F944DD" w:rsidTr="00361FA9">
        <w:tc>
          <w:tcPr>
            <w:tcW w:w="737" w:type="dxa"/>
            <w:tcBorders>
              <w:top w:val="single" w:sz="6" w:space="0" w:color="000000"/>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1 505</w:t>
            </w:r>
          </w:p>
        </w:tc>
        <w:tc>
          <w:tcPr>
            <w:tcW w:w="2738"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Net result</w:t>
            </w:r>
          </w:p>
        </w:tc>
        <w:tc>
          <w:tcPr>
            <w:tcW w:w="544"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697"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2 818</w:t>
            </w:r>
          </w:p>
        </w:tc>
        <w:tc>
          <w:tcPr>
            <w:tcW w:w="697"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1 638</w:t>
            </w:r>
          </w:p>
        </w:tc>
        <w:tc>
          <w:tcPr>
            <w:tcW w:w="816" w:type="dxa"/>
            <w:gridSpan w:val="2"/>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6 366</w:t>
            </w:r>
          </w:p>
        </w:tc>
        <w:tc>
          <w:tcPr>
            <w:tcW w:w="850" w:type="dxa"/>
            <w:gridSpan w:val="4"/>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(4 729)</w:t>
            </w:r>
          </w:p>
        </w:tc>
        <w:tc>
          <w:tcPr>
            <w:tcW w:w="680" w:type="dxa"/>
            <w:gridSpan w:val="4"/>
            <w:tcBorders>
              <w:top w:val="single" w:sz="6" w:space="0" w:color="000000"/>
              <w:left w:val="nil"/>
              <w:bottom w:val="single" w:sz="12"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(74)</w:t>
            </w:r>
          </w:p>
        </w:tc>
      </w:tr>
      <w:tr w:rsidR="002C39A3" w:rsidRPr="00F944DD" w:rsidTr="00361FA9">
        <w:trPr>
          <w:gridAfter w:val="1"/>
          <w:wAfter w:w="108" w:type="dxa"/>
        </w:trPr>
        <w:tc>
          <w:tcPr>
            <w:tcW w:w="737" w:type="dxa"/>
            <w:tcBorders>
              <w:top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5216" w:type="dxa"/>
            <w:gridSpan w:val="5"/>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Other economic flows – other comprehensive income</w:t>
            </w:r>
          </w:p>
        </w:tc>
        <w:tc>
          <w:tcPr>
            <w:tcW w:w="283" w:type="dxa"/>
            <w:gridSpan w:val="2"/>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283"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283"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283" w:type="dxa"/>
            <w:gridSpan w:val="2"/>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283"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283" w:type="dxa"/>
            <w:tcBorders>
              <w:top w:val="single" w:sz="12"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r>
      <w:tr w:rsidR="002C39A3" w:rsidRPr="00F944DD" w:rsidTr="00361FA9">
        <w:trPr>
          <w:gridAfter w:val="1"/>
          <w:wAfter w:w="108" w:type="dxa"/>
        </w:trPr>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5216" w:type="dxa"/>
            <w:gridSpan w:val="5"/>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Items that will not be reclassified to net result</w:t>
            </w:r>
          </w:p>
        </w:tc>
        <w:tc>
          <w:tcPr>
            <w:tcW w:w="283"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283"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283"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283"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283"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283"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(76)</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Changes in non-financial assets revaluation surplus</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(22)</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472</w:t>
            </w:r>
          </w:p>
        </w:tc>
        <w:tc>
          <w:tcPr>
            <w:tcW w:w="81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756</w:t>
            </w:r>
          </w:p>
        </w:tc>
        <w:tc>
          <w:tcPr>
            <w:tcW w:w="850" w:type="dxa"/>
            <w:gridSpan w:val="4"/>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(284)</w:t>
            </w:r>
          </w:p>
        </w:tc>
        <w:tc>
          <w:tcPr>
            <w:tcW w:w="680" w:type="dxa"/>
            <w:gridSpan w:val="4"/>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(38)</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(4 436)</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Remeasurement of superannuation defined benefits plans</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7a</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(1 978)</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(1 791)</w:t>
            </w:r>
          </w:p>
        </w:tc>
        <w:tc>
          <w:tcPr>
            <w:tcW w:w="81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962</w:t>
            </w:r>
          </w:p>
        </w:tc>
        <w:tc>
          <w:tcPr>
            <w:tcW w:w="850" w:type="dxa"/>
            <w:gridSpan w:val="4"/>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(2 754)</w:t>
            </w:r>
          </w:p>
        </w:tc>
        <w:tc>
          <w:tcPr>
            <w:tcW w:w="680" w:type="dxa"/>
            <w:gridSpan w:val="4"/>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(286)</w:t>
            </w:r>
          </w:p>
        </w:tc>
      </w:tr>
      <w:tr w:rsidR="002C39A3" w:rsidRPr="00F944DD" w:rsidTr="00361FA9">
        <w:tc>
          <w:tcPr>
            <w:tcW w:w="737" w:type="dxa"/>
            <w:tcBorders>
              <w:top w:val="nil"/>
              <w:bottom w:val="single" w:sz="4"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(629)</w:t>
            </w:r>
          </w:p>
        </w:tc>
        <w:tc>
          <w:tcPr>
            <w:tcW w:w="2738" w:type="dxa"/>
            <w:tcBorders>
              <w:top w:val="nil"/>
              <w:left w:val="nil"/>
              <w:bottom w:val="single" w:sz="4"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Other movements in equity</w:t>
            </w:r>
          </w:p>
        </w:tc>
        <w:tc>
          <w:tcPr>
            <w:tcW w:w="544" w:type="dxa"/>
            <w:tcBorders>
              <w:top w:val="nil"/>
              <w:left w:val="nil"/>
              <w:bottom w:val="single" w:sz="4" w:space="0" w:color="auto"/>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 xml:space="preserve"> </w:t>
            </w:r>
          </w:p>
        </w:tc>
        <w:tc>
          <w:tcPr>
            <w:tcW w:w="697" w:type="dxa"/>
            <w:tcBorders>
              <w:top w:val="nil"/>
              <w:left w:val="nil"/>
              <w:bottom w:val="single" w:sz="4"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9</w:t>
            </w:r>
          </w:p>
        </w:tc>
        <w:tc>
          <w:tcPr>
            <w:tcW w:w="697" w:type="dxa"/>
            <w:tcBorders>
              <w:top w:val="nil"/>
              <w:left w:val="nil"/>
              <w:bottom w:val="single" w:sz="4"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34</w:t>
            </w:r>
          </w:p>
        </w:tc>
        <w:tc>
          <w:tcPr>
            <w:tcW w:w="816" w:type="dxa"/>
            <w:gridSpan w:val="2"/>
            <w:tcBorders>
              <w:top w:val="nil"/>
              <w:left w:val="nil"/>
              <w:bottom w:val="single" w:sz="4"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w:t>
            </w:r>
          </w:p>
        </w:tc>
        <w:tc>
          <w:tcPr>
            <w:tcW w:w="850" w:type="dxa"/>
            <w:gridSpan w:val="4"/>
            <w:tcBorders>
              <w:top w:val="nil"/>
              <w:left w:val="nil"/>
              <w:bottom w:val="single" w:sz="4"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28</w:t>
            </w:r>
          </w:p>
        </w:tc>
        <w:tc>
          <w:tcPr>
            <w:tcW w:w="680" w:type="dxa"/>
            <w:gridSpan w:val="4"/>
            <w:tcBorders>
              <w:top w:val="nil"/>
              <w:left w:val="nil"/>
              <w:bottom w:val="single" w:sz="4"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495</w:t>
            </w:r>
          </w:p>
        </w:tc>
      </w:tr>
    </w:tbl>
    <w:p w:rsidR="002C39A3" w:rsidRDefault="002C39A3" w:rsidP="00361FA9">
      <w:pPr>
        <w:pStyle w:val="Tableheadingcontinued"/>
      </w:pPr>
    </w:p>
    <w:p w:rsidR="002C39A3" w:rsidRDefault="002C39A3" w:rsidP="00361FA9">
      <w:pPr>
        <w:pStyle w:val="Heading1"/>
      </w:pPr>
      <w:r>
        <w:br w:type="page"/>
      </w:r>
    </w:p>
    <w:p w:rsidR="002C39A3" w:rsidRDefault="002C39A3" w:rsidP="00361FA9">
      <w:pPr>
        <w:pStyle w:val="Tableheadingcontinued"/>
      </w:pPr>
      <w:r>
        <w:t>Table B.1:</w:t>
      </w:r>
      <w:r>
        <w:tab/>
        <w:t xml:space="preserve">Comprehensive operating statement for the period ended 31 March </w:t>
      </w:r>
      <w:r w:rsidRPr="00D417D0">
        <w:rPr>
          <w:i/>
        </w:rPr>
        <w:t>(continued)</w:t>
      </w:r>
    </w:p>
    <w:p w:rsidR="002C39A3" w:rsidRDefault="002C39A3" w:rsidP="00361FA9">
      <w:pPr>
        <w:pStyle w:val="million"/>
      </w:pPr>
      <w:r>
        <w:t>($ million)</w:t>
      </w:r>
    </w:p>
    <w:tbl>
      <w:tblPr>
        <w:tblW w:w="7759" w:type="dxa"/>
        <w:tblInd w:w="45" w:type="dxa"/>
        <w:tblLayout w:type="fixed"/>
        <w:tblCellMar>
          <w:left w:w="45" w:type="dxa"/>
          <w:right w:w="45" w:type="dxa"/>
        </w:tblCellMar>
        <w:tblLook w:val="0000" w:firstRow="0" w:lastRow="0" w:firstColumn="0" w:lastColumn="0" w:noHBand="0" w:noVBand="0"/>
      </w:tblPr>
      <w:tblGrid>
        <w:gridCol w:w="737"/>
        <w:gridCol w:w="2738"/>
        <w:gridCol w:w="544"/>
        <w:gridCol w:w="697"/>
        <w:gridCol w:w="697"/>
        <w:gridCol w:w="540"/>
        <w:gridCol w:w="276"/>
        <w:gridCol w:w="7"/>
        <w:gridCol w:w="283"/>
        <w:gridCol w:w="283"/>
        <w:gridCol w:w="277"/>
        <w:gridCol w:w="6"/>
        <w:gridCol w:w="283"/>
        <w:gridCol w:w="283"/>
        <w:gridCol w:w="108"/>
      </w:tblGrid>
      <w:tr w:rsidR="00251C6B" w:rsidRPr="00F944DD" w:rsidTr="003C66D7">
        <w:trPr>
          <w:trHeight w:val="831"/>
          <w:tblHeader/>
        </w:trPr>
        <w:tc>
          <w:tcPr>
            <w:tcW w:w="737" w:type="dxa"/>
            <w:tcBorders>
              <w:right w:val="nil"/>
            </w:tcBorders>
            <w:shd w:val="solid" w:color="000000" w:fill="auto"/>
            <w:vAlign w:val="bottom"/>
          </w:tcPr>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7"/>
                <w:szCs w:val="19"/>
                <w:lang w:eastAsia="en-AU"/>
              </w:rPr>
            </w:pPr>
            <w:r w:rsidRPr="00251C6B">
              <w:rPr>
                <w:rFonts w:ascii="Calibri" w:eastAsiaTheme="minorEastAsia" w:hAnsi="Calibri" w:cs="Calibri"/>
                <w:i/>
                <w:iCs/>
                <w:color w:val="FFFFFF"/>
                <w:sz w:val="17"/>
                <w:szCs w:val="19"/>
                <w:lang w:eastAsia="en-AU"/>
              </w:rPr>
              <w:t xml:space="preserve">2014-15 </w:t>
            </w:r>
            <w:r w:rsidRPr="00F944DD">
              <w:rPr>
                <w:rFonts w:ascii="Calibri" w:eastAsiaTheme="minorEastAsia" w:hAnsi="Calibri" w:cs="Calibri"/>
                <w:i/>
                <w:iCs/>
                <w:color w:val="FFFFFF"/>
                <w:sz w:val="17"/>
                <w:szCs w:val="19"/>
                <w:lang w:eastAsia="en-AU"/>
              </w:rPr>
              <w:t xml:space="preserve">Actual </w:t>
            </w:r>
          </w:p>
          <w:p w:rsidR="00251C6B" w:rsidRPr="00F944DD" w:rsidRDefault="00251C6B" w:rsidP="003C66D7">
            <w:pPr>
              <w:autoSpaceDE w:val="0"/>
              <w:autoSpaceDN w:val="0"/>
              <w:adjustRightInd w:val="0"/>
              <w:spacing w:after="0"/>
              <w:jc w:val="right"/>
              <w:rPr>
                <w:rFonts w:eastAsiaTheme="minorEastAsia" w:cs="Calibri"/>
                <w:iCs/>
                <w:color w:val="FFFFFF"/>
                <w:sz w:val="17"/>
                <w:szCs w:val="19"/>
                <w:lang w:eastAsia="en-AU"/>
              </w:rPr>
            </w:pPr>
            <w:r w:rsidRPr="00F944DD">
              <w:rPr>
                <w:rFonts w:ascii="Calibri" w:eastAsiaTheme="minorEastAsia" w:hAnsi="Calibri" w:cs="Calibri"/>
                <w:i/>
                <w:iCs/>
                <w:color w:val="FFFFFF"/>
                <w:sz w:val="17"/>
                <w:szCs w:val="19"/>
                <w:lang w:eastAsia="en-AU"/>
              </w:rPr>
              <w:t>to Mar</w:t>
            </w:r>
            <w:r>
              <w:rPr>
                <w:rFonts w:ascii="Calibri" w:eastAsiaTheme="minorEastAsia" w:hAnsi="Calibri" w:cs="Calibri"/>
                <w:i/>
                <w:iCs/>
                <w:color w:val="FFFFFF"/>
                <w:sz w:val="17"/>
                <w:szCs w:val="19"/>
                <w:lang w:eastAsia="en-AU"/>
              </w:rPr>
              <w:t xml:space="preserve"> </w:t>
            </w:r>
            <w:r w:rsidRPr="00345E3E">
              <w:rPr>
                <w:rFonts w:ascii="Calibri" w:eastAsiaTheme="minorEastAsia" w:hAnsi="Calibri" w:cs="Calibri"/>
                <w:i/>
                <w:iCs/>
                <w:color w:val="FFFFFF"/>
                <w:sz w:val="17"/>
                <w:szCs w:val="19"/>
                <w:vertAlign w:val="superscript"/>
                <w:lang w:eastAsia="en-AU"/>
              </w:rPr>
              <w:t>(a)</w:t>
            </w:r>
          </w:p>
        </w:tc>
        <w:tc>
          <w:tcPr>
            <w:tcW w:w="2738" w:type="dxa"/>
            <w:tcBorders>
              <w:left w:val="nil"/>
              <w:right w:val="nil"/>
            </w:tcBorders>
            <w:shd w:val="solid" w:color="000000" w:fill="auto"/>
            <w:vAlign w:val="bottom"/>
          </w:tcPr>
          <w:p w:rsidR="00251C6B" w:rsidRPr="00F944DD" w:rsidRDefault="00251C6B" w:rsidP="003C66D7">
            <w:pPr>
              <w:autoSpaceDE w:val="0"/>
              <w:autoSpaceDN w:val="0"/>
              <w:adjustRightInd w:val="0"/>
              <w:spacing w:after="0"/>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 xml:space="preserve"> </w:t>
            </w:r>
          </w:p>
        </w:tc>
        <w:tc>
          <w:tcPr>
            <w:tcW w:w="544" w:type="dxa"/>
            <w:tcBorders>
              <w:left w:val="nil"/>
              <w:right w:val="nil"/>
            </w:tcBorders>
            <w:shd w:val="solid" w:color="000000" w:fill="auto"/>
            <w:vAlign w:val="bottom"/>
          </w:tcPr>
          <w:p w:rsidR="00251C6B" w:rsidRPr="00F944DD" w:rsidRDefault="00251C6B" w:rsidP="003C66D7">
            <w:pPr>
              <w:autoSpaceDE w:val="0"/>
              <w:autoSpaceDN w:val="0"/>
              <w:adjustRightInd w:val="0"/>
              <w:spacing w:after="0"/>
              <w:jc w:val="center"/>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Notes</w:t>
            </w:r>
          </w:p>
        </w:tc>
        <w:tc>
          <w:tcPr>
            <w:tcW w:w="697" w:type="dxa"/>
            <w:tcBorders>
              <w:left w:val="nil"/>
              <w:right w:val="nil"/>
            </w:tcBorders>
            <w:shd w:val="solid" w:color="000000" w:fill="auto"/>
            <w:vAlign w:val="bottom"/>
          </w:tcPr>
          <w:p w:rsidR="00251C6B" w:rsidRDefault="00251C6B" w:rsidP="003C66D7">
            <w:pPr>
              <w:autoSpaceDE w:val="0"/>
              <w:autoSpaceDN w:val="0"/>
              <w:adjustRightInd w:val="0"/>
              <w:spacing w:after="0"/>
              <w:jc w:val="right"/>
              <w:rPr>
                <w:rFonts w:ascii="Calibri" w:eastAsiaTheme="minorEastAsia" w:hAnsi="Calibri" w:cs="Calibri"/>
                <w:i/>
                <w:iCs/>
                <w:color w:val="FFFFFF"/>
                <w:sz w:val="17"/>
                <w:szCs w:val="19"/>
                <w:lang w:eastAsia="en-AU"/>
              </w:rPr>
            </w:pPr>
            <w:r w:rsidRPr="00251C6B">
              <w:rPr>
                <w:rFonts w:ascii="Calibri" w:eastAsiaTheme="minorEastAsia" w:hAnsi="Calibri" w:cs="Calibri"/>
                <w:i/>
                <w:iCs/>
                <w:color w:val="FFFFFF"/>
                <w:sz w:val="17"/>
                <w:szCs w:val="19"/>
                <w:lang w:eastAsia="en-AU"/>
              </w:rPr>
              <w:t>2015-16</w:t>
            </w:r>
          </w:p>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 xml:space="preserve">Actual </w:t>
            </w:r>
          </w:p>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to Mar</w:t>
            </w:r>
          </w:p>
        </w:tc>
        <w:tc>
          <w:tcPr>
            <w:tcW w:w="697" w:type="dxa"/>
            <w:tcBorders>
              <w:left w:val="nil"/>
              <w:right w:val="nil"/>
            </w:tcBorders>
            <w:shd w:val="solid" w:color="000000" w:fill="auto"/>
            <w:vAlign w:val="bottom"/>
          </w:tcPr>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 xml:space="preserve"> </w:t>
            </w:r>
          </w:p>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Revised</w:t>
            </w:r>
          </w:p>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budget</w:t>
            </w:r>
          </w:p>
        </w:tc>
        <w:tc>
          <w:tcPr>
            <w:tcW w:w="816" w:type="dxa"/>
            <w:gridSpan w:val="2"/>
            <w:tcBorders>
              <w:left w:val="nil"/>
              <w:right w:val="nil"/>
            </w:tcBorders>
            <w:shd w:val="solid" w:color="000000" w:fill="auto"/>
            <w:vAlign w:val="bottom"/>
          </w:tcPr>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 xml:space="preserve"> </w:t>
            </w:r>
          </w:p>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Published</w:t>
            </w:r>
          </w:p>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budget</w:t>
            </w:r>
          </w:p>
        </w:tc>
        <w:tc>
          <w:tcPr>
            <w:tcW w:w="850" w:type="dxa"/>
            <w:gridSpan w:val="4"/>
            <w:tcBorders>
              <w:left w:val="nil"/>
              <w:right w:val="nil"/>
            </w:tcBorders>
            <w:shd w:val="solid" w:color="000000" w:fill="auto"/>
            <w:vAlign w:val="bottom"/>
          </w:tcPr>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 xml:space="preserve">Budget to </w:t>
            </w:r>
          </w:p>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 xml:space="preserve"> revised budget</w:t>
            </w:r>
          </w:p>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change</w:t>
            </w:r>
          </w:p>
        </w:tc>
        <w:tc>
          <w:tcPr>
            <w:tcW w:w="680" w:type="dxa"/>
            <w:gridSpan w:val="4"/>
            <w:tcBorders>
              <w:left w:val="nil"/>
            </w:tcBorders>
            <w:shd w:val="solid" w:color="000000" w:fill="auto"/>
            <w:vAlign w:val="bottom"/>
          </w:tcPr>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 xml:space="preserve"> </w:t>
            </w:r>
          </w:p>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Change</w:t>
            </w:r>
          </w:p>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w:t>
            </w:r>
          </w:p>
        </w:tc>
      </w:tr>
      <w:tr w:rsidR="002C39A3" w:rsidRPr="00F944DD" w:rsidTr="00361FA9">
        <w:trPr>
          <w:gridAfter w:val="1"/>
          <w:wAfter w:w="108" w:type="dxa"/>
        </w:trPr>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5216" w:type="dxa"/>
            <w:gridSpan w:val="5"/>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Items that may be reclassified subsequently to net result</w:t>
            </w:r>
          </w:p>
        </w:tc>
        <w:tc>
          <w:tcPr>
            <w:tcW w:w="283"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283"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283"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283"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283"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283"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(46)</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Net gain/(loss) on financial assets at fair value</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(54)</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w:t>
            </w:r>
          </w:p>
        </w:tc>
        <w:tc>
          <w:tcPr>
            <w:tcW w:w="81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w:t>
            </w:r>
          </w:p>
        </w:tc>
        <w:tc>
          <w:tcPr>
            <w:tcW w:w="850" w:type="dxa"/>
            <w:gridSpan w:val="4"/>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w:t>
            </w:r>
          </w:p>
        </w:tc>
        <w:tc>
          <w:tcPr>
            <w:tcW w:w="680" w:type="dxa"/>
            <w:gridSpan w:val="4"/>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Pr>
                <w:rFonts w:ascii="Calibri" w:eastAsiaTheme="minorEastAsia" w:hAnsi="Calibri" w:cs="Calibri"/>
                <w:color w:val="000000"/>
                <w:sz w:val="17"/>
                <w:szCs w:val="19"/>
                <w:lang w:eastAsia="en-AU"/>
              </w:rPr>
              <w:t>..</w:t>
            </w:r>
          </w:p>
        </w:tc>
      </w:tr>
      <w:tr w:rsidR="002C39A3" w:rsidRPr="00F944DD" w:rsidTr="00361FA9">
        <w:tc>
          <w:tcPr>
            <w:tcW w:w="737"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w:t>
            </w:r>
          </w:p>
        </w:tc>
        <w:tc>
          <w:tcPr>
            <w:tcW w:w="273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Net gain/(loss) on equity investments in other sector entities at proportional share of the carrying amount of net assets</w:t>
            </w:r>
          </w:p>
        </w:tc>
        <w:tc>
          <w:tcPr>
            <w:tcW w:w="544"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 xml:space="preserve"> </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(246)</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1 471</w:t>
            </w:r>
          </w:p>
        </w:tc>
        <w:tc>
          <w:tcPr>
            <w:tcW w:w="816" w:type="dxa"/>
            <w:gridSpan w:val="2"/>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w:t>
            </w:r>
          </w:p>
        </w:tc>
        <w:tc>
          <w:tcPr>
            <w:tcW w:w="850" w:type="dxa"/>
            <w:gridSpan w:val="4"/>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1 470</w:t>
            </w:r>
          </w:p>
        </w:tc>
        <w:tc>
          <w:tcPr>
            <w:tcW w:w="680" w:type="dxa"/>
            <w:gridSpan w:val="4"/>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Pr>
                <w:rFonts w:ascii="Calibri" w:eastAsiaTheme="minorEastAsia" w:hAnsi="Calibri" w:cs="Calibri"/>
                <w:color w:val="000000"/>
                <w:sz w:val="17"/>
                <w:szCs w:val="19"/>
                <w:lang w:eastAsia="en-AU"/>
              </w:rPr>
              <w:t>n.a.</w:t>
            </w:r>
          </w:p>
        </w:tc>
      </w:tr>
      <w:tr w:rsidR="002C39A3" w:rsidRPr="00F944DD" w:rsidTr="00361FA9">
        <w:tc>
          <w:tcPr>
            <w:tcW w:w="737" w:type="dxa"/>
            <w:tcBorders>
              <w:top w:val="single" w:sz="6" w:space="0" w:color="000000"/>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(5 185)</w:t>
            </w:r>
          </w:p>
        </w:tc>
        <w:tc>
          <w:tcPr>
            <w:tcW w:w="2738"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Total other economic flows – other comprehensive income</w:t>
            </w:r>
          </w:p>
        </w:tc>
        <w:tc>
          <w:tcPr>
            <w:tcW w:w="544"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697"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(2 290)</w:t>
            </w:r>
          </w:p>
        </w:tc>
        <w:tc>
          <w:tcPr>
            <w:tcW w:w="697"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187</w:t>
            </w:r>
          </w:p>
        </w:tc>
        <w:tc>
          <w:tcPr>
            <w:tcW w:w="816" w:type="dxa"/>
            <w:gridSpan w:val="2"/>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1 727</w:t>
            </w:r>
          </w:p>
        </w:tc>
        <w:tc>
          <w:tcPr>
            <w:tcW w:w="850" w:type="dxa"/>
            <w:gridSpan w:val="4"/>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(1 540)</w:t>
            </w:r>
          </w:p>
        </w:tc>
        <w:tc>
          <w:tcPr>
            <w:tcW w:w="680" w:type="dxa"/>
            <w:gridSpan w:val="4"/>
            <w:tcBorders>
              <w:top w:val="single" w:sz="6" w:space="0" w:color="000000"/>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(89)</w:t>
            </w:r>
          </w:p>
        </w:tc>
      </w:tr>
      <w:tr w:rsidR="002C39A3" w:rsidRPr="00F944DD" w:rsidTr="00361FA9">
        <w:tc>
          <w:tcPr>
            <w:tcW w:w="737" w:type="dxa"/>
            <w:tcBorders>
              <w:top w:val="single" w:sz="6" w:space="0" w:color="000000"/>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(3 679)</w:t>
            </w:r>
          </w:p>
        </w:tc>
        <w:tc>
          <w:tcPr>
            <w:tcW w:w="2738"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Comprehensive result – total change in net worth</w:t>
            </w:r>
          </w:p>
        </w:tc>
        <w:tc>
          <w:tcPr>
            <w:tcW w:w="544"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697"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528</w:t>
            </w:r>
          </w:p>
        </w:tc>
        <w:tc>
          <w:tcPr>
            <w:tcW w:w="697"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1 824</w:t>
            </w:r>
          </w:p>
        </w:tc>
        <w:tc>
          <w:tcPr>
            <w:tcW w:w="816" w:type="dxa"/>
            <w:gridSpan w:val="2"/>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8 093</w:t>
            </w:r>
          </w:p>
        </w:tc>
        <w:tc>
          <w:tcPr>
            <w:tcW w:w="850" w:type="dxa"/>
            <w:gridSpan w:val="4"/>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(6 269)</w:t>
            </w:r>
          </w:p>
        </w:tc>
        <w:tc>
          <w:tcPr>
            <w:tcW w:w="680" w:type="dxa"/>
            <w:gridSpan w:val="4"/>
            <w:tcBorders>
              <w:top w:val="single" w:sz="6" w:space="0" w:color="000000"/>
              <w:left w:val="nil"/>
              <w:bottom w:val="single" w:sz="12"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(77)</w:t>
            </w:r>
          </w:p>
        </w:tc>
      </w:tr>
      <w:tr w:rsidR="00251C6B" w:rsidRPr="00F944DD" w:rsidTr="006A4B25">
        <w:trPr>
          <w:trHeight w:hRule="exact" w:val="120"/>
        </w:trPr>
        <w:tc>
          <w:tcPr>
            <w:tcW w:w="7759" w:type="dxa"/>
            <w:gridSpan w:val="15"/>
            <w:tcBorders>
              <w:top w:val="single" w:sz="12" w:space="0" w:color="000000"/>
            </w:tcBorders>
            <w:shd w:val="clear" w:color="auto" w:fill="FFFFFF"/>
          </w:tcPr>
          <w:p w:rsidR="00251C6B" w:rsidRPr="00F944DD" w:rsidRDefault="00251C6B" w:rsidP="00361FA9">
            <w:pPr>
              <w:autoSpaceDE w:val="0"/>
              <w:autoSpaceDN w:val="0"/>
              <w:adjustRightInd w:val="0"/>
              <w:spacing w:after="0"/>
              <w:jc w:val="right"/>
              <w:rPr>
                <w:rFonts w:ascii="Calibri" w:eastAsiaTheme="minorEastAsia" w:hAnsi="Calibri" w:cs="Calibri"/>
                <w:color w:val="000000"/>
                <w:sz w:val="17"/>
                <w:szCs w:val="19"/>
                <w:lang w:eastAsia="en-AU"/>
              </w:rPr>
            </w:pP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KEY FISCAL AGGREGATES</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81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850" w:type="dxa"/>
            <w:gridSpan w:val="4"/>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680" w:type="dxa"/>
            <w:gridSpan w:val="4"/>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1 872</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Net operating balance</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3 236</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1 888</w:t>
            </w:r>
          </w:p>
        </w:tc>
        <w:tc>
          <w:tcPr>
            <w:tcW w:w="81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1 219</w:t>
            </w:r>
          </w:p>
        </w:tc>
        <w:tc>
          <w:tcPr>
            <w:tcW w:w="850" w:type="dxa"/>
            <w:gridSpan w:val="4"/>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669</w:t>
            </w:r>
          </w:p>
        </w:tc>
        <w:tc>
          <w:tcPr>
            <w:tcW w:w="680" w:type="dxa"/>
            <w:gridSpan w:val="4"/>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55</w:t>
            </w:r>
          </w:p>
        </w:tc>
      </w:tr>
      <w:tr w:rsidR="002C39A3" w:rsidRPr="00F944DD" w:rsidTr="00361FA9">
        <w:tc>
          <w:tcPr>
            <w:tcW w:w="737"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(62)</w:t>
            </w:r>
          </w:p>
        </w:tc>
        <w:tc>
          <w:tcPr>
            <w:tcW w:w="273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Less: Net acquisition of non-financial assets from transactions</w:t>
            </w:r>
          </w:p>
        </w:tc>
        <w:tc>
          <w:tcPr>
            <w:tcW w:w="544"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11</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551</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573</w:t>
            </w:r>
          </w:p>
        </w:tc>
        <w:tc>
          <w:tcPr>
            <w:tcW w:w="816" w:type="dxa"/>
            <w:gridSpan w:val="2"/>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1 369</w:t>
            </w:r>
          </w:p>
        </w:tc>
        <w:tc>
          <w:tcPr>
            <w:tcW w:w="850" w:type="dxa"/>
            <w:gridSpan w:val="4"/>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(796)</w:t>
            </w:r>
          </w:p>
        </w:tc>
        <w:tc>
          <w:tcPr>
            <w:tcW w:w="680" w:type="dxa"/>
            <w:gridSpan w:val="4"/>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(58)</w:t>
            </w:r>
          </w:p>
        </w:tc>
      </w:tr>
      <w:tr w:rsidR="002C39A3" w:rsidRPr="00F944DD" w:rsidTr="00361FA9">
        <w:tc>
          <w:tcPr>
            <w:tcW w:w="737" w:type="dxa"/>
            <w:tcBorders>
              <w:top w:val="single" w:sz="6" w:space="0" w:color="000000"/>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1 934</w:t>
            </w:r>
          </w:p>
        </w:tc>
        <w:tc>
          <w:tcPr>
            <w:tcW w:w="2738"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Net lending/(borrowing)</w:t>
            </w:r>
          </w:p>
        </w:tc>
        <w:tc>
          <w:tcPr>
            <w:tcW w:w="544"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 </w:t>
            </w:r>
          </w:p>
        </w:tc>
        <w:tc>
          <w:tcPr>
            <w:tcW w:w="697"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2 684</w:t>
            </w:r>
          </w:p>
        </w:tc>
        <w:tc>
          <w:tcPr>
            <w:tcW w:w="697"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1 314</w:t>
            </w:r>
          </w:p>
        </w:tc>
        <w:tc>
          <w:tcPr>
            <w:tcW w:w="816" w:type="dxa"/>
            <w:gridSpan w:val="2"/>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(150)</w:t>
            </w:r>
          </w:p>
        </w:tc>
        <w:tc>
          <w:tcPr>
            <w:tcW w:w="850" w:type="dxa"/>
            <w:gridSpan w:val="4"/>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1 465</w:t>
            </w:r>
          </w:p>
        </w:tc>
        <w:tc>
          <w:tcPr>
            <w:tcW w:w="680" w:type="dxa"/>
            <w:gridSpan w:val="4"/>
            <w:tcBorders>
              <w:top w:val="single" w:sz="6" w:space="0" w:color="000000"/>
              <w:left w:val="nil"/>
              <w:bottom w:val="single" w:sz="12"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(973)</w:t>
            </w:r>
          </w:p>
        </w:tc>
      </w:tr>
    </w:tbl>
    <w:p w:rsidR="002C39A3" w:rsidRDefault="002C39A3" w:rsidP="00361FA9">
      <w:pPr>
        <w:pStyle w:val="Source"/>
      </w:pPr>
      <w:r>
        <w:t>Source: Department of Treasury and Finance</w:t>
      </w:r>
    </w:p>
    <w:p w:rsidR="002C39A3" w:rsidRDefault="002C39A3" w:rsidP="00361FA9">
      <w:pPr>
        <w:pStyle w:val="Notes"/>
      </w:pPr>
      <w:r>
        <w:t>The accompanying notes form part of these financial statements.</w:t>
      </w:r>
    </w:p>
    <w:p w:rsidR="002C39A3" w:rsidRDefault="002C39A3" w:rsidP="00361FA9">
      <w:pPr>
        <w:pStyle w:val="Notes"/>
      </w:pPr>
    </w:p>
    <w:p w:rsidR="002C39A3" w:rsidRDefault="002C39A3" w:rsidP="00361FA9">
      <w:pPr>
        <w:pStyle w:val="Notes"/>
      </w:pPr>
      <w:r>
        <w:t>Note:</w:t>
      </w:r>
    </w:p>
    <w:p w:rsidR="002C39A3" w:rsidRDefault="002C39A3" w:rsidP="00361FA9">
      <w:pPr>
        <w:pStyle w:val="Notes"/>
        <w:rPr>
          <w:i w:val="0"/>
        </w:rPr>
      </w:pPr>
      <w:r>
        <w:t>(a)</w:t>
      </w:r>
      <w:r>
        <w:tab/>
        <w:t>Certain March 2015 comparative figures have been restated to reflect more current information.</w:t>
      </w:r>
    </w:p>
    <w:p w:rsidR="002C39A3" w:rsidRPr="001141F2" w:rsidRDefault="002C39A3" w:rsidP="00361FA9">
      <w:pPr>
        <w:pStyle w:val="Notes"/>
      </w:pPr>
    </w:p>
    <w:p w:rsidR="002C39A3" w:rsidRDefault="002C39A3">
      <w:pPr>
        <w:spacing w:after="0"/>
        <w:rPr>
          <w:rFonts w:ascii="Calibri" w:hAnsi="Calibri"/>
          <w:b/>
        </w:rPr>
      </w:pPr>
      <w:r>
        <w:br w:type="page"/>
      </w:r>
    </w:p>
    <w:p w:rsidR="002C39A3" w:rsidRDefault="002C39A3" w:rsidP="00361FA9">
      <w:pPr>
        <w:pStyle w:val="Tableheading"/>
      </w:pPr>
      <w:r>
        <w:t>Table B.2:</w:t>
      </w:r>
      <w:r>
        <w:tab/>
        <w:t>Balance sheet as at 31 March</w:t>
      </w:r>
    </w:p>
    <w:p w:rsidR="002C39A3" w:rsidRPr="00F944DD" w:rsidRDefault="002C39A3" w:rsidP="00361FA9">
      <w:pPr>
        <w:pStyle w:val="million"/>
      </w:pPr>
      <w:r>
        <w:t>($ million)</w:t>
      </w:r>
    </w:p>
    <w:tbl>
      <w:tblPr>
        <w:tblW w:w="7821" w:type="dxa"/>
        <w:tblInd w:w="45" w:type="dxa"/>
        <w:tblLayout w:type="fixed"/>
        <w:tblCellMar>
          <w:left w:w="45" w:type="dxa"/>
          <w:right w:w="45" w:type="dxa"/>
        </w:tblCellMar>
        <w:tblLook w:val="0000" w:firstRow="0" w:lastRow="0" w:firstColumn="0" w:lastColumn="0" w:noHBand="0" w:noVBand="0"/>
      </w:tblPr>
      <w:tblGrid>
        <w:gridCol w:w="784"/>
        <w:gridCol w:w="1960"/>
        <w:gridCol w:w="546"/>
        <w:gridCol w:w="714"/>
        <w:gridCol w:w="756"/>
        <w:gridCol w:w="644"/>
        <w:gridCol w:w="717"/>
        <w:gridCol w:w="850"/>
        <w:gridCol w:w="850"/>
      </w:tblGrid>
      <w:tr w:rsidR="00251C6B" w:rsidRPr="00F944DD" w:rsidTr="0001196A">
        <w:trPr>
          <w:trHeight w:val="781"/>
          <w:tblHeader/>
        </w:trPr>
        <w:tc>
          <w:tcPr>
            <w:tcW w:w="784" w:type="dxa"/>
            <w:tcBorders>
              <w:right w:val="nil"/>
            </w:tcBorders>
            <w:shd w:val="solid" w:color="000000" w:fill="auto"/>
            <w:vAlign w:val="bottom"/>
          </w:tcPr>
          <w:p w:rsidR="00251C6B" w:rsidRPr="00F944DD" w:rsidRDefault="00251C6B" w:rsidP="00361FA9">
            <w:pPr>
              <w:pStyle w:val="million"/>
              <w:jc w:val="right"/>
              <w:rPr>
                <w:rFonts w:eastAsiaTheme="minorEastAsia" w:cs="Calibri"/>
                <w:iCs/>
                <w:color w:val="FFFFFF"/>
                <w:sz w:val="16"/>
                <w:szCs w:val="19"/>
                <w:lang w:eastAsia="en-AU"/>
              </w:rPr>
            </w:pPr>
            <w:r w:rsidRPr="00F944DD">
              <w:rPr>
                <w:rFonts w:eastAsiaTheme="minorEastAsia" w:cs="Calibri"/>
                <w:iCs/>
                <w:color w:val="FFFFFF"/>
                <w:sz w:val="16"/>
                <w:szCs w:val="19"/>
                <w:lang w:eastAsia="en-AU"/>
              </w:rPr>
              <w:t>2014-15</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Actual</w:t>
            </w:r>
          </w:p>
          <w:p w:rsidR="00251C6B" w:rsidRPr="00F944DD" w:rsidRDefault="00251C6B" w:rsidP="00361FA9">
            <w:pPr>
              <w:autoSpaceDE w:val="0"/>
              <w:autoSpaceDN w:val="0"/>
              <w:adjustRightInd w:val="0"/>
              <w:spacing w:after="0"/>
              <w:jc w:val="right"/>
              <w:rPr>
                <w:rFonts w:eastAsiaTheme="minorEastAsia" w:cs="Calibri"/>
                <w:iCs/>
                <w:color w:val="FFFFFF"/>
                <w:sz w:val="16"/>
                <w:szCs w:val="19"/>
                <w:lang w:eastAsia="en-AU"/>
              </w:rPr>
            </w:pPr>
            <w:r w:rsidRPr="00F944DD">
              <w:rPr>
                <w:rFonts w:ascii="Calibri" w:eastAsiaTheme="minorEastAsia" w:hAnsi="Calibri" w:cs="Calibri"/>
                <w:i/>
                <w:iCs/>
                <w:color w:val="FFFFFF"/>
                <w:sz w:val="16"/>
                <w:szCs w:val="19"/>
                <w:lang w:eastAsia="en-AU"/>
              </w:rPr>
              <w:t xml:space="preserve">31 Mar </w:t>
            </w:r>
            <w:r w:rsidRPr="00F944DD">
              <w:rPr>
                <w:rFonts w:ascii="Calibri" w:eastAsiaTheme="minorEastAsia" w:hAnsi="Calibri" w:cs="Calibri"/>
                <w:i/>
                <w:iCs/>
                <w:color w:val="FFFFFF"/>
                <w:sz w:val="16"/>
                <w:szCs w:val="19"/>
                <w:vertAlign w:val="superscript"/>
                <w:lang w:eastAsia="en-AU"/>
              </w:rPr>
              <w:t>(a)</w:t>
            </w:r>
          </w:p>
        </w:tc>
        <w:tc>
          <w:tcPr>
            <w:tcW w:w="196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6"/>
                <w:szCs w:val="19"/>
                <w:lang w:eastAsia="en-AU"/>
              </w:rPr>
            </w:pPr>
          </w:p>
        </w:tc>
        <w:tc>
          <w:tcPr>
            <w:tcW w:w="546"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center"/>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Notes</w:t>
            </w:r>
          </w:p>
        </w:tc>
        <w:tc>
          <w:tcPr>
            <w:tcW w:w="714"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Opening</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1 Jul</w:t>
            </w:r>
            <w:r w:rsidRPr="00345E3E">
              <w:rPr>
                <w:rFonts w:ascii="Calibri" w:eastAsiaTheme="minorEastAsia" w:hAnsi="Calibri" w:cs="Calibri"/>
                <w:i/>
                <w:iCs/>
                <w:color w:val="FFFFFF"/>
                <w:sz w:val="16"/>
                <w:szCs w:val="19"/>
                <w:vertAlign w:val="superscript"/>
                <w:lang w:eastAsia="en-AU"/>
              </w:rPr>
              <w:t>(b)</w:t>
            </w:r>
          </w:p>
        </w:tc>
        <w:tc>
          <w:tcPr>
            <w:tcW w:w="756"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2015-16</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Actual</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31 Mar</w:t>
            </w:r>
          </w:p>
        </w:tc>
        <w:tc>
          <w:tcPr>
            <w:tcW w:w="644"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Revised</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budget</w:t>
            </w:r>
          </w:p>
        </w:tc>
        <w:tc>
          <w:tcPr>
            <w:tcW w:w="717"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Published</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 xml:space="preserve">budget </w:t>
            </w:r>
            <w:r>
              <w:rPr>
                <w:rFonts w:ascii="Calibri" w:eastAsiaTheme="minorEastAsia" w:hAnsi="Calibri" w:cs="Calibri"/>
                <w:i/>
                <w:iCs/>
                <w:color w:val="FFFFFF"/>
                <w:sz w:val="16"/>
                <w:szCs w:val="19"/>
                <w:vertAlign w:val="superscript"/>
                <w:lang w:eastAsia="en-AU"/>
              </w:rPr>
              <w:t>(c</w:t>
            </w:r>
            <w:r w:rsidRPr="00F944DD">
              <w:rPr>
                <w:rFonts w:ascii="Calibri" w:eastAsiaTheme="minorEastAsia" w:hAnsi="Calibri" w:cs="Calibri"/>
                <w:i/>
                <w:iCs/>
                <w:color w:val="FFFFFF"/>
                <w:sz w:val="16"/>
                <w:szCs w:val="19"/>
                <w:vertAlign w:val="superscript"/>
                <w:lang w:eastAsia="en-AU"/>
              </w:rPr>
              <w:t>)</w:t>
            </w: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Opening to</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revised budget</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change</w:t>
            </w:r>
          </w:p>
        </w:tc>
        <w:tc>
          <w:tcPr>
            <w:tcW w:w="850" w:type="dxa"/>
            <w:tcBorders>
              <w:lef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Opening to</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published budget</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change</w:t>
            </w:r>
          </w:p>
        </w:tc>
      </w:tr>
      <w:tr w:rsidR="002C39A3" w:rsidRPr="00F944DD" w:rsidTr="00361FA9">
        <w:tc>
          <w:tcPr>
            <w:tcW w:w="784"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196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Assets</w:t>
            </w:r>
          </w:p>
        </w:tc>
        <w:tc>
          <w:tcPr>
            <w:tcW w:w="54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71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75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71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r>
      <w:tr w:rsidR="002C39A3" w:rsidRPr="00F944DD" w:rsidTr="00361FA9">
        <w:tc>
          <w:tcPr>
            <w:tcW w:w="784"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196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Financial assets</w:t>
            </w:r>
          </w:p>
        </w:tc>
        <w:tc>
          <w:tcPr>
            <w:tcW w:w="54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71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75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71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r>
      <w:tr w:rsidR="002C39A3" w:rsidRPr="00F944DD" w:rsidTr="00361FA9">
        <w:tc>
          <w:tcPr>
            <w:tcW w:w="784"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4 609</w:t>
            </w:r>
          </w:p>
        </w:tc>
        <w:tc>
          <w:tcPr>
            <w:tcW w:w="196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Cash and deposits</w:t>
            </w:r>
          </w:p>
        </w:tc>
        <w:tc>
          <w:tcPr>
            <w:tcW w:w="54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19</w:t>
            </w:r>
          </w:p>
        </w:tc>
        <w:tc>
          <w:tcPr>
            <w:tcW w:w="71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4 282</w:t>
            </w:r>
          </w:p>
        </w:tc>
        <w:tc>
          <w:tcPr>
            <w:tcW w:w="75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4 415</w:t>
            </w:r>
          </w:p>
        </w:tc>
        <w:tc>
          <w:tcPr>
            <w:tcW w:w="6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4 338</w:t>
            </w:r>
          </w:p>
        </w:tc>
        <w:tc>
          <w:tcPr>
            <w:tcW w:w="71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4 479</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56</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198</w:t>
            </w:r>
          </w:p>
        </w:tc>
      </w:tr>
      <w:tr w:rsidR="002C39A3" w:rsidRPr="00F944DD" w:rsidTr="00361FA9">
        <w:tc>
          <w:tcPr>
            <w:tcW w:w="784"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4 573</w:t>
            </w:r>
          </w:p>
        </w:tc>
        <w:tc>
          <w:tcPr>
            <w:tcW w:w="196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Advances paid</w:t>
            </w:r>
          </w:p>
        </w:tc>
        <w:tc>
          <w:tcPr>
            <w:tcW w:w="54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71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4 572</w:t>
            </w:r>
          </w:p>
        </w:tc>
        <w:tc>
          <w:tcPr>
            <w:tcW w:w="75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4 539</w:t>
            </w:r>
          </w:p>
        </w:tc>
        <w:tc>
          <w:tcPr>
            <w:tcW w:w="6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4 521</w:t>
            </w:r>
          </w:p>
        </w:tc>
        <w:tc>
          <w:tcPr>
            <w:tcW w:w="71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4 525</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(51)</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(47)</w:t>
            </w:r>
          </w:p>
        </w:tc>
      </w:tr>
      <w:tr w:rsidR="002C39A3" w:rsidRPr="00F944DD" w:rsidTr="00361FA9">
        <w:tc>
          <w:tcPr>
            <w:tcW w:w="784"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6 727</w:t>
            </w:r>
          </w:p>
        </w:tc>
        <w:tc>
          <w:tcPr>
            <w:tcW w:w="196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Receivables</w:t>
            </w:r>
          </w:p>
        </w:tc>
        <w:tc>
          <w:tcPr>
            <w:tcW w:w="54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12</w:t>
            </w:r>
          </w:p>
        </w:tc>
        <w:tc>
          <w:tcPr>
            <w:tcW w:w="71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5 555</w:t>
            </w:r>
          </w:p>
        </w:tc>
        <w:tc>
          <w:tcPr>
            <w:tcW w:w="75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6 450</w:t>
            </w:r>
          </w:p>
        </w:tc>
        <w:tc>
          <w:tcPr>
            <w:tcW w:w="6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5 157</w:t>
            </w:r>
          </w:p>
        </w:tc>
        <w:tc>
          <w:tcPr>
            <w:tcW w:w="71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5 404</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(398)</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(151)</w:t>
            </w:r>
          </w:p>
        </w:tc>
      </w:tr>
      <w:tr w:rsidR="002C39A3" w:rsidRPr="00F944DD" w:rsidTr="00361FA9">
        <w:tc>
          <w:tcPr>
            <w:tcW w:w="784"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3 397</w:t>
            </w:r>
          </w:p>
        </w:tc>
        <w:tc>
          <w:tcPr>
            <w:tcW w:w="196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Investments, loans and placements</w:t>
            </w:r>
          </w:p>
        </w:tc>
        <w:tc>
          <w:tcPr>
            <w:tcW w:w="54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71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3 406</w:t>
            </w:r>
          </w:p>
        </w:tc>
        <w:tc>
          <w:tcPr>
            <w:tcW w:w="75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3 745</w:t>
            </w:r>
          </w:p>
        </w:tc>
        <w:tc>
          <w:tcPr>
            <w:tcW w:w="6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3 552</w:t>
            </w:r>
          </w:p>
        </w:tc>
        <w:tc>
          <w:tcPr>
            <w:tcW w:w="71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3 513</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146</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107</w:t>
            </w:r>
          </w:p>
        </w:tc>
      </w:tr>
      <w:tr w:rsidR="002C39A3" w:rsidRPr="00F944DD" w:rsidTr="00361FA9">
        <w:tc>
          <w:tcPr>
            <w:tcW w:w="784"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47</w:t>
            </w:r>
          </w:p>
        </w:tc>
        <w:tc>
          <w:tcPr>
            <w:tcW w:w="196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Investments accounted for using the equity method</w:t>
            </w:r>
          </w:p>
        </w:tc>
        <w:tc>
          <w:tcPr>
            <w:tcW w:w="54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71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45</w:t>
            </w:r>
          </w:p>
        </w:tc>
        <w:tc>
          <w:tcPr>
            <w:tcW w:w="756" w:type="dxa"/>
            <w:tcBorders>
              <w:top w:val="nil"/>
              <w:left w:val="nil"/>
              <w:right w:val="nil"/>
            </w:tcBorders>
            <w:shd w:val="clear" w:color="auto" w:fill="FFFFFF"/>
          </w:tcPr>
          <w:p w:rsidR="002C39A3" w:rsidRPr="00F944DD" w:rsidRDefault="002C39A3" w:rsidP="00D72FB7">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w:t>
            </w:r>
            <w:r w:rsidR="00D72FB7">
              <w:rPr>
                <w:rFonts w:ascii="Calibri" w:eastAsiaTheme="minorEastAsia" w:hAnsi="Calibri" w:cs="Calibri"/>
                <w:color w:val="000000"/>
                <w:sz w:val="16"/>
                <w:szCs w:val="19"/>
                <w:lang w:eastAsia="en-AU"/>
              </w:rPr>
              <w:t>5</w:t>
            </w:r>
          </w:p>
        </w:tc>
        <w:tc>
          <w:tcPr>
            <w:tcW w:w="6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45</w:t>
            </w:r>
          </w:p>
        </w:tc>
        <w:tc>
          <w:tcPr>
            <w:tcW w:w="71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45</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w:t>
            </w:r>
          </w:p>
        </w:tc>
      </w:tr>
      <w:tr w:rsidR="002C39A3" w:rsidRPr="00F944DD" w:rsidTr="00361FA9">
        <w:tc>
          <w:tcPr>
            <w:tcW w:w="784"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76 357</w:t>
            </w:r>
          </w:p>
        </w:tc>
        <w:tc>
          <w:tcPr>
            <w:tcW w:w="196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Investments in other sector entities</w:t>
            </w:r>
          </w:p>
        </w:tc>
        <w:tc>
          <w:tcPr>
            <w:tcW w:w="54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714"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82 181</w:t>
            </w:r>
          </w:p>
        </w:tc>
        <w:tc>
          <w:tcPr>
            <w:tcW w:w="75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82 818</w:t>
            </w:r>
          </w:p>
        </w:tc>
        <w:tc>
          <w:tcPr>
            <w:tcW w:w="644"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85 347</w:t>
            </w:r>
          </w:p>
        </w:tc>
        <w:tc>
          <w:tcPr>
            <w:tcW w:w="71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82 432</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3 166</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251</w:t>
            </w:r>
          </w:p>
        </w:tc>
      </w:tr>
      <w:tr w:rsidR="002C39A3" w:rsidRPr="00F944DD" w:rsidTr="00361FA9">
        <w:tc>
          <w:tcPr>
            <w:tcW w:w="784" w:type="dxa"/>
            <w:tcBorders>
              <w:top w:val="single" w:sz="6" w:space="0" w:color="000000"/>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95 711</w:t>
            </w:r>
          </w:p>
        </w:tc>
        <w:tc>
          <w:tcPr>
            <w:tcW w:w="1960"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Total financial assets</w:t>
            </w:r>
          </w:p>
        </w:tc>
        <w:tc>
          <w:tcPr>
            <w:tcW w:w="546"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714"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100 040</w:t>
            </w:r>
          </w:p>
        </w:tc>
        <w:tc>
          <w:tcPr>
            <w:tcW w:w="756"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102 011</w:t>
            </w:r>
          </w:p>
        </w:tc>
        <w:tc>
          <w:tcPr>
            <w:tcW w:w="644"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102 958</w:t>
            </w:r>
          </w:p>
        </w:tc>
        <w:tc>
          <w:tcPr>
            <w:tcW w:w="717"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100 397</w:t>
            </w:r>
          </w:p>
        </w:tc>
        <w:tc>
          <w:tcPr>
            <w:tcW w:w="850"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2 918</w:t>
            </w:r>
          </w:p>
        </w:tc>
        <w:tc>
          <w:tcPr>
            <w:tcW w:w="850" w:type="dxa"/>
            <w:tcBorders>
              <w:top w:val="single" w:sz="6" w:space="0" w:color="000000"/>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357</w:t>
            </w:r>
          </w:p>
        </w:tc>
      </w:tr>
      <w:tr w:rsidR="002C39A3" w:rsidRPr="00F944DD" w:rsidTr="00361FA9">
        <w:tc>
          <w:tcPr>
            <w:tcW w:w="784"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196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Non-financial assets</w:t>
            </w:r>
          </w:p>
        </w:tc>
        <w:tc>
          <w:tcPr>
            <w:tcW w:w="546"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714"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756"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44"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71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85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850"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r>
      <w:tr w:rsidR="002C39A3" w:rsidRPr="00F944DD" w:rsidTr="00361FA9">
        <w:tc>
          <w:tcPr>
            <w:tcW w:w="784"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147</w:t>
            </w:r>
          </w:p>
        </w:tc>
        <w:tc>
          <w:tcPr>
            <w:tcW w:w="196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Inventories</w:t>
            </w:r>
          </w:p>
        </w:tc>
        <w:tc>
          <w:tcPr>
            <w:tcW w:w="54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71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144</w:t>
            </w:r>
          </w:p>
        </w:tc>
        <w:tc>
          <w:tcPr>
            <w:tcW w:w="75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175</w:t>
            </w:r>
          </w:p>
        </w:tc>
        <w:tc>
          <w:tcPr>
            <w:tcW w:w="6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148</w:t>
            </w:r>
          </w:p>
        </w:tc>
        <w:tc>
          <w:tcPr>
            <w:tcW w:w="71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148</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w:t>
            </w:r>
          </w:p>
        </w:tc>
      </w:tr>
      <w:tr w:rsidR="002C39A3" w:rsidRPr="00F944DD" w:rsidTr="00361FA9">
        <w:tc>
          <w:tcPr>
            <w:tcW w:w="784"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130</w:t>
            </w:r>
          </w:p>
        </w:tc>
        <w:tc>
          <w:tcPr>
            <w:tcW w:w="196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Non-financial assets held for sale</w:t>
            </w:r>
          </w:p>
        </w:tc>
        <w:tc>
          <w:tcPr>
            <w:tcW w:w="54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71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175</w:t>
            </w:r>
          </w:p>
        </w:tc>
        <w:tc>
          <w:tcPr>
            <w:tcW w:w="75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165</w:t>
            </w:r>
          </w:p>
        </w:tc>
        <w:tc>
          <w:tcPr>
            <w:tcW w:w="6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162</w:t>
            </w:r>
          </w:p>
        </w:tc>
        <w:tc>
          <w:tcPr>
            <w:tcW w:w="71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175</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(13)</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w:t>
            </w:r>
          </w:p>
        </w:tc>
      </w:tr>
      <w:tr w:rsidR="002C39A3" w:rsidRPr="00F944DD" w:rsidTr="00361FA9">
        <w:tc>
          <w:tcPr>
            <w:tcW w:w="784"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104 682</w:t>
            </w:r>
          </w:p>
        </w:tc>
        <w:tc>
          <w:tcPr>
            <w:tcW w:w="196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Land, buildings, infrastructure, plant and equipment</w:t>
            </w:r>
          </w:p>
        </w:tc>
        <w:tc>
          <w:tcPr>
            <w:tcW w:w="54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13a</w:t>
            </w:r>
          </w:p>
        </w:tc>
        <w:tc>
          <w:tcPr>
            <w:tcW w:w="71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107 562</w:t>
            </w:r>
          </w:p>
        </w:tc>
        <w:tc>
          <w:tcPr>
            <w:tcW w:w="75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107 948</w:t>
            </w:r>
          </w:p>
        </w:tc>
        <w:tc>
          <w:tcPr>
            <w:tcW w:w="6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108 600</w:t>
            </w:r>
          </w:p>
        </w:tc>
        <w:tc>
          <w:tcPr>
            <w:tcW w:w="71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109 733</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1 038</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2 171</w:t>
            </w:r>
          </w:p>
        </w:tc>
      </w:tr>
      <w:tr w:rsidR="002C39A3" w:rsidRPr="00F944DD" w:rsidTr="00361FA9">
        <w:tc>
          <w:tcPr>
            <w:tcW w:w="784"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1 325</w:t>
            </w:r>
          </w:p>
        </w:tc>
        <w:tc>
          <w:tcPr>
            <w:tcW w:w="196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Other non-financial assets</w:t>
            </w:r>
          </w:p>
        </w:tc>
        <w:tc>
          <w:tcPr>
            <w:tcW w:w="54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14</w:t>
            </w:r>
          </w:p>
        </w:tc>
        <w:tc>
          <w:tcPr>
            <w:tcW w:w="714"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1 038</w:t>
            </w:r>
          </w:p>
        </w:tc>
        <w:tc>
          <w:tcPr>
            <w:tcW w:w="75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1 068</w:t>
            </w:r>
          </w:p>
        </w:tc>
        <w:tc>
          <w:tcPr>
            <w:tcW w:w="644"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1 024</w:t>
            </w:r>
          </w:p>
        </w:tc>
        <w:tc>
          <w:tcPr>
            <w:tcW w:w="71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977</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(14)</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(61)</w:t>
            </w:r>
          </w:p>
        </w:tc>
      </w:tr>
      <w:tr w:rsidR="002C39A3" w:rsidRPr="00F944DD" w:rsidTr="00361FA9">
        <w:tc>
          <w:tcPr>
            <w:tcW w:w="784" w:type="dxa"/>
            <w:tcBorders>
              <w:top w:val="single" w:sz="6" w:space="0" w:color="000000"/>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106 284</w:t>
            </w:r>
          </w:p>
        </w:tc>
        <w:tc>
          <w:tcPr>
            <w:tcW w:w="1960"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Total non-financial assets</w:t>
            </w:r>
          </w:p>
        </w:tc>
        <w:tc>
          <w:tcPr>
            <w:tcW w:w="546"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714"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108 920</w:t>
            </w:r>
          </w:p>
        </w:tc>
        <w:tc>
          <w:tcPr>
            <w:tcW w:w="756"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109 356</w:t>
            </w:r>
          </w:p>
        </w:tc>
        <w:tc>
          <w:tcPr>
            <w:tcW w:w="644"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109 935</w:t>
            </w:r>
          </w:p>
        </w:tc>
        <w:tc>
          <w:tcPr>
            <w:tcW w:w="717"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111 034</w:t>
            </w:r>
          </w:p>
        </w:tc>
        <w:tc>
          <w:tcPr>
            <w:tcW w:w="850"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1 015</w:t>
            </w:r>
          </w:p>
        </w:tc>
        <w:tc>
          <w:tcPr>
            <w:tcW w:w="850" w:type="dxa"/>
            <w:tcBorders>
              <w:top w:val="single" w:sz="6" w:space="0" w:color="000000"/>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2 114</w:t>
            </w:r>
          </w:p>
        </w:tc>
      </w:tr>
      <w:tr w:rsidR="002C39A3" w:rsidRPr="00F944DD" w:rsidTr="00361FA9">
        <w:tc>
          <w:tcPr>
            <w:tcW w:w="784"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201 994</w:t>
            </w:r>
          </w:p>
        </w:tc>
        <w:tc>
          <w:tcPr>
            <w:tcW w:w="196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Total assets</w:t>
            </w:r>
          </w:p>
        </w:tc>
        <w:tc>
          <w:tcPr>
            <w:tcW w:w="546"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714"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208 960</w:t>
            </w:r>
          </w:p>
        </w:tc>
        <w:tc>
          <w:tcPr>
            <w:tcW w:w="756"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211 368</w:t>
            </w:r>
          </w:p>
        </w:tc>
        <w:tc>
          <w:tcPr>
            <w:tcW w:w="644"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212 893</w:t>
            </w:r>
          </w:p>
        </w:tc>
        <w:tc>
          <w:tcPr>
            <w:tcW w:w="71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211 431</w:t>
            </w:r>
          </w:p>
        </w:tc>
        <w:tc>
          <w:tcPr>
            <w:tcW w:w="85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3 933</w:t>
            </w:r>
          </w:p>
        </w:tc>
        <w:tc>
          <w:tcPr>
            <w:tcW w:w="850"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2 471</w:t>
            </w:r>
          </w:p>
        </w:tc>
      </w:tr>
      <w:tr w:rsidR="002C39A3" w:rsidRPr="00F944DD" w:rsidTr="00361FA9">
        <w:tc>
          <w:tcPr>
            <w:tcW w:w="784"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196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Liabilities</w:t>
            </w:r>
          </w:p>
        </w:tc>
        <w:tc>
          <w:tcPr>
            <w:tcW w:w="54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71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75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71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r>
      <w:tr w:rsidR="002C39A3" w:rsidRPr="00F944DD" w:rsidTr="00361FA9">
        <w:tc>
          <w:tcPr>
            <w:tcW w:w="784"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529</w:t>
            </w:r>
          </w:p>
        </w:tc>
        <w:tc>
          <w:tcPr>
            <w:tcW w:w="196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Deposits held and advances received </w:t>
            </w:r>
          </w:p>
        </w:tc>
        <w:tc>
          <w:tcPr>
            <w:tcW w:w="54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71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518</w:t>
            </w:r>
          </w:p>
        </w:tc>
        <w:tc>
          <w:tcPr>
            <w:tcW w:w="75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529</w:t>
            </w:r>
          </w:p>
        </w:tc>
        <w:tc>
          <w:tcPr>
            <w:tcW w:w="6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518</w:t>
            </w:r>
          </w:p>
        </w:tc>
        <w:tc>
          <w:tcPr>
            <w:tcW w:w="71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518</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w:t>
            </w:r>
          </w:p>
        </w:tc>
      </w:tr>
      <w:tr w:rsidR="002C39A3" w:rsidRPr="00F944DD" w:rsidTr="00361FA9">
        <w:tc>
          <w:tcPr>
            <w:tcW w:w="784"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6 182</w:t>
            </w:r>
          </w:p>
        </w:tc>
        <w:tc>
          <w:tcPr>
            <w:tcW w:w="196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Payables</w:t>
            </w:r>
          </w:p>
        </w:tc>
        <w:tc>
          <w:tcPr>
            <w:tcW w:w="54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15</w:t>
            </w:r>
          </w:p>
        </w:tc>
        <w:tc>
          <w:tcPr>
            <w:tcW w:w="71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5 704</w:t>
            </w:r>
          </w:p>
        </w:tc>
        <w:tc>
          <w:tcPr>
            <w:tcW w:w="75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5 413</w:t>
            </w:r>
          </w:p>
        </w:tc>
        <w:tc>
          <w:tcPr>
            <w:tcW w:w="6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5 267</w:t>
            </w:r>
          </w:p>
        </w:tc>
        <w:tc>
          <w:tcPr>
            <w:tcW w:w="71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5 434</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(437)</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(270)</w:t>
            </w:r>
          </w:p>
        </w:tc>
      </w:tr>
      <w:tr w:rsidR="002C39A3" w:rsidRPr="00F944DD" w:rsidTr="00361FA9">
        <w:tc>
          <w:tcPr>
            <w:tcW w:w="784"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33 286</w:t>
            </w:r>
          </w:p>
        </w:tc>
        <w:tc>
          <w:tcPr>
            <w:tcW w:w="196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Borrowings</w:t>
            </w:r>
          </w:p>
        </w:tc>
        <w:tc>
          <w:tcPr>
            <w:tcW w:w="54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71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34 069</w:t>
            </w:r>
          </w:p>
        </w:tc>
        <w:tc>
          <w:tcPr>
            <w:tcW w:w="75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34 078</w:t>
            </w:r>
          </w:p>
        </w:tc>
        <w:tc>
          <w:tcPr>
            <w:tcW w:w="6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34 386</w:t>
            </w:r>
          </w:p>
        </w:tc>
        <w:tc>
          <w:tcPr>
            <w:tcW w:w="71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29 986</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317</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(4 083)</w:t>
            </w:r>
          </w:p>
        </w:tc>
      </w:tr>
      <w:tr w:rsidR="002C39A3" w:rsidRPr="00F944DD" w:rsidTr="00361FA9">
        <w:tc>
          <w:tcPr>
            <w:tcW w:w="784"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5 601</w:t>
            </w:r>
          </w:p>
        </w:tc>
        <w:tc>
          <w:tcPr>
            <w:tcW w:w="196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Employee benefits</w:t>
            </w:r>
          </w:p>
        </w:tc>
        <w:tc>
          <w:tcPr>
            <w:tcW w:w="54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16</w:t>
            </w:r>
          </w:p>
        </w:tc>
        <w:tc>
          <w:tcPr>
            <w:tcW w:w="71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5 605</w:t>
            </w:r>
          </w:p>
        </w:tc>
        <w:tc>
          <w:tcPr>
            <w:tcW w:w="75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5 676</w:t>
            </w:r>
          </w:p>
        </w:tc>
        <w:tc>
          <w:tcPr>
            <w:tcW w:w="6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5 860</w:t>
            </w:r>
          </w:p>
        </w:tc>
        <w:tc>
          <w:tcPr>
            <w:tcW w:w="71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5 852</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254</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247</w:t>
            </w:r>
          </w:p>
        </w:tc>
      </w:tr>
      <w:tr w:rsidR="002C39A3" w:rsidRPr="00F944DD" w:rsidTr="00361FA9">
        <w:tc>
          <w:tcPr>
            <w:tcW w:w="784"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30 881</w:t>
            </w:r>
          </w:p>
        </w:tc>
        <w:tc>
          <w:tcPr>
            <w:tcW w:w="196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Superannuation</w:t>
            </w:r>
          </w:p>
        </w:tc>
        <w:tc>
          <w:tcPr>
            <w:tcW w:w="54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7b</w:t>
            </w:r>
          </w:p>
        </w:tc>
        <w:tc>
          <w:tcPr>
            <w:tcW w:w="71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25 947</w:t>
            </w:r>
          </w:p>
        </w:tc>
        <w:tc>
          <w:tcPr>
            <w:tcW w:w="75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28 032</w:t>
            </w:r>
          </w:p>
        </w:tc>
        <w:tc>
          <w:tcPr>
            <w:tcW w:w="6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27 888</w:t>
            </w:r>
          </w:p>
        </w:tc>
        <w:tc>
          <w:tcPr>
            <w:tcW w:w="71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25 003</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1 941</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(943)</w:t>
            </w:r>
          </w:p>
        </w:tc>
      </w:tr>
      <w:tr w:rsidR="002C39A3" w:rsidRPr="00F944DD" w:rsidTr="00361FA9">
        <w:tc>
          <w:tcPr>
            <w:tcW w:w="784"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717</w:t>
            </w:r>
          </w:p>
        </w:tc>
        <w:tc>
          <w:tcPr>
            <w:tcW w:w="196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Other provisions</w:t>
            </w:r>
          </w:p>
        </w:tc>
        <w:tc>
          <w:tcPr>
            <w:tcW w:w="54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714"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807</w:t>
            </w:r>
          </w:p>
        </w:tc>
        <w:tc>
          <w:tcPr>
            <w:tcW w:w="75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802</w:t>
            </w:r>
          </w:p>
        </w:tc>
        <w:tc>
          <w:tcPr>
            <w:tcW w:w="644"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891</w:t>
            </w:r>
          </w:p>
        </w:tc>
        <w:tc>
          <w:tcPr>
            <w:tcW w:w="71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211</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83</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(597)</w:t>
            </w:r>
          </w:p>
        </w:tc>
      </w:tr>
      <w:tr w:rsidR="002C39A3" w:rsidRPr="00F944DD" w:rsidTr="00361FA9">
        <w:tc>
          <w:tcPr>
            <w:tcW w:w="784" w:type="dxa"/>
            <w:tcBorders>
              <w:top w:val="single" w:sz="6" w:space="0" w:color="000000"/>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77 196</w:t>
            </w:r>
          </w:p>
        </w:tc>
        <w:tc>
          <w:tcPr>
            <w:tcW w:w="1960"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Total liabilities</w:t>
            </w:r>
          </w:p>
        </w:tc>
        <w:tc>
          <w:tcPr>
            <w:tcW w:w="546"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714"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72 650</w:t>
            </w:r>
          </w:p>
        </w:tc>
        <w:tc>
          <w:tcPr>
            <w:tcW w:w="756"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74 529</w:t>
            </w:r>
          </w:p>
        </w:tc>
        <w:tc>
          <w:tcPr>
            <w:tcW w:w="644"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74 809</w:t>
            </w:r>
          </w:p>
        </w:tc>
        <w:tc>
          <w:tcPr>
            <w:tcW w:w="717"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67 003</w:t>
            </w:r>
          </w:p>
        </w:tc>
        <w:tc>
          <w:tcPr>
            <w:tcW w:w="850"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2 158</w:t>
            </w:r>
          </w:p>
        </w:tc>
        <w:tc>
          <w:tcPr>
            <w:tcW w:w="850" w:type="dxa"/>
            <w:tcBorders>
              <w:top w:val="single" w:sz="6" w:space="0" w:color="000000"/>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(5 647)</w:t>
            </w:r>
          </w:p>
        </w:tc>
      </w:tr>
      <w:tr w:rsidR="002C39A3" w:rsidRPr="00F944DD" w:rsidTr="00361FA9">
        <w:tc>
          <w:tcPr>
            <w:tcW w:w="784" w:type="dxa"/>
            <w:tcBorders>
              <w:top w:val="single" w:sz="6" w:space="0" w:color="000000"/>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124 798</w:t>
            </w:r>
          </w:p>
        </w:tc>
        <w:tc>
          <w:tcPr>
            <w:tcW w:w="1960"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Net assets</w:t>
            </w:r>
          </w:p>
        </w:tc>
        <w:tc>
          <w:tcPr>
            <w:tcW w:w="546"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714"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136 310</w:t>
            </w:r>
          </w:p>
        </w:tc>
        <w:tc>
          <w:tcPr>
            <w:tcW w:w="756"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136 838</w:t>
            </w:r>
          </w:p>
        </w:tc>
        <w:tc>
          <w:tcPr>
            <w:tcW w:w="644"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138 084</w:t>
            </w:r>
          </w:p>
        </w:tc>
        <w:tc>
          <w:tcPr>
            <w:tcW w:w="717"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144 427</w:t>
            </w:r>
          </w:p>
        </w:tc>
        <w:tc>
          <w:tcPr>
            <w:tcW w:w="850"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1 774</w:t>
            </w:r>
          </w:p>
        </w:tc>
        <w:tc>
          <w:tcPr>
            <w:tcW w:w="850" w:type="dxa"/>
            <w:tcBorders>
              <w:top w:val="single" w:sz="6" w:space="0" w:color="000000"/>
              <w:left w:val="nil"/>
              <w:bottom w:val="single" w:sz="12"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8 117</w:t>
            </w:r>
          </w:p>
        </w:tc>
      </w:tr>
      <w:tr w:rsidR="002C39A3" w:rsidRPr="00F944DD" w:rsidTr="00361FA9">
        <w:tc>
          <w:tcPr>
            <w:tcW w:w="784" w:type="dxa"/>
            <w:tcBorders>
              <w:top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41 078</w:t>
            </w:r>
          </w:p>
        </w:tc>
        <w:tc>
          <w:tcPr>
            <w:tcW w:w="1960"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Accumulated surplus/(deficit)</w:t>
            </w:r>
          </w:p>
        </w:tc>
        <w:tc>
          <w:tcPr>
            <w:tcW w:w="546"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714"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45 764</w:t>
            </w:r>
          </w:p>
        </w:tc>
        <w:tc>
          <w:tcPr>
            <w:tcW w:w="756"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46 586</w:t>
            </w:r>
          </w:p>
        </w:tc>
        <w:tc>
          <w:tcPr>
            <w:tcW w:w="644"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45 682</w:t>
            </w:r>
          </w:p>
        </w:tc>
        <w:tc>
          <w:tcPr>
            <w:tcW w:w="717"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53 112</w:t>
            </w:r>
          </w:p>
        </w:tc>
        <w:tc>
          <w:tcPr>
            <w:tcW w:w="850"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(82)</w:t>
            </w:r>
          </w:p>
        </w:tc>
        <w:tc>
          <w:tcPr>
            <w:tcW w:w="850" w:type="dxa"/>
            <w:tcBorders>
              <w:top w:val="single" w:sz="12"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7 348</w:t>
            </w:r>
          </w:p>
        </w:tc>
      </w:tr>
      <w:tr w:rsidR="002C39A3" w:rsidRPr="00F944DD" w:rsidTr="00361FA9">
        <w:tc>
          <w:tcPr>
            <w:tcW w:w="784"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83 670</w:t>
            </w:r>
          </w:p>
        </w:tc>
        <w:tc>
          <w:tcPr>
            <w:tcW w:w="196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Reserves</w:t>
            </w:r>
          </w:p>
        </w:tc>
        <w:tc>
          <w:tcPr>
            <w:tcW w:w="54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71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90 496</w:t>
            </w:r>
          </w:p>
        </w:tc>
        <w:tc>
          <w:tcPr>
            <w:tcW w:w="75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90 203</w:t>
            </w:r>
          </w:p>
        </w:tc>
        <w:tc>
          <w:tcPr>
            <w:tcW w:w="6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92 402</w:t>
            </w:r>
          </w:p>
        </w:tc>
        <w:tc>
          <w:tcPr>
            <w:tcW w:w="71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91 265</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1 906</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769</w:t>
            </w:r>
          </w:p>
        </w:tc>
      </w:tr>
      <w:tr w:rsidR="002C39A3" w:rsidRPr="00F944DD" w:rsidTr="00361FA9">
        <w:tc>
          <w:tcPr>
            <w:tcW w:w="784"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50</w:t>
            </w:r>
          </w:p>
        </w:tc>
        <w:tc>
          <w:tcPr>
            <w:tcW w:w="196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Non-controlling interest</w:t>
            </w:r>
          </w:p>
        </w:tc>
        <w:tc>
          <w:tcPr>
            <w:tcW w:w="54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714"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50</w:t>
            </w:r>
          </w:p>
        </w:tc>
        <w:tc>
          <w:tcPr>
            <w:tcW w:w="75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50</w:t>
            </w:r>
          </w:p>
        </w:tc>
        <w:tc>
          <w:tcPr>
            <w:tcW w:w="644"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w:t>
            </w:r>
          </w:p>
        </w:tc>
        <w:tc>
          <w:tcPr>
            <w:tcW w:w="71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50</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(50)</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w:t>
            </w:r>
          </w:p>
        </w:tc>
      </w:tr>
      <w:tr w:rsidR="002C39A3" w:rsidRPr="00F944DD" w:rsidTr="00361FA9">
        <w:tc>
          <w:tcPr>
            <w:tcW w:w="784" w:type="dxa"/>
            <w:tcBorders>
              <w:top w:val="single" w:sz="6" w:space="0" w:color="000000"/>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124 798</w:t>
            </w:r>
          </w:p>
        </w:tc>
        <w:tc>
          <w:tcPr>
            <w:tcW w:w="1960"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Net worth</w:t>
            </w:r>
          </w:p>
        </w:tc>
        <w:tc>
          <w:tcPr>
            <w:tcW w:w="546"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714"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136 310</w:t>
            </w:r>
          </w:p>
        </w:tc>
        <w:tc>
          <w:tcPr>
            <w:tcW w:w="756"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136 838</w:t>
            </w:r>
          </w:p>
        </w:tc>
        <w:tc>
          <w:tcPr>
            <w:tcW w:w="644"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138 084</w:t>
            </w:r>
          </w:p>
        </w:tc>
        <w:tc>
          <w:tcPr>
            <w:tcW w:w="717"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144 427</w:t>
            </w:r>
          </w:p>
        </w:tc>
        <w:tc>
          <w:tcPr>
            <w:tcW w:w="850"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1 774</w:t>
            </w:r>
          </w:p>
        </w:tc>
        <w:tc>
          <w:tcPr>
            <w:tcW w:w="850" w:type="dxa"/>
            <w:tcBorders>
              <w:top w:val="single" w:sz="6" w:space="0" w:color="000000"/>
              <w:left w:val="nil"/>
              <w:bottom w:val="single" w:sz="12"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8 117</w:t>
            </w:r>
          </w:p>
        </w:tc>
      </w:tr>
      <w:tr w:rsidR="002C39A3" w:rsidRPr="00F944DD" w:rsidTr="00361FA9">
        <w:trPr>
          <w:trHeight w:hRule="exact" w:val="120"/>
        </w:trPr>
        <w:tc>
          <w:tcPr>
            <w:tcW w:w="784" w:type="dxa"/>
            <w:tcBorders>
              <w:top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1960"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546"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714"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756"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44"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717"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850"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850" w:type="dxa"/>
            <w:tcBorders>
              <w:top w:val="single" w:sz="12"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r>
      <w:tr w:rsidR="002C39A3" w:rsidRPr="00F944DD" w:rsidTr="00361FA9">
        <w:tc>
          <w:tcPr>
            <w:tcW w:w="784"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196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FISCAL AGGREGATES</w:t>
            </w:r>
          </w:p>
        </w:tc>
        <w:tc>
          <w:tcPr>
            <w:tcW w:w="54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71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75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71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r>
      <w:tr w:rsidR="002C39A3" w:rsidRPr="00F944DD" w:rsidTr="00361FA9">
        <w:tc>
          <w:tcPr>
            <w:tcW w:w="784"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18 514</w:t>
            </w:r>
          </w:p>
        </w:tc>
        <w:tc>
          <w:tcPr>
            <w:tcW w:w="196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Net financial worth</w:t>
            </w:r>
          </w:p>
        </w:tc>
        <w:tc>
          <w:tcPr>
            <w:tcW w:w="54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71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27 390</w:t>
            </w:r>
          </w:p>
        </w:tc>
        <w:tc>
          <w:tcPr>
            <w:tcW w:w="75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27 482</w:t>
            </w:r>
          </w:p>
        </w:tc>
        <w:tc>
          <w:tcPr>
            <w:tcW w:w="6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28 150</w:t>
            </w:r>
          </w:p>
        </w:tc>
        <w:tc>
          <w:tcPr>
            <w:tcW w:w="71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33 394</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760</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6 004</w:t>
            </w:r>
          </w:p>
        </w:tc>
      </w:tr>
      <w:tr w:rsidR="002C39A3" w:rsidRPr="00F944DD" w:rsidTr="00361FA9">
        <w:tc>
          <w:tcPr>
            <w:tcW w:w="784"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57 843</w:t>
            </w:r>
          </w:p>
        </w:tc>
        <w:tc>
          <w:tcPr>
            <w:tcW w:w="196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Net financial liabilities</w:t>
            </w:r>
          </w:p>
        </w:tc>
        <w:tc>
          <w:tcPr>
            <w:tcW w:w="54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71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54 791</w:t>
            </w:r>
          </w:p>
        </w:tc>
        <w:tc>
          <w:tcPr>
            <w:tcW w:w="75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55 336</w:t>
            </w:r>
          </w:p>
        </w:tc>
        <w:tc>
          <w:tcPr>
            <w:tcW w:w="6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57 197</w:t>
            </w:r>
          </w:p>
        </w:tc>
        <w:tc>
          <w:tcPr>
            <w:tcW w:w="71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49 038</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2 406</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(5 753)</w:t>
            </w:r>
          </w:p>
        </w:tc>
      </w:tr>
      <w:tr w:rsidR="002C39A3" w:rsidRPr="00F944DD" w:rsidTr="00361FA9">
        <w:tc>
          <w:tcPr>
            <w:tcW w:w="784" w:type="dxa"/>
            <w:tcBorders>
              <w:top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Cs/>
                <w:color w:val="000000"/>
                <w:sz w:val="16"/>
                <w:szCs w:val="19"/>
                <w:lang w:eastAsia="en-AU"/>
              </w:rPr>
            </w:pPr>
            <w:r w:rsidRPr="00F944DD">
              <w:rPr>
                <w:rFonts w:ascii="Calibri" w:eastAsiaTheme="minorEastAsia" w:hAnsi="Calibri" w:cs="Calibri"/>
                <w:bCs/>
                <w:color w:val="000000"/>
                <w:sz w:val="16"/>
                <w:szCs w:val="19"/>
                <w:lang w:eastAsia="en-AU"/>
              </w:rPr>
              <w:t>21 236</w:t>
            </w:r>
          </w:p>
        </w:tc>
        <w:tc>
          <w:tcPr>
            <w:tcW w:w="1960" w:type="dxa"/>
            <w:tcBorders>
              <w:top w:val="nil"/>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Cs/>
                <w:color w:val="000000"/>
                <w:sz w:val="16"/>
                <w:szCs w:val="19"/>
                <w:lang w:eastAsia="en-AU"/>
              </w:rPr>
            </w:pPr>
            <w:r w:rsidRPr="00F944DD">
              <w:rPr>
                <w:rFonts w:ascii="Calibri" w:eastAsiaTheme="minorEastAsia" w:hAnsi="Calibri" w:cs="Calibri"/>
                <w:bCs/>
                <w:color w:val="000000"/>
                <w:sz w:val="16"/>
                <w:szCs w:val="19"/>
                <w:lang w:eastAsia="en-AU"/>
              </w:rPr>
              <w:t>Net debt</w:t>
            </w:r>
          </w:p>
        </w:tc>
        <w:tc>
          <w:tcPr>
            <w:tcW w:w="546" w:type="dxa"/>
            <w:tcBorders>
              <w:top w:val="nil"/>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Cs/>
                <w:color w:val="000000"/>
                <w:sz w:val="16"/>
                <w:szCs w:val="19"/>
                <w:lang w:eastAsia="en-AU"/>
              </w:rPr>
            </w:pPr>
            <w:r w:rsidRPr="00F944DD">
              <w:rPr>
                <w:rFonts w:ascii="Calibri" w:eastAsiaTheme="minorEastAsia" w:hAnsi="Calibri" w:cs="Calibri"/>
                <w:bCs/>
                <w:color w:val="000000"/>
                <w:sz w:val="16"/>
                <w:szCs w:val="19"/>
                <w:lang w:eastAsia="en-AU"/>
              </w:rPr>
              <w:t xml:space="preserve"> </w:t>
            </w:r>
          </w:p>
        </w:tc>
        <w:tc>
          <w:tcPr>
            <w:tcW w:w="714" w:type="dxa"/>
            <w:tcBorders>
              <w:top w:val="nil"/>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Cs/>
                <w:color w:val="000000"/>
                <w:sz w:val="16"/>
                <w:szCs w:val="19"/>
                <w:lang w:eastAsia="en-AU"/>
              </w:rPr>
            </w:pPr>
            <w:r w:rsidRPr="00F944DD">
              <w:rPr>
                <w:rFonts w:ascii="Calibri" w:eastAsiaTheme="minorEastAsia" w:hAnsi="Calibri" w:cs="Calibri"/>
                <w:bCs/>
                <w:color w:val="000000"/>
                <w:sz w:val="16"/>
                <w:szCs w:val="19"/>
                <w:lang w:eastAsia="en-AU"/>
              </w:rPr>
              <w:t>22 327</w:t>
            </w:r>
          </w:p>
        </w:tc>
        <w:tc>
          <w:tcPr>
            <w:tcW w:w="756" w:type="dxa"/>
            <w:tcBorders>
              <w:top w:val="nil"/>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Cs/>
                <w:color w:val="000000"/>
                <w:sz w:val="16"/>
                <w:szCs w:val="19"/>
                <w:lang w:eastAsia="en-AU"/>
              </w:rPr>
            </w:pPr>
            <w:r w:rsidRPr="00F944DD">
              <w:rPr>
                <w:rFonts w:ascii="Calibri" w:eastAsiaTheme="minorEastAsia" w:hAnsi="Calibri" w:cs="Calibri"/>
                <w:bCs/>
                <w:color w:val="000000"/>
                <w:sz w:val="16"/>
                <w:szCs w:val="19"/>
                <w:lang w:eastAsia="en-AU"/>
              </w:rPr>
              <w:t>21 908</w:t>
            </w:r>
          </w:p>
        </w:tc>
        <w:tc>
          <w:tcPr>
            <w:tcW w:w="644" w:type="dxa"/>
            <w:tcBorders>
              <w:top w:val="nil"/>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Cs/>
                <w:color w:val="000000"/>
                <w:sz w:val="16"/>
                <w:szCs w:val="19"/>
                <w:lang w:eastAsia="en-AU"/>
              </w:rPr>
            </w:pPr>
            <w:r w:rsidRPr="00F944DD">
              <w:rPr>
                <w:rFonts w:ascii="Calibri" w:eastAsiaTheme="minorEastAsia" w:hAnsi="Calibri" w:cs="Calibri"/>
                <w:bCs/>
                <w:color w:val="000000"/>
                <w:sz w:val="16"/>
                <w:szCs w:val="19"/>
                <w:lang w:eastAsia="en-AU"/>
              </w:rPr>
              <w:t>22 493</w:t>
            </w:r>
          </w:p>
        </w:tc>
        <w:tc>
          <w:tcPr>
            <w:tcW w:w="717" w:type="dxa"/>
            <w:tcBorders>
              <w:top w:val="nil"/>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Cs/>
                <w:color w:val="000000"/>
                <w:sz w:val="16"/>
                <w:szCs w:val="19"/>
                <w:lang w:eastAsia="en-AU"/>
              </w:rPr>
            </w:pPr>
            <w:r w:rsidRPr="00F944DD">
              <w:rPr>
                <w:rFonts w:ascii="Calibri" w:eastAsiaTheme="minorEastAsia" w:hAnsi="Calibri" w:cs="Calibri"/>
                <w:bCs/>
                <w:color w:val="000000"/>
                <w:sz w:val="16"/>
                <w:szCs w:val="19"/>
                <w:lang w:eastAsia="en-AU"/>
              </w:rPr>
              <w:t>17 986</w:t>
            </w:r>
          </w:p>
        </w:tc>
        <w:tc>
          <w:tcPr>
            <w:tcW w:w="850" w:type="dxa"/>
            <w:tcBorders>
              <w:top w:val="nil"/>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Cs/>
                <w:color w:val="000000"/>
                <w:sz w:val="16"/>
                <w:szCs w:val="19"/>
                <w:lang w:eastAsia="en-AU"/>
              </w:rPr>
              <w:t>166</w:t>
            </w:r>
          </w:p>
        </w:tc>
        <w:tc>
          <w:tcPr>
            <w:tcW w:w="850" w:type="dxa"/>
            <w:tcBorders>
              <w:top w:val="nil"/>
              <w:left w:val="nil"/>
              <w:bottom w:val="single" w:sz="12"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Cs/>
                <w:color w:val="000000"/>
                <w:sz w:val="16"/>
                <w:szCs w:val="19"/>
                <w:lang w:eastAsia="en-AU"/>
              </w:rPr>
              <w:t>(4 341)</w:t>
            </w:r>
          </w:p>
        </w:tc>
      </w:tr>
    </w:tbl>
    <w:p w:rsidR="002C39A3" w:rsidRDefault="002C39A3" w:rsidP="00361FA9">
      <w:pPr>
        <w:pStyle w:val="Source"/>
      </w:pPr>
      <w:r>
        <w:t>Source: Department of Treasury and Finance</w:t>
      </w:r>
    </w:p>
    <w:p w:rsidR="002C39A3" w:rsidRDefault="002C39A3" w:rsidP="00361FA9">
      <w:pPr>
        <w:pStyle w:val="Source"/>
      </w:pPr>
      <w:r>
        <w:t>The accompanying notes form part of these financial statements.</w:t>
      </w:r>
    </w:p>
    <w:p w:rsidR="002C39A3" w:rsidRDefault="002C39A3" w:rsidP="00361FA9">
      <w:pPr>
        <w:pStyle w:val="Notes"/>
      </w:pPr>
      <w:r>
        <w:t>Notes:</w:t>
      </w:r>
    </w:p>
    <w:p w:rsidR="002C39A3" w:rsidRDefault="002C39A3" w:rsidP="00361FA9">
      <w:pPr>
        <w:pStyle w:val="Notes"/>
        <w:rPr>
          <w:i w:val="0"/>
        </w:rPr>
      </w:pPr>
      <w:r>
        <w:t>(a)</w:t>
      </w:r>
      <w:r>
        <w:tab/>
        <w:t xml:space="preserve">Certain March 2015 comparative figures have been restated to reflect more current information, mainly relating to adjustments outlined in Note 37 of the </w:t>
      </w:r>
      <w:r>
        <w:rPr>
          <w:i w:val="0"/>
        </w:rPr>
        <w:t>2014</w:t>
      </w:r>
      <w:r>
        <w:rPr>
          <w:i w:val="0"/>
        </w:rPr>
        <w:noBreakHyphen/>
        <w:t>15 Financial Report.</w:t>
      </w:r>
    </w:p>
    <w:p w:rsidR="002C39A3" w:rsidRDefault="002C39A3" w:rsidP="00361FA9">
      <w:pPr>
        <w:pStyle w:val="Notes"/>
      </w:pPr>
      <w:r>
        <w:t xml:space="preserve">(b) </w:t>
      </w:r>
      <w:r>
        <w:tab/>
        <w:t>Certain 1 July 2015 opening balances have been restated to reflect more current information.</w:t>
      </w:r>
    </w:p>
    <w:p w:rsidR="002C39A3" w:rsidRDefault="002C39A3" w:rsidP="00361FA9">
      <w:pPr>
        <w:pStyle w:val="Notes"/>
        <w:rPr>
          <w:b/>
        </w:rPr>
      </w:pPr>
      <w:r>
        <w:t>(c)</w:t>
      </w:r>
      <w:r>
        <w:tab/>
        <w:t>Budget represents actual opening balances as at 1 July 2015 plus 2015</w:t>
      </w:r>
      <w:r>
        <w:noBreakHyphen/>
        <w:t>16 budgeted movements.</w:t>
      </w:r>
    </w:p>
    <w:p w:rsidR="002C39A3" w:rsidRDefault="002C39A3">
      <w:pPr>
        <w:spacing w:after="0"/>
        <w:rPr>
          <w:rFonts w:ascii="Calibri" w:hAnsi="Calibri"/>
          <w:b/>
        </w:rPr>
      </w:pPr>
      <w:r>
        <w:br w:type="page"/>
      </w:r>
    </w:p>
    <w:p w:rsidR="002C39A3" w:rsidRDefault="002C39A3" w:rsidP="00361FA9">
      <w:pPr>
        <w:pStyle w:val="Tableheading"/>
      </w:pPr>
      <w:r>
        <w:t>Table B.3:</w:t>
      </w:r>
      <w:r>
        <w:tab/>
        <w:t>Statement of cash flows for the period ended 31 March</w:t>
      </w:r>
    </w:p>
    <w:p w:rsidR="002C39A3" w:rsidRPr="00F944DD" w:rsidRDefault="002C39A3" w:rsidP="00361FA9">
      <w:pPr>
        <w:pStyle w:val="million"/>
        <w:rPr>
          <w:b/>
          <w:bCs/>
          <w:sz w:val="15"/>
          <w:lang w:val="en-US"/>
        </w:rPr>
      </w:pPr>
      <w:r>
        <w:t xml:space="preserve">($ </w:t>
      </w:r>
      <w:r w:rsidRPr="00140669">
        <w:t>million</w:t>
      </w:r>
      <w:r>
        <w:t>)</w:t>
      </w:r>
    </w:p>
    <w:tbl>
      <w:tblPr>
        <w:tblW w:w="7759" w:type="dxa"/>
        <w:tblInd w:w="45" w:type="dxa"/>
        <w:tblLayout w:type="fixed"/>
        <w:tblCellMar>
          <w:left w:w="45" w:type="dxa"/>
          <w:right w:w="45" w:type="dxa"/>
        </w:tblCellMar>
        <w:tblLook w:val="0000" w:firstRow="0" w:lastRow="0" w:firstColumn="0" w:lastColumn="0" w:noHBand="0" w:noVBand="0"/>
      </w:tblPr>
      <w:tblGrid>
        <w:gridCol w:w="737"/>
        <w:gridCol w:w="2738"/>
        <w:gridCol w:w="544"/>
        <w:gridCol w:w="697"/>
        <w:gridCol w:w="697"/>
        <w:gridCol w:w="816"/>
        <w:gridCol w:w="850"/>
        <w:gridCol w:w="680"/>
      </w:tblGrid>
      <w:tr w:rsidR="00251C6B" w:rsidRPr="00F944DD" w:rsidTr="00C414FD">
        <w:trPr>
          <w:trHeight w:val="781"/>
          <w:tblHeader/>
        </w:trPr>
        <w:tc>
          <w:tcPr>
            <w:tcW w:w="737" w:type="dxa"/>
            <w:tcBorders>
              <w:right w:val="nil"/>
            </w:tcBorders>
            <w:shd w:val="solid" w:color="000000" w:fill="auto"/>
            <w:vAlign w:val="bottom"/>
          </w:tcPr>
          <w:p w:rsidR="00251C6B" w:rsidRPr="00F944DD" w:rsidRDefault="00251C6B" w:rsidP="00361FA9">
            <w:pPr>
              <w:pStyle w:val="Source"/>
              <w:spacing w:after="0"/>
              <w:jc w:val="right"/>
              <w:rPr>
                <w:rFonts w:eastAsiaTheme="minorEastAsia" w:cs="Calibri"/>
                <w:iCs/>
                <w:color w:val="FFFFFF"/>
                <w:sz w:val="16"/>
                <w:szCs w:val="19"/>
                <w:lang w:eastAsia="en-AU"/>
              </w:rPr>
            </w:pPr>
            <w:r w:rsidRPr="00F944DD">
              <w:rPr>
                <w:rFonts w:eastAsiaTheme="minorEastAsia" w:cs="Calibri"/>
                <w:iCs/>
                <w:color w:val="FFFFFF"/>
                <w:sz w:val="16"/>
                <w:szCs w:val="19"/>
                <w:lang w:eastAsia="en-AU"/>
              </w:rPr>
              <w:t xml:space="preserve">2014-15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 xml:space="preserve">Actual </w:t>
            </w:r>
          </w:p>
          <w:p w:rsidR="00251C6B" w:rsidRPr="00F944DD" w:rsidRDefault="00251C6B" w:rsidP="00361FA9">
            <w:pPr>
              <w:autoSpaceDE w:val="0"/>
              <w:autoSpaceDN w:val="0"/>
              <w:adjustRightInd w:val="0"/>
              <w:spacing w:after="0"/>
              <w:jc w:val="right"/>
              <w:rPr>
                <w:rFonts w:eastAsiaTheme="minorEastAsia" w:cs="Calibri"/>
                <w:iCs/>
                <w:color w:val="FFFFFF"/>
                <w:sz w:val="16"/>
                <w:szCs w:val="19"/>
                <w:lang w:eastAsia="en-AU"/>
              </w:rPr>
            </w:pPr>
            <w:r w:rsidRPr="00F944DD">
              <w:rPr>
                <w:rFonts w:ascii="Calibri" w:eastAsiaTheme="minorEastAsia" w:hAnsi="Calibri" w:cs="Calibri"/>
                <w:i/>
                <w:iCs/>
                <w:color w:val="FFFFFF"/>
                <w:sz w:val="16"/>
                <w:szCs w:val="19"/>
                <w:lang w:eastAsia="en-AU"/>
              </w:rPr>
              <w:t xml:space="preserve">to Mar </w:t>
            </w:r>
            <w:r w:rsidRPr="00F944DD">
              <w:rPr>
                <w:rFonts w:ascii="Calibri" w:eastAsiaTheme="minorEastAsia" w:hAnsi="Calibri" w:cs="Calibri"/>
                <w:i/>
                <w:iCs/>
                <w:color w:val="FFFFFF"/>
                <w:sz w:val="16"/>
                <w:szCs w:val="19"/>
                <w:vertAlign w:val="superscript"/>
                <w:lang w:eastAsia="en-AU"/>
              </w:rPr>
              <w:t>(a)</w:t>
            </w:r>
          </w:p>
        </w:tc>
        <w:tc>
          <w:tcPr>
            <w:tcW w:w="2738" w:type="dxa"/>
            <w:tcBorders>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6"/>
                <w:szCs w:val="19"/>
                <w:lang w:eastAsia="en-AU"/>
              </w:rPr>
            </w:pPr>
          </w:p>
        </w:tc>
        <w:tc>
          <w:tcPr>
            <w:tcW w:w="544"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center"/>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Notes</w:t>
            </w:r>
          </w:p>
        </w:tc>
        <w:tc>
          <w:tcPr>
            <w:tcW w:w="697"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 xml:space="preserve">2015-16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 xml:space="preserve">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to Mar</w:t>
            </w:r>
          </w:p>
        </w:tc>
        <w:tc>
          <w:tcPr>
            <w:tcW w:w="697"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 xml:space="preserve">Revised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budget</w:t>
            </w:r>
          </w:p>
        </w:tc>
        <w:tc>
          <w:tcPr>
            <w:tcW w:w="816"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Published</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budget</w:t>
            </w: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 xml:space="preserve">Budget to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 xml:space="preserve"> revised budget</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change</w:t>
            </w:r>
          </w:p>
        </w:tc>
        <w:tc>
          <w:tcPr>
            <w:tcW w:w="680" w:type="dxa"/>
            <w:tcBorders>
              <w:lef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Change</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Cash flows from operating activities</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81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8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Receipts </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81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8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13 643</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Taxes received</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14 683</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20 020</w:t>
            </w:r>
          </w:p>
        </w:tc>
        <w:tc>
          <w:tcPr>
            <w:tcW w:w="81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19 007</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1 013</w:t>
            </w:r>
          </w:p>
        </w:tc>
        <w:tc>
          <w:tcPr>
            <w:tcW w:w="68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18 417</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Grants</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19 175</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25 414</w:t>
            </w:r>
          </w:p>
        </w:tc>
        <w:tc>
          <w:tcPr>
            <w:tcW w:w="81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25 668</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(254)</w:t>
            </w:r>
          </w:p>
        </w:tc>
        <w:tc>
          <w:tcPr>
            <w:tcW w:w="68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5 411</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vertAlign w:val="superscript"/>
                <w:lang w:eastAsia="en-AU"/>
              </w:rPr>
            </w:pPr>
            <w:r w:rsidRPr="00F944DD">
              <w:rPr>
                <w:rFonts w:ascii="Calibri" w:eastAsiaTheme="minorEastAsia" w:hAnsi="Calibri" w:cs="Calibri"/>
                <w:color w:val="000000"/>
                <w:sz w:val="16"/>
                <w:szCs w:val="19"/>
                <w:lang w:eastAsia="en-AU"/>
              </w:rPr>
              <w:t xml:space="preserve">Sales of goods and services </w:t>
            </w:r>
            <w:r w:rsidRPr="00F944DD">
              <w:rPr>
                <w:rFonts w:ascii="Calibri" w:eastAsiaTheme="minorEastAsia" w:hAnsi="Calibri" w:cs="Calibri"/>
                <w:color w:val="000000"/>
                <w:sz w:val="16"/>
                <w:szCs w:val="19"/>
                <w:vertAlign w:val="superscript"/>
                <w:lang w:eastAsia="en-AU"/>
              </w:rPr>
              <w:t>(b)</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5 194</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7 372</w:t>
            </w:r>
          </w:p>
        </w:tc>
        <w:tc>
          <w:tcPr>
            <w:tcW w:w="81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7 531</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(159)</w:t>
            </w:r>
          </w:p>
        </w:tc>
        <w:tc>
          <w:tcPr>
            <w:tcW w:w="68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578</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Interest received </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555</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794</w:t>
            </w:r>
          </w:p>
        </w:tc>
        <w:tc>
          <w:tcPr>
            <w:tcW w:w="81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812</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(18)</w:t>
            </w:r>
          </w:p>
        </w:tc>
        <w:tc>
          <w:tcPr>
            <w:tcW w:w="68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747</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Dividends and income tax equivalent and rate equivalent receipts</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714</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761</w:t>
            </w:r>
          </w:p>
        </w:tc>
        <w:tc>
          <w:tcPr>
            <w:tcW w:w="81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1 143</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(382)</w:t>
            </w:r>
          </w:p>
        </w:tc>
        <w:tc>
          <w:tcPr>
            <w:tcW w:w="68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(33)</w:t>
            </w:r>
          </w:p>
        </w:tc>
      </w:tr>
      <w:tr w:rsidR="002C39A3" w:rsidRPr="00F944DD" w:rsidTr="00361FA9">
        <w:tc>
          <w:tcPr>
            <w:tcW w:w="737"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1 168</w:t>
            </w:r>
          </w:p>
        </w:tc>
        <w:tc>
          <w:tcPr>
            <w:tcW w:w="273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Other receipts</w:t>
            </w:r>
          </w:p>
        </w:tc>
        <w:tc>
          <w:tcPr>
            <w:tcW w:w="544"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1 880</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2 365</w:t>
            </w:r>
          </w:p>
        </w:tc>
        <w:tc>
          <w:tcPr>
            <w:tcW w:w="8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1 741</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623</w:t>
            </w:r>
          </w:p>
        </w:tc>
        <w:tc>
          <w:tcPr>
            <w:tcW w:w="68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36</w:t>
            </w:r>
          </w:p>
        </w:tc>
      </w:tr>
      <w:tr w:rsidR="002C39A3" w:rsidRPr="00F944DD" w:rsidTr="00361FA9">
        <w:tc>
          <w:tcPr>
            <w:tcW w:w="737"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39 963</w:t>
            </w:r>
          </w:p>
        </w:tc>
        <w:tc>
          <w:tcPr>
            <w:tcW w:w="2738"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Total receipts</w:t>
            </w:r>
          </w:p>
        </w:tc>
        <w:tc>
          <w:tcPr>
            <w:tcW w:w="544"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9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42 201</w:t>
            </w:r>
          </w:p>
        </w:tc>
        <w:tc>
          <w:tcPr>
            <w:tcW w:w="69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56 728</w:t>
            </w:r>
          </w:p>
        </w:tc>
        <w:tc>
          <w:tcPr>
            <w:tcW w:w="816"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55 904</w:t>
            </w:r>
          </w:p>
        </w:tc>
        <w:tc>
          <w:tcPr>
            <w:tcW w:w="85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824</w:t>
            </w:r>
          </w:p>
        </w:tc>
        <w:tc>
          <w:tcPr>
            <w:tcW w:w="680"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Payments</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81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8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(13 712)</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Payments for employees</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(14 595)</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(19 795)</w:t>
            </w:r>
          </w:p>
        </w:tc>
        <w:tc>
          <w:tcPr>
            <w:tcW w:w="81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(19 657)</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(138)</w:t>
            </w:r>
          </w:p>
        </w:tc>
        <w:tc>
          <w:tcPr>
            <w:tcW w:w="68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(2 087)</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Superannuation</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(2 188)</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(2 858)</w:t>
            </w:r>
          </w:p>
        </w:tc>
        <w:tc>
          <w:tcPr>
            <w:tcW w:w="81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(2 969)</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111</w:t>
            </w:r>
          </w:p>
        </w:tc>
        <w:tc>
          <w:tcPr>
            <w:tcW w:w="68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(1 533)</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Interest paid</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(1 549)</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(2 096)</w:t>
            </w:r>
          </w:p>
        </w:tc>
        <w:tc>
          <w:tcPr>
            <w:tcW w:w="81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(2 059)</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(37)</w:t>
            </w:r>
          </w:p>
        </w:tc>
        <w:tc>
          <w:tcPr>
            <w:tcW w:w="68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(6 950)</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Grants and subsidies</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(7 028)</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(8 674)</w:t>
            </w:r>
          </w:p>
        </w:tc>
        <w:tc>
          <w:tcPr>
            <w:tcW w:w="81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(8 748)</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74</w:t>
            </w:r>
          </w:p>
        </w:tc>
        <w:tc>
          <w:tcPr>
            <w:tcW w:w="68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(12 465)</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vertAlign w:val="superscript"/>
                <w:lang w:eastAsia="en-AU"/>
              </w:rPr>
            </w:pPr>
            <w:r w:rsidRPr="00F944DD">
              <w:rPr>
                <w:rFonts w:ascii="Calibri" w:eastAsiaTheme="minorEastAsia" w:hAnsi="Calibri" w:cs="Calibri"/>
                <w:color w:val="000000"/>
                <w:sz w:val="16"/>
                <w:szCs w:val="19"/>
                <w:lang w:eastAsia="en-AU"/>
              </w:rPr>
              <w:t xml:space="preserve">Goods and services </w:t>
            </w:r>
            <w:r w:rsidRPr="00F944DD">
              <w:rPr>
                <w:rFonts w:ascii="Calibri" w:eastAsiaTheme="minorEastAsia" w:hAnsi="Calibri" w:cs="Calibri"/>
                <w:color w:val="000000"/>
                <w:sz w:val="16"/>
                <w:szCs w:val="19"/>
                <w:vertAlign w:val="superscript"/>
                <w:lang w:eastAsia="en-AU"/>
              </w:rPr>
              <w:t>(b)</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(12 611)</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(17 865)</w:t>
            </w:r>
          </w:p>
        </w:tc>
        <w:tc>
          <w:tcPr>
            <w:tcW w:w="81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(18 056)</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190</w:t>
            </w:r>
          </w:p>
        </w:tc>
        <w:tc>
          <w:tcPr>
            <w:tcW w:w="68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w:t>
            </w:r>
          </w:p>
        </w:tc>
      </w:tr>
      <w:tr w:rsidR="002C39A3" w:rsidRPr="00F944DD" w:rsidTr="00361FA9">
        <w:tc>
          <w:tcPr>
            <w:tcW w:w="737"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(476)</w:t>
            </w:r>
          </w:p>
        </w:tc>
        <w:tc>
          <w:tcPr>
            <w:tcW w:w="273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Other payments</w:t>
            </w:r>
          </w:p>
        </w:tc>
        <w:tc>
          <w:tcPr>
            <w:tcW w:w="544"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(532)</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(665)</w:t>
            </w:r>
          </w:p>
        </w:tc>
        <w:tc>
          <w:tcPr>
            <w:tcW w:w="8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(661)</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w:t>
            </w:r>
          </w:p>
        </w:tc>
        <w:tc>
          <w:tcPr>
            <w:tcW w:w="68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w:t>
            </w:r>
          </w:p>
        </w:tc>
      </w:tr>
      <w:tr w:rsidR="002C39A3" w:rsidRPr="00F944DD" w:rsidTr="00361FA9">
        <w:tc>
          <w:tcPr>
            <w:tcW w:w="737" w:type="dxa"/>
            <w:tcBorders>
              <w:top w:val="single" w:sz="6" w:space="0" w:color="000000"/>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(37 223)</w:t>
            </w:r>
          </w:p>
        </w:tc>
        <w:tc>
          <w:tcPr>
            <w:tcW w:w="2738"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Total payments</w:t>
            </w:r>
          </w:p>
        </w:tc>
        <w:tc>
          <w:tcPr>
            <w:tcW w:w="544"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97"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(38 503)</w:t>
            </w:r>
          </w:p>
        </w:tc>
        <w:tc>
          <w:tcPr>
            <w:tcW w:w="697"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(51 954)</w:t>
            </w:r>
          </w:p>
        </w:tc>
        <w:tc>
          <w:tcPr>
            <w:tcW w:w="816"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(52 149)</w:t>
            </w:r>
          </w:p>
        </w:tc>
        <w:tc>
          <w:tcPr>
            <w:tcW w:w="850"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194</w:t>
            </w:r>
          </w:p>
        </w:tc>
        <w:tc>
          <w:tcPr>
            <w:tcW w:w="680" w:type="dxa"/>
            <w:tcBorders>
              <w:top w:val="single" w:sz="6" w:space="0" w:color="000000"/>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w:t>
            </w:r>
          </w:p>
        </w:tc>
      </w:tr>
      <w:tr w:rsidR="002C39A3" w:rsidRPr="00F944DD" w:rsidTr="00361FA9">
        <w:tc>
          <w:tcPr>
            <w:tcW w:w="737"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2 741</w:t>
            </w:r>
          </w:p>
        </w:tc>
        <w:tc>
          <w:tcPr>
            <w:tcW w:w="2738"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Net cash flows from operating activities</w:t>
            </w:r>
          </w:p>
        </w:tc>
        <w:tc>
          <w:tcPr>
            <w:tcW w:w="544"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9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3 698</w:t>
            </w:r>
          </w:p>
        </w:tc>
        <w:tc>
          <w:tcPr>
            <w:tcW w:w="69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4 773</w:t>
            </w:r>
          </w:p>
        </w:tc>
        <w:tc>
          <w:tcPr>
            <w:tcW w:w="816"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3 755</w:t>
            </w:r>
          </w:p>
        </w:tc>
        <w:tc>
          <w:tcPr>
            <w:tcW w:w="85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1 018</w:t>
            </w:r>
          </w:p>
        </w:tc>
        <w:tc>
          <w:tcPr>
            <w:tcW w:w="680"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27</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Cash flows from investing activities</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81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8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(2 387)</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Purchases of non-financial assets</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(2 991)</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(4 065)</w:t>
            </w:r>
          </w:p>
        </w:tc>
        <w:tc>
          <w:tcPr>
            <w:tcW w:w="81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(4 552)</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486</w:t>
            </w:r>
          </w:p>
        </w:tc>
        <w:tc>
          <w:tcPr>
            <w:tcW w:w="68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(11)</w:t>
            </w:r>
          </w:p>
        </w:tc>
      </w:tr>
      <w:tr w:rsidR="002C39A3" w:rsidRPr="00F944DD" w:rsidTr="00361FA9">
        <w:tc>
          <w:tcPr>
            <w:tcW w:w="737"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185</w:t>
            </w:r>
          </w:p>
        </w:tc>
        <w:tc>
          <w:tcPr>
            <w:tcW w:w="273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Sales of non-financial assets</w:t>
            </w:r>
          </w:p>
        </w:tc>
        <w:tc>
          <w:tcPr>
            <w:tcW w:w="544"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103</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174</w:t>
            </w:r>
          </w:p>
        </w:tc>
        <w:tc>
          <w:tcPr>
            <w:tcW w:w="8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322</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(148)</w:t>
            </w:r>
          </w:p>
        </w:tc>
        <w:tc>
          <w:tcPr>
            <w:tcW w:w="68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(46)</w:t>
            </w:r>
          </w:p>
        </w:tc>
      </w:tr>
      <w:tr w:rsidR="002C39A3" w:rsidRPr="00F944DD" w:rsidTr="00361FA9">
        <w:tc>
          <w:tcPr>
            <w:tcW w:w="737"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(2 202)</w:t>
            </w:r>
          </w:p>
        </w:tc>
        <w:tc>
          <w:tcPr>
            <w:tcW w:w="2738"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Net cash flows from investments in non-financial assets</w:t>
            </w:r>
          </w:p>
        </w:tc>
        <w:tc>
          <w:tcPr>
            <w:tcW w:w="544"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9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(2 888)</w:t>
            </w:r>
          </w:p>
        </w:tc>
        <w:tc>
          <w:tcPr>
            <w:tcW w:w="69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(3 891)</w:t>
            </w:r>
          </w:p>
        </w:tc>
        <w:tc>
          <w:tcPr>
            <w:tcW w:w="816"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(4 230)</w:t>
            </w:r>
          </w:p>
        </w:tc>
        <w:tc>
          <w:tcPr>
            <w:tcW w:w="85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339</w:t>
            </w:r>
          </w:p>
        </w:tc>
        <w:tc>
          <w:tcPr>
            <w:tcW w:w="680"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(8)</w:t>
            </w:r>
          </w:p>
        </w:tc>
      </w:tr>
      <w:tr w:rsidR="002C39A3" w:rsidRPr="00F944DD" w:rsidTr="00361FA9">
        <w:tc>
          <w:tcPr>
            <w:tcW w:w="737"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(613)</w:t>
            </w:r>
          </w:p>
        </w:tc>
        <w:tc>
          <w:tcPr>
            <w:tcW w:w="273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Net cash flows from investments in financial assets for policy purposes</w:t>
            </w:r>
          </w:p>
        </w:tc>
        <w:tc>
          <w:tcPr>
            <w:tcW w:w="544"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(266)</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54</w:t>
            </w:r>
          </w:p>
        </w:tc>
        <w:tc>
          <w:tcPr>
            <w:tcW w:w="8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6 511</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(6 457)</w:t>
            </w:r>
          </w:p>
        </w:tc>
        <w:tc>
          <w:tcPr>
            <w:tcW w:w="68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(99)</w:t>
            </w:r>
          </w:p>
        </w:tc>
      </w:tr>
      <w:tr w:rsidR="002C39A3" w:rsidRPr="00F944DD" w:rsidTr="00361FA9">
        <w:tc>
          <w:tcPr>
            <w:tcW w:w="737"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(2 815)</w:t>
            </w:r>
          </w:p>
        </w:tc>
        <w:tc>
          <w:tcPr>
            <w:tcW w:w="2738"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Sub-total</w:t>
            </w:r>
          </w:p>
        </w:tc>
        <w:tc>
          <w:tcPr>
            <w:tcW w:w="544"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9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(3 155)</w:t>
            </w:r>
          </w:p>
        </w:tc>
        <w:tc>
          <w:tcPr>
            <w:tcW w:w="69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(3 837)</w:t>
            </w:r>
          </w:p>
        </w:tc>
        <w:tc>
          <w:tcPr>
            <w:tcW w:w="816"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2 281</w:t>
            </w:r>
          </w:p>
        </w:tc>
        <w:tc>
          <w:tcPr>
            <w:tcW w:w="85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(6 118)</w:t>
            </w:r>
          </w:p>
        </w:tc>
        <w:tc>
          <w:tcPr>
            <w:tcW w:w="680"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Pr>
                <w:rFonts w:ascii="Calibri" w:eastAsiaTheme="minorEastAsia" w:hAnsi="Calibri" w:cs="Calibri"/>
                <w:b/>
                <w:bCs/>
                <w:color w:val="000000"/>
                <w:sz w:val="16"/>
                <w:szCs w:val="19"/>
                <w:lang w:eastAsia="en-AU"/>
              </w:rPr>
              <w:t>(268</w:t>
            </w:r>
            <w:r w:rsidRPr="00F944DD">
              <w:rPr>
                <w:rFonts w:ascii="Calibri" w:eastAsiaTheme="minorEastAsia" w:hAnsi="Calibri" w:cs="Calibri"/>
                <w:b/>
                <w:bCs/>
                <w:color w:val="000000"/>
                <w:sz w:val="16"/>
                <w:szCs w:val="19"/>
                <w:lang w:eastAsia="en-AU"/>
              </w:rPr>
              <w:t>)</w:t>
            </w:r>
          </w:p>
        </w:tc>
      </w:tr>
      <w:tr w:rsidR="002C39A3" w:rsidRPr="00F944DD" w:rsidTr="00361FA9">
        <w:tc>
          <w:tcPr>
            <w:tcW w:w="737"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(331)</w:t>
            </w:r>
          </w:p>
        </w:tc>
        <w:tc>
          <w:tcPr>
            <w:tcW w:w="273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Net cash flows from investments in financial assets for liquidity management purposes</w:t>
            </w:r>
          </w:p>
        </w:tc>
        <w:tc>
          <w:tcPr>
            <w:tcW w:w="544"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(425)</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(136)</w:t>
            </w:r>
          </w:p>
        </w:tc>
        <w:tc>
          <w:tcPr>
            <w:tcW w:w="8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(83)</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(53)</w:t>
            </w:r>
          </w:p>
        </w:tc>
        <w:tc>
          <w:tcPr>
            <w:tcW w:w="68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64</w:t>
            </w:r>
          </w:p>
        </w:tc>
      </w:tr>
      <w:tr w:rsidR="002C39A3" w:rsidRPr="00F944DD" w:rsidTr="00361FA9">
        <w:tc>
          <w:tcPr>
            <w:tcW w:w="737"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(3 146)</w:t>
            </w:r>
          </w:p>
        </w:tc>
        <w:tc>
          <w:tcPr>
            <w:tcW w:w="2738"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Net cash flows from investing activities</w:t>
            </w:r>
          </w:p>
        </w:tc>
        <w:tc>
          <w:tcPr>
            <w:tcW w:w="544"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9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(3 580)</w:t>
            </w:r>
          </w:p>
        </w:tc>
        <w:tc>
          <w:tcPr>
            <w:tcW w:w="69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(3 972)</w:t>
            </w:r>
          </w:p>
        </w:tc>
        <w:tc>
          <w:tcPr>
            <w:tcW w:w="816"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2 199</w:t>
            </w:r>
          </w:p>
        </w:tc>
        <w:tc>
          <w:tcPr>
            <w:tcW w:w="85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(6 171)</w:t>
            </w:r>
          </w:p>
        </w:tc>
        <w:tc>
          <w:tcPr>
            <w:tcW w:w="680"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(281)</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Cash flows from financing activities</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81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8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Advances received (net)</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w:t>
            </w:r>
          </w:p>
        </w:tc>
        <w:tc>
          <w:tcPr>
            <w:tcW w:w="81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w:t>
            </w:r>
          </w:p>
        </w:tc>
        <w:tc>
          <w:tcPr>
            <w:tcW w:w="68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329</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Net borrowings</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(745)</w:t>
            </w:r>
          </w:p>
        </w:tc>
        <w:tc>
          <w:tcPr>
            <w:tcW w:w="81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(5 756)</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5 011</w:t>
            </w:r>
          </w:p>
        </w:tc>
        <w:tc>
          <w:tcPr>
            <w:tcW w:w="68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(87)</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101</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Deposits received (net)</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11</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w:t>
            </w:r>
          </w:p>
        </w:tc>
        <w:tc>
          <w:tcPr>
            <w:tcW w:w="81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w:t>
            </w:r>
          </w:p>
        </w:tc>
        <w:tc>
          <w:tcPr>
            <w:tcW w:w="68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Pr>
                <w:rFonts w:ascii="Calibri" w:eastAsiaTheme="minorEastAsia" w:hAnsi="Calibri" w:cs="Calibri"/>
                <w:color w:val="000000"/>
                <w:sz w:val="16"/>
                <w:szCs w:val="19"/>
                <w:lang w:eastAsia="en-AU"/>
              </w:rPr>
              <w:t>..</w:t>
            </w:r>
          </w:p>
        </w:tc>
      </w:tr>
      <w:tr w:rsidR="002C39A3" w:rsidRPr="00F944DD" w:rsidTr="00361FA9">
        <w:tc>
          <w:tcPr>
            <w:tcW w:w="737"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w:t>
            </w:r>
          </w:p>
        </w:tc>
        <w:tc>
          <w:tcPr>
            <w:tcW w:w="273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Other financing (net)</w:t>
            </w:r>
          </w:p>
        </w:tc>
        <w:tc>
          <w:tcPr>
            <w:tcW w:w="544"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w:t>
            </w:r>
          </w:p>
        </w:tc>
        <w:tc>
          <w:tcPr>
            <w:tcW w:w="8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w:t>
            </w:r>
          </w:p>
        </w:tc>
        <w:tc>
          <w:tcPr>
            <w:tcW w:w="68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w:t>
            </w:r>
          </w:p>
        </w:tc>
      </w:tr>
      <w:tr w:rsidR="002C39A3" w:rsidRPr="00F944DD" w:rsidTr="00361FA9">
        <w:tc>
          <w:tcPr>
            <w:tcW w:w="737" w:type="dxa"/>
            <w:tcBorders>
              <w:top w:val="single" w:sz="6" w:space="0" w:color="000000"/>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432</w:t>
            </w:r>
          </w:p>
        </w:tc>
        <w:tc>
          <w:tcPr>
            <w:tcW w:w="2738"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Net cash flows from financing activities</w:t>
            </w:r>
          </w:p>
        </w:tc>
        <w:tc>
          <w:tcPr>
            <w:tcW w:w="544"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97"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15</w:t>
            </w:r>
          </w:p>
        </w:tc>
        <w:tc>
          <w:tcPr>
            <w:tcW w:w="697"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(745)</w:t>
            </w:r>
          </w:p>
        </w:tc>
        <w:tc>
          <w:tcPr>
            <w:tcW w:w="816"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(5 756)</w:t>
            </w:r>
          </w:p>
        </w:tc>
        <w:tc>
          <w:tcPr>
            <w:tcW w:w="850"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5 011</w:t>
            </w:r>
          </w:p>
        </w:tc>
        <w:tc>
          <w:tcPr>
            <w:tcW w:w="680" w:type="dxa"/>
            <w:tcBorders>
              <w:top w:val="single" w:sz="6" w:space="0" w:color="000000"/>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(87)</w:t>
            </w:r>
          </w:p>
        </w:tc>
      </w:tr>
      <w:tr w:rsidR="002C39A3" w:rsidRPr="00F944DD" w:rsidTr="00361FA9">
        <w:tc>
          <w:tcPr>
            <w:tcW w:w="737"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26</w:t>
            </w:r>
          </w:p>
        </w:tc>
        <w:tc>
          <w:tcPr>
            <w:tcW w:w="2738"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Net increase/(decrease) in cash and cash equivalents </w:t>
            </w:r>
          </w:p>
        </w:tc>
        <w:tc>
          <w:tcPr>
            <w:tcW w:w="544"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9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133</w:t>
            </w:r>
          </w:p>
        </w:tc>
        <w:tc>
          <w:tcPr>
            <w:tcW w:w="69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56</w:t>
            </w:r>
          </w:p>
        </w:tc>
        <w:tc>
          <w:tcPr>
            <w:tcW w:w="816"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198</w:t>
            </w:r>
          </w:p>
        </w:tc>
        <w:tc>
          <w:tcPr>
            <w:tcW w:w="85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(142)</w:t>
            </w:r>
          </w:p>
        </w:tc>
        <w:tc>
          <w:tcPr>
            <w:tcW w:w="680"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(72)</w:t>
            </w:r>
          </w:p>
        </w:tc>
      </w:tr>
      <w:tr w:rsidR="002C39A3" w:rsidRPr="00F944DD" w:rsidTr="00361FA9">
        <w:tc>
          <w:tcPr>
            <w:tcW w:w="737"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4 582</w:t>
            </w:r>
          </w:p>
        </w:tc>
        <w:tc>
          <w:tcPr>
            <w:tcW w:w="273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Cash and cash equivalents at beginning of reporting period</w:t>
            </w:r>
          </w:p>
        </w:tc>
        <w:tc>
          <w:tcPr>
            <w:tcW w:w="544"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4 282</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4 282</w:t>
            </w:r>
          </w:p>
        </w:tc>
        <w:tc>
          <w:tcPr>
            <w:tcW w:w="8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4 </w:t>
            </w:r>
            <w:r>
              <w:rPr>
                <w:rFonts w:ascii="Calibri" w:eastAsiaTheme="minorEastAsia" w:hAnsi="Calibri" w:cs="Calibri"/>
                <w:color w:val="000000"/>
                <w:sz w:val="16"/>
                <w:szCs w:val="19"/>
                <w:lang w:eastAsia="en-AU"/>
              </w:rPr>
              <w:t>282</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Pr>
                <w:rFonts w:ascii="Calibri" w:eastAsiaTheme="minorEastAsia" w:hAnsi="Calibri" w:cs="Calibri"/>
                <w:color w:val="000000"/>
                <w:sz w:val="16"/>
                <w:szCs w:val="19"/>
                <w:lang w:eastAsia="en-AU"/>
              </w:rPr>
              <w:t>..</w:t>
            </w:r>
          </w:p>
        </w:tc>
        <w:tc>
          <w:tcPr>
            <w:tcW w:w="68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Pr>
                <w:rFonts w:ascii="Calibri" w:eastAsiaTheme="minorEastAsia" w:hAnsi="Calibri" w:cs="Calibri"/>
                <w:color w:val="000000"/>
                <w:sz w:val="16"/>
                <w:szCs w:val="19"/>
                <w:lang w:eastAsia="en-AU"/>
              </w:rPr>
              <w:t>..</w:t>
            </w:r>
          </w:p>
        </w:tc>
      </w:tr>
      <w:tr w:rsidR="002C39A3" w:rsidRPr="00F944DD" w:rsidTr="00361FA9">
        <w:tc>
          <w:tcPr>
            <w:tcW w:w="737" w:type="dxa"/>
            <w:tcBorders>
              <w:top w:val="single" w:sz="6" w:space="0" w:color="000000"/>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4 609</w:t>
            </w:r>
          </w:p>
        </w:tc>
        <w:tc>
          <w:tcPr>
            <w:tcW w:w="2738"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Cash and cash equivalents at end of the reporting period</w:t>
            </w:r>
          </w:p>
        </w:tc>
        <w:tc>
          <w:tcPr>
            <w:tcW w:w="544"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17</w:t>
            </w:r>
          </w:p>
        </w:tc>
        <w:tc>
          <w:tcPr>
            <w:tcW w:w="697"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4 415</w:t>
            </w:r>
          </w:p>
        </w:tc>
        <w:tc>
          <w:tcPr>
            <w:tcW w:w="697"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4 338</w:t>
            </w:r>
          </w:p>
        </w:tc>
        <w:tc>
          <w:tcPr>
            <w:tcW w:w="816"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Pr>
                <w:rFonts w:ascii="Calibri" w:eastAsiaTheme="minorEastAsia" w:hAnsi="Calibri" w:cs="Calibri"/>
                <w:b/>
                <w:bCs/>
                <w:color w:val="000000"/>
                <w:sz w:val="16"/>
                <w:szCs w:val="19"/>
                <w:lang w:eastAsia="en-AU"/>
              </w:rPr>
              <w:t>4 479</w:t>
            </w:r>
          </w:p>
        </w:tc>
        <w:tc>
          <w:tcPr>
            <w:tcW w:w="850"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Pr>
                <w:rFonts w:ascii="Calibri" w:eastAsiaTheme="minorEastAsia" w:hAnsi="Calibri" w:cs="Calibri"/>
                <w:b/>
                <w:bCs/>
                <w:color w:val="000000"/>
                <w:sz w:val="16"/>
                <w:szCs w:val="19"/>
                <w:lang w:eastAsia="en-AU"/>
              </w:rPr>
              <w:t>(142</w:t>
            </w:r>
            <w:r w:rsidRPr="00F944DD">
              <w:rPr>
                <w:rFonts w:ascii="Calibri" w:eastAsiaTheme="minorEastAsia" w:hAnsi="Calibri" w:cs="Calibri"/>
                <w:b/>
                <w:bCs/>
                <w:color w:val="000000"/>
                <w:sz w:val="16"/>
                <w:szCs w:val="19"/>
                <w:lang w:eastAsia="en-AU"/>
              </w:rPr>
              <w:t>)</w:t>
            </w:r>
          </w:p>
        </w:tc>
        <w:tc>
          <w:tcPr>
            <w:tcW w:w="680" w:type="dxa"/>
            <w:tcBorders>
              <w:top w:val="single" w:sz="6" w:space="0" w:color="000000"/>
              <w:left w:val="nil"/>
              <w:bottom w:val="single" w:sz="12"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Pr>
                <w:rFonts w:ascii="Calibri" w:eastAsiaTheme="minorEastAsia" w:hAnsi="Calibri" w:cs="Calibri"/>
                <w:b/>
                <w:bCs/>
                <w:color w:val="000000"/>
                <w:sz w:val="16"/>
                <w:szCs w:val="19"/>
                <w:lang w:eastAsia="en-AU"/>
              </w:rPr>
              <w:t>(3)</w:t>
            </w:r>
          </w:p>
        </w:tc>
      </w:tr>
      <w:tr w:rsidR="002C39A3" w:rsidRPr="00F944DD" w:rsidTr="00361FA9">
        <w:trPr>
          <w:trHeight w:hRule="exact" w:val="120"/>
        </w:trPr>
        <w:tc>
          <w:tcPr>
            <w:tcW w:w="737" w:type="dxa"/>
            <w:tcBorders>
              <w:top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2738"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544"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816"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850"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80" w:type="dxa"/>
            <w:tcBorders>
              <w:top w:val="single" w:sz="12"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r>
    </w:tbl>
    <w:p w:rsidR="002C39A3" w:rsidRDefault="002C39A3" w:rsidP="00361FA9">
      <w:pPr>
        <w:pStyle w:val="Tableheadingcontinued"/>
      </w:pPr>
    </w:p>
    <w:p w:rsidR="002C39A3" w:rsidRDefault="002C39A3" w:rsidP="00361FA9">
      <w:pPr>
        <w:pStyle w:val="Heading1"/>
      </w:pPr>
      <w:r>
        <w:br w:type="page"/>
      </w:r>
    </w:p>
    <w:p w:rsidR="002C39A3" w:rsidRDefault="002C39A3" w:rsidP="00361FA9">
      <w:pPr>
        <w:pStyle w:val="Tableheadingcontinued"/>
      </w:pPr>
      <w:r>
        <w:t>Table B.3:</w:t>
      </w:r>
      <w:r>
        <w:tab/>
        <w:t xml:space="preserve">Statement of cash flows for the period ended 31 March </w:t>
      </w:r>
      <w:r w:rsidRPr="00D417D0">
        <w:rPr>
          <w:i/>
        </w:rPr>
        <w:t>(continued)</w:t>
      </w:r>
    </w:p>
    <w:p w:rsidR="002C39A3" w:rsidRDefault="002C39A3" w:rsidP="00361FA9">
      <w:pPr>
        <w:pStyle w:val="million"/>
      </w:pPr>
      <w:r>
        <w:t>($ million)</w:t>
      </w:r>
    </w:p>
    <w:tbl>
      <w:tblPr>
        <w:tblW w:w="7759" w:type="dxa"/>
        <w:tblInd w:w="45" w:type="dxa"/>
        <w:tblLayout w:type="fixed"/>
        <w:tblCellMar>
          <w:left w:w="45" w:type="dxa"/>
          <w:right w:w="45" w:type="dxa"/>
        </w:tblCellMar>
        <w:tblLook w:val="0000" w:firstRow="0" w:lastRow="0" w:firstColumn="0" w:lastColumn="0" w:noHBand="0" w:noVBand="0"/>
      </w:tblPr>
      <w:tblGrid>
        <w:gridCol w:w="737"/>
        <w:gridCol w:w="2738"/>
        <w:gridCol w:w="544"/>
        <w:gridCol w:w="697"/>
        <w:gridCol w:w="697"/>
        <w:gridCol w:w="816"/>
        <w:gridCol w:w="850"/>
        <w:gridCol w:w="680"/>
      </w:tblGrid>
      <w:tr w:rsidR="00251C6B" w:rsidRPr="00F944DD" w:rsidTr="003C66D7">
        <w:trPr>
          <w:trHeight w:val="781"/>
          <w:tblHeader/>
        </w:trPr>
        <w:tc>
          <w:tcPr>
            <w:tcW w:w="737" w:type="dxa"/>
            <w:tcBorders>
              <w:right w:val="nil"/>
            </w:tcBorders>
            <w:shd w:val="solid" w:color="000000" w:fill="auto"/>
            <w:vAlign w:val="bottom"/>
          </w:tcPr>
          <w:p w:rsidR="00251C6B" w:rsidRPr="00F944DD" w:rsidRDefault="00251C6B" w:rsidP="003C66D7">
            <w:pPr>
              <w:pStyle w:val="Source"/>
              <w:spacing w:after="0"/>
              <w:jc w:val="right"/>
              <w:rPr>
                <w:rFonts w:eastAsiaTheme="minorEastAsia" w:cs="Calibri"/>
                <w:iCs/>
                <w:color w:val="FFFFFF"/>
                <w:sz w:val="16"/>
                <w:szCs w:val="19"/>
                <w:lang w:eastAsia="en-AU"/>
              </w:rPr>
            </w:pPr>
            <w:r w:rsidRPr="00F944DD">
              <w:rPr>
                <w:rFonts w:eastAsiaTheme="minorEastAsia" w:cs="Calibri"/>
                <w:iCs/>
                <w:color w:val="FFFFFF"/>
                <w:sz w:val="16"/>
                <w:szCs w:val="19"/>
                <w:lang w:eastAsia="en-AU"/>
              </w:rPr>
              <w:t xml:space="preserve">2014-15 </w:t>
            </w:r>
          </w:p>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 xml:space="preserve">Actual </w:t>
            </w:r>
          </w:p>
          <w:p w:rsidR="00251C6B" w:rsidRPr="00F944DD" w:rsidRDefault="00251C6B" w:rsidP="003C66D7">
            <w:pPr>
              <w:autoSpaceDE w:val="0"/>
              <w:autoSpaceDN w:val="0"/>
              <w:adjustRightInd w:val="0"/>
              <w:spacing w:after="0"/>
              <w:jc w:val="right"/>
              <w:rPr>
                <w:rFonts w:eastAsiaTheme="minorEastAsia" w:cs="Calibri"/>
                <w:iCs/>
                <w:color w:val="FFFFFF"/>
                <w:sz w:val="16"/>
                <w:szCs w:val="19"/>
                <w:lang w:eastAsia="en-AU"/>
              </w:rPr>
            </w:pPr>
            <w:r w:rsidRPr="00F944DD">
              <w:rPr>
                <w:rFonts w:ascii="Calibri" w:eastAsiaTheme="minorEastAsia" w:hAnsi="Calibri" w:cs="Calibri"/>
                <w:i/>
                <w:iCs/>
                <w:color w:val="FFFFFF"/>
                <w:sz w:val="16"/>
                <w:szCs w:val="19"/>
                <w:lang w:eastAsia="en-AU"/>
              </w:rPr>
              <w:t xml:space="preserve">to Mar </w:t>
            </w:r>
            <w:r w:rsidRPr="00F944DD">
              <w:rPr>
                <w:rFonts w:ascii="Calibri" w:eastAsiaTheme="minorEastAsia" w:hAnsi="Calibri" w:cs="Calibri"/>
                <w:i/>
                <w:iCs/>
                <w:color w:val="FFFFFF"/>
                <w:sz w:val="16"/>
                <w:szCs w:val="19"/>
                <w:vertAlign w:val="superscript"/>
                <w:lang w:eastAsia="en-AU"/>
              </w:rPr>
              <w:t>(a)</w:t>
            </w:r>
          </w:p>
        </w:tc>
        <w:tc>
          <w:tcPr>
            <w:tcW w:w="2738" w:type="dxa"/>
            <w:tcBorders>
              <w:left w:val="nil"/>
              <w:right w:val="nil"/>
            </w:tcBorders>
            <w:shd w:val="solid" w:color="000000" w:fill="auto"/>
            <w:vAlign w:val="bottom"/>
          </w:tcPr>
          <w:p w:rsidR="00251C6B" w:rsidRPr="00F944DD" w:rsidRDefault="00251C6B" w:rsidP="003C66D7">
            <w:pPr>
              <w:autoSpaceDE w:val="0"/>
              <w:autoSpaceDN w:val="0"/>
              <w:adjustRightInd w:val="0"/>
              <w:spacing w:after="0"/>
              <w:rPr>
                <w:rFonts w:ascii="Calibri" w:eastAsiaTheme="minorEastAsia" w:hAnsi="Calibri" w:cs="Calibri"/>
                <w:i/>
                <w:iCs/>
                <w:color w:val="FFFFFF"/>
                <w:sz w:val="16"/>
                <w:szCs w:val="19"/>
                <w:lang w:eastAsia="en-AU"/>
              </w:rPr>
            </w:pPr>
          </w:p>
        </w:tc>
        <w:tc>
          <w:tcPr>
            <w:tcW w:w="544" w:type="dxa"/>
            <w:tcBorders>
              <w:left w:val="nil"/>
              <w:right w:val="nil"/>
            </w:tcBorders>
            <w:shd w:val="solid" w:color="000000" w:fill="auto"/>
            <w:vAlign w:val="bottom"/>
          </w:tcPr>
          <w:p w:rsidR="00251C6B" w:rsidRPr="00F944DD" w:rsidRDefault="00251C6B" w:rsidP="003C66D7">
            <w:pPr>
              <w:autoSpaceDE w:val="0"/>
              <w:autoSpaceDN w:val="0"/>
              <w:adjustRightInd w:val="0"/>
              <w:spacing w:after="0"/>
              <w:jc w:val="center"/>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Notes</w:t>
            </w:r>
          </w:p>
        </w:tc>
        <w:tc>
          <w:tcPr>
            <w:tcW w:w="697" w:type="dxa"/>
            <w:tcBorders>
              <w:left w:val="nil"/>
              <w:right w:val="nil"/>
            </w:tcBorders>
            <w:shd w:val="solid" w:color="000000" w:fill="auto"/>
            <w:vAlign w:val="bottom"/>
          </w:tcPr>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 xml:space="preserve">2015-16 </w:t>
            </w:r>
          </w:p>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 xml:space="preserve">Actual </w:t>
            </w:r>
          </w:p>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to Mar</w:t>
            </w:r>
          </w:p>
        </w:tc>
        <w:tc>
          <w:tcPr>
            <w:tcW w:w="697" w:type="dxa"/>
            <w:tcBorders>
              <w:left w:val="nil"/>
              <w:right w:val="nil"/>
            </w:tcBorders>
            <w:shd w:val="solid" w:color="000000" w:fill="auto"/>
            <w:vAlign w:val="bottom"/>
          </w:tcPr>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 xml:space="preserve"> </w:t>
            </w:r>
          </w:p>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 xml:space="preserve">Revised </w:t>
            </w:r>
          </w:p>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budget</w:t>
            </w:r>
          </w:p>
        </w:tc>
        <w:tc>
          <w:tcPr>
            <w:tcW w:w="816" w:type="dxa"/>
            <w:tcBorders>
              <w:left w:val="nil"/>
              <w:right w:val="nil"/>
            </w:tcBorders>
            <w:shd w:val="solid" w:color="000000" w:fill="auto"/>
            <w:vAlign w:val="bottom"/>
          </w:tcPr>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 xml:space="preserve"> </w:t>
            </w:r>
          </w:p>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Published</w:t>
            </w:r>
          </w:p>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budget</w:t>
            </w:r>
          </w:p>
        </w:tc>
        <w:tc>
          <w:tcPr>
            <w:tcW w:w="850" w:type="dxa"/>
            <w:tcBorders>
              <w:left w:val="nil"/>
              <w:right w:val="nil"/>
            </w:tcBorders>
            <w:shd w:val="solid" w:color="000000" w:fill="auto"/>
            <w:vAlign w:val="bottom"/>
          </w:tcPr>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 xml:space="preserve">Budget to </w:t>
            </w:r>
          </w:p>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 xml:space="preserve"> revised budget</w:t>
            </w:r>
          </w:p>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change</w:t>
            </w:r>
          </w:p>
        </w:tc>
        <w:tc>
          <w:tcPr>
            <w:tcW w:w="680" w:type="dxa"/>
            <w:tcBorders>
              <w:left w:val="nil"/>
            </w:tcBorders>
            <w:shd w:val="solid" w:color="000000" w:fill="auto"/>
            <w:vAlign w:val="bottom"/>
          </w:tcPr>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 xml:space="preserve"> </w:t>
            </w:r>
          </w:p>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Change</w:t>
            </w:r>
          </w:p>
          <w:p w:rsidR="00251C6B" w:rsidRPr="00F944DD" w:rsidRDefault="00251C6B" w:rsidP="003C66D7">
            <w:pPr>
              <w:autoSpaceDE w:val="0"/>
              <w:autoSpaceDN w:val="0"/>
              <w:adjustRightInd w:val="0"/>
              <w:spacing w:after="0"/>
              <w:jc w:val="right"/>
              <w:rPr>
                <w:rFonts w:ascii="Calibri" w:eastAsiaTheme="minorEastAsia" w:hAnsi="Calibri" w:cs="Calibri"/>
                <w:i/>
                <w:iCs/>
                <w:color w:val="FFFFFF"/>
                <w:sz w:val="16"/>
                <w:szCs w:val="19"/>
                <w:lang w:eastAsia="en-AU"/>
              </w:rPr>
            </w:pPr>
            <w:r w:rsidRPr="00F944DD">
              <w:rPr>
                <w:rFonts w:ascii="Calibri" w:eastAsiaTheme="minorEastAsia" w:hAnsi="Calibri" w:cs="Calibri"/>
                <w:i/>
                <w:iCs/>
                <w:color w:val="FFFFFF"/>
                <w:sz w:val="16"/>
                <w:szCs w:val="19"/>
                <w:lang w:eastAsia="en-AU"/>
              </w:rPr>
              <w:t>%</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FISCAL AGGREGATES</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81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8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r>
      <w:tr w:rsidR="002C39A3" w:rsidRPr="00F944DD" w:rsidTr="00361FA9">
        <w:tc>
          <w:tcPr>
            <w:tcW w:w="737"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2 741</w:t>
            </w:r>
          </w:p>
        </w:tc>
        <w:tc>
          <w:tcPr>
            <w:tcW w:w="2738"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Net cash flows from operating activities</w:t>
            </w:r>
          </w:p>
        </w:tc>
        <w:tc>
          <w:tcPr>
            <w:tcW w:w="544"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3 698</w:t>
            </w:r>
          </w:p>
        </w:tc>
        <w:tc>
          <w:tcPr>
            <w:tcW w:w="69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4 773</w:t>
            </w:r>
          </w:p>
        </w:tc>
        <w:tc>
          <w:tcPr>
            <w:tcW w:w="816"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3 755</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1 018</w:t>
            </w:r>
          </w:p>
        </w:tc>
        <w:tc>
          <w:tcPr>
            <w:tcW w:w="68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27</w:t>
            </w:r>
          </w:p>
        </w:tc>
      </w:tr>
      <w:tr w:rsidR="002C39A3" w:rsidRPr="00F944DD" w:rsidTr="00361FA9">
        <w:tc>
          <w:tcPr>
            <w:tcW w:w="737"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(2 202)</w:t>
            </w:r>
          </w:p>
        </w:tc>
        <w:tc>
          <w:tcPr>
            <w:tcW w:w="273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Net cash flows from investments in non-financial assets</w:t>
            </w:r>
          </w:p>
        </w:tc>
        <w:tc>
          <w:tcPr>
            <w:tcW w:w="544"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 xml:space="preserve"> </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(2 888)</w:t>
            </w:r>
          </w:p>
        </w:tc>
        <w:tc>
          <w:tcPr>
            <w:tcW w:w="69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(3 891)</w:t>
            </w:r>
          </w:p>
        </w:tc>
        <w:tc>
          <w:tcPr>
            <w:tcW w:w="8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(4 230)</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339</w:t>
            </w:r>
          </w:p>
        </w:tc>
        <w:tc>
          <w:tcPr>
            <w:tcW w:w="68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6"/>
                <w:szCs w:val="19"/>
                <w:lang w:eastAsia="en-AU"/>
              </w:rPr>
            </w:pPr>
            <w:r w:rsidRPr="00F944DD">
              <w:rPr>
                <w:rFonts w:ascii="Calibri" w:eastAsiaTheme="minorEastAsia" w:hAnsi="Calibri" w:cs="Calibri"/>
                <w:color w:val="000000"/>
                <w:sz w:val="16"/>
                <w:szCs w:val="19"/>
                <w:lang w:eastAsia="en-AU"/>
              </w:rPr>
              <w:t>(8)</w:t>
            </w:r>
          </w:p>
        </w:tc>
      </w:tr>
      <w:tr w:rsidR="002C39A3" w:rsidRPr="00F944DD" w:rsidTr="00361FA9">
        <w:tc>
          <w:tcPr>
            <w:tcW w:w="737" w:type="dxa"/>
            <w:tcBorders>
              <w:top w:val="single" w:sz="6" w:space="0" w:color="000000"/>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538</w:t>
            </w:r>
          </w:p>
        </w:tc>
        <w:tc>
          <w:tcPr>
            <w:tcW w:w="2738"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Cash surplus/(deficit)</w:t>
            </w:r>
          </w:p>
        </w:tc>
        <w:tc>
          <w:tcPr>
            <w:tcW w:w="544"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center"/>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 xml:space="preserve"> </w:t>
            </w:r>
          </w:p>
        </w:tc>
        <w:tc>
          <w:tcPr>
            <w:tcW w:w="697"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810</w:t>
            </w:r>
          </w:p>
        </w:tc>
        <w:tc>
          <w:tcPr>
            <w:tcW w:w="697"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882</w:t>
            </w:r>
          </w:p>
        </w:tc>
        <w:tc>
          <w:tcPr>
            <w:tcW w:w="816"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(475)</w:t>
            </w:r>
          </w:p>
        </w:tc>
        <w:tc>
          <w:tcPr>
            <w:tcW w:w="85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1 357</w:t>
            </w:r>
          </w:p>
        </w:tc>
        <w:tc>
          <w:tcPr>
            <w:tcW w:w="680" w:type="dxa"/>
            <w:tcBorders>
              <w:top w:val="single" w:sz="6" w:space="0" w:color="000000"/>
              <w:left w:val="nil"/>
              <w:bottom w:val="single" w:sz="12"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6"/>
                <w:szCs w:val="19"/>
                <w:lang w:eastAsia="en-AU"/>
              </w:rPr>
            </w:pPr>
            <w:r w:rsidRPr="00F944DD">
              <w:rPr>
                <w:rFonts w:ascii="Calibri" w:eastAsiaTheme="minorEastAsia" w:hAnsi="Calibri" w:cs="Calibri"/>
                <w:b/>
                <w:bCs/>
                <w:color w:val="000000"/>
                <w:sz w:val="16"/>
                <w:szCs w:val="19"/>
                <w:lang w:eastAsia="en-AU"/>
              </w:rPr>
              <w:t>(286)</w:t>
            </w:r>
          </w:p>
        </w:tc>
      </w:tr>
    </w:tbl>
    <w:p w:rsidR="002C39A3" w:rsidRDefault="002C39A3" w:rsidP="00361FA9">
      <w:pPr>
        <w:pStyle w:val="Source"/>
      </w:pPr>
      <w:r>
        <w:t>Source: Department of Treasury and Finance</w:t>
      </w:r>
    </w:p>
    <w:p w:rsidR="002C39A3" w:rsidRDefault="002C39A3" w:rsidP="00361FA9">
      <w:pPr>
        <w:pStyle w:val="Source"/>
      </w:pPr>
      <w:r>
        <w:t>The accompanying notes form part of these financial statements.</w:t>
      </w:r>
    </w:p>
    <w:p w:rsidR="002C39A3" w:rsidRDefault="002C39A3" w:rsidP="00361FA9">
      <w:pPr>
        <w:pStyle w:val="Notes"/>
      </w:pPr>
      <w:r>
        <w:t>Notes:</w:t>
      </w:r>
    </w:p>
    <w:p w:rsidR="002C39A3" w:rsidRDefault="002C39A3" w:rsidP="00361FA9">
      <w:pPr>
        <w:pStyle w:val="Notes"/>
      </w:pPr>
      <w:r>
        <w:t>(a)</w:t>
      </w:r>
      <w:r>
        <w:tab/>
        <w:t xml:space="preserve">Certain March 2015 comparative figures have been restated to reflect more current information, mainly relating to adjustments outlined in Note 37 of the </w:t>
      </w:r>
      <w:r>
        <w:rPr>
          <w:i w:val="0"/>
        </w:rPr>
        <w:t>2014</w:t>
      </w:r>
      <w:r>
        <w:rPr>
          <w:i w:val="0"/>
        </w:rPr>
        <w:noBreakHyphen/>
        <w:t>15 Financial Report.</w:t>
      </w:r>
    </w:p>
    <w:p w:rsidR="002C39A3" w:rsidRDefault="002C39A3" w:rsidP="00361FA9">
      <w:pPr>
        <w:pStyle w:val="Notes"/>
      </w:pPr>
      <w:r>
        <w:t>(b)</w:t>
      </w:r>
      <w:r>
        <w:tab/>
        <w:t>Inclusive of goods and services tax.</w:t>
      </w:r>
    </w:p>
    <w:p w:rsidR="002C39A3" w:rsidRDefault="002C39A3" w:rsidP="00361FA9">
      <w:pPr>
        <w:pStyle w:val="Notes"/>
      </w:pPr>
    </w:p>
    <w:p w:rsidR="002C39A3" w:rsidRDefault="002C39A3">
      <w:pPr>
        <w:spacing w:after="0"/>
        <w:rPr>
          <w:rFonts w:ascii="Calibri" w:hAnsi="Calibri"/>
          <w:b/>
        </w:rPr>
      </w:pPr>
      <w:r>
        <w:br w:type="page"/>
      </w:r>
    </w:p>
    <w:p w:rsidR="002C39A3" w:rsidRDefault="002C39A3" w:rsidP="00361FA9">
      <w:pPr>
        <w:pStyle w:val="Tableheading"/>
      </w:pPr>
      <w:r>
        <w:t>Table B.4:</w:t>
      </w:r>
      <w:r>
        <w:tab/>
        <w:t>Statement of changes in equity for the period ended 31 March</w:t>
      </w:r>
    </w:p>
    <w:p w:rsidR="002C39A3" w:rsidRPr="003911D9" w:rsidRDefault="002C39A3" w:rsidP="00361FA9">
      <w:pPr>
        <w:pStyle w:val="million"/>
        <w:rPr>
          <w:b/>
          <w:bCs/>
          <w:sz w:val="15"/>
          <w:lang w:val="en-US"/>
        </w:rPr>
      </w:pPr>
      <w:r>
        <w:t>($ million)</w:t>
      </w:r>
    </w:p>
    <w:tbl>
      <w:tblPr>
        <w:tblW w:w="7767" w:type="dxa"/>
        <w:tblInd w:w="45" w:type="dxa"/>
        <w:tblLayout w:type="fixed"/>
        <w:tblCellMar>
          <w:left w:w="45" w:type="dxa"/>
          <w:right w:w="45" w:type="dxa"/>
        </w:tblCellMar>
        <w:tblLook w:val="0000" w:firstRow="0" w:lastRow="0" w:firstColumn="0" w:lastColumn="0" w:noHBand="0" w:noVBand="0"/>
      </w:tblPr>
      <w:tblGrid>
        <w:gridCol w:w="4535"/>
        <w:gridCol w:w="1701"/>
        <w:gridCol w:w="1531"/>
      </w:tblGrid>
      <w:tr w:rsidR="00251C6B" w:rsidRPr="00251C6B" w:rsidTr="00361FA9">
        <w:trPr>
          <w:cantSplit/>
          <w:tblHeader/>
        </w:trPr>
        <w:tc>
          <w:tcPr>
            <w:tcW w:w="4535" w:type="dxa"/>
            <w:tcBorders>
              <w:top w:val="nil"/>
              <w:left w:val="nil"/>
              <w:right w:val="nil"/>
            </w:tcBorders>
            <w:shd w:val="solid" w:color="000000" w:fill="auto"/>
            <w:vAlign w:val="bottom"/>
          </w:tcPr>
          <w:p w:rsidR="002C39A3" w:rsidRPr="00251C6B" w:rsidRDefault="002C39A3" w:rsidP="00361FA9">
            <w:pPr>
              <w:pStyle w:val="Source"/>
              <w:spacing w:after="0"/>
              <w:rPr>
                <w:rFonts w:eastAsiaTheme="minorEastAsia" w:cs="Calibri"/>
                <w:iCs/>
                <w:sz w:val="19"/>
                <w:szCs w:val="19"/>
                <w:lang w:eastAsia="en-AU"/>
              </w:rPr>
            </w:pPr>
            <w:r w:rsidRPr="00251C6B">
              <w:rPr>
                <w:rFonts w:eastAsiaTheme="minorEastAsia" w:cs="Calibri"/>
                <w:iCs/>
                <w:sz w:val="19"/>
                <w:szCs w:val="19"/>
                <w:lang w:eastAsia="en-AU"/>
              </w:rPr>
              <w:t xml:space="preserve"> </w:t>
            </w:r>
          </w:p>
        </w:tc>
        <w:tc>
          <w:tcPr>
            <w:tcW w:w="1701" w:type="dxa"/>
            <w:tcBorders>
              <w:top w:val="nil"/>
              <w:left w:val="nil"/>
              <w:right w:val="nil"/>
            </w:tcBorders>
            <w:shd w:val="solid" w:color="000000" w:fill="auto"/>
            <w:vAlign w:val="bottom"/>
          </w:tcPr>
          <w:p w:rsidR="002C39A3" w:rsidRPr="00251C6B" w:rsidRDefault="002C39A3" w:rsidP="00361FA9">
            <w:pPr>
              <w:autoSpaceDE w:val="0"/>
              <w:autoSpaceDN w:val="0"/>
              <w:adjustRightInd w:val="0"/>
              <w:spacing w:after="0"/>
              <w:jc w:val="right"/>
              <w:rPr>
                <w:rFonts w:ascii="Calibri" w:eastAsiaTheme="minorEastAsia" w:hAnsi="Calibri" w:cs="Calibri"/>
                <w:i/>
                <w:iCs/>
                <w:sz w:val="19"/>
                <w:szCs w:val="19"/>
                <w:lang w:eastAsia="en-AU"/>
              </w:rPr>
            </w:pPr>
          </w:p>
          <w:p w:rsidR="002C39A3" w:rsidRPr="00251C6B" w:rsidRDefault="002C39A3" w:rsidP="00361FA9">
            <w:pPr>
              <w:autoSpaceDE w:val="0"/>
              <w:autoSpaceDN w:val="0"/>
              <w:adjustRightInd w:val="0"/>
              <w:spacing w:after="0"/>
              <w:jc w:val="right"/>
              <w:rPr>
                <w:rFonts w:ascii="Calibri" w:eastAsiaTheme="minorEastAsia" w:hAnsi="Calibri" w:cs="Calibri"/>
                <w:i/>
                <w:iCs/>
                <w:sz w:val="19"/>
                <w:szCs w:val="19"/>
                <w:vertAlign w:val="superscript"/>
                <w:lang w:eastAsia="en-AU"/>
              </w:rPr>
            </w:pPr>
            <w:r w:rsidRPr="00251C6B">
              <w:rPr>
                <w:rFonts w:ascii="Calibri" w:eastAsiaTheme="minorEastAsia" w:hAnsi="Calibri" w:cs="Calibri"/>
                <w:i/>
                <w:iCs/>
                <w:sz w:val="19"/>
                <w:szCs w:val="19"/>
                <w:lang w:eastAsia="en-AU"/>
              </w:rPr>
              <w:t xml:space="preserve">Accumulated surplus/(deficit) </w:t>
            </w:r>
            <w:r w:rsidRPr="00251C6B">
              <w:rPr>
                <w:rFonts w:ascii="Calibri" w:eastAsiaTheme="minorEastAsia" w:hAnsi="Calibri" w:cs="Calibri"/>
                <w:i/>
                <w:iCs/>
                <w:sz w:val="19"/>
                <w:szCs w:val="19"/>
                <w:vertAlign w:val="superscript"/>
                <w:lang w:eastAsia="en-AU"/>
              </w:rPr>
              <w:t>(a)</w:t>
            </w:r>
          </w:p>
        </w:tc>
        <w:tc>
          <w:tcPr>
            <w:tcW w:w="1531" w:type="dxa"/>
            <w:tcBorders>
              <w:top w:val="nil"/>
              <w:left w:val="nil"/>
              <w:right w:val="nil"/>
            </w:tcBorders>
            <w:shd w:val="solid" w:color="000000" w:fill="auto"/>
            <w:vAlign w:val="bottom"/>
          </w:tcPr>
          <w:p w:rsidR="002C39A3" w:rsidRPr="00251C6B" w:rsidRDefault="002C39A3" w:rsidP="00361FA9">
            <w:pPr>
              <w:autoSpaceDE w:val="0"/>
              <w:autoSpaceDN w:val="0"/>
              <w:adjustRightInd w:val="0"/>
              <w:spacing w:after="0"/>
              <w:jc w:val="right"/>
              <w:rPr>
                <w:rFonts w:ascii="Calibri" w:eastAsiaTheme="minorEastAsia" w:hAnsi="Calibri" w:cs="Calibri"/>
                <w:i/>
                <w:iCs/>
                <w:sz w:val="19"/>
                <w:szCs w:val="19"/>
                <w:lang w:eastAsia="en-AU"/>
              </w:rPr>
            </w:pPr>
          </w:p>
          <w:p w:rsidR="002C39A3" w:rsidRPr="00251C6B" w:rsidRDefault="002C39A3" w:rsidP="00361FA9">
            <w:pPr>
              <w:autoSpaceDE w:val="0"/>
              <w:autoSpaceDN w:val="0"/>
              <w:adjustRightInd w:val="0"/>
              <w:spacing w:after="0"/>
              <w:jc w:val="right"/>
              <w:rPr>
                <w:rFonts w:ascii="Calibri" w:eastAsiaTheme="minorEastAsia" w:hAnsi="Calibri" w:cs="Calibri"/>
                <w:i/>
                <w:iCs/>
                <w:sz w:val="19"/>
                <w:szCs w:val="19"/>
                <w:lang w:eastAsia="en-AU"/>
              </w:rPr>
            </w:pPr>
            <w:r w:rsidRPr="00251C6B">
              <w:rPr>
                <w:rFonts w:ascii="Calibri" w:eastAsiaTheme="minorEastAsia" w:hAnsi="Calibri" w:cs="Calibri"/>
                <w:i/>
                <w:iCs/>
                <w:sz w:val="19"/>
                <w:szCs w:val="19"/>
                <w:lang w:eastAsia="en-AU"/>
              </w:rPr>
              <w:t>Non-controlling interest</w:t>
            </w:r>
          </w:p>
        </w:tc>
      </w:tr>
      <w:tr w:rsidR="00251C6B" w:rsidRPr="00251C6B" w:rsidTr="00B406B3">
        <w:trPr>
          <w:cantSplit/>
        </w:trPr>
        <w:tc>
          <w:tcPr>
            <w:tcW w:w="7767" w:type="dxa"/>
            <w:gridSpan w:val="3"/>
            <w:tcBorders>
              <w:top w:val="nil"/>
              <w:left w:val="nil"/>
              <w:right w:val="nil"/>
            </w:tcBorders>
            <w:shd w:val="clear" w:color="auto" w:fill="FFFFFF"/>
          </w:tcPr>
          <w:p w:rsidR="00251C6B" w:rsidRPr="00251C6B" w:rsidRDefault="00251C6B" w:rsidP="00251C6B">
            <w:pPr>
              <w:autoSpaceDE w:val="0"/>
              <w:autoSpaceDN w:val="0"/>
              <w:adjustRightInd w:val="0"/>
              <w:spacing w:after="0"/>
              <w:ind w:left="227" w:hanging="227"/>
              <w:rPr>
                <w:rFonts w:ascii="Calibri" w:eastAsiaTheme="minorEastAsia" w:hAnsi="Calibri" w:cs="Calibri"/>
                <w:b/>
                <w:bCs/>
                <w:sz w:val="19"/>
                <w:szCs w:val="19"/>
                <w:lang w:eastAsia="en-AU"/>
              </w:rPr>
            </w:pPr>
            <w:r w:rsidRPr="00251C6B">
              <w:rPr>
                <w:rFonts w:ascii="Calibri" w:eastAsiaTheme="minorEastAsia" w:hAnsi="Calibri" w:cs="Calibri"/>
                <w:b/>
                <w:bCs/>
                <w:sz w:val="19"/>
                <w:szCs w:val="19"/>
                <w:lang w:eastAsia="en-AU"/>
              </w:rPr>
              <w:t>2014-15 (actual)</w:t>
            </w:r>
          </w:p>
        </w:tc>
      </w:tr>
      <w:tr w:rsidR="00251C6B" w:rsidRPr="00251C6B" w:rsidTr="00361FA9">
        <w:trPr>
          <w:cantSplit/>
        </w:trPr>
        <w:tc>
          <w:tcPr>
            <w:tcW w:w="4535" w:type="dxa"/>
            <w:tcBorders>
              <w:top w:val="nil"/>
              <w:left w:val="nil"/>
              <w:right w:val="nil"/>
            </w:tcBorders>
            <w:shd w:val="clear" w:color="auto" w:fill="FFFFFF"/>
          </w:tcPr>
          <w:p w:rsidR="002C39A3" w:rsidRPr="00251C6B" w:rsidRDefault="002C39A3" w:rsidP="00361FA9">
            <w:pPr>
              <w:autoSpaceDE w:val="0"/>
              <w:autoSpaceDN w:val="0"/>
              <w:adjustRightInd w:val="0"/>
              <w:spacing w:after="0"/>
              <w:ind w:left="227" w:hanging="227"/>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Balance at 1 July 2014</w:t>
            </w:r>
          </w:p>
        </w:tc>
        <w:tc>
          <w:tcPr>
            <w:tcW w:w="170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43 635</w:t>
            </w:r>
          </w:p>
        </w:tc>
        <w:tc>
          <w:tcPr>
            <w:tcW w:w="153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50</w:t>
            </w:r>
          </w:p>
        </w:tc>
      </w:tr>
      <w:tr w:rsidR="00251C6B" w:rsidRPr="00251C6B" w:rsidTr="00361FA9">
        <w:trPr>
          <w:cantSplit/>
        </w:trPr>
        <w:tc>
          <w:tcPr>
            <w:tcW w:w="4535" w:type="dxa"/>
            <w:tcBorders>
              <w:top w:val="nil"/>
              <w:left w:val="nil"/>
              <w:right w:val="nil"/>
            </w:tcBorders>
            <w:shd w:val="clear" w:color="auto" w:fill="FFFFFF"/>
          </w:tcPr>
          <w:p w:rsidR="002C39A3" w:rsidRPr="00251C6B" w:rsidRDefault="002C39A3" w:rsidP="00361FA9">
            <w:pPr>
              <w:autoSpaceDE w:val="0"/>
              <w:autoSpaceDN w:val="0"/>
              <w:adjustRightInd w:val="0"/>
              <w:spacing w:after="0"/>
              <w:ind w:left="227" w:hanging="227"/>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Net result for the year</w:t>
            </w:r>
          </w:p>
        </w:tc>
        <w:tc>
          <w:tcPr>
            <w:tcW w:w="170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1 505</w:t>
            </w:r>
          </w:p>
        </w:tc>
        <w:tc>
          <w:tcPr>
            <w:tcW w:w="153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w:t>
            </w:r>
          </w:p>
        </w:tc>
      </w:tr>
      <w:tr w:rsidR="00251C6B" w:rsidRPr="00251C6B" w:rsidTr="00361FA9">
        <w:trPr>
          <w:cantSplit/>
        </w:trPr>
        <w:tc>
          <w:tcPr>
            <w:tcW w:w="4535" w:type="dxa"/>
            <w:tcBorders>
              <w:top w:val="nil"/>
              <w:left w:val="nil"/>
              <w:right w:val="nil"/>
            </w:tcBorders>
            <w:shd w:val="clear" w:color="auto" w:fill="FFFFFF"/>
          </w:tcPr>
          <w:p w:rsidR="002C39A3" w:rsidRPr="00251C6B" w:rsidRDefault="002C39A3" w:rsidP="00361FA9">
            <w:pPr>
              <w:autoSpaceDE w:val="0"/>
              <w:autoSpaceDN w:val="0"/>
              <w:adjustRightInd w:val="0"/>
              <w:spacing w:after="0"/>
              <w:ind w:left="227" w:hanging="227"/>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Other comprehensive income for the year</w:t>
            </w:r>
          </w:p>
        </w:tc>
        <w:tc>
          <w:tcPr>
            <w:tcW w:w="170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(5 051)</w:t>
            </w:r>
          </w:p>
        </w:tc>
        <w:tc>
          <w:tcPr>
            <w:tcW w:w="153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w:t>
            </w:r>
          </w:p>
        </w:tc>
      </w:tr>
      <w:tr w:rsidR="00251C6B" w:rsidRPr="00251C6B" w:rsidTr="00361FA9">
        <w:trPr>
          <w:cantSplit/>
        </w:trPr>
        <w:tc>
          <w:tcPr>
            <w:tcW w:w="4535" w:type="dxa"/>
            <w:tcBorders>
              <w:top w:val="nil"/>
              <w:left w:val="nil"/>
              <w:bottom w:val="single" w:sz="6" w:space="0" w:color="auto"/>
              <w:right w:val="nil"/>
            </w:tcBorders>
            <w:shd w:val="clear" w:color="auto" w:fill="FFFFFF"/>
          </w:tcPr>
          <w:p w:rsidR="002C39A3" w:rsidRPr="00251C6B" w:rsidRDefault="002C39A3" w:rsidP="00361FA9">
            <w:pPr>
              <w:autoSpaceDE w:val="0"/>
              <w:autoSpaceDN w:val="0"/>
              <w:adjustRightInd w:val="0"/>
              <w:spacing w:after="0"/>
              <w:ind w:left="227" w:hanging="227"/>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Transfer to accumulated surplus</w:t>
            </w:r>
          </w:p>
        </w:tc>
        <w:tc>
          <w:tcPr>
            <w:tcW w:w="1701" w:type="dxa"/>
            <w:tcBorders>
              <w:top w:val="nil"/>
              <w:left w:val="nil"/>
              <w:bottom w:val="single" w:sz="6" w:space="0" w:color="auto"/>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988</w:t>
            </w:r>
          </w:p>
        </w:tc>
        <w:tc>
          <w:tcPr>
            <w:tcW w:w="1531" w:type="dxa"/>
            <w:tcBorders>
              <w:top w:val="nil"/>
              <w:left w:val="nil"/>
              <w:bottom w:val="single" w:sz="6" w:space="0" w:color="auto"/>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w:t>
            </w:r>
          </w:p>
        </w:tc>
      </w:tr>
      <w:tr w:rsidR="00251C6B" w:rsidRPr="00251C6B" w:rsidTr="00361FA9">
        <w:trPr>
          <w:cantSplit/>
        </w:trPr>
        <w:tc>
          <w:tcPr>
            <w:tcW w:w="4535" w:type="dxa"/>
            <w:tcBorders>
              <w:top w:val="single" w:sz="6" w:space="0" w:color="auto"/>
              <w:left w:val="nil"/>
              <w:bottom w:val="single" w:sz="12" w:space="0" w:color="auto"/>
              <w:right w:val="nil"/>
            </w:tcBorders>
            <w:shd w:val="clear" w:color="auto" w:fill="FFFFFF"/>
          </w:tcPr>
          <w:p w:rsidR="002C39A3" w:rsidRPr="00251C6B" w:rsidRDefault="002C39A3" w:rsidP="00361FA9">
            <w:pPr>
              <w:autoSpaceDE w:val="0"/>
              <w:autoSpaceDN w:val="0"/>
              <w:adjustRightInd w:val="0"/>
              <w:spacing w:after="0"/>
              <w:ind w:left="227" w:hanging="227"/>
              <w:rPr>
                <w:rFonts w:ascii="Calibri" w:eastAsiaTheme="minorEastAsia" w:hAnsi="Calibri" w:cs="Calibri"/>
                <w:b/>
                <w:bCs/>
                <w:sz w:val="19"/>
                <w:szCs w:val="19"/>
                <w:lang w:eastAsia="en-AU"/>
              </w:rPr>
            </w:pPr>
            <w:r w:rsidRPr="00251C6B">
              <w:rPr>
                <w:rFonts w:ascii="Calibri" w:eastAsiaTheme="minorEastAsia" w:hAnsi="Calibri" w:cs="Calibri"/>
                <w:b/>
                <w:bCs/>
                <w:sz w:val="19"/>
                <w:szCs w:val="19"/>
                <w:lang w:eastAsia="en-AU"/>
              </w:rPr>
              <w:t>Total equity as at 31 March 2015</w:t>
            </w:r>
          </w:p>
        </w:tc>
        <w:tc>
          <w:tcPr>
            <w:tcW w:w="1701" w:type="dxa"/>
            <w:tcBorders>
              <w:top w:val="single" w:sz="6" w:space="0" w:color="auto"/>
              <w:left w:val="nil"/>
              <w:bottom w:val="single" w:sz="12" w:space="0" w:color="auto"/>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b/>
                <w:bCs/>
                <w:sz w:val="19"/>
                <w:szCs w:val="19"/>
                <w:lang w:eastAsia="en-AU"/>
              </w:rPr>
            </w:pPr>
            <w:r w:rsidRPr="00251C6B">
              <w:rPr>
                <w:rFonts w:ascii="Calibri" w:eastAsiaTheme="minorEastAsia" w:hAnsi="Calibri" w:cs="Calibri"/>
                <w:b/>
                <w:bCs/>
                <w:sz w:val="19"/>
                <w:szCs w:val="19"/>
                <w:lang w:eastAsia="en-AU"/>
              </w:rPr>
              <w:t>41 078</w:t>
            </w:r>
          </w:p>
        </w:tc>
        <w:tc>
          <w:tcPr>
            <w:tcW w:w="1531" w:type="dxa"/>
            <w:tcBorders>
              <w:top w:val="single" w:sz="6" w:space="0" w:color="auto"/>
              <w:left w:val="nil"/>
              <w:bottom w:val="single" w:sz="12" w:space="0" w:color="auto"/>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b/>
                <w:bCs/>
                <w:sz w:val="19"/>
                <w:szCs w:val="19"/>
                <w:lang w:eastAsia="en-AU"/>
              </w:rPr>
            </w:pPr>
            <w:r w:rsidRPr="00251C6B">
              <w:rPr>
                <w:rFonts w:ascii="Calibri" w:eastAsiaTheme="minorEastAsia" w:hAnsi="Calibri" w:cs="Calibri"/>
                <w:b/>
                <w:bCs/>
                <w:sz w:val="19"/>
                <w:szCs w:val="19"/>
                <w:lang w:eastAsia="en-AU"/>
              </w:rPr>
              <w:t>50</w:t>
            </w:r>
          </w:p>
        </w:tc>
      </w:tr>
      <w:tr w:rsidR="00251C6B" w:rsidRPr="00251C6B" w:rsidTr="002E4EBC">
        <w:trPr>
          <w:cantSplit/>
        </w:trPr>
        <w:tc>
          <w:tcPr>
            <w:tcW w:w="7767" w:type="dxa"/>
            <w:gridSpan w:val="3"/>
            <w:tcBorders>
              <w:top w:val="single" w:sz="12" w:space="0" w:color="auto"/>
              <w:left w:val="nil"/>
              <w:right w:val="nil"/>
            </w:tcBorders>
            <w:shd w:val="clear" w:color="auto" w:fill="FFFFFF"/>
          </w:tcPr>
          <w:p w:rsidR="00251C6B" w:rsidRPr="00251C6B" w:rsidRDefault="00251C6B" w:rsidP="00251C6B">
            <w:pPr>
              <w:autoSpaceDE w:val="0"/>
              <w:autoSpaceDN w:val="0"/>
              <w:adjustRightInd w:val="0"/>
              <w:spacing w:after="0"/>
              <w:ind w:left="227" w:hanging="227"/>
              <w:rPr>
                <w:rFonts w:ascii="Calibri" w:eastAsiaTheme="minorEastAsia" w:hAnsi="Calibri" w:cs="Calibri"/>
                <w:b/>
                <w:bCs/>
                <w:sz w:val="19"/>
                <w:szCs w:val="19"/>
                <w:lang w:eastAsia="en-AU"/>
              </w:rPr>
            </w:pPr>
            <w:r w:rsidRPr="00251C6B">
              <w:rPr>
                <w:rFonts w:ascii="Calibri" w:eastAsiaTheme="minorEastAsia" w:hAnsi="Calibri" w:cs="Calibri"/>
                <w:b/>
                <w:bCs/>
                <w:sz w:val="19"/>
                <w:szCs w:val="19"/>
                <w:lang w:eastAsia="en-AU"/>
              </w:rPr>
              <w:t>2015-16 (actual)</w:t>
            </w:r>
          </w:p>
        </w:tc>
      </w:tr>
      <w:tr w:rsidR="00251C6B" w:rsidRPr="00251C6B" w:rsidTr="00361FA9">
        <w:trPr>
          <w:cantSplit/>
        </w:trPr>
        <w:tc>
          <w:tcPr>
            <w:tcW w:w="4535" w:type="dxa"/>
            <w:tcBorders>
              <w:top w:val="nil"/>
              <w:left w:val="nil"/>
              <w:right w:val="nil"/>
            </w:tcBorders>
            <w:shd w:val="clear" w:color="auto" w:fill="FFFFFF"/>
          </w:tcPr>
          <w:p w:rsidR="002C39A3" w:rsidRPr="00251C6B" w:rsidRDefault="002C39A3" w:rsidP="00361FA9">
            <w:pPr>
              <w:autoSpaceDE w:val="0"/>
              <w:autoSpaceDN w:val="0"/>
              <w:adjustRightInd w:val="0"/>
              <w:spacing w:after="0"/>
              <w:ind w:left="227" w:hanging="227"/>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Balance at 1 July 2015</w:t>
            </w:r>
          </w:p>
        </w:tc>
        <w:tc>
          <w:tcPr>
            <w:tcW w:w="170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45 764</w:t>
            </w:r>
          </w:p>
        </w:tc>
        <w:tc>
          <w:tcPr>
            <w:tcW w:w="153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50</w:t>
            </w:r>
          </w:p>
        </w:tc>
      </w:tr>
      <w:tr w:rsidR="00251C6B" w:rsidRPr="00251C6B" w:rsidTr="00361FA9">
        <w:trPr>
          <w:cantSplit/>
        </w:trPr>
        <w:tc>
          <w:tcPr>
            <w:tcW w:w="4535" w:type="dxa"/>
            <w:tcBorders>
              <w:top w:val="nil"/>
              <w:left w:val="nil"/>
              <w:right w:val="nil"/>
            </w:tcBorders>
            <w:shd w:val="clear" w:color="auto" w:fill="FFFFFF"/>
          </w:tcPr>
          <w:p w:rsidR="002C39A3" w:rsidRPr="00251C6B" w:rsidRDefault="002C39A3" w:rsidP="00361FA9">
            <w:pPr>
              <w:autoSpaceDE w:val="0"/>
              <w:autoSpaceDN w:val="0"/>
              <w:adjustRightInd w:val="0"/>
              <w:spacing w:after="0"/>
              <w:ind w:left="227" w:hanging="227"/>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Net result for the year</w:t>
            </w:r>
          </w:p>
        </w:tc>
        <w:tc>
          <w:tcPr>
            <w:tcW w:w="170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2 818</w:t>
            </w:r>
          </w:p>
        </w:tc>
        <w:tc>
          <w:tcPr>
            <w:tcW w:w="153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w:t>
            </w:r>
          </w:p>
        </w:tc>
      </w:tr>
      <w:tr w:rsidR="00251C6B" w:rsidRPr="00251C6B" w:rsidTr="00361FA9">
        <w:trPr>
          <w:cantSplit/>
        </w:trPr>
        <w:tc>
          <w:tcPr>
            <w:tcW w:w="4535" w:type="dxa"/>
            <w:tcBorders>
              <w:top w:val="nil"/>
              <w:left w:val="nil"/>
              <w:right w:val="nil"/>
            </w:tcBorders>
            <w:shd w:val="clear" w:color="auto" w:fill="FFFFFF"/>
          </w:tcPr>
          <w:p w:rsidR="002C39A3" w:rsidRPr="00251C6B" w:rsidRDefault="002C39A3" w:rsidP="00361FA9">
            <w:pPr>
              <w:autoSpaceDE w:val="0"/>
              <w:autoSpaceDN w:val="0"/>
              <w:adjustRightInd w:val="0"/>
              <w:spacing w:after="0"/>
              <w:ind w:left="227" w:hanging="227"/>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Other comprehensive income for the year</w:t>
            </w:r>
          </w:p>
        </w:tc>
        <w:tc>
          <w:tcPr>
            <w:tcW w:w="170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(1 974)</w:t>
            </w:r>
          </w:p>
        </w:tc>
        <w:tc>
          <w:tcPr>
            <w:tcW w:w="153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w:t>
            </w:r>
          </w:p>
        </w:tc>
      </w:tr>
      <w:tr w:rsidR="00251C6B" w:rsidRPr="00251C6B" w:rsidTr="00361FA9">
        <w:trPr>
          <w:cantSplit/>
        </w:trPr>
        <w:tc>
          <w:tcPr>
            <w:tcW w:w="4535" w:type="dxa"/>
            <w:tcBorders>
              <w:top w:val="nil"/>
              <w:left w:val="nil"/>
              <w:bottom w:val="single" w:sz="6" w:space="0" w:color="auto"/>
              <w:right w:val="nil"/>
            </w:tcBorders>
            <w:shd w:val="clear" w:color="auto" w:fill="FFFFFF"/>
          </w:tcPr>
          <w:p w:rsidR="002C39A3" w:rsidRPr="00251C6B" w:rsidRDefault="002C39A3" w:rsidP="00361FA9">
            <w:pPr>
              <w:autoSpaceDE w:val="0"/>
              <w:autoSpaceDN w:val="0"/>
              <w:adjustRightInd w:val="0"/>
              <w:spacing w:after="0"/>
              <w:ind w:left="227" w:hanging="227"/>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Transfer to accumulated surplus</w:t>
            </w:r>
          </w:p>
        </w:tc>
        <w:tc>
          <w:tcPr>
            <w:tcW w:w="1701" w:type="dxa"/>
            <w:tcBorders>
              <w:top w:val="nil"/>
              <w:left w:val="nil"/>
              <w:bottom w:val="single" w:sz="6" w:space="0" w:color="auto"/>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(22)</w:t>
            </w:r>
          </w:p>
        </w:tc>
        <w:tc>
          <w:tcPr>
            <w:tcW w:w="1531" w:type="dxa"/>
            <w:tcBorders>
              <w:top w:val="nil"/>
              <w:left w:val="nil"/>
              <w:bottom w:val="single" w:sz="6" w:space="0" w:color="auto"/>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w:t>
            </w:r>
          </w:p>
        </w:tc>
      </w:tr>
      <w:tr w:rsidR="00251C6B" w:rsidRPr="00251C6B" w:rsidTr="00361FA9">
        <w:trPr>
          <w:cantSplit/>
        </w:trPr>
        <w:tc>
          <w:tcPr>
            <w:tcW w:w="4535" w:type="dxa"/>
            <w:tcBorders>
              <w:top w:val="single" w:sz="6" w:space="0" w:color="auto"/>
              <w:left w:val="nil"/>
              <w:bottom w:val="single" w:sz="12" w:space="0" w:color="auto"/>
              <w:right w:val="nil"/>
            </w:tcBorders>
            <w:shd w:val="clear" w:color="auto" w:fill="FFFFFF"/>
          </w:tcPr>
          <w:p w:rsidR="002C39A3" w:rsidRPr="00251C6B" w:rsidRDefault="002C39A3" w:rsidP="00361FA9">
            <w:pPr>
              <w:autoSpaceDE w:val="0"/>
              <w:autoSpaceDN w:val="0"/>
              <w:adjustRightInd w:val="0"/>
              <w:spacing w:after="0"/>
              <w:ind w:left="227" w:hanging="227"/>
              <w:rPr>
                <w:rFonts w:ascii="Calibri" w:eastAsiaTheme="minorEastAsia" w:hAnsi="Calibri" w:cs="Calibri"/>
                <w:b/>
                <w:bCs/>
                <w:sz w:val="19"/>
                <w:szCs w:val="19"/>
                <w:lang w:eastAsia="en-AU"/>
              </w:rPr>
            </w:pPr>
            <w:r w:rsidRPr="00251C6B">
              <w:rPr>
                <w:rFonts w:ascii="Calibri" w:eastAsiaTheme="minorEastAsia" w:hAnsi="Calibri" w:cs="Calibri"/>
                <w:b/>
                <w:bCs/>
                <w:sz w:val="19"/>
                <w:szCs w:val="19"/>
                <w:lang w:eastAsia="en-AU"/>
              </w:rPr>
              <w:t>Total equity as at 31 March 2016</w:t>
            </w:r>
          </w:p>
        </w:tc>
        <w:tc>
          <w:tcPr>
            <w:tcW w:w="1701" w:type="dxa"/>
            <w:tcBorders>
              <w:top w:val="single" w:sz="6" w:space="0" w:color="auto"/>
              <w:left w:val="nil"/>
              <w:bottom w:val="single" w:sz="12" w:space="0" w:color="auto"/>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b/>
                <w:bCs/>
                <w:sz w:val="19"/>
                <w:szCs w:val="19"/>
                <w:lang w:eastAsia="en-AU"/>
              </w:rPr>
            </w:pPr>
            <w:r w:rsidRPr="00251C6B">
              <w:rPr>
                <w:rFonts w:ascii="Calibri" w:eastAsiaTheme="minorEastAsia" w:hAnsi="Calibri" w:cs="Calibri"/>
                <w:b/>
                <w:bCs/>
                <w:sz w:val="19"/>
                <w:szCs w:val="19"/>
                <w:lang w:eastAsia="en-AU"/>
              </w:rPr>
              <w:t>46 586</w:t>
            </w:r>
          </w:p>
        </w:tc>
        <w:tc>
          <w:tcPr>
            <w:tcW w:w="1531" w:type="dxa"/>
            <w:tcBorders>
              <w:top w:val="single" w:sz="6" w:space="0" w:color="auto"/>
              <w:left w:val="nil"/>
              <w:bottom w:val="single" w:sz="12" w:space="0" w:color="auto"/>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b/>
                <w:bCs/>
                <w:sz w:val="19"/>
                <w:szCs w:val="19"/>
                <w:lang w:eastAsia="en-AU"/>
              </w:rPr>
            </w:pPr>
            <w:r w:rsidRPr="00251C6B">
              <w:rPr>
                <w:rFonts w:ascii="Calibri" w:eastAsiaTheme="minorEastAsia" w:hAnsi="Calibri" w:cs="Calibri"/>
                <w:b/>
                <w:bCs/>
                <w:sz w:val="19"/>
                <w:szCs w:val="19"/>
                <w:lang w:eastAsia="en-AU"/>
              </w:rPr>
              <w:t>50</w:t>
            </w:r>
          </w:p>
        </w:tc>
      </w:tr>
      <w:tr w:rsidR="00251C6B" w:rsidRPr="00251C6B" w:rsidTr="00B71382">
        <w:trPr>
          <w:cantSplit/>
        </w:trPr>
        <w:tc>
          <w:tcPr>
            <w:tcW w:w="7767" w:type="dxa"/>
            <w:gridSpan w:val="3"/>
            <w:tcBorders>
              <w:top w:val="single" w:sz="12" w:space="0" w:color="auto"/>
              <w:left w:val="nil"/>
              <w:right w:val="nil"/>
            </w:tcBorders>
            <w:shd w:val="clear" w:color="auto" w:fill="FFFFFF"/>
          </w:tcPr>
          <w:p w:rsidR="00251C6B" w:rsidRPr="00251C6B" w:rsidRDefault="00251C6B" w:rsidP="00251C6B">
            <w:pPr>
              <w:autoSpaceDE w:val="0"/>
              <w:autoSpaceDN w:val="0"/>
              <w:adjustRightInd w:val="0"/>
              <w:spacing w:after="0"/>
              <w:ind w:left="227" w:hanging="227"/>
              <w:rPr>
                <w:rFonts w:ascii="Calibri" w:eastAsiaTheme="minorEastAsia" w:hAnsi="Calibri" w:cs="Calibri"/>
                <w:b/>
                <w:bCs/>
                <w:sz w:val="19"/>
                <w:szCs w:val="19"/>
                <w:lang w:eastAsia="en-AU"/>
              </w:rPr>
            </w:pPr>
            <w:r w:rsidRPr="00251C6B">
              <w:rPr>
                <w:rFonts w:ascii="Calibri" w:eastAsiaTheme="minorEastAsia" w:hAnsi="Calibri" w:cs="Calibri"/>
                <w:b/>
                <w:bCs/>
                <w:sz w:val="19"/>
                <w:szCs w:val="19"/>
                <w:lang w:eastAsia="en-AU"/>
              </w:rPr>
              <w:t>2015-16 (revised)</w:t>
            </w:r>
          </w:p>
        </w:tc>
      </w:tr>
      <w:tr w:rsidR="00251C6B" w:rsidRPr="00251C6B" w:rsidTr="00361FA9">
        <w:trPr>
          <w:cantSplit/>
        </w:trPr>
        <w:tc>
          <w:tcPr>
            <w:tcW w:w="4535" w:type="dxa"/>
            <w:tcBorders>
              <w:top w:val="nil"/>
              <w:left w:val="nil"/>
              <w:right w:val="nil"/>
            </w:tcBorders>
            <w:shd w:val="clear" w:color="auto" w:fill="FFFFFF"/>
          </w:tcPr>
          <w:p w:rsidR="002C39A3" w:rsidRPr="00251C6B" w:rsidRDefault="002C39A3" w:rsidP="00361FA9">
            <w:pPr>
              <w:autoSpaceDE w:val="0"/>
              <w:autoSpaceDN w:val="0"/>
              <w:adjustRightInd w:val="0"/>
              <w:spacing w:after="0"/>
              <w:ind w:left="227" w:hanging="227"/>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Balance at 1 July 2015</w:t>
            </w:r>
          </w:p>
        </w:tc>
        <w:tc>
          <w:tcPr>
            <w:tcW w:w="170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45 764</w:t>
            </w:r>
          </w:p>
        </w:tc>
        <w:tc>
          <w:tcPr>
            <w:tcW w:w="153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50</w:t>
            </w:r>
          </w:p>
        </w:tc>
      </w:tr>
      <w:tr w:rsidR="00251C6B" w:rsidRPr="00251C6B" w:rsidTr="00361FA9">
        <w:trPr>
          <w:cantSplit/>
        </w:trPr>
        <w:tc>
          <w:tcPr>
            <w:tcW w:w="4535" w:type="dxa"/>
            <w:tcBorders>
              <w:top w:val="nil"/>
              <w:left w:val="nil"/>
              <w:right w:val="nil"/>
            </w:tcBorders>
            <w:shd w:val="clear" w:color="auto" w:fill="FFFFFF"/>
          </w:tcPr>
          <w:p w:rsidR="002C39A3" w:rsidRPr="00251C6B" w:rsidRDefault="002C39A3" w:rsidP="00361FA9">
            <w:pPr>
              <w:autoSpaceDE w:val="0"/>
              <w:autoSpaceDN w:val="0"/>
              <w:adjustRightInd w:val="0"/>
              <w:spacing w:after="0"/>
              <w:ind w:left="227" w:hanging="227"/>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Net result for the year</w:t>
            </w:r>
          </w:p>
        </w:tc>
        <w:tc>
          <w:tcPr>
            <w:tcW w:w="170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1 638</w:t>
            </w:r>
          </w:p>
        </w:tc>
        <w:tc>
          <w:tcPr>
            <w:tcW w:w="1531" w:type="dxa"/>
            <w:tcBorders>
              <w:top w:val="nil"/>
              <w:left w:val="nil"/>
              <w:right w:val="nil"/>
            </w:tcBorders>
            <w:shd w:val="clear" w:color="auto" w:fill="FFFFFF"/>
          </w:tcPr>
          <w:p w:rsidR="002C39A3" w:rsidRPr="00251C6B" w:rsidRDefault="00D72FB7" w:rsidP="00361FA9">
            <w:pPr>
              <w:autoSpaceDE w:val="0"/>
              <w:autoSpaceDN w:val="0"/>
              <w:adjustRightInd w:val="0"/>
              <w:spacing w:after="0"/>
              <w:jc w:val="right"/>
              <w:rPr>
                <w:rFonts w:ascii="Calibri" w:eastAsiaTheme="minorEastAsia" w:hAnsi="Calibri" w:cs="Calibri"/>
                <w:sz w:val="19"/>
                <w:lang w:eastAsia="en-AU"/>
              </w:rPr>
            </w:pPr>
            <w:r w:rsidRPr="00251C6B">
              <w:rPr>
                <w:rFonts w:ascii="Calibri" w:eastAsiaTheme="minorEastAsia" w:hAnsi="Calibri" w:cs="Calibri"/>
                <w:sz w:val="19"/>
                <w:lang w:eastAsia="en-AU"/>
              </w:rPr>
              <w:t>..</w:t>
            </w:r>
          </w:p>
        </w:tc>
      </w:tr>
      <w:tr w:rsidR="00251C6B" w:rsidRPr="00251C6B" w:rsidTr="00361FA9">
        <w:trPr>
          <w:cantSplit/>
        </w:trPr>
        <w:tc>
          <w:tcPr>
            <w:tcW w:w="4535" w:type="dxa"/>
            <w:tcBorders>
              <w:top w:val="nil"/>
              <w:left w:val="nil"/>
              <w:right w:val="nil"/>
            </w:tcBorders>
            <w:shd w:val="clear" w:color="auto" w:fill="FFFFFF"/>
          </w:tcPr>
          <w:p w:rsidR="002C39A3" w:rsidRPr="00251C6B" w:rsidRDefault="002C39A3" w:rsidP="00361FA9">
            <w:pPr>
              <w:autoSpaceDE w:val="0"/>
              <w:autoSpaceDN w:val="0"/>
              <w:adjustRightInd w:val="0"/>
              <w:spacing w:after="0"/>
              <w:ind w:left="227" w:hanging="227"/>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Other comprehensive income for the year</w:t>
            </w:r>
          </w:p>
        </w:tc>
        <w:tc>
          <w:tcPr>
            <w:tcW w:w="170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(1 720)</w:t>
            </w:r>
          </w:p>
        </w:tc>
        <w:tc>
          <w:tcPr>
            <w:tcW w:w="153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w:t>
            </w:r>
          </w:p>
        </w:tc>
      </w:tr>
      <w:tr w:rsidR="00251C6B" w:rsidRPr="00251C6B" w:rsidTr="00361FA9">
        <w:trPr>
          <w:cantSplit/>
        </w:trPr>
        <w:tc>
          <w:tcPr>
            <w:tcW w:w="4535" w:type="dxa"/>
            <w:tcBorders>
              <w:top w:val="nil"/>
              <w:left w:val="nil"/>
              <w:right w:val="nil"/>
            </w:tcBorders>
            <w:shd w:val="clear" w:color="auto" w:fill="FFFFFF"/>
          </w:tcPr>
          <w:p w:rsidR="002C39A3" w:rsidRPr="00251C6B" w:rsidRDefault="002C39A3" w:rsidP="00361FA9">
            <w:pPr>
              <w:autoSpaceDE w:val="0"/>
              <w:autoSpaceDN w:val="0"/>
              <w:adjustRightInd w:val="0"/>
              <w:spacing w:after="0"/>
              <w:ind w:left="227" w:hanging="227"/>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Transfer to accumulated surplus</w:t>
            </w:r>
          </w:p>
        </w:tc>
        <w:tc>
          <w:tcPr>
            <w:tcW w:w="170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1</w:t>
            </w:r>
          </w:p>
        </w:tc>
        <w:tc>
          <w:tcPr>
            <w:tcW w:w="153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w:t>
            </w:r>
          </w:p>
        </w:tc>
      </w:tr>
      <w:tr w:rsidR="00251C6B" w:rsidRPr="00251C6B" w:rsidTr="00361FA9">
        <w:trPr>
          <w:cantSplit/>
        </w:trPr>
        <w:tc>
          <w:tcPr>
            <w:tcW w:w="4535" w:type="dxa"/>
            <w:tcBorders>
              <w:top w:val="nil"/>
              <w:left w:val="nil"/>
              <w:bottom w:val="single" w:sz="6" w:space="0" w:color="auto"/>
              <w:right w:val="nil"/>
            </w:tcBorders>
            <w:shd w:val="clear" w:color="auto" w:fill="FFFFFF"/>
          </w:tcPr>
          <w:p w:rsidR="002C39A3" w:rsidRPr="00251C6B" w:rsidRDefault="002C39A3" w:rsidP="00361FA9">
            <w:pPr>
              <w:autoSpaceDE w:val="0"/>
              <w:autoSpaceDN w:val="0"/>
              <w:adjustRightInd w:val="0"/>
              <w:spacing w:after="0"/>
              <w:ind w:left="227" w:hanging="227"/>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Transactions with owners in their capacity as owners</w:t>
            </w:r>
          </w:p>
        </w:tc>
        <w:tc>
          <w:tcPr>
            <w:tcW w:w="1701" w:type="dxa"/>
            <w:tcBorders>
              <w:top w:val="nil"/>
              <w:left w:val="nil"/>
              <w:bottom w:val="single" w:sz="6" w:space="0" w:color="auto"/>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w:t>
            </w:r>
          </w:p>
        </w:tc>
        <w:tc>
          <w:tcPr>
            <w:tcW w:w="1531" w:type="dxa"/>
            <w:tcBorders>
              <w:top w:val="nil"/>
              <w:left w:val="nil"/>
              <w:bottom w:val="single" w:sz="6" w:space="0" w:color="auto"/>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(50)</w:t>
            </w:r>
          </w:p>
        </w:tc>
      </w:tr>
      <w:tr w:rsidR="00251C6B" w:rsidRPr="00251C6B" w:rsidTr="00361FA9">
        <w:trPr>
          <w:cantSplit/>
        </w:trPr>
        <w:tc>
          <w:tcPr>
            <w:tcW w:w="4535" w:type="dxa"/>
            <w:tcBorders>
              <w:top w:val="single" w:sz="6" w:space="0" w:color="auto"/>
              <w:left w:val="nil"/>
              <w:bottom w:val="single" w:sz="12" w:space="0" w:color="auto"/>
              <w:right w:val="nil"/>
            </w:tcBorders>
            <w:shd w:val="clear" w:color="auto" w:fill="FFFFFF"/>
          </w:tcPr>
          <w:p w:rsidR="002C39A3" w:rsidRPr="00251C6B" w:rsidRDefault="002C39A3" w:rsidP="00361FA9">
            <w:pPr>
              <w:autoSpaceDE w:val="0"/>
              <w:autoSpaceDN w:val="0"/>
              <w:adjustRightInd w:val="0"/>
              <w:spacing w:after="0"/>
              <w:ind w:left="227" w:hanging="227"/>
              <w:rPr>
                <w:rFonts w:ascii="Calibri" w:eastAsiaTheme="minorEastAsia" w:hAnsi="Calibri" w:cs="Calibri"/>
                <w:b/>
                <w:bCs/>
                <w:sz w:val="19"/>
                <w:szCs w:val="19"/>
                <w:lang w:eastAsia="en-AU"/>
              </w:rPr>
            </w:pPr>
            <w:r w:rsidRPr="00251C6B">
              <w:rPr>
                <w:rFonts w:ascii="Calibri" w:eastAsiaTheme="minorEastAsia" w:hAnsi="Calibri" w:cs="Calibri"/>
                <w:b/>
                <w:bCs/>
                <w:sz w:val="19"/>
                <w:szCs w:val="19"/>
                <w:lang w:eastAsia="en-AU"/>
              </w:rPr>
              <w:t>Total equity as at 31 March 2016</w:t>
            </w:r>
          </w:p>
        </w:tc>
        <w:tc>
          <w:tcPr>
            <w:tcW w:w="1701" w:type="dxa"/>
            <w:tcBorders>
              <w:top w:val="single" w:sz="6" w:space="0" w:color="auto"/>
              <w:left w:val="nil"/>
              <w:bottom w:val="single" w:sz="12" w:space="0" w:color="auto"/>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b/>
                <w:bCs/>
                <w:sz w:val="19"/>
                <w:szCs w:val="19"/>
                <w:lang w:eastAsia="en-AU"/>
              </w:rPr>
            </w:pPr>
            <w:r w:rsidRPr="00251C6B">
              <w:rPr>
                <w:rFonts w:ascii="Calibri" w:eastAsiaTheme="minorEastAsia" w:hAnsi="Calibri" w:cs="Calibri"/>
                <w:b/>
                <w:bCs/>
                <w:sz w:val="19"/>
                <w:szCs w:val="19"/>
                <w:lang w:eastAsia="en-AU"/>
              </w:rPr>
              <w:t>45 682</w:t>
            </w:r>
          </w:p>
        </w:tc>
        <w:tc>
          <w:tcPr>
            <w:tcW w:w="1531" w:type="dxa"/>
            <w:tcBorders>
              <w:top w:val="single" w:sz="6" w:space="0" w:color="auto"/>
              <w:left w:val="nil"/>
              <w:bottom w:val="single" w:sz="12" w:space="0" w:color="auto"/>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b/>
                <w:bCs/>
                <w:sz w:val="19"/>
                <w:szCs w:val="19"/>
                <w:lang w:eastAsia="en-AU"/>
              </w:rPr>
            </w:pPr>
            <w:r w:rsidRPr="00251C6B">
              <w:rPr>
                <w:rFonts w:ascii="Calibri" w:eastAsiaTheme="minorEastAsia" w:hAnsi="Calibri" w:cs="Calibri"/>
                <w:b/>
                <w:bCs/>
                <w:sz w:val="19"/>
                <w:szCs w:val="19"/>
                <w:lang w:eastAsia="en-AU"/>
              </w:rPr>
              <w:t>..</w:t>
            </w:r>
          </w:p>
        </w:tc>
      </w:tr>
      <w:tr w:rsidR="00251C6B" w:rsidRPr="00251C6B" w:rsidTr="008D0B0F">
        <w:trPr>
          <w:cantSplit/>
        </w:trPr>
        <w:tc>
          <w:tcPr>
            <w:tcW w:w="7767" w:type="dxa"/>
            <w:gridSpan w:val="3"/>
            <w:tcBorders>
              <w:top w:val="single" w:sz="12" w:space="0" w:color="auto"/>
              <w:left w:val="nil"/>
              <w:right w:val="nil"/>
            </w:tcBorders>
            <w:shd w:val="clear" w:color="auto" w:fill="FFFFFF"/>
          </w:tcPr>
          <w:p w:rsidR="00251C6B" w:rsidRPr="00251C6B" w:rsidRDefault="00251C6B" w:rsidP="00251C6B">
            <w:pPr>
              <w:autoSpaceDE w:val="0"/>
              <w:autoSpaceDN w:val="0"/>
              <w:adjustRightInd w:val="0"/>
              <w:spacing w:after="0"/>
              <w:ind w:left="227" w:hanging="227"/>
              <w:rPr>
                <w:rFonts w:ascii="Calibri" w:eastAsiaTheme="minorEastAsia" w:hAnsi="Calibri" w:cs="Calibri"/>
                <w:b/>
                <w:bCs/>
                <w:sz w:val="19"/>
                <w:szCs w:val="19"/>
                <w:lang w:eastAsia="en-AU"/>
              </w:rPr>
            </w:pPr>
            <w:r w:rsidRPr="00251C6B">
              <w:rPr>
                <w:rFonts w:ascii="Calibri" w:eastAsiaTheme="minorEastAsia" w:hAnsi="Calibri" w:cs="Calibri"/>
                <w:b/>
                <w:bCs/>
                <w:sz w:val="19"/>
                <w:szCs w:val="19"/>
                <w:lang w:eastAsia="en-AU"/>
              </w:rPr>
              <w:t>2015-16 (budget)</w:t>
            </w:r>
          </w:p>
        </w:tc>
      </w:tr>
      <w:tr w:rsidR="00251C6B" w:rsidRPr="00251C6B" w:rsidTr="00361FA9">
        <w:trPr>
          <w:cantSplit/>
        </w:trPr>
        <w:tc>
          <w:tcPr>
            <w:tcW w:w="4535" w:type="dxa"/>
            <w:tcBorders>
              <w:top w:val="nil"/>
              <w:left w:val="nil"/>
              <w:right w:val="nil"/>
            </w:tcBorders>
            <w:shd w:val="clear" w:color="auto" w:fill="FFFFFF"/>
          </w:tcPr>
          <w:p w:rsidR="002C39A3" w:rsidRPr="00251C6B" w:rsidRDefault="002C39A3" w:rsidP="00361FA9">
            <w:pPr>
              <w:autoSpaceDE w:val="0"/>
              <w:autoSpaceDN w:val="0"/>
              <w:adjustRightInd w:val="0"/>
              <w:spacing w:after="0"/>
              <w:ind w:left="227" w:hanging="227"/>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Balance at 1 July 2015</w:t>
            </w:r>
          </w:p>
        </w:tc>
        <w:tc>
          <w:tcPr>
            <w:tcW w:w="170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45 788</w:t>
            </w:r>
          </w:p>
        </w:tc>
        <w:tc>
          <w:tcPr>
            <w:tcW w:w="153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50</w:t>
            </w:r>
          </w:p>
        </w:tc>
      </w:tr>
      <w:tr w:rsidR="00251C6B" w:rsidRPr="00251C6B" w:rsidTr="00361FA9">
        <w:trPr>
          <w:cantSplit/>
        </w:trPr>
        <w:tc>
          <w:tcPr>
            <w:tcW w:w="4535" w:type="dxa"/>
            <w:tcBorders>
              <w:top w:val="nil"/>
              <w:left w:val="nil"/>
              <w:right w:val="nil"/>
            </w:tcBorders>
            <w:shd w:val="clear" w:color="auto" w:fill="FFFFFF"/>
          </w:tcPr>
          <w:p w:rsidR="002C39A3" w:rsidRPr="00251C6B" w:rsidRDefault="002C39A3" w:rsidP="00361FA9">
            <w:pPr>
              <w:autoSpaceDE w:val="0"/>
              <w:autoSpaceDN w:val="0"/>
              <w:adjustRightInd w:val="0"/>
              <w:spacing w:after="0"/>
              <w:ind w:left="227" w:hanging="227"/>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Net result for the year</w:t>
            </w:r>
          </w:p>
        </w:tc>
        <w:tc>
          <w:tcPr>
            <w:tcW w:w="170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6 366</w:t>
            </w:r>
          </w:p>
        </w:tc>
        <w:tc>
          <w:tcPr>
            <w:tcW w:w="153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w:t>
            </w:r>
          </w:p>
        </w:tc>
      </w:tr>
      <w:tr w:rsidR="00251C6B" w:rsidRPr="00251C6B" w:rsidTr="00361FA9">
        <w:trPr>
          <w:cantSplit/>
        </w:trPr>
        <w:tc>
          <w:tcPr>
            <w:tcW w:w="4535" w:type="dxa"/>
            <w:tcBorders>
              <w:top w:val="nil"/>
              <w:left w:val="nil"/>
              <w:right w:val="nil"/>
            </w:tcBorders>
            <w:shd w:val="clear" w:color="auto" w:fill="FFFFFF"/>
          </w:tcPr>
          <w:p w:rsidR="002C39A3" w:rsidRPr="00251C6B" w:rsidRDefault="002C39A3" w:rsidP="00361FA9">
            <w:pPr>
              <w:autoSpaceDE w:val="0"/>
              <w:autoSpaceDN w:val="0"/>
              <w:adjustRightInd w:val="0"/>
              <w:spacing w:after="0"/>
              <w:ind w:left="227" w:hanging="227"/>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Other comprehensive income for the year</w:t>
            </w:r>
          </w:p>
        </w:tc>
        <w:tc>
          <w:tcPr>
            <w:tcW w:w="170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957</w:t>
            </w:r>
          </w:p>
        </w:tc>
        <w:tc>
          <w:tcPr>
            <w:tcW w:w="153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w:t>
            </w:r>
          </w:p>
        </w:tc>
      </w:tr>
      <w:tr w:rsidR="00251C6B" w:rsidRPr="00251C6B" w:rsidTr="00361FA9">
        <w:trPr>
          <w:cantSplit/>
        </w:trPr>
        <w:tc>
          <w:tcPr>
            <w:tcW w:w="4535" w:type="dxa"/>
            <w:tcBorders>
              <w:top w:val="nil"/>
              <w:left w:val="nil"/>
              <w:right w:val="nil"/>
            </w:tcBorders>
            <w:shd w:val="clear" w:color="auto" w:fill="FFFFFF"/>
          </w:tcPr>
          <w:p w:rsidR="002C39A3" w:rsidRPr="00251C6B" w:rsidRDefault="002C39A3" w:rsidP="00361FA9">
            <w:pPr>
              <w:autoSpaceDE w:val="0"/>
              <w:autoSpaceDN w:val="0"/>
              <w:adjustRightInd w:val="0"/>
              <w:spacing w:after="0"/>
              <w:ind w:left="227" w:hanging="227"/>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Transfer to accumulated surplus</w:t>
            </w:r>
          </w:p>
        </w:tc>
        <w:tc>
          <w:tcPr>
            <w:tcW w:w="170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w:t>
            </w:r>
          </w:p>
        </w:tc>
        <w:tc>
          <w:tcPr>
            <w:tcW w:w="1531" w:type="dxa"/>
            <w:tcBorders>
              <w:top w:val="nil"/>
              <w:left w:val="nil"/>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w:t>
            </w:r>
          </w:p>
        </w:tc>
      </w:tr>
      <w:tr w:rsidR="00251C6B" w:rsidRPr="00251C6B" w:rsidTr="00361FA9">
        <w:trPr>
          <w:cantSplit/>
        </w:trPr>
        <w:tc>
          <w:tcPr>
            <w:tcW w:w="4535" w:type="dxa"/>
            <w:tcBorders>
              <w:top w:val="nil"/>
              <w:left w:val="nil"/>
              <w:bottom w:val="single" w:sz="6" w:space="0" w:color="auto"/>
              <w:right w:val="nil"/>
            </w:tcBorders>
            <w:shd w:val="clear" w:color="auto" w:fill="FFFFFF"/>
          </w:tcPr>
          <w:p w:rsidR="002C39A3" w:rsidRPr="00251C6B" w:rsidRDefault="002C39A3" w:rsidP="00361FA9">
            <w:pPr>
              <w:autoSpaceDE w:val="0"/>
              <w:autoSpaceDN w:val="0"/>
              <w:adjustRightInd w:val="0"/>
              <w:spacing w:after="0"/>
              <w:ind w:left="227" w:hanging="227"/>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Transactions with owners in their capacity as owners</w:t>
            </w:r>
          </w:p>
        </w:tc>
        <w:tc>
          <w:tcPr>
            <w:tcW w:w="1701" w:type="dxa"/>
            <w:tcBorders>
              <w:top w:val="nil"/>
              <w:left w:val="nil"/>
              <w:bottom w:val="single" w:sz="6" w:space="0" w:color="auto"/>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w:t>
            </w:r>
          </w:p>
        </w:tc>
        <w:tc>
          <w:tcPr>
            <w:tcW w:w="1531" w:type="dxa"/>
            <w:tcBorders>
              <w:top w:val="nil"/>
              <w:left w:val="nil"/>
              <w:bottom w:val="single" w:sz="6" w:space="0" w:color="auto"/>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sz w:val="19"/>
                <w:szCs w:val="19"/>
                <w:lang w:eastAsia="en-AU"/>
              </w:rPr>
            </w:pPr>
            <w:r w:rsidRPr="00251C6B">
              <w:rPr>
                <w:rFonts w:ascii="Calibri" w:eastAsiaTheme="minorEastAsia" w:hAnsi="Calibri" w:cs="Calibri"/>
                <w:sz w:val="19"/>
                <w:szCs w:val="19"/>
                <w:lang w:eastAsia="en-AU"/>
              </w:rPr>
              <w:t>..</w:t>
            </w:r>
          </w:p>
        </w:tc>
      </w:tr>
      <w:tr w:rsidR="00251C6B" w:rsidRPr="00251C6B" w:rsidTr="00361FA9">
        <w:trPr>
          <w:cantSplit/>
        </w:trPr>
        <w:tc>
          <w:tcPr>
            <w:tcW w:w="4535" w:type="dxa"/>
            <w:tcBorders>
              <w:top w:val="single" w:sz="6" w:space="0" w:color="auto"/>
              <w:left w:val="nil"/>
              <w:bottom w:val="single" w:sz="12" w:space="0" w:color="auto"/>
              <w:right w:val="nil"/>
            </w:tcBorders>
            <w:shd w:val="clear" w:color="auto" w:fill="FFFFFF"/>
          </w:tcPr>
          <w:p w:rsidR="002C39A3" w:rsidRPr="00251C6B" w:rsidRDefault="002C39A3" w:rsidP="00361FA9">
            <w:pPr>
              <w:autoSpaceDE w:val="0"/>
              <w:autoSpaceDN w:val="0"/>
              <w:adjustRightInd w:val="0"/>
              <w:spacing w:after="0"/>
              <w:ind w:left="227" w:hanging="227"/>
              <w:rPr>
                <w:rFonts w:ascii="Calibri" w:eastAsiaTheme="minorEastAsia" w:hAnsi="Calibri" w:cs="Calibri"/>
                <w:b/>
                <w:bCs/>
                <w:sz w:val="19"/>
                <w:szCs w:val="19"/>
                <w:lang w:eastAsia="en-AU"/>
              </w:rPr>
            </w:pPr>
            <w:r w:rsidRPr="00251C6B">
              <w:rPr>
                <w:rFonts w:ascii="Calibri" w:eastAsiaTheme="minorEastAsia" w:hAnsi="Calibri" w:cs="Calibri"/>
                <w:b/>
                <w:bCs/>
                <w:sz w:val="19"/>
                <w:szCs w:val="19"/>
                <w:lang w:eastAsia="en-AU"/>
              </w:rPr>
              <w:t>Total equity as at 31 March 2016</w:t>
            </w:r>
          </w:p>
        </w:tc>
        <w:tc>
          <w:tcPr>
            <w:tcW w:w="1701" w:type="dxa"/>
            <w:tcBorders>
              <w:top w:val="single" w:sz="6" w:space="0" w:color="auto"/>
              <w:left w:val="nil"/>
              <w:bottom w:val="single" w:sz="12" w:space="0" w:color="auto"/>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b/>
                <w:bCs/>
                <w:sz w:val="19"/>
                <w:szCs w:val="19"/>
                <w:lang w:eastAsia="en-AU"/>
              </w:rPr>
            </w:pPr>
            <w:r w:rsidRPr="00251C6B">
              <w:rPr>
                <w:rFonts w:ascii="Calibri" w:eastAsiaTheme="minorEastAsia" w:hAnsi="Calibri" w:cs="Calibri"/>
                <w:b/>
                <w:bCs/>
                <w:sz w:val="19"/>
                <w:szCs w:val="19"/>
                <w:lang w:eastAsia="en-AU"/>
              </w:rPr>
              <w:t>53 112</w:t>
            </w:r>
          </w:p>
        </w:tc>
        <w:tc>
          <w:tcPr>
            <w:tcW w:w="1531" w:type="dxa"/>
            <w:tcBorders>
              <w:top w:val="single" w:sz="6" w:space="0" w:color="auto"/>
              <w:left w:val="nil"/>
              <w:bottom w:val="single" w:sz="12" w:space="0" w:color="auto"/>
              <w:right w:val="nil"/>
            </w:tcBorders>
            <w:shd w:val="clear" w:color="auto" w:fill="FFFFFF"/>
          </w:tcPr>
          <w:p w:rsidR="002C39A3" w:rsidRPr="00251C6B" w:rsidRDefault="002C39A3" w:rsidP="00361FA9">
            <w:pPr>
              <w:autoSpaceDE w:val="0"/>
              <w:autoSpaceDN w:val="0"/>
              <w:adjustRightInd w:val="0"/>
              <w:spacing w:after="0"/>
              <w:jc w:val="right"/>
              <w:rPr>
                <w:rFonts w:ascii="Calibri" w:eastAsiaTheme="minorEastAsia" w:hAnsi="Calibri" w:cs="Calibri"/>
                <w:b/>
                <w:bCs/>
                <w:sz w:val="19"/>
                <w:szCs w:val="19"/>
                <w:lang w:eastAsia="en-AU"/>
              </w:rPr>
            </w:pPr>
            <w:r w:rsidRPr="00251C6B">
              <w:rPr>
                <w:rFonts w:ascii="Calibri" w:eastAsiaTheme="minorEastAsia" w:hAnsi="Calibri" w:cs="Calibri"/>
                <w:b/>
                <w:bCs/>
                <w:sz w:val="19"/>
                <w:szCs w:val="19"/>
                <w:lang w:eastAsia="en-AU"/>
              </w:rPr>
              <w:t>50</w:t>
            </w:r>
          </w:p>
        </w:tc>
      </w:tr>
    </w:tbl>
    <w:p w:rsidR="002C39A3" w:rsidRDefault="002C39A3" w:rsidP="00361FA9">
      <w:pPr>
        <w:pStyle w:val="Source"/>
      </w:pPr>
      <w:r>
        <w:t>Source: Department of Treasury and Finance</w:t>
      </w:r>
    </w:p>
    <w:p w:rsidR="002C39A3" w:rsidRDefault="002C39A3" w:rsidP="00361FA9">
      <w:pPr>
        <w:pStyle w:val="Notes"/>
      </w:pPr>
      <w:r>
        <w:t>Note:</w:t>
      </w:r>
    </w:p>
    <w:p w:rsidR="002C39A3" w:rsidRDefault="002C39A3" w:rsidP="00361FA9">
      <w:pPr>
        <w:pStyle w:val="Notes"/>
        <w:numPr>
          <w:ilvl w:val="0"/>
          <w:numId w:val="10"/>
        </w:numPr>
      </w:pPr>
      <w:r>
        <w:t>The 2014</w:t>
      </w:r>
      <w:r>
        <w:noBreakHyphen/>
        <w:t>15 comparative figures and 2015</w:t>
      </w:r>
      <w:r>
        <w:noBreakHyphen/>
        <w:t xml:space="preserve">16 budget figures have been restated to reflect more current information, mainly relating to adjustments outlined in Note 37 of the </w:t>
      </w:r>
      <w:r>
        <w:rPr>
          <w:i w:val="0"/>
        </w:rPr>
        <w:t>2014</w:t>
      </w:r>
      <w:r>
        <w:rPr>
          <w:i w:val="0"/>
        </w:rPr>
        <w:noBreakHyphen/>
        <w:t>15 Financial Report</w:t>
      </w:r>
      <w:r>
        <w:t>.</w:t>
      </w:r>
    </w:p>
    <w:p w:rsidR="002C39A3" w:rsidRDefault="002C39A3" w:rsidP="00361FA9">
      <w:pPr>
        <w:pStyle w:val="Tableheading"/>
      </w:pPr>
    </w:p>
    <w:p w:rsidR="002C39A3" w:rsidRDefault="002C39A3">
      <w:pPr>
        <w:spacing w:after="0"/>
        <w:rPr>
          <w:rFonts w:ascii="Calibri" w:hAnsi="Calibri"/>
          <w:b/>
        </w:rPr>
      </w:pPr>
      <w:r>
        <w:br w:type="page"/>
      </w:r>
    </w:p>
    <w:p w:rsidR="002C39A3" w:rsidRPr="006A55C6" w:rsidRDefault="002C39A3" w:rsidP="00361FA9">
      <w:pPr>
        <w:pStyle w:val="Tableheading"/>
      </w:pPr>
    </w:p>
    <w:p w:rsidR="002C39A3" w:rsidRPr="003911D9" w:rsidRDefault="002C39A3" w:rsidP="00361FA9">
      <w:pPr>
        <w:pStyle w:val="million"/>
        <w:rPr>
          <w:lang w:val="en-US"/>
        </w:rPr>
      </w:pPr>
    </w:p>
    <w:tbl>
      <w:tblPr>
        <w:tblW w:w="7767" w:type="dxa"/>
        <w:tblInd w:w="45" w:type="dxa"/>
        <w:tblLayout w:type="fixed"/>
        <w:tblCellMar>
          <w:left w:w="45" w:type="dxa"/>
          <w:right w:w="45" w:type="dxa"/>
        </w:tblCellMar>
        <w:tblLook w:val="0000" w:firstRow="0" w:lastRow="0" w:firstColumn="0" w:lastColumn="0" w:noHBand="0" w:noVBand="0"/>
      </w:tblPr>
      <w:tblGrid>
        <w:gridCol w:w="2835"/>
        <w:gridCol w:w="1984"/>
        <w:gridCol w:w="1559"/>
        <w:gridCol w:w="1389"/>
      </w:tblGrid>
      <w:tr w:rsidR="002C39A3" w:rsidRPr="003911D9" w:rsidTr="00361FA9">
        <w:trPr>
          <w:cantSplit/>
          <w:tblHeader/>
        </w:trPr>
        <w:tc>
          <w:tcPr>
            <w:tcW w:w="2835" w:type="dxa"/>
            <w:tcBorders>
              <w:top w:val="nil"/>
              <w:left w:val="nil"/>
              <w:right w:val="nil"/>
            </w:tcBorders>
            <w:shd w:val="solid" w:color="000000" w:fill="auto"/>
            <w:vAlign w:val="bottom"/>
          </w:tcPr>
          <w:p w:rsidR="002C39A3" w:rsidRPr="003911D9"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911D9">
              <w:rPr>
                <w:rFonts w:ascii="Calibri" w:eastAsiaTheme="minorEastAsia" w:hAnsi="Calibri" w:cs="Calibri"/>
                <w:i/>
                <w:iCs/>
                <w:color w:val="FFFFFF"/>
                <w:sz w:val="19"/>
                <w:szCs w:val="19"/>
                <w:lang w:eastAsia="en-AU"/>
              </w:rPr>
              <w:t xml:space="preserve">Land, buildings, </w:t>
            </w:r>
          </w:p>
          <w:p w:rsidR="002C39A3" w:rsidRPr="003911D9"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911D9">
              <w:rPr>
                <w:rFonts w:ascii="Calibri" w:eastAsiaTheme="minorEastAsia" w:hAnsi="Calibri" w:cs="Calibri"/>
                <w:i/>
                <w:iCs/>
                <w:color w:val="FFFFFF"/>
                <w:sz w:val="19"/>
                <w:szCs w:val="19"/>
                <w:lang w:eastAsia="en-AU"/>
              </w:rPr>
              <w:t xml:space="preserve">infrastructure, plant and </w:t>
            </w:r>
          </w:p>
          <w:p w:rsidR="002C39A3" w:rsidRPr="003911D9" w:rsidRDefault="002C39A3" w:rsidP="00361FA9">
            <w:pPr>
              <w:autoSpaceDE w:val="0"/>
              <w:autoSpaceDN w:val="0"/>
              <w:adjustRightInd w:val="0"/>
              <w:spacing w:after="0"/>
              <w:jc w:val="right"/>
              <w:rPr>
                <w:rFonts w:ascii="Calibri" w:eastAsiaTheme="minorEastAsia" w:hAnsi="Calibri" w:cs="Calibri"/>
                <w:i/>
                <w:iCs/>
                <w:color w:val="FFFFFF"/>
                <w:sz w:val="19"/>
                <w:szCs w:val="19"/>
                <w:vertAlign w:val="superscript"/>
                <w:lang w:eastAsia="en-AU"/>
              </w:rPr>
            </w:pPr>
            <w:r w:rsidRPr="003911D9">
              <w:rPr>
                <w:rFonts w:ascii="Calibri" w:eastAsiaTheme="minorEastAsia" w:hAnsi="Calibri" w:cs="Calibri"/>
                <w:i/>
                <w:iCs/>
                <w:color w:val="FFFFFF"/>
                <w:sz w:val="19"/>
                <w:szCs w:val="19"/>
                <w:lang w:eastAsia="en-AU"/>
              </w:rPr>
              <w:t xml:space="preserve">equipment revaluation surplus </w:t>
            </w:r>
            <w:r w:rsidRPr="003911D9">
              <w:rPr>
                <w:rFonts w:ascii="Calibri" w:eastAsiaTheme="minorEastAsia" w:hAnsi="Calibri" w:cs="Calibri"/>
                <w:i/>
                <w:iCs/>
                <w:color w:val="FFFFFF"/>
                <w:sz w:val="19"/>
                <w:szCs w:val="19"/>
                <w:vertAlign w:val="superscript"/>
                <w:lang w:eastAsia="en-AU"/>
              </w:rPr>
              <w:t>(a)</w:t>
            </w:r>
          </w:p>
        </w:tc>
        <w:tc>
          <w:tcPr>
            <w:tcW w:w="1984" w:type="dxa"/>
            <w:tcBorders>
              <w:top w:val="nil"/>
              <w:left w:val="nil"/>
              <w:right w:val="nil"/>
            </w:tcBorders>
            <w:shd w:val="solid" w:color="000000" w:fill="auto"/>
            <w:vAlign w:val="bottom"/>
          </w:tcPr>
          <w:p w:rsidR="002C39A3" w:rsidRPr="003911D9"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911D9">
              <w:rPr>
                <w:rFonts w:ascii="Calibri" w:eastAsiaTheme="minorEastAsia" w:hAnsi="Calibri" w:cs="Calibri"/>
                <w:i/>
                <w:iCs/>
                <w:color w:val="FFFFFF"/>
                <w:sz w:val="19"/>
                <w:szCs w:val="19"/>
                <w:lang w:eastAsia="en-AU"/>
              </w:rPr>
              <w:t>Investment in other sector entities revaluation surplus</w:t>
            </w:r>
          </w:p>
        </w:tc>
        <w:tc>
          <w:tcPr>
            <w:tcW w:w="1559" w:type="dxa"/>
            <w:tcBorders>
              <w:top w:val="nil"/>
              <w:left w:val="nil"/>
              <w:right w:val="nil"/>
            </w:tcBorders>
            <w:shd w:val="solid" w:color="000000" w:fill="auto"/>
            <w:vAlign w:val="bottom"/>
          </w:tcPr>
          <w:p w:rsidR="002C39A3" w:rsidRPr="003911D9"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p>
          <w:p w:rsidR="002C39A3" w:rsidRPr="003911D9"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911D9">
              <w:rPr>
                <w:rFonts w:ascii="Calibri" w:eastAsiaTheme="minorEastAsia" w:hAnsi="Calibri" w:cs="Calibri"/>
                <w:i/>
                <w:iCs/>
                <w:color w:val="FFFFFF"/>
                <w:sz w:val="19"/>
                <w:szCs w:val="19"/>
                <w:lang w:eastAsia="en-AU"/>
              </w:rPr>
              <w:t xml:space="preserve">Other </w:t>
            </w:r>
          </w:p>
          <w:p w:rsidR="002C39A3" w:rsidRPr="003911D9"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3911D9">
              <w:rPr>
                <w:rFonts w:ascii="Calibri" w:eastAsiaTheme="minorEastAsia" w:hAnsi="Calibri" w:cs="Calibri"/>
                <w:i/>
                <w:iCs/>
                <w:color w:val="FFFFFF"/>
                <w:sz w:val="19"/>
                <w:szCs w:val="19"/>
                <w:lang w:eastAsia="en-AU"/>
              </w:rPr>
              <w:t>reserves</w:t>
            </w:r>
          </w:p>
        </w:tc>
        <w:tc>
          <w:tcPr>
            <w:tcW w:w="1389" w:type="dxa"/>
            <w:tcBorders>
              <w:top w:val="nil"/>
              <w:left w:val="nil"/>
              <w:right w:val="nil"/>
            </w:tcBorders>
            <w:shd w:val="solid" w:color="000000" w:fill="auto"/>
            <w:vAlign w:val="bottom"/>
          </w:tcPr>
          <w:p w:rsidR="002C39A3" w:rsidRPr="003911D9"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p>
          <w:p w:rsidR="002C39A3" w:rsidRPr="003911D9" w:rsidRDefault="002C39A3" w:rsidP="00361FA9">
            <w:pPr>
              <w:autoSpaceDE w:val="0"/>
              <w:autoSpaceDN w:val="0"/>
              <w:adjustRightInd w:val="0"/>
              <w:spacing w:after="0"/>
              <w:jc w:val="right"/>
              <w:rPr>
                <w:rFonts w:ascii="Calibri" w:eastAsiaTheme="minorEastAsia" w:hAnsi="Calibri" w:cs="Calibri"/>
                <w:i/>
                <w:iCs/>
                <w:color w:val="FFFFFF"/>
                <w:sz w:val="19"/>
                <w:szCs w:val="19"/>
                <w:lang w:eastAsia="en-AU"/>
              </w:rPr>
            </w:pPr>
          </w:p>
          <w:p w:rsidR="002C39A3" w:rsidRPr="003911D9" w:rsidRDefault="002C39A3" w:rsidP="00361FA9">
            <w:pPr>
              <w:autoSpaceDE w:val="0"/>
              <w:autoSpaceDN w:val="0"/>
              <w:adjustRightInd w:val="0"/>
              <w:spacing w:after="0"/>
              <w:jc w:val="right"/>
              <w:rPr>
                <w:rFonts w:ascii="Calibri" w:eastAsiaTheme="minorEastAsia" w:hAnsi="Calibri" w:cs="Calibri"/>
                <w:i/>
                <w:iCs/>
                <w:color w:val="FFFFFF"/>
                <w:sz w:val="19"/>
                <w:szCs w:val="19"/>
                <w:vertAlign w:val="superscript"/>
                <w:lang w:eastAsia="en-AU"/>
              </w:rPr>
            </w:pPr>
            <w:r w:rsidRPr="003911D9">
              <w:rPr>
                <w:rFonts w:ascii="Calibri" w:eastAsiaTheme="minorEastAsia" w:hAnsi="Calibri" w:cs="Calibri"/>
                <w:i/>
                <w:iCs/>
                <w:color w:val="FFFFFF"/>
                <w:sz w:val="19"/>
                <w:szCs w:val="19"/>
                <w:lang w:eastAsia="en-AU"/>
              </w:rPr>
              <w:t xml:space="preserve">Total </w:t>
            </w:r>
            <w:r w:rsidRPr="003911D9">
              <w:rPr>
                <w:rFonts w:ascii="Calibri" w:eastAsiaTheme="minorEastAsia" w:hAnsi="Calibri" w:cs="Calibri"/>
                <w:i/>
                <w:iCs/>
                <w:color w:val="FFFFFF"/>
                <w:sz w:val="19"/>
                <w:szCs w:val="19"/>
                <w:vertAlign w:val="superscript"/>
                <w:lang w:eastAsia="en-AU"/>
              </w:rPr>
              <w:t>(a)</w:t>
            </w:r>
          </w:p>
        </w:tc>
      </w:tr>
      <w:tr w:rsidR="002C39A3" w:rsidRPr="003911D9" w:rsidTr="00361FA9">
        <w:trPr>
          <w:cantSplit/>
        </w:trPr>
        <w:tc>
          <w:tcPr>
            <w:tcW w:w="2835" w:type="dxa"/>
            <w:tcBorders>
              <w:top w:val="nil"/>
              <w:left w:val="nil"/>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b/>
                <w:bCs/>
                <w:color w:val="0000FF"/>
                <w:sz w:val="19"/>
                <w:szCs w:val="19"/>
                <w:lang w:eastAsia="en-AU"/>
              </w:rPr>
            </w:pPr>
            <w:r w:rsidRPr="003911D9">
              <w:rPr>
                <w:rFonts w:ascii="Calibri" w:eastAsiaTheme="minorEastAsia" w:hAnsi="Calibri" w:cs="Calibri"/>
                <w:b/>
                <w:bCs/>
                <w:color w:val="0000FF"/>
                <w:sz w:val="19"/>
                <w:szCs w:val="19"/>
                <w:lang w:eastAsia="en-AU"/>
              </w:rPr>
              <w:t xml:space="preserve"> </w:t>
            </w:r>
          </w:p>
        </w:tc>
        <w:tc>
          <w:tcPr>
            <w:tcW w:w="1984"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b/>
                <w:bCs/>
                <w:color w:val="0000FF"/>
                <w:sz w:val="19"/>
                <w:szCs w:val="19"/>
                <w:lang w:eastAsia="en-AU"/>
              </w:rPr>
            </w:pPr>
            <w:r w:rsidRPr="003911D9">
              <w:rPr>
                <w:rFonts w:ascii="Calibri" w:eastAsiaTheme="minorEastAsia" w:hAnsi="Calibri" w:cs="Calibri"/>
                <w:b/>
                <w:bCs/>
                <w:color w:val="0000FF"/>
                <w:sz w:val="19"/>
                <w:szCs w:val="19"/>
                <w:lang w:eastAsia="en-AU"/>
              </w:rPr>
              <w:t xml:space="preserve"> </w:t>
            </w:r>
          </w:p>
        </w:tc>
        <w:tc>
          <w:tcPr>
            <w:tcW w:w="155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b/>
                <w:bCs/>
                <w:color w:val="0000FF"/>
                <w:sz w:val="19"/>
                <w:szCs w:val="19"/>
                <w:lang w:eastAsia="en-AU"/>
              </w:rPr>
            </w:pPr>
            <w:r w:rsidRPr="003911D9">
              <w:rPr>
                <w:rFonts w:ascii="Calibri" w:eastAsiaTheme="minorEastAsia" w:hAnsi="Calibri" w:cs="Calibri"/>
                <w:b/>
                <w:bCs/>
                <w:color w:val="0000FF"/>
                <w:sz w:val="19"/>
                <w:szCs w:val="19"/>
                <w:lang w:eastAsia="en-AU"/>
              </w:rPr>
              <w:t xml:space="preserve"> </w:t>
            </w:r>
          </w:p>
        </w:tc>
        <w:tc>
          <w:tcPr>
            <w:tcW w:w="138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b/>
                <w:bCs/>
                <w:color w:val="0000FF"/>
                <w:sz w:val="19"/>
                <w:szCs w:val="19"/>
                <w:lang w:eastAsia="en-AU"/>
              </w:rPr>
            </w:pPr>
            <w:r w:rsidRPr="003911D9">
              <w:rPr>
                <w:rFonts w:ascii="Calibri" w:eastAsiaTheme="minorEastAsia" w:hAnsi="Calibri" w:cs="Calibri"/>
                <w:b/>
                <w:bCs/>
                <w:color w:val="0000FF"/>
                <w:sz w:val="19"/>
                <w:szCs w:val="19"/>
                <w:lang w:eastAsia="en-AU"/>
              </w:rPr>
              <w:t xml:space="preserve"> </w:t>
            </w:r>
          </w:p>
        </w:tc>
      </w:tr>
      <w:tr w:rsidR="002C39A3" w:rsidRPr="003911D9" w:rsidTr="00361FA9">
        <w:trPr>
          <w:cantSplit/>
        </w:trPr>
        <w:tc>
          <w:tcPr>
            <w:tcW w:w="2835" w:type="dxa"/>
            <w:tcBorders>
              <w:top w:val="nil"/>
              <w:left w:val="nil"/>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41 965</w:t>
            </w:r>
          </w:p>
        </w:tc>
        <w:tc>
          <w:tcPr>
            <w:tcW w:w="1984"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42 187</w:t>
            </w:r>
          </w:p>
        </w:tc>
        <w:tc>
          <w:tcPr>
            <w:tcW w:w="155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640</w:t>
            </w:r>
          </w:p>
        </w:tc>
        <w:tc>
          <w:tcPr>
            <w:tcW w:w="138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128 477</w:t>
            </w:r>
          </w:p>
        </w:tc>
      </w:tr>
      <w:tr w:rsidR="002C39A3" w:rsidRPr="003911D9" w:rsidTr="00361FA9">
        <w:trPr>
          <w:cantSplit/>
        </w:trPr>
        <w:tc>
          <w:tcPr>
            <w:tcW w:w="2835" w:type="dxa"/>
            <w:tcBorders>
              <w:top w:val="nil"/>
              <w:left w:val="nil"/>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984"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55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38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1 505</w:t>
            </w:r>
          </w:p>
        </w:tc>
      </w:tr>
      <w:tr w:rsidR="002C39A3" w:rsidRPr="003911D9" w:rsidTr="00361FA9">
        <w:trPr>
          <w:cantSplit/>
        </w:trPr>
        <w:tc>
          <w:tcPr>
            <w:tcW w:w="2835" w:type="dxa"/>
            <w:tcBorders>
              <w:top w:val="nil"/>
              <w:left w:val="nil"/>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(76)</w:t>
            </w:r>
          </w:p>
        </w:tc>
        <w:tc>
          <w:tcPr>
            <w:tcW w:w="1984"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w:t>
            </w:r>
          </w:p>
        </w:tc>
        <w:tc>
          <w:tcPr>
            <w:tcW w:w="155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(61)</w:t>
            </w:r>
          </w:p>
        </w:tc>
        <w:tc>
          <w:tcPr>
            <w:tcW w:w="138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(5 185)</w:t>
            </w:r>
          </w:p>
        </w:tc>
      </w:tr>
      <w:tr w:rsidR="002C39A3" w:rsidRPr="003911D9" w:rsidTr="00361FA9">
        <w:trPr>
          <w:cantSplit/>
        </w:trPr>
        <w:tc>
          <w:tcPr>
            <w:tcW w:w="2835" w:type="dxa"/>
            <w:tcBorders>
              <w:top w:val="nil"/>
              <w:left w:val="nil"/>
              <w:bottom w:val="single" w:sz="6" w:space="0" w:color="auto"/>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(988)</w:t>
            </w:r>
          </w:p>
        </w:tc>
        <w:tc>
          <w:tcPr>
            <w:tcW w:w="1984" w:type="dxa"/>
            <w:tcBorders>
              <w:top w:val="nil"/>
              <w:left w:val="nil"/>
              <w:bottom w:val="single" w:sz="6" w:space="0" w:color="auto"/>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559" w:type="dxa"/>
            <w:tcBorders>
              <w:top w:val="nil"/>
              <w:left w:val="nil"/>
              <w:bottom w:val="single" w:sz="6" w:space="0" w:color="auto"/>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389" w:type="dxa"/>
            <w:tcBorders>
              <w:top w:val="nil"/>
              <w:left w:val="nil"/>
              <w:bottom w:val="single" w:sz="6" w:space="0" w:color="auto"/>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r>
      <w:tr w:rsidR="002C39A3" w:rsidRPr="003911D9" w:rsidTr="00361FA9">
        <w:trPr>
          <w:cantSplit/>
        </w:trPr>
        <w:tc>
          <w:tcPr>
            <w:tcW w:w="2835" w:type="dxa"/>
            <w:tcBorders>
              <w:top w:val="single" w:sz="6" w:space="0" w:color="auto"/>
              <w:left w:val="nil"/>
              <w:bottom w:val="single" w:sz="12" w:space="0" w:color="auto"/>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3911D9">
              <w:rPr>
                <w:rFonts w:ascii="Calibri" w:eastAsiaTheme="minorEastAsia" w:hAnsi="Calibri" w:cs="Calibri"/>
                <w:b/>
                <w:bCs/>
                <w:color w:val="000000"/>
                <w:sz w:val="19"/>
                <w:szCs w:val="19"/>
                <w:lang w:eastAsia="en-AU"/>
              </w:rPr>
              <w:t>40 901</w:t>
            </w:r>
          </w:p>
        </w:tc>
        <w:tc>
          <w:tcPr>
            <w:tcW w:w="1984" w:type="dxa"/>
            <w:tcBorders>
              <w:top w:val="single" w:sz="6" w:space="0" w:color="auto"/>
              <w:left w:val="nil"/>
              <w:bottom w:val="single" w:sz="12" w:space="0" w:color="auto"/>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911D9">
              <w:rPr>
                <w:rFonts w:ascii="Calibri" w:eastAsiaTheme="minorEastAsia" w:hAnsi="Calibri" w:cs="Calibri"/>
                <w:b/>
                <w:bCs/>
                <w:color w:val="000000"/>
                <w:sz w:val="19"/>
                <w:szCs w:val="19"/>
                <w:lang w:eastAsia="en-AU"/>
              </w:rPr>
              <w:t>42 190</w:t>
            </w:r>
          </w:p>
        </w:tc>
        <w:tc>
          <w:tcPr>
            <w:tcW w:w="1559" w:type="dxa"/>
            <w:tcBorders>
              <w:top w:val="single" w:sz="6" w:space="0" w:color="auto"/>
              <w:left w:val="nil"/>
              <w:bottom w:val="single" w:sz="12" w:space="0" w:color="auto"/>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580</w:t>
            </w:r>
          </w:p>
        </w:tc>
        <w:tc>
          <w:tcPr>
            <w:tcW w:w="1389" w:type="dxa"/>
            <w:tcBorders>
              <w:top w:val="single" w:sz="6" w:space="0" w:color="auto"/>
              <w:left w:val="nil"/>
              <w:bottom w:val="single" w:sz="12" w:space="0" w:color="auto"/>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911D9">
              <w:rPr>
                <w:rFonts w:ascii="Calibri" w:eastAsiaTheme="minorEastAsia" w:hAnsi="Calibri" w:cs="Calibri"/>
                <w:b/>
                <w:bCs/>
                <w:color w:val="000000"/>
                <w:sz w:val="19"/>
                <w:szCs w:val="19"/>
                <w:lang w:eastAsia="en-AU"/>
              </w:rPr>
              <w:t>124 798</w:t>
            </w:r>
          </w:p>
        </w:tc>
      </w:tr>
      <w:tr w:rsidR="002C39A3" w:rsidRPr="003911D9" w:rsidTr="00361FA9">
        <w:trPr>
          <w:cantSplit/>
        </w:trPr>
        <w:tc>
          <w:tcPr>
            <w:tcW w:w="2835" w:type="dxa"/>
            <w:tcBorders>
              <w:top w:val="single" w:sz="12" w:space="0" w:color="auto"/>
              <w:left w:val="nil"/>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b/>
                <w:bCs/>
                <w:color w:val="0000FF"/>
                <w:sz w:val="19"/>
                <w:szCs w:val="19"/>
                <w:lang w:eastAsia="en-AU"/>
              </w:rPr>
            </w:pPr>
            <w:r w:rsidRPr="003911D9">
              <w:rPr>
                <w:rFonts w:ascii="Calibri" w:eastAsiaTheme="minorEastAsia" w:hAnsi="Calibri" w:cs="Calibri"/>
                <w:b/>
                <w:bCs/>
                <w:color w:val="0000FF"/>
                <w:sz w:val="19"/>
                <w:szCs w:val="19"/>
                <w:lang w:eastAsia="en-AU"/>
              </w:rPr>
              <w:t xml:space="preserve"> </w:t>
            </w:r>
          </w:p>
        </w:tc>
        <w:tc>
          <w:tcPr>
            <w:tcW w:w="1984" w:type="dxa"/>
            <w:tcBorders>
              <w:top w:val="single" w:sz="12" w:space="0" w:color="auto"/>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b/>
                <w:bCs/>
                <w:color w:val="0000FF"/>
                <w:sz w:val="19"/>
                <w:szCs w:val="19"/>
                <w:lang w:eastAsia="en-AU"/>
              </w:rPr>
            </w:pPr>
            <w:r w:rsidRPr="003911D9">
              <w:rPr>
                <w:rFonts w:ascii="Calibri" w:eastAsiaTheme="minorEastAsia" w:hAnsi="Calibri" w:cs="Calibri"/>
                <w:b/>
                <w:bCs/>
                <w:color w:val="0000FF"/>
                <w:sz w:val="19"/>
                <w:szCs w:val="19"/>
                <w:lang w:eastAsia="en-AU"/>
              </w:rPr>
              <w:t xml:space="preserve"> </w:t>
            </w:r>
          </w:p>
        </w:tc>
        <w:tc>
          <w:tcPr>
            <w:tcW w:w="1559" w:type="dxa"/>
            <w:tcBorders>
              <w:top w:val="single" w:sz="12" w:space="0" w:color="auto"/>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b/>
                <w:bCs/>
                <w:color w:val="0000FF"/>
                <w:sz w:val="19"/>
                <w:szCs w:val="19"/>
                <w:lang w:eastAsia="en-AU"/>
              </w:rPr>
            </w:pPr>
            <w:r w:rsidRPr="003911D9">
              <w:rPr>
                <w:rFonts w:ascii="Calibri" w:eastAsiaTheme="minorEastAsia" w:hAnsi="Calibri" w:cs="Calibri"/>
                <w:b/>
                <w:bCs/>
                <w:color w:val="0000FF"/>
                <w:sz w:val="19"/>
                <w:szCs w:val="19"/>
                <w:lang w:eastAsia="en-AU"/>
              </w:rPr>
              <w:t xml:space="preserve"> </w:t>
            </w:r>
          </w:p>
        </w:tc>
        <w:tc>
          <w:tcPr>
            <w:tcW w:w="1389" w:type="dxa"/>
            <w:tcBorders>
              <w:top w:val="single" w:sz="12" w:space="0" w:color="auto"/>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b/>
                <w:bCs/>
                <w:color w:val="0000FF"/>
                <w:sz w:val="19"/>
                <w:szCs w:val="19"/>
                <w:lang w:eastAsia="en-AU"/>
              </w:rPr>
            </w:pPr>
            <w:r w:rsidRPr="003911D9">
              <w:rPr>
                <w:rFonts w:ascii="Calibri" w:eastAsiaTheme="minorEastAsia" w:hAnsi="Calibri" w:cs="Calibri"/>
                <w:b/>
                <w:bCs/>
                <w:color w:val="0000FF"/>
                <w:sz w:val="19"/>
                <w:szCs w:val="19"/>
                <w:lang w:eastAsia="en-AU"/>
              </w:rPr>
              <w:t xml:space="preserve"> </w:t>
            </w:r>
          </w:p>
        </w:tc>
      </w:tr>
      <w:tr w:rsidR="002C39A3" w:rsidRPr="003911D9" w:rsidTr="00361FA9">
        <w:trPr>
          <w:cantSplit/>
        </w:trPr>
        <w:tc>
          <w:tcPr>
            <w:tcW w:w="2835" w:type="dxa"/>
            <w:tcBorders>
              <w:top w:val="nil"/>
              <w:left w:val="nil"/>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43 355</w:t>
            </w:r>
          </w:p>
        </w:tc>
        <w:tc>
          <w:tcPr>
            <w:tcW w:w="1984"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46 413</w:t>
            </w:r>
          </w:p>
        </w:tc>
        <w:tc>
          <w:tcPr>
            <w:tcW w:w="155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728</w:t>
            </w:r>
          </w:p>
        </w:tc>
        <w:tc>
          <w:tcPr>
            <w:tcW w:w="138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136 310</w:t>
            </w:r>
          </w:p>
        </w:tc>
      </w:tr>
      <w:tr w:rsidR="002C39A3" w:rsidRPr="003911D9" w:rsidTr="00361FA9">
        <w:trPr>
          <w:cantSplit/>
        </w:trPr>
        <w:tc>
          <w:tcPr>
            <w:tcW w:w="2835" w:type="dxa"/>
            <w:tcBorders>
              <w:top w:val="nil"/>
              <w:left w:val="nil"/>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984"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55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38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2 818</w:t>
            </w:r>
          </w:p>
        </w:tc>
      </w:tr>
      <w:tr w:rsidR="002C39A3" w:rsidRPr="003911D9" w:rsidTr="00361FA9">
        <w:trPr>
          <w:cantSplit/>
        </w:trPr>
        <w:tc>
          <w:tcPr>
            <w:tcW w:w="2835" w:type="dxa"/>
            <w:tcBorders>
              <w:top w:val="nil"/>
              <w:left w:val="nil"/>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(22)</w:t>
            </w:r>
          </w:p>
        </w:tc>
        <w:tc>
          <w:tcPr>
            <w:tcW w:w="1984"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(246)</w:t>
            </w:r>
          </w:p>
        </w:tc>
        <w:tc>
          <w:tcPr>
            <w:tcW w:w="155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(48)</w:t>
            </w:r>
          </w:p>
        </w:tc>
        <w:tc>
          <w:tcPr>
            <w:tcW w:w="138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(2 290)</w:t>
            </w:r>
          </w:p>
        </w:tc>
      </w:tr>
      <w:tr w:rsidR="002C39A3" w:rsidRPr="003911D9" w:rsidTr="00361FA9">
        <w:trPr>
          <w:cantSplit/>
        </w:trPr>
        <w:tc>
          <w:tcPr>
            <w:tcW w:w="2835" w:type="dxa"/>
            <w:tcBorders>
              <w:top w:val="nil"/>
              <w:left w:val="nil"/>
              <w:bottom w:val="single" w:sz="6" w:space="0" w:color="auto"/>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22</w:t>
            </w:r>
          </w:p>
        </w:tc>
        <w:tc>
          <w:tcPr>
            <w:tcW w:w="1984" w:type="dxa"/>
            <w:tcBorders>
              <w:top w:val="nil"/>
              <w:left w:val="nil"/>
              <w:bottom w:val="single" w:sz="6" w:space="0" w:color="auto"/>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559" w:type="dxa"/>
            <w:tcBorders>
              <w:top w:val="nil"/>
              <w:left w:val="nil"/>
              <w:bottom w:val="single" w:sz="6" w:space="0" w:color="auto"/>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389" w:type="dxa"/>
            <w:tcBorders>
              <w:top w:val="nil"/>
              <w:left w:val="nil"/>
              <w:bottom w:val="single" w:sz="6" w:space="0" w:color="auto"/>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r>
      <w:tr w:rsidR="002C39A3" w:rsidRPr="003911D9" w:rsidTr="00361FA9">
        <w:trPr>
          <w:cantSplit/>
        </w:trPr>
        <w:tc>
          <w:tcPr>
            <w:tcW w:w="2835" w:type="dxa"/>
            <w:tcBorders>
              <w:top w:val="single" w:sz="6" w:space="0" w:color="auto"/>
              <w:left w:val="nil"/>
              <w:bottom w:val="single" w:sz="12" w:space="0" w:color="auto"/>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3911D9">
              <w:rPr>
                <w:rFonts w:ascii="Calibri" w:eastAsiaTheme="minorEastAsia" w:hAnsi="Calibri" w:cs="Calibri"/>
                <w:b/>
                <w:bCs/>
                <w:color w:val="000000"/>
                <w:sz w:val="19"/>
                <w:szCs w:val="19"/>
                <w:lang w:eastAsia="en-AU"/>
              </w:rPr>
              <w:t>43 355</w:t>
            </w:r>
          </w:p>
        </w:tc>
        <w:tc>
          <w:tcPr>
            <w:tcW w:w="1984" w:type="dxa"/>
            <w:tcBorders>
              <w:top w:val="single" w:sz="6" w:space="0" w:color="auto"/>
              <w:left w:val="nil"/>
              <w:bottom w:val="single" w:sz="12" w:space="0" w:color="auto"/>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911D9">
              <w:rPr>
                <w:rFonts w:ascii="Calibri" w:eastAsiaTheme="minorEastAsia" w:hAnsi="Calibri" w:cs="Calibri"/>
                <w:b/>
                <w:bCs/>
                <w:color w:val="000000"/>
                <w:sz w:val="19"/>
                <w:szCs w:val="19"/>
                <w:lang w:eastAsia="en-AU"/>
              </w:rPr>
              <w:t>46 167</w:t>
            </w:r>
          </w:p>
        </w:tc>
        <w:tc>
          <w:tcPr>
            <w:tcW w:w="1559" w:type="dxa"/>
            <w:tcBorders>
              <w:top w:val="single" w:sz="6" w:space="0" w:color="auto"/>
              <w:left w:val="nil"/>
              <w:bottom w:val="single" w:sz="12" w:space="0" w:color="auto"/>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680</w:t>
            </w:r>
          </w:p>
        </w:tc>
        <w:tc>
          <w:tcPr>
            <w:tcW w:w="1389" w:type="dxa"/>
            <w:tcBorders>
              <w:top w:val="single" w:sz="6" w:space="0" w:color="auto"/>
              <w:left w:val="nil"/>
              <w:bottom w:val="single" w:sz="12" w:space="0" w:color="auto"/>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911D9">
              <w:rPr>
                <w:rFonts w:ascii="Calibri" w:eastAsiaTheme="minorEastAsia" w:hAnsi="Calibri" w:cs="Calibri"/>
                <w:b/>
                <w:bCs/>
                <w:color w:val="000000"/>
                <w:sz w:val="19"/>
                <w:szCs w:val="19"/>
                <w:lang w:eastAsia="en-AU"/>
              </w:rPr>
              <w:t>136 838</w:t>
            </w:r>
          </w:p>
        </w:tc>
      </w:tr>
      <w:tr w:rsidR="002C39A3" w:rsidRPr="003911D9" w:rsidTr="00361FA9">
        <w:trPr>
          <w:cantSplit/>
        </w:trPr>
        <w:tc>
          <w:tcPr>
            <w:tcW w:w="2835" w:type="dxa"/>
            <w:tcBorders>
              <w:top w:val="single" w:sz="12" w:space="0" w:color="auto"/>
              <w:left w:val="nil"/>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b/>
                <w:bCs/>
                <w:color w:val="0000FF"/>
                <w:sz w:val="19"/>
                <w:szCs w:val="19"/>
                <w:lang w:eastAsia="en-AU"/>
              </w:rPr>
            </w:pPr>
            <w:r w:rsidRPr="003911D9">
              <w:rPr>
                <w:rFonts w:ascii="Calibri" w:eastAsiaTheme="minorEastAsia" w:hAnsi="Calibri" w:cs="Calibri"/>
                <w:b/>
                <w:bCs/>
                <w:color w:val="0000FF"/>
                <w:sz w:val="19"/>
                <w:szCs w:val="19"/>
                <w:lang w:eastAsia="en-AU"/>
              </w:rPr>
              <w:t xml:space="preserve"> </w:t>
            </w:r>
          </w:p>
        </w:tc>
        <w:tc>
          <w:tcPr>
            <w:tcW w:w="1984" w:type="dxa"/>
            <w:tcBorders>
              <w:top w:val="single" w:sz="12" w:space="0" w:color="auto"/>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b/>
                <w:bCs/>
                <w:color w:val="0000FF"/>
                <w:sz w:val="19"/>
                <w:szCs w:val="19"/>
                <w:lang w:eastAsia="en-AU"/>
              </w:rPr>
            </w:pPr>
            <w:r w:rsidRPr="003911D9">
              <w:rPr>
                <w:rFonts w:ascii="Calibri" w:eastAsiaTheme="minorEastAsia" w:hAnsi="Calibri" w:cs="Calibri"/>
                <w:b/>
                <w:bCs/>
                <w:color w:val="0000FF"/>
                <w:sz w:val="19"/>
                <w:szCs w:val="19"/>
                <w:lang w:eastAsia="en-AU"/>
              </w:rPr>
              <w:t xml:space="preserve"> </w:t>
            </w:r>
          </w:p>
        </w:tc>
        <w:tc>
          <w:tcPr>
            <w:tcW w:w="1559" w:type="dxa"/>
            <w:tcBorders>
              <w:top w:val="single" w:sz="12" w:space="0" w:color="auto"/>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b/>
                <w:bCs/>
                <w:color w:val="0000FF"/>
                <w:sz w:val="19"/>
                <w:szCs w:val="19"/>
                <w:lang w:eastAsia="en-AU"/>
              </w:rPr>
            </w:pPr>
            <w:r w:rsidRPr="003911D9">
              <w:rPr>
                <w:rFonts w:ascii="Calibri" w:eastAsiaTheme="minorEastAsia" w:hAnsi="Calibri" w:cs="Calibri"/>
                <w:b/>
                <w:bCs/>
                <w:color w:val="0000FF"/>
                <w:sz w:val="19"/>
                <w:szCs w:val="19"/>
                <w:lang w:eastAsia="en-AU"/>
              </w:rPr>
              <w:t xml:space="preserve"> </w:t>
            </w:r>
          </w:p>
        </w:tc>
        <w:tc>
          <w:tcPr>
            <w:tcW w:w="1389" w:type="dxa"/>
            <w:tcBorders>
              <w:top w:val="single" w:sz="12" w:space="0" w:color="auto"/>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b/>
                <w:bCs/>
                <w:color w:val="0000FF"/>
                <w:sz w:val="19"/>
                <w:szCs w:val="19"/>
                <w:lang w:eastAsia="en-AU"/>
              </w:rPr>
            </w:pPr>
            <w:r w:rsidRPr="003911D9">
              <w:rPr>
                <w:rFonts w:ascii="Calibri" w:eastAsiaTheme="minorEastAsia" w:hAnsi="Calibri" w:cs="Calibri"/>
                <w:b/>
                <w:bCs/>
                <w:color w:val="0000FF"/>
                <w:sz w:val="19"/>
                <w:szCs w:val="19"/>
                <w:lang w:eastAsia="en-AU"/>
              </w:rPr>
              <w:t xml:space="preserve"> </w:t>
            </w:r>
          </w:p>
        </w:tc>
      </w:tr>
      <w:tr w:rsidR="002C39A3" w:rsidRPr="003911D9" w:rsidTr="00361FA9">
        <w:trPr>
          <w:cantSplit/>
        </w:trPr>
        <w:tc>
          <w:tcPr>
            <w:tcW w:w="2835" w:type="dxa"/>
            <w:tcBorders>
              <w:top w:val="nil"/>
              <w:left w:val="nil"/>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43 355</w:t>
            </w:r>
          </w:p>
        </w:tc>
        <w:tc>
          <w:tcPr>
            <w:tcW w:w="1984"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46 413</w:t>
            </w:r>
          </w:p>
        </w:tc>
        <w:tc>
          <w:tcPr>
            <w:tcW w:w="155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728</w:t>
            </w:r>
          </w:p>
        </w:tc>
        <w:tc>
          <w:tcPr>
            <w:tcW w:w="138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136 310</w:t>
            </w:r>
          </w:p>
        </w:tc>
      </w:tr>
      <w:tr w:rsidR="002C39A3" w:rsidRPr="003911D9" w:rsidTr="00361FA9">
        <w:trPr>
          <w:cantSplit/>
        </w:trPr>
        <w:tc>
          <w:tcPr>
            <w:tcW w:w="2835" w:type="dxa"/>
            <w:tcBorders>
              <w:top w:val="nil"/>
              <w:left w:val="nil"/>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984"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55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38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1 638</w:t>
            </w:r>
          </w:p>
        </w:tc>
      </w:tr>
      <w:tr w:rsidR="002C39A3" w:rsidRPr="003911D9" w:rsidTr="00361FA9">
        <w:trPr>
          <w:cantSplit/>
        </w:trPr>
        <w:tc>
          <w:tcPr>
            <w:tcW w:w="2835" w:type="dxa"/>
            <w:tcBorders>
              <w:top w:val="nil"/>
              <w:left w:val="nil"/>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472</w:t>
            </w:r>
          </w:p>
        </w:tc>
        <w:tc>
          <w:tcPr>
            <w:tcW w:w="1984"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1 471</w:t>
            </w:r>
          </w:p>
        </w:tc>
        <w:tc>
          <w:tcPr>
            <w:tcW w:w="155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(36)</w:t>
            </w:r>
          </w:p>
        </w:tc>
        <w:tc>
          <w:tcPr>
            <w:tcW w:w="138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187</w:t>
            </w:r>
          </w:p>
        </w:tc>
      </w:tr>
      <w:tr w:rsidR="002C39A3" w:rsidRPr="003911D9" w:rsidTr="00361FA9">
        <w:trPr>
          <w:cantSplit/>
        </w:trPr>
        <w:tc>
          <w:tcPr>
            <w:tcW w:w="2835" w:type="dxa"/>
            <w:tcBorders>
              <w:top w:val="nil"/>
              <w:left w:val="nil"/>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w:t>
            </w:r>
          </w:p>
        </w:tc>
        <w:tc>
          <w:tcPr>
            <w:tcW w:w="1984"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55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38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w:t>
            </w:r>
          </w:p>
        </w:tc>
      </w:tr>
      <w:tr w:rsidR="002C39A3" w:rsidRPr="003911D9" w:rsidTr="00361FA9">
        <w:trPr>
          <w:cantSplit/>
        </w:trPr>
        <w:tc>
          <w:tcPr>
            <w:tcW w:w="2835" w:type="dxa"/>
            <w:tcBorders>
              <w:top w:val="nil"/>
              <w:left w:val="nil"/>
              <w:bottom w:val="single" w:sz="6" w:space="0" w:color="auto"/>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984" w:type="dxa"/>
            <w:tcBorders>
              <w:top w:val="nil"/>
              <w:left w:val="nil"/>
              <w:bottom w:val="single" w:sz="6" w:space="0" w:color="auto"/>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559" w:type="dxa"/>
            <w:tcBorders>
              <w:top w:val="nil"/>
              <w:left w:val="nil"/>
              <w:bottom w:val="single" w:sz="6" w:space="0" w:color="auto"/>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389" w:type="dxa"/>
            <w:tcBorders>
              <w:top w:val="nil"/>
              <w:left w:val="nil"/>
              <w:bottom w:val="single" w:sz="6" w:space="0" w:color="auto"/>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(50)</w:t>
            </w:r>
          </w:p>
        </w:tc>
      </w:tr>
      <w:tr w:rsidR="002C39A3" w:rsidRPr="003911D9" w:rsidTr="00361FA9">
        <w:trPr>
          <w:cantSplit/>
        </w:trPr>
        <w:tc>
          <w:tcPr>
            <w:tcW w:w="2835" w:type="dxa"/>
            <w:tcBorders>
              <w:top w:val="single" w:sz="6" w:space="0" w:color="auto"/>
              <w:left w:val="nil"/>
              <w:bottom w:val="single" w:sz="12" w:space="0" w:color="auto"/>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3911D9">
              <w:rPr>
                <w:rFonts w:ascii="Calibri" w:eastAsiaTheme="minorEastAsia" w:hAnsi="Calibri" w:cs="Calibri"/>
                <w:b/>
                <w:bCs/>
                <w:color w:val="000000"/>
                <w:sz w:val="19"/>
                <w:szCs w:val="19"/>
                <w:lang w:eastAsia="en-AU"/>
              </w:rPr>
              <w:t>43 826</w:t>
            </w:r>
          </w:p>
        </w:tc>
        <w:tc>
          <w:tcPr>
            <w:tcW w:w="1984" w:type="dxa"/>
            <w:tcBorders>
              <w:top w:val="single" w:sz="6" w:space="0" w:color="auto"/>
              <w:left w:val="nil"/>
              <w:bottom w:val="single" w:sz="12" w:space="0" w:color="auto"/>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911D9">
              <w:rPr>
                <w:rFonts w:ascii="Calibri" w:eastAsiaTheme="minorEastAsia" w:hAnsi="Calibri" w:cs="Calibri"/>
                <w:b/>
                <w:bCs/>
                <w:color w:val="000000"/>
                <w:sz w:val="19"/>
                <w:szCs w:val="19"/>
                <w:lang w:eastAsia="en-AU"/>
              </w:rPr>
              <w:t>47 884</w:t>
            </w:r>
          </w:p>
        </w:tc>
        <w:tc>
          <w:tcPr>
            <w:tcW w:w="1559" w:type="dxa"/>
            <w:tcBorders>
              <w:top w:val="single" w:sz="6" w:space="0" w:color="auto"/>
              <w:left w:val="nil"/>
              <w:bottom w:val="single" w:sz="12" w:space="0" w:color="auto"/>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692</w:t>
            </w:r>
          </w:p>
        </w:tc>
        <w:tc>
          <w:tcPr>
            <w:tcW w:w="1389" w:type="dxa"/>
            <w:tcBorders>
              <w:top w:val="single" w:sz="6" w:space="0" w:color="auto"/>
              <w:left w:val="nil"/>
              <w:bottom w:val="single" w:sz="12" w:space="0" w:color="auto"/>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138 084</w:t>
            </w:r>
          </w:p>
        </w:tc>
      </w:tr>
      <w:tr w:rsidR="002C39A3" w:rsidRPr="003911D9" w:rsidTr="00361FA9">
        <w:trPr>
          <w:cantSplit/>
        </w:trPr>
        <w:tc>
          <w:tcPr>
            <w:tcW w:w="2835" w:type="dxa"/>
            <w:tcBorders>
              <w:top w:val="single" w:sz="12" w:space="0" w:color="auto"/>
              <w:left w:val="nil"/>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b/>
                <w:bCs/>
                <w:color w:val="0000FF"/>
                <w:sz w:val="19"/>
                <w:szCs w:val="19"/>
                <w:lang w:eastAsia="en-AU"/>
              </w:rPr>
            </w:pPr>
            <w:r w:rsidRPr="003911D9">
              <w:rPr>
                <w:rFonts w:ascii="Calibri" w:eastAsiaTheme="minorEastAsia" w:hAnsi="Calibri" w:cs="Calibri"/>
                <w:b/>
                <w:bCs/>
                <w:color w:val="0000FF"/>
                <w:sz w:val="19"/>
                <w:szCs w:val="19"/>
                <w:lang w:eastAsia="en-AU"/>
              </w:rPr>
              <w:t xml:space="preserve"> </w:t>
            </w:r>
          </w:p>
        </w:tc>
        <w:tc>
          <w:tcPr>
            <w:tcW w:w="1984" w:type="dxa"/>
            <w:tcBorders>
              <w:top w:val="single" w:sz="12" w:space="0" w:color="auto"/>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b/>
                <w:bCs/>
                <w:color w:val="0000FF"/>
                <w:sz w:val="19"/>
                <w:szCs w:val="19"/>
                <w:lang w:eastAsia="en-AU"/>
              </w:rPr>
            </w:pPr>
            <w:r w:rsidRPr="003911D9">
              <w:rPr>
                <w:rFonts w:ascii="Calibri" w:eastAsiaTheme="minorEastAsia" w:hAnsi="Calibri" w:cs="Calibri"/>
                <w:b/>
                <w:bCs/>
                <w:color w:val="0000FF"/>
                <w:sz w:val="19"/>
                <w:szCs w:val="19"/>
                <w:lang w:eastAsia="en-AU"/>
              </w:rPr>
              <w:t xml:space="preserve"> </w:t>
            </w:r>
          </w:p>
        </w:tc>
        <w:tc>
          <w:tcPr>
            <w:tcW w:w="1559" w:type="dxa"/>
            <w:tcBorders>
              <w:top w:val="single" w:sz="12" w:space="0" w:color="auto"/>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b/>
                <w:bCs/>
                <w:color w:val="0000FF"/>
                <w:sz w:val="19"/>
                <w:szCs w:val="19"/>
                <w:lang w:eastAsia="en-AU"/>
              </w:rPr>
            </w:pPr>
            <w:r w:rsidRPr="003911D9">
              <w:rPr>
                <w:rFonts w:ascii="Calibri" w:eastAsiaTheme="minorEastAsia" w:hAnsi="Calibri" w:cs="Calibri"/>
                <w:b/>
                <w:bCs/>
                <w:color w:val="0000FF"/>
                <w:sz w:val="19"/>
                <w:szCs w:val="19"/>
                <w:lang w:eastAsia="en-AU"/>
              </w:rPr>
              <w:t xml:space="preserve"> </w:t>
            </w:r>
          </w:p>
        </w:tc>
        <w:tc>
          <w:tcPr>
            <w:tcW w:w="1389" w:type="dxa"/>
            <w:tcBorders>
              <w:top w:val="single" w:sz="12" w:space="0" w:color="auto"/>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b/>
                <w:bCs/>
                <w:color w:val="0000FF"/>
                <w:sz w:val="19"/>
                <w:szCs w:val="19"/>
                <w:lang w:eastAsia="en-AU"/>
              </w:rPr>
            </w:pPr>
            <w:r w:rsidRPr="003911D9">
              <w:rPr>
                <w:rFonts w:ascii="Calibri" w:eastAsiaTheme="minorEastAsia" w:hAnsi="Calibri" w:cs="Calibri"/>
                <w:b/>
                <w:bCs/>
                <w:color w:val="0000FF"/>
                <w:sz w:val="19"/>
                <w:szCs w:val="19"/>
                <w:lang w:eastAsia="en-AU"/>
              </w:rPr>
              <w:t xml:space="preserve"> </w:t>
            </w:r>
          </w:p>
        </w:tc>
      </w:tr>
      <w:tr w:rsidR="002C39A3" w:rsidRPr="003911D9" w:rsidTr="00361FA9">
        <w:trPr>
          <w:cantSplit/>
        </w:trPr>
        <w:tc>
          <w:tcPr>
            <w:tcW w:w="2835" w:type="dxa"/>
            <w:tcBorders>
              <w:top w:val="nil"/>
              <w:left w:val="nil"/>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43 355</w:t>
            </w:r>
          </w:p>
        </w:tc>
        <w:tc>
          <w:tcPr>
            <w:tcW w:w="1984"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46 413</w:t>
            </w:r>
          </w:p>
        </w:tc>
        <w:tc>
          <w:tcPr>
            <w:tcW w:w="155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728</w:t>
            </w:r>
          </w:p>
        </w:tc>
        <w:tc>
          <w:tcPr>
            <w:tcW w:w="138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136 335</w:t>
            </w:r>
          </w:p>
        </w:tc>
      </w:tr>
      <w:tr w:rsidR="002C39A3" w:rsidRPr="003911D9" w:rsidTr="00361FA9">
        <w:trPr>
          <w:cantSplit/>
        </w:trPr>
        <w:tc>
          <w:tcPr>
            <w:tcW w:w="2835" w:type="dxa"/>
            <w:tcBorders>
              <w:top w:val="nil"/>
              <w:left w:val="nil"/>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984"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55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38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6 366</w:t>
            </w:r>
          </w:p>
        </w:tc>
      </w:tr>
      <w:tr w:rsidR="002C39A3" w:rsidRPr="003911D9" w:rsidTr="00361FA9">
        <w:trPr>
          <w:cantSplit/>
        </w:trPr>
        <w:tc>
          <w:tcPr>
            <w:tcW w:w="2835" w:type="dxa"/>
            <w:tcBorders>
              <w:top w:val="nil"/>
              <w:left w:val="nil"/>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756</w:t>
            </w:r>
          </w:p>
        </w:tc>
        <w:tc>
          <w:tcPr>
            <w:tcW w:w="1984"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w:t>
            </w:r>
          </w:p>
        </w:tc>
        <w:tc>
          <w:tcPr>
            <w:tcW w:w="155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12</w:t>
            </w:r>
          </w:p>
        </w:tc>
        <w:tc>
          <w:tcPr>
            <w:tcW w:w="138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1 727</w:t>
            </w:r>
          </w:p>
        </w:tc>
      </w:tr>
      <w:tr w:rsidR="002C39A3" w:rsidRPr="003911D9" w:rsidTr="00361FA9">
        <w:trPr>
          <w:cantSplit/>
        </w:trPr>
        <w:tc>
          <w:tcPr>
            <w:tcW w:w="2835" w:type="dxa"/>
            <w:tcBorders>
              <w:top w:val="nil"/>
              <w:left w:val="nil"/>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984"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55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389" w:type="dxa"/>
            <w:tcBorders>
              <w:top w:val="nil"/>
              <w:left w:val="nil"/>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r>
      <w:tr w:rsidR="002C39A3" w:rsidRPr="003911D9" w:rsidTr="00361FA9">
        <w:trPr>
          <w:cantSplit/>
        </w:trPr>
        <w:tc>
          <w:tcPr>
            <w:tcW w:w="2835" w:type="dxa"/>
            <w:tcBorders>
              <w:top w:val="nil"/>
              <w:left w:val="nil"/>
              <w:bottom w:val="single" w:sz="6" w:space="0" w:color="auto"/>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984" w:type="dxa"/>
            <w:tcBorders>
              <w:top w:val="nil"/>
              <w:left w:val="nil"/>
              <w:bottom w:val="single" w:sz="6" w:space="0" w:color="auto"/>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559" w:type="dxa"/>
            <w:tcBorders>
              <w:top w:val="nil"/>
              <w:left w:val="nil"/>
              <w:bottom w:val="single" w:sz="6" w:space="0" w:color="auto"/>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c>
          <w:tcPr>
            <w:tcW w:w="1389" w:type="dxa"/>
            <w:tcBorders>
              <w:top w:val="nil"/>
              <w:left w:val="nil"/>
              <w:bottom w:val="single" w:sz="6" w:space="0" w:color="auto"/>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3911D9">
              <w:rPr>
                <w:rFonts w:ascii="Calibri" w:eastAsiaTheme="minorEastAsia" w:hAnsi="Calibri" w:cs="Calibri"/>
                <w:color w:val="000000"/>
                <w:sz w:val="19"/>
                <w:szCs w:val="19"/>
                <w:lang w:eastAsia="en-AU"/>
              </w:rPr>
              <w:t>..</w:t>
            </w:r>
          </w:p>
        </w:tc>
      </w:tr>
      <w:tr w:rsidR="002C39A3" w:rsidRPr="003911D9" w:rsidTr="00361FA9">
        <w:trPr>
          <w:cantSplit/>
        </w:trPr>
        <w:tc>
          <w:tcPr>
            <w:tcW w:w="2835" w:type="dxa"/>
            <w:tcBorders>
              <w:top w:val="single" w:sz="6" w:space="0" w:color="auto"/>
              <w:left w:val="nil"/>
              <w:bottom w:val="single" w:sz="12" w:space="0" w:color="auto"/>
              <w:right w:val="nil"/>
            </w:tcBorders>
            <w:shd w:val="clear" w:color="auto" w:fill="FFFFFF"/>
          </w:tcPr>
          <w:p w:rsidR="002C39A3" w:rsidRPr="003911D9" w:rsidRDefault="002C39A3" w:rsidP="00361FA9">
            <w:pPr>
              <w:autoSpaceDE w:val="0"/>
              <w:autoSpaceDN w:val="0"/>
              <w:adjustRightInd w:val="0"/>
              <w:spacing w:after="0"/>
              <w:ind w:left="227" w:hanging="227"/>
              <w:jc w:val="right"/>
              <w:rPr>
                <w:rFonts w:ascii="Calibri" w:eastAsiaTheme="minorEastAsia" w:hAnsi="Calibri" w:cs="Calibri"/>
                <w:b/>
                <w:bCs/>
                <w:color w:val="000000"/>
                <w:sz w:val="19"/>
                <w:szCs w:val="19"/>
                <w:lang w:eastAsia="en-AU"/>
              </w:rPr>
            </w:pPr>
            <w:r w:rsidRPr="003911D9">
              <w:rPr>
                <w:rFonts w:ascii="Calibri" w:eastAsiaTheme="minorEastAsia" w:hAnsi="Calibri" w:cs="Calibri"/>
                <w:b/>
                <w:bCs/>
                <w:color w:val="000000"/>
                <w:sz w:val="19"/>
                <w:szCs w:val="19"/>
                <w:lang w:eastAsia="en-AU"/>
              </w:rPr>
              <w:t>44 111</w:t>
            </w:r>
          </w:p>
        </w:tc>
        <w:tc>
          <w:tcPr>
            <w:tcW w:w="1984" w:type="dxa"/>
            <w:tcBorders>
              <w:top w:val="single" w:sz="6" w:space="0" w:color="auto"/>
              <w:left w:val="nil"/>
              <w:bottom w:val="single" w:sz="12" w:space="0" w:color="auto"/>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911D9">
              <w:rPr>
                <w:rFonts w:ascii="Calibri" w:eastAsiaTheme="minorEastAsia" w:hAnsi="Calibri" w:cs="Calibri"/>
                <w:b/>
                <w:bCs/>
                <w:color w:val="000000"/>
                <w:sz w:val="19"/>
                <w:szCs w:val="19"/>
                <w:lang w:eastAsia="en-AU"/>
              </w:rPr>
              <w:t>46 414</w:t>
            </w:r>
          </w:p>
        </w:tc>
        <w:tc>
          <w:tcPr>
            <w:tcW w:w="1559" w:type="dxa"/>
            <w:tcBorders>
              <w:top w:val="single" w:sz="6" w:space="0" w:color="auto"/>
              <w:left w:val="nil"/>
              <w:bottom w:val="single" w:sz="12" w:space="0" w:color="auto"/>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740</w:t>
            </w:r>
          </w:p>
        </w:tc>
        <w:tc>
          <w:tcPr>
            <w:tcW w:w="1389" w:type="dxa"/>
            <w:tcBorders>
              <w:top w:val="single" w:sz="6" w:space="0" w:color="auto"/>
              <w:left w:val="nil"/>
              <w:bottom w:val="single" w:sz="12" w:space="0" w:color="auto"/>
              <w:right w:val="nil"/>
            </w:tcBorders>
            <w:shd w:val="clear" w:color="auto" w:fill="FFFFFF"/>
          </w:tcPr>
          <w:p w:rsidR="002C39A3" w:rsidRPr="003911D9"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3911D9">
              <w:rPr>
                <w:rFonts w:ascii="Calibri" w:eastAsiaTheme="minorEastAsia" w:hAnsi="Calibri" w:cs="Calibri"/>
                <w:b/>
                <w:bCs/>
                <w:color w:val="000000"/>
                <w:sz w:val="19"/>
                <w:szCs w:val="19"/>
                <w:lang w:eastAsia="en-AU"/>
              </w:rPr>
              <w:t>144 427</w:t>
            </w:r>
          </w:p>
        </w:tc>
      </w:tr>
    </w:tbl>
    <w:p w:rsidR="002C39A3" w:rsidRPr="000F2970" w:rsidRDefault="002C39A3" w:rsidP="00361FA9"/>
    <w:p w:rsidR="002C39A3" w:rsidRDefault="002C39A3" w:rsidP="00361FA9">
      <w:pPr>
        <w:pStyle w:val="Tableheading"/>
      </w:pPr>
    </w:p>
    <w:p w:rsidR="002C39A3" w:rsidRDefault="002C39A3">
      <w:pPr>
        <w:spacing w:after="0"/>
        <w:rPr>
          <w:rFonts w:ascii="Calibri" w:hAnsi="Calibri"/>
          <w:b/>
        </w:rPr>
      </w:pPr>
      <w:r>
        <w:br w:type="page"/>
      </w:r>
    </w:p>
    <w:p w:rsidR="002C39A3" w:rsidRDefault="002C39A3" w:rsidP="00361FA9">
      <w:pPr>
        <w:pStyle w:val="Heading1"/>
      </w:pPr>
      <w:bookmarkStart w:id="64" w:name="_Toc449116221"/>
      <w:r>
        <w:t>Notes to the financial statements</w:t>
      </w:r>
      <w:bookmarkEnd w:id="64"/>
    </w:p>
    <w:p w:rsidR="002C39A3" w:rsidRDefault="002C39A3">
      <w:pPr>
        <w:pStyle w:val="TOC4"/>
        <w:rPr>
          <w:rFonts w:asciiTheme="minorHAnsi" w:eastAsiaTheme="minorEastAsia" w:hAnsiTheme="minorHAnsi" w:cstheme="minorBidi"/>
          <w:sz w:val="22"/>
          <w:szCs w:val="22"/>
          <w:lang w:eastAsia="en-AU"/>
        </w:rPr>
      </w:pPr>
      <w:r w:rsidRPr="0040125C">
        <w:fldChar w:fldCharType="begin"/>
      </w:r>
      <w:r w:rsidRPr="0040125C">
        <w:instrText xml:space="preserve"> TOC \h \z \t "Heading 2 Notes,4" </w:instrText>
      </w:r>
      <w:r w:rsidRPr="0040125C">
        <w:fldChar w:fldCharType="separate"/>
      </w:r>
      <w:hyperlink w:anchor="_Toc448400809" w:history="1">
        <w:r w:rsidRPr="009701BD">
          <w:rPr>
            <w:rStyle w:val="Hyperlink"/>
          </w:rPr>
          <w:t>Note 1:</w:t>
        </w:r>
        <w:r>
          <w:rPr>
            <w:rFonts w:asciiTheme="minorHAnsi" w:eastAsiaTheme="minorEastAsia" w:hAnsiTheme="minorHAnsi" w:cstheme="minorBidi"/>
            <w:sz w:val="22"/>
            <w:szCs w:val="22"/>
            <w:lang w:eastAsia="en-AU"/>
          </w:rPr>
          <w:tab/>
        </w:r>
        <w:r w:rsidRPr="009701BD">
          <w:rPr>
            <w:rStyle w:val="Hyperlink"/>
          </w:rPr>
          <w:t>Statement of significant accounting policies</w:t>
        </w:r>
        <w:r>
          <w:rPr>
            <w:webHidden/>
          </w:rPr>
          <w:tab/>
        </w:r>
        <w:r>
          <w:rPr>
            <w:webHidden/>
          </w:rPr>
          <w:fldChar w:fldCharType="begin"/>
        </w:r>
        <w:r>
          <w:rPr>
            <w:webHidden/>
          </w:rPr>
          <w:instrText xml:space="preserve"> PAGEREF _Toc448400809 \h </w:instrText>
        </w:r>
        <w:r>
          <w:rPr>
            <w:webHidden/>
          </w:rPr>
        </w:r>
        <w:r>
          <w:rPr>
            <w:webHidden/>
          </w:rPr>
          <w:fldChar w:fldCharType="separate"/>
        </w:r>
        <w:r w:rsidR="0084474F">
          <w:rPr>
            <w:webHidden/>
          </w:rPr>
          <w:t>207</w:t>
        </w:r>
        <w:r>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400810" w:history="1">
        <w:r w:rsidR="002C39A3" w:rsidRPr="009701BD">
          <w:rPr>
            <w:rStyle w:val="Hyperlink"/>
          </w:rPr>
          <w:t>Note 2:</w:t>
        </w:r>
        <w:r w:rsidR="002C39A3">
          <w:rPr>
            <w:rFonts w:asciiTheme="minorHAnsi" w:eastAsiaTheme="minorEastAsia" w:hAnsiTheme="minorHAnsi" w:cstheme="minorBidi"/>
            <w:sz w:val="22"/>
            <w:szCs w:val="22"/>
            <w:lang w:eastAsia="en-AU"/>
          </w:rPr>
          <w:tab/>
        </w:r>
        <w:r w:rsidR="002C39A3" w:rsidRPr="009701BD">
          <w:rPr>
            <w:rStyle w:val="Hyperlink"/>
          </w:rPr>
          <w:t>Taxation</w:t>
        </w:r>
        <w:r w:rsidR="002C39A3">
          <w:rPr>
            <w:webHidden/>
          </w:rPr>
          <w:tab/>
        </w:r>
        <w:r w:rsidR="002C39A3">
          <w:rPr>
            <w:webHidden/>
          </w:rPr>
          <w:fldChar w:fldCharType="begin"/>
        </w:r>
        <w:r w:rsidR="002C39A3">
          <w:rPr>
            <w:webHidden/>
          </w:rPr>
          <w:instrText xml:space="preserve"> PAGEREF _Toc448400810 \h </w:instrText>
        </w:r>
        <w:r w:rsidR="002C39A3">
          <w:rPr>
            <w:webHidden/>
          </w:rPr>
        </w:r>
        <w:r w:rsidR="002C39A3">
          <w:rPr>
            <w:webHidden/>
          </w:rPr>
          <w:fldChar w:fldCharType="separate"/>
        </w:r>
        <w:r w:rsidR="0084474F">
          <w:rPr>
            <w:webHidden/>
          </w:rPr>
          <w:t>209</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400811" w:history="1">
        <w:r w:rsidR="002C39A3" w:rsidRPr="009701BD">
          <w:rPr>
            <w:rStyle w:val="Hyperlink"/>
          </w:rPr>
          <w:t>Note 3:</w:t>
        </w:r>
        <w:r w:rsidR="002C39A3">
          <w:rPr>
            <w:rFonts w:asciiTheme="minorHAnsi" w:eastAsiaTheme="minorEastAsia" w:hAnsiTheme="minorHAnsi" w:cstheme="minorBidi"/>
            <w:sz w:val="22"/>
            <w:szCs w:val="22"/>
            <w:lang w:eastAsia="en-AU"/>
          </w:rPr>
          <w:tab/>
        </w:r>
        <w:r w:rsidR="002C39A3" w:rsidRPr="009701BD">
          <w:rPr>
            <w:rStyle w:val="Hyperlink"/>
          </w:rPr>
          <w:t>Dividends and income tax equivalent and rate equivalent revenue</w:t>
        </w:r>
        <w:r w:rsidR="002C39A3">
          <w:rPr>
            <w:webHidden/>
          </w:rPr>
          <w:tab/>
        </w:r>
        <w:r w:rsidR="002C39A3">
          <w:rPr>
            <w:webHidden/>
          </w:rPr>
          <w:fldChar w:fldCharType="begin"/>
        </w:r>
        <w:r w:rsidR="002C39A3">
          <w:rPr>
            <w:webHidden/>
          </w:rPr>
          <w:instrText xml:space="preserve"> PAGEREF _Toc448400811 \h </w:instrText>
        </w:r>
        <w:r w:rsidR="002C39A3">
          <w:rPr>
            <w:webHidden/>
          </w:rPr>
        </w:r>
        <w:r w:rsidR="002C39A3">
          <w:rPr>
            <w:webHidden/>
          </w:rPr>
          <w:fldChar w:fldCharType="separate"/>
        </w:r>
        <w:r w:rsidR="0084474F">
          <w:rPr>
            <w:webHidden/>
          </w:rPr>
          <w:t>210</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400812" w:history="1">
        <w:r w:rsidR="002C39A3" w:rsidRPr="009701BD">
          <w:rPr>
            <w:rStyle w:val="Hyperlink"/>
          </w:rPr>
          <w:t>Note 4:</w:t>
        </w:r>
        <w:r w:rsidR="002C39A3">
          <w:rPr>
            <w:rFonts w:asciiTheme="minorHAnsi" w:eastAsiaTheme="minorEastAsia" w:hAnsiTheme="minorHAnsi" w:cstheme="minorBidi"/>
            <w:sz w:val="22"/>
            <w:szCs w:val="22"/>
            <w:lang w:eastAsia="en-AU"/>
          </w:rPr>
          <w:tab/>
        </w:r>
        <w:r w:rsidR="002C39A3" w:rsidRPr="009701BD">
          <w:rPr>
            <w:rStyle w:val="Hyperlink"/>
          </w:rPr>
          <w:t>Sales of goods and services</w:t>
        </w:r>
        <w:r w:rsidR="002C39A3">
          <w:rPr>
            <w:webHidden/>
          </w:rPr>
          <w:tab/>
        </w:r>
        <w:r w:rsidR="002C39A3">
          <w:rPr>
            <w:webHidden/>
          </w:rPr>
          <w:fldChar w:fldCharType="begin"/>
        </w:r>
        <w:r w:rsidR="002C39A3">
          <w:rPr>
            <w:webHidden/>
          </w:rPr>
          <w:instrText xml:space="preserve"> PAGEREF _Toc448400812 \h </w:instrText>
        </w:r>
        <w:r w:rsidR="002C39A3">
          <w:rPr>
            <w:webHidden/>
          </w:rPr>
        </w:r>
        <w:r w:rsidR="002C39A3">
          <w:rPr>
            <w:webHidden/>
          </w:rPr>
          <w:fldChar w:fldCharType="separate"/>
        </w:r>
        <w:r w:rsidR="0084474F">
          <w:rPr>
            <w:webHidden/>
          </w:rPr>
          <w:t>211</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400813" w:history="1">
        <w:r w:rsidR="002C39A3" w:rsidRPr="009701BD">
          <w:rPr>
            <w:rStyle w:val="Hyperlink"/>
          </w:rPr>
          <w:t>Note 5:</w:t>
        </w:r>
        <w:r w:rsidR="002C39A3">
          <w:rPr>
            <w:rFonts w:asciiTheme="minorHAnsi" w:eastAsiaTheme="minorEastAsia" w:hAnsiTheme="minorHAnsi" w:cstheme="minorBidi"/>
            <w:sz w:val="22"/>
            <w:szCs w:val="22"/>
            <w:lang w:eastAsia="en-AU"/>
          </w:rPr>
          <w:tab/>
        </w:r>
        <w:r w:rsidR="002C39A3" w:rsidRPr="009701BD">
          <w:rPr>
            <w:rStyle w:val="Hyperlink"/>
          </w:rPr>
          <w:t>Grant revenue</w:t>
        </w:r>
        <w:r w:rsidR="002C39A3">
          <w:rPr>
            <w:webHidden/>
          </w:rPr>
          <w:tab/>
        </w:r>
        <w:r w:rsidR="002C39A3">
          <w:rPr>
            <w:webHidden/>
          </w:rPr>
          <w:fldChar w:fldCharType="begin"/>
        </w:r>
        <w:r w:rsidR="002C39A3">
          <w:rPr>
            <w:webHidden/>
          </w:rPr>
          <w:instrText xml:space="preserve"> PAGEREF _Toc448400813 \h </w:instrText>
        </w:r>
        <w:r w:rsidR="002C39A3">
          <w:rPr>
            <w:webHidden/>
          </w:rPr>
        </w:r>
        <w:r w:rsidR="002C39A3">
          <w:rPr>
            <w:webHidden/>
          </w:rPr>
          <w:fldChar w:fldCharType="separate"/>
        </w:r>
        <w:r w:rsidR="0084474F">
          <w:rPr>
            <w:webHidden/>
          </w:rPr>
          <w:t>211</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400814" w:history="1">
        <w:r w:rsidR="002C39A3" w:rsidRPr="009701BD">
          <w:rPr>
            <w:rStyle w:val="Hyperlink"/>
          </w:rPr>
          <w:t>Note 6:</w:t>
        </w:r>
        <w:r w:rsidR="002C39A3">
          <w:rPr>
            <w:rFonts w:asciiTheme="minorHAnsi" w:eastAsiaTheme="minorEastAsia" w:hAnsiTheme="minorHAnsi" w:cstheme="minorBidi"/>
            <w:sz w:val="22"/>
            <w:szCs w:val="22"/>
            <w:lang w:eastAsia="en-AU"/>
          </w:rPr>
          <w:tab/>
        </w:r>
        <w:r w:rsidR="002C39A3" w:rsidRPr="009701BD">
          <w:rPr>
            <w:rStyle w:val="Hyperlink"/>
          </w:rPr>
          <w:t>Other revenue</w:t>
        </w:r>
        <w:r w:rsidR="002C39A3">
          <w:rPr>
            <w:webHidden/>
          </w:rPr>
          <w:tab/>
        </w:r>
        <w:r w:rsidR="002C39A3">
          <w:rPr>
            <w:webHidden/>
          </w:rPr>
          <w:fldChar w:fldCharType="begin"/>
        </w:r>
        <w:r w:rsidR="002C39A3">
          <w:rPr>
            <w:webHidden/>
          </w:rPr>
          <w:instrText xml:space="preserve"> PAGEREF _Toc448400814 \h </w:instrText>
        </w:r>
        <w:r w:rsidR="002C39A3">
          <w:rPr>
            <w:webHidden/>
          </w:rPr>
        </w:r>
        <w:r w:rsidR="002C39A3">
          <w:rPr>
            <w:webHidden/>
          </w:rPr>
          <w:fldChar w:fldCharType="separate"/>
        </w:r>
        <w:r w:rsidR="0084474F">
          <w:rPr>
            <w:webHidden/>
          </w:rPr>
          <w:t>211</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400815" w:history="1">
        <w:r w:rsidR="002C39A3" w:rsidRPr="009701BD">
          <w:rPr>
            <w:rStyle w:val="Hyperlink"/>
          </w:rPr>
          <w:t>Note 7:</w:t>
        </w:r>
        <w:r w:rsidR="002C39A3">
          <w:rPr>
            <w:rFonts w:asciiTheme="minorHAnsi" w:eastAsiaTheme="minorEastAsia" w:hAnsiTheme="minorHAnsi" w:cstheme="minorBidi"/>
            <w:sz w:val="22"/>
            <w:szCs w:val="22"/>
            <w:lang w:eastAsia="en-AU"/>
          </w:rPr>
          <w:tab/>
        </w:r>
        <w:r w:rsidR="002C39A3" w:rsidRPr="009701BD">
          <w:rPr>
            <w:rStyle w:val="Hyperlink"/>
          </w:rPr>
          <w:t>Superannuation</w:t>
        </w:r>
        <w:r w:rsidR="002C39A3">
          <w:rPr>
            <w:webHidden/>
          </w:rPr>
          <w:tab/>
        </w:r>
        <w:r w:rsidR="002C39A3">
          <w:rPr>
            <w:webHidden/>
          </w:rPr>
          <w:fldChar w:fldCharType="begin"/>
        </w:r>
        <w:r w:rsidR="002C39A3">
          <w:rPr>
            <w:webHidden/>
          </w:rPr>
          <w:instrText xml:space="preserve"> PAGEREF _Toc448400815 \h </w:instrText>
        </w:r>
        <w:r w:rsidR="002C39A3">
          <w:rPr>
            <w:webHidden/>
          </w:rPr>
        </w:r>
        <w:r w:rsidR="002C39A3">
          <w:rPr>
            <w:webHidden/>
          </w:rPr>
          <w:fldChar w:fldCharType="separate"/>
        </w:r>
        <w:r w:rsidR="0084474F">
          <w:rPr>
            <w:webHidden/>
          </w:rPr>
          <w:t>212</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400816" w:history="1">
        <w:r w:rsidR="002C39A3" w:rsidRPr="009701BD">
          <w:rPr>
            <w:rStyle w:val="Hyperlink"/>
          </w:rPr>
          <w:t>Note 8:</w:t>
        </w:r>
        <w:r w:rsidR="002C39A3">
          <w:rPr>
            <w:rFonts w:asciiTheme="minorHAnsi" w:eastAsiaTheme="minorEastAsia" w:hAnsiTheme="minorHAnsi" w:cstheme="minorBidi"/>
            <w:sz w:val="22"/>
            <w:szCs w:val="22"/>
            <w:lang w:eastAsia="en-AU"/>
          </w:rPr>
          <w:tab/>
        </w:r>
        <w:r w:rsidR="002C39A3" w:rsidRPr="009701BD">
          <w:rPr>
            <w:rStyle w:val="Hyperlink"/>
          </w:rPr>
          <w:t>Depreciation</w:t>
        </w:r>
        <w:r w:rsidR="002C39A3">
          <w:rPr>
            <w:webHidden/>
          </w:rPr>
          <w:tab/>
        </w:r>
        <w:r w:rsidR="002C39A3">
          <w:rPr>
            <w:webHidden/>
          </w:rPr>
          <w:fldChar w:fldCharType="begin"/>
        </w:r>
        <w:r w:rsidR="002C39A3">
          <w:rPr>
            <w:webHidden/>
          </w:rPr>
          <w:instrText xml:space="preserve"> PAGEREF _Toc448400816 \h </w:instrText>
        </w:r>
        <w:r w:rsidR="002C39A3">
          <w:rPr>
            <w:webHidden/>
          </w:rPr>
        </w:r>
        <w:r w:rsidR="002C39A3">
          <w:rPr>
            <w:webHidden/>
          </w:rPr>
          <w:fldChar w:fldCharType="separate"/>
        </w:r>
        <w:r w:rsidR="0084474F">
          <w:rPr>
            <w:webHidden/>
          </w:rPr>
          <w:t>213</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400817" w:history="1">
        <w:r w:rsidR="002C39A3" w:rsidRPr="009701BD">
          <w:rPr>
            <w:rStyle w:val="Hyperlink"/>
          </w:rPr>
          <w:t>Note 9:</w:t>
        </w:r>
        <w:r w:rsidR="002C39A3">
          <w:rPr>
            <w:rFonts w:asciiTheme="minorHAnsi" w:eastAsiaTheme="minorEastAsia" w:hAnsiTheme="minorHAnsi" w:cstheme="minorBidi"/>
            <w:sz w:val="22"/>
            <w:szCs w:val="22"/>
            <w:lang w:eastAsia="en-AU"/>
          </w:rPr>
          <w:tab/>
        </w:r>
        <w:r w:rsidR="002C39A3" w:rsidRPr="009701BD">
          <w:rPr>
            <w:rStyle w:val="Hyperlink"/>
          </w:rPr>
          <w:t>Total expenses by government purpose and by department</w:t>
        </w:r>
        <w:r w:rsidR="002C39A3">
          <w:rPr>
            <w:webHidden/>
          </w:rPr>
          <w:tab/>
        </w:r>
        <w:r w:rsidR="002C39A3">
          <w:rPr>
            <w:webHidden/>
          </w:rPr>
          <w:fldChar w:fldCharType="begin"/>
        </w:r>
        <w:r w:rsidR="002C39A3">
          <w:rPr>
            <w:webHidden/>
          </w:rPr>
          <w:instrText xml:space="preserve"> PAGEREF _Toc448400817 \h </w:instrText>
        </w:r>
        <w:r w:rsidR="002C39A3">
          <w:rPr>
            <w:webHidden/>
          </w:rPr>
        </w:r>
        <w:r w:rsidR="002C39A3">
          <w:rPr>
            <w:webHidden/>
          </w:rPr>
          <w:fldChar w:fldCharType="separate"/>
        </w:r>
        <w:r w:rsidR="0084474F">
          <w:rPr>
            <w:webHidden/>
          </w:rPr>
          <w:t>213</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400818" w:history="1">
        <w:r w:rsidR="002C39A3" w:rsidRPr="009701BD">
          <w:rPr>
            <w:rStyle w:val="Hyperlink"/>
          </w:rPr>
          <w:t>Note 10:</w:t>
        </w:r>
        <w:r w:rsidR="002C39A3">
          <w:rPr>
            <w:rFonts w:asciiTheme="minorHAnsi" w:eastAsiaTheme="minorEastAsia" w:hAnsiTheme="minorHAnsi" w:cstheme="minorBidi"/>
            <w:sz w:val="22"/>
            <w:szCs w:val="22"/>
            <w:lang w:eastAsia="en-AU"/>
          </w:rPr>
          <w:tab/>
        </w:r>
        <w:r w:rsidR="002C39A3" w:rsidRPr="009701BD">
          <w:rPr>
            <w:rStyle w:val="Hyperlink"/>
          </w:rPr>
          <w:t>Other gains/(losses) from other economic flows</w:t>
        </w:r>
        <w:r w:rsidR="002C39A3">
          <w:rPr>
            <w:webHidden/>
          </w:rPr>
          <w:tab/>
        </w:r>
        <w:r w:rsidR="002C39A3">
          <w:rPr>
            <w:webHidden/>
          </w:rPr>
          <w:fldChar w:fldCharType="begin"/>
        </w:r>
        <w:r w:rsidR="002C39A3">
          <w:rPr>
            <w:webHidden/>
          </w:rPr>
          <w:instrText xml:space="preserve"> PAGEREF _Toc448400818 \h </w:instrText>
        </w:r>
        <w:r w:rsidR="002C39A3">
          <w:rPr>
            <w:webHidden/>
          </w:rPr>
        </w:r>
        <w:r w:rsidR="002C39A3">
          <w:rPr>
            <w:webHidden/>
          </w:rPr>
          <w:fldChar w:fldCharType="separate"/>
        </w:r>
        <w:r w:rsidR="0084474F">
          <w:rPr>
            <w:webHidden/>
          </w:rPr>
          <w:t>215</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400819" w:history="1">
        <w:r w:rsidR="002C39A3" w:rsidRPr="009701BD">
          <w:rPr>
            <w:rStyle w:val="Hyperlink"/>
          </w:rPr>
          <w:t>Note 11:</w:t>
        </w:r>
        <w:r w:rsidR="002C39A3">
          <w:rPr>
            <w:rFonts w:asciiTheme="minorHAnsi" w:eastAsiaTheme="minorEastAsia" w:hAnsiTheme="minorHAnsi" w:cstheme="minorBidi"/>
            <w:sz w:val="22"/>
            <w:szCs w:val="22"/>
            <w:lang w:eastAsia="en-AU"/>
          </w:rPr>
          <w:tab/>
        </w:r>
        <w:r w:rsidR="002C39A3" w:rsidRPr="009701BD">
          <w:rPr>
            <w:rStyle w:val="Hyperlink"/>
          </w:rPr>
          <w:t>Net acquisition of non</w:t>
        </w:r>
        <w:r w:rsidR="002C39A3" w:rsidRPr="009701BD">
          <w:rPr>
            <w:rStyle w:val="Hyperlink"/>
          </w:rPr>
          <w:noBreakHyphen/>
          <w:t>financial assets from transactions</w:t>
        </w:r>
        <w:r w:rsidR="002C39A3">
          <w:rPr>
            <w:webHidden/>
          </w:rPr>
          <w:tab/>
        </w:r>
        <w:r w:rsidR="002C39A3">
          <w:rPr>
            <w:webHidden/>
          </w:rPr>
          <w:fldChar w:fldCharType="begin"/>
        </w:r>
        <w:r w:rsidR="002C39A3">
          <w:rPr>
            <w:webHidden/>
          </w:rPr>
          <w:instrText xml:space="preserve"> PAGEREF _Toc448400819 \h </w:instrText>
        </w:r>
        <w:r w:rsidR="002C39A3">
          <w:rPr>
            <w:webHidden/>
          </w:rPr>
        </w:r>
        <w:r w:rsidR="002C39A3">
          <w:rPr>
            <w:webHidden/>
          </w:rPr>
          <w:fldChar w:fldCharType="separate"/>
        </w:r>
        <w:r w:rsidR="0084474F">
          <w:rPr>
            <w:webHidden/>
          </w:rPr>
          <w:t>215</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400820" w:history="1">
        <w:r w:rsidR="002C39A3" w:rsidRPr="009701BD">
          <w:rPr>
            <w:rStyle w:val="Hyperlink"/>
          </w:rPr>
          <w:t>Note 12:</w:t>
        </w:r>
        <w:r w:rsidR="002C39A3">
          <w:rPr>
            <w:rFonts w:asciiTheme="minorHAnsi" w:eastAsiaTheme="minorEastAsia" w:hAnsiTheme="minorHAnsi" w:cstheme="minorBidi"/>
            <w:sz w:val="22"/>
            <w:szCs w:val="22"/>
            <w:lang w:eastAsia="en-AU"/>
          </w:rPr>
          <w:tab/>
        </w:r>
        <w:r w:rsidR="002C39A3" w:rsidRPr="009701BD">
          <w:rPr>
            <w:rStyle w:val="Hyperlink"/>
          </w:rPr>
          <w:t>Receivables</w:t>
        </w:r>
        <w:r w:rsidR="002C39A3">
          <w:rPr>
            <w:webHidden/>
          </w:rPr>
          <w:tab/>
        </w:r>
        <w:r w:rsidR="002C39A3">
          <w:rPr>
            <w:webHidden/>
          </w:rPr>
          <w:fldChar w:fldCharType="begin"/>
        </w:r>
        <w:r w:rsidR="002C39A3">
          <w:rPr>
            <w:webHidden/>
          </w:rPr>
          <w:instrText xml:space="preserve"> PAGEREF _Toc448400820 \h </w:instrText>
        </w:r>
        <w:r w:rsidR="002C39A3">
          <w:rPr>
            <w:webHidden/>
          </w:rPr>
        </w:r>
        <w:r w:rsidR="002C39A3">
          <w:rPr>
            <w:webHidden/>
          </w:rPr>
          <w:fldChar w:fldCharType="separate"/>
        </w:r>
        <w:r w:rsidR="0084474F">
          <w:rPr>
            <w:webHidden/>
          </w:rPr>
          <w:t>216</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400821" w:history="1">
        <w:r w:rsidR="002C39A3" w:rsidRPr="009701BD">
          <w:rPr>
            <w:rStyle w:val="Hyperlink"/>
          </w:rPr>
          <w:t>Note 13:</w:t>
        </w:r>
        <w:r w:rsidR="002C39A3">
          <w:rPr>
            <w:rFonts w:asciiTheme="minorHAnsi" w:eastAsiaTheme="minorEastAsia" w:hAnsiTheme="minorHAnsi" w:cstheme="minorBidi"/>
            <w:sz w:val="22"/>
            <w:szCs w:val="22"/>
            <w:lang w:eastAsia="en-AU"/>
          </w:rPr>
          <w:tab/>
        </w:r>
        <w:r w:rsidR="002C39A3" w:rsidRPr="009701BD">
          <w:rPr>
            <w:rStyle w:val="Hyperlink"/>
          </w:rPr>
          <w:t>Property, plant and equipment</w:t>
        </w:r>
        <w:r w:rsidR="002C39A3">
          <w:rPr>
            <w:webHidden/>
          </w:rPr>
          <w:tab/>
        </w:r>
        <w:r w:rsidR="002C39A3">
          <w:rPr>
            <w:webHidden/>
          </w:rPr>
          <w:fldChar w:fldCharType="begin"/>
        </w:r>
        <w:r w:rsidR="002C39A3">
          <w:rPr>
            <w:webHidden/>
          </w:rPr>
          <w:instrText xml:space="preserve"> PAGEREF _Toc448400821 \h </w:instrText>
        </w:r>
        <w:r w:rsidR="002C39A3">
          <w:rPr>
            <w:webHidden/>
          </w:rPr>
        </w:r>
        <w:r w:rsidR="002C39A3">
          <w:rPr>
            <w:webHidden/>
          </w:rPr>
          <w:fldChar w:fldCharType="separate"/>
        </w:r>
        <w:r w:rsidR="0084474F">
          <w:rPr>
            <w:webHidden/>
          </w:rPr>
          <w:t>217</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400822" w:history="1">
        <w:r w:rsidR="002C39A3" w:rsidRPr="009701BD">
          <w:rPr>
            <w:rStyle w:val="Hyperlink"/>
          </w:rPr>
          <w:t>Note 14:</w:t>
        </w:r>
        <w:r w:rsidR="002C39A3">
          <w:rPr>
            <w:rFonts w:asciiTheme="minorHAnsi" w:eastAsiaTheme="minorEastAsia" w:hAnsiTheme="minorHAnsi" w:cstheme="minorBidi"/>
            <w:sz w:val="22"/>
            <w:szCs w:val="22"/>
            <w:lang w:eastAsia="en-AU"/>
          </w:rPr>
          <w:tab/>
        </w:r>
        <w:r w:rsidR="002C39A3" w:rsidRPr="009701BD">
          <w:rPr>
            <w:rStyle w:val="Hyperlink"/>
          </w:rPr>
          <w:t>Other non</w:t>
        </w:r>
        <w:r w:rsidR="002C39A3" w:rsidRPr="009701BD">
          <w:rPr>
            <w:rStyle w:val="Hyperlink"/>
          </w:rPr>
          <w:noBreakHyphen/>
          <w:t>financial assets</w:t>
        </w:r>
        <w:r w:rsidR="002C39A3">
          <w:rPr>
            <w:webHidden/>
          </w:rPr>
          <w:tab/>
        </w:r>
        <w:r w:rsidR="002C39A3">
          <w:rPr>
            <w:webHidden/>
          </w:rPr>
          <w:fldChar w:fldCharType="begin"/>
        </w:r>
        <w:r w:rsidR="002C39A3">
          <w:rPr>
            <w:webHidden/>
          </w:rPr>
          <w:instrText xml:space="preserve"> PAGEREF _Toc448400822 \h </w:instrText>
        </w:r>
        <w:r w:rsidR="002C39A3">
          <w:rPr>
            <w:webHidden/>
          </w:rPr>
        </w:r>
        <w:r w:rsidR="002C39A3">
          <w:rPr>
            <w:webHidden/>
          </w:rPr>
          <w:fldChar w:fldCharType="separate"/>
        </w:r>
        <w:r w:rsidR="0084474F">
          <w:rPr>
            <w:webHidden/>
          </w:rPr>
          <w:t>219</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400823" w:history="1">
        <w:r w:rsidR="002C39A3" w:rsidRPr="009701BD">
          <w:rPr>
            <w:rStyle w:val="Hyperlink"/>
          </w:rPr>
          <w:t>Note 15:</w:t>
        </w:r>
        <w:r w:rsidR="002C39A3">
          <w:rPr>
            <w:rFonts w:asciiTheme="minorHAnsi" w:eastAsiaTheme="minorEastAsia" w:hAnsiTheme="minorHAnsi" w:cstheme="minorBidi"/>
            <w:sz w:val="22"/>
            <w:szCs w:val="22"/>
            <w:lang w:eastAsia="en-AU"/>
          </w:rPr>
          <w:tab/>
        </w:r>
        <w:r w:rsidR="002C39A3" w:rsidRPr="009701BD">
          <w:rPr>
            <w:rStyle w:val="Hyperlink"/>
          </w:rPr>
          <w:t>Payables</w:t>
        </w:r>
        <w:r w:rsidR="002C39A3">
          <w:rPr>
            <w:webHidden/>
          </w:rPr>
          <w:tab/>
        </w:r>
        <w:r w:rsidR="002C39A3">
          <w:rPr>
            <w:webHidden/>
          </w:rPr>
          <w:fldChar w:fldCharType="begin"/>
        </w:r>
        <w:r w:rsidR="002C39A3">
          <w:rPr>
            <w:webHidden/>
          </w:rPr>
          <w:instrText xml:space="preserve"> PAGEREF _Toc448400823 \h </w:instrText>
        </w:r>
        <w:r w:rsidR="002C39A3">
          <w:rPr>
            <w:webHidden/>
          </w:rPr>
        </w:r>
        <w:r w:rsidR="002C39A3">
          <w:rPr>
            <w:webHidden/>
          </w:rPr>
          <w:fldChar w:fldCharType="separate"/>
        </w:r>
        <w:r w:rsidR="0084474F">
          <w:rPr>
            <w:webHidden/>
          </w:rPr>
          <w:t>219</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400824" w:history="1">
        <w:r w:rsidR="002C39A3" w:rsidRPr="009701BD">
          <w:rPr>
            <w:rStyle w:val="Hyperlink"/>
          </w:rPr>
          <w:t>Note 16:</w:t>
        </w:r>
        <w:r w:rsidR="002C39A3">
          <w:rPr>
            <w:rFonts w:asciiTheme="minorHAnsi" w:eastAsiaTheme="minorEastAsia" w:hAnsiTheme="minorHAnsi" w:cstheme="minorBidi"/>
            <w:sz w:val="22"/>
            <w:szCs w:val="22"/>
            <w:lang w:eastAsia="en-AU"/>
          </w:rPr>
          <w:tab/>
        </w:r>
        <w:r w:rsidR="002C39A3" w:rsidRPr="009701BD">
          <w:rPr>
            <w:rStyle w:val="Hyperlink"/>
          </w:rPr>
          <w:t>Employee benefits</w:t>
        </w:r>
        <w:r w:rsidR="002C39A3">
          <w:rPr>
            <w:webHidden/>
          </w:rPr>
          <w:tab/>
        </w:r>
        <w:r w:rsidR="002C39A3">
          <w:rPr>
            <w:webHidden/>
          </w:rPr>
          <w:fldChar w:fldCharType="begin"/>
        </w:r>
        <w:r w:rsidR="002C39A3">
          <w:rPr>
            <w:webHidden/>
          </w:rPr>
          <w:instrText xml:space="preserve"> PAGEREF _Toc448400824 \h </w:instrText>
        </w:r>
        <w:r w:rsidR="002C39A3">
          <w:rPr>
            <w:webHidden/>
          </w:rPr>
        </w:r>
        <w:r w:rsidR="002C39A3">
          <w:rPr>
            <w:webHidden/>
          </w:rPr>
          <w:fldChar w:fldCharType="separate"/>
        </w:r>
        <w:r w:rsidR="0084474F">
          <w:rPr>
            <w:webHidden/>
          </w:rPr>
          <w:t>220</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400825" w:history="1">
        <w:r w:rsidR="002C39A3" w:rsidRPr="009701BD">
          <w:rPr>
            <w:rStyle w:val="Hyperlink"/>
          </w:rPr>
          <w:t>Note 17:</w:t>
        </w:r>
        <w:r w:rsidR="002C39A3">
          <w:rPr>
            <w:rFonts w:asciiTheme="minorHAnsi" w:eastAsiaTheme="minorEastAsia" w:hAnsiTheme="minorHAnsi" w:cstheme="minorBidi"/>
            <w:sz w:val="22"/>
            <w:szCs w:val="22"/>
            <w:lang w:eastAsia="en-AU"/>
          </w:rPr>
          <w:tab/>
        </w:r>
        <w:r w:rsidR="002C39A3" w:rsidRPr="009701BD">
          <w:rPr>
            <w:rStyle w:val="Hyperlink"/>
          </w:rPr>
          <w:t>Reconciliation of cash and cash equivalents</w:t>
        </w:r>
        <w:r w:rsidR="002C39A3">
          <w:rPr>
            <w:webHidden/>
          </w:rPr>
          <w:tab/>
        </w:r>
        <w:r w:rsidR="002C39A3">
          <w:rPr>
            <w:webHidden/>
          </w:rPr>
          <w:fldChar w:fldCharType="begin"/>
        </w:r>
        <w:r w:rsidR="002C39A3">
          <w:rPr>
            <w:webHidden/>
          </w:rPr>
          <w:instrText xml:space="preserve"> PAGEREF _Toc448400825 \h </w:instrText>
        </w:r>
        <w:r w:rsidR="002C39A3">
          <w:rPr>
            <w:webHidden/>
          </w:rPr>
        </w:r>
        <w:r w:rsidR="002C39A3">
          <w:rPr>
            <w:webHidden/>
          </w:rPr>
          <w:fldChar w:fldCharType="separate"/>
        </w:r>
        <w:r w:rsidR="0084474F">
          <w:rPr>
            <w:webHidden/>
          </w:rPr>
          <w:t>220</w:t>
        </w:r>
        <w:r w:rsidR="002C39A3">
          <w:rPr>
            <w:webHidden/>
          </w:rPr>
          <w:fldChar w:fldCharType="end"/>
        </w:r>
      </w:hyperlink>
    </w:p>
    <w:p w:rsidR="002C39A3" w:rsidRDefault="00A854D5">
      <w:pPr>
        <w:pStyle w:val="TOC4"/>
        <w:rPr>
          <w:rFonts w:asciiTheme="minorHAnsi" w:eastAsiaTheme="minorEastAsia" w:hAnsiTheme="minorHAnsi" w:cstheme="minorBidi"/>
          <w:sz w:val="22"/>
          <w:szCs w:val="22"/>
          <w:lang w:eastAsia="en-AU"/>
        </w:rPr>
      </w:pPr>
      <w:hyperlink w:anchor="_Toc448400826" w:history="1">
        <w:r w:rsidR="002C39A3" w:rsidRPr="009701BD">
          <w:rPr>
            <w:rStyle w:val="Hyperlink"/>
          </w:rPr>
          <w:t xml:space="preserve">Note 18: </w:t>
        </w:r>
        <w:r w:rsidR="002C39A3">
          <w:rPr>
            <w:rFonts w:asciiTheme="minorHAnsi" w:eastAsiaTheme="minorEastAsia" w:hAnsiTheme="minorHAnsi" w:cstheme="minorBidi"/>
            <w:sz w:val="22"/>
            <w:szCs w:val="22"/>
            <w:lang w:eastAsia="en-AU"/>
          </w:rPr>
          <w:tab/>
        </w:r>
        <w:r w:rsidR="002C39A3" w:rsidRPr="009701BD">
          <w:rPr>
            <w:rStyle w:val="Hyperlink"/>
          </w:rPr>
          <w:t>Public account</w:t>
        </w:r>
        <w:r w:rsidR="002C39A3">
          <w:rPr>
            <w:webHidden/>
          </w:rPr>
          <w:tab/>
        </w:r>
        <w:r w:rsidR="002C39A3">
          <w:rPr>
            <w:webHidden/>
          </w:rPr>
          <w:fldChar w:fldCharType="begin"/>
        </w:r>
        <w:r w:rsidR="002C39A3">
          <w:rPr>
            <w:webHidden/>
          </w:rPr>
          <w:instrText xml:space="preserve"> PAGEREF _Toc448400826 \h </w:instrText>
        </w:r>
        <w:r w:rsidR="002C39A3">
          <w:rPr>
            <w:webHidden/>
          </w:rPr>
        </w:r>
        <w:r w:rsidR="002C39A3">
          <w:rPr>
            <w:webHidden/>
          </w:rPr>
          <w:fldChar w:fldCharType="separate"/>
        </w:r>
        <w:r w:rsidR="0084474F">
          <w:rPr>
            <w:webHidden/>
          </w:rPr>
          <w:t>221</w:t>
        </w:r>
        <w:r w:rsidR="002C39A3">
          <w:rPr>
            <w:webHidden/>
          </w:rPr>
          <w:fldChar w:fldCharType="end"/>
        </w:r>
      </w:hyperlink>
    </w:p>
    <w:p w:rsidR="002C39A3" w:rsidRDefault="002C39A3" w:rsidP="00361FA9">
      <w:pPr>
        <w:spacing w:after="0"/>
      </w:pPr>
      <w:r w:rsidRPr="0040125C">
        <w:fldChar w:fldCharType="end"/>
      </w:r>
    </w:p>
    <w:p w:rsidR="002C39A3" w:rsidRDefault="002C39A3">
      <w:pPr>
        <w:spacing w:after="0"/>
        <w:rPr>
          <w:rFonts w:ascii="Calibri" w:hAnsi="Calibri"/>
          <w:b/>
          <w:caps/>
          <w:sz w:val="26"/>
          <w:szCs w:val="22"/>
        </w:rPr>
      </w:pPr>
      <w:r>
        <w:br w:type="page"/>
      </w:r>
    </w:p>
    <w:p w:rsidR="002C39A3" w:rsidRDefault="002C39A3" w:rsidP="00361FA9">
      <w:pPr>
        <w:pStyle w:val="Heading2Notes"/>
      </w:pPr>
      <w:bookmarkStart w:id="65" w:name="_Toc448400809"/>
      <w:r>
        <w:t>Note 1:</w:t>
      </w:r>
      <w:r>
        <w:tab/>
        <w:t>Statement of significant accounting policies</w:t>
      </w:r>
      <w:bookmarkEnd w:id="65"/>
    </w:p>
    <w:p w:rsidR="002C39A3" w:rsidRPr="00F10B6E" w:rsidRDefault="002C39A3" w:rsidP="00361FA9">
      <w:r w:rsidRPr="00F10B6E">
        <w:t>This March Quarter</w:t>
      </w:r>
      <w:r>
        <w:t>ly</w:t>
      </w:r>
      <w:r w:rsidRPr="00F10B6E">
        <w:t xml:space="preserve"> Financial Report presents the unaudited consolidated financial statements </w:t>
      </w:r>
      <w:r>
        <w:t>for</w:t>
      </w:r>
      <w:r w:rsidRPr="00F10B6E">
        <w:t xml:space="preserve"> the general government sector for the</w:t>
      </w:r>
      <w:r>
        <w:t xml:space="preserve"> nine months ended 31 March 2016</w:t>
      </w:r>
      <w:r w:rsidRPr="00F10B6E">
        <w:t>.</w:t>
      </w:r>
    </w:p>
    <w:p w:rsidR="002C39A3" w:rsidRPr="00F10B6E" w:rsidRDefault="002C39A3" w:rsidP="00361FA9">
      <w:r w:rsidRPr="00407956">
        <w:t xml:space="preserve">The accounting policies applied are consistent with those applied for the financial statements published in the </w:t>
      </w:r>
      <w:r w:rsidRPr="00FE56BB">
        <w:rPr>
          <w:i/>
        </w:rPr>
        <w:t>2014-15 Financial Report</w:t>
      </w:r>
      <w:r w:rsidRPr="00407956">
        <w:t xml:space="preserve"> for the State of Victoria</w:t>
      </w:r>
      <w:r>
        <w:t>.</w:t>
      </w:r>
      <w:r w:rsidRPr="00407956">
        <w:t xml:space="preserve"> </w:t>
      </w:r>
      <w:r w:rsidRPr="002C1495">
        <w:t xml:space="preserve">Because this quarterly financial report does not include all the notes normally included with the annual financial report (AFR), this report should be read in conjunction with the </w:t>
      </w:r>
      <w:r w:rsidRPr="002C1495">
        <w:rPr>
          <w:i/>
          <w:iCs/>
        </w:rPr>
        <w:t>2014</w:t>
      </w:r>
      <w:r w:rsidRPr="002C1495">
        <w:rPr>
          <w:i/>
          <w:iCs/>
        </w:rPr>
        <w:noBreakHyphen/>
        <w:t xml:space="preserve">15 Financial Report, </w:t>
      </w:r>
      <w:r w:rsidRPr="002C1495">
        <w:rPr>
          <w:iCs/>
        </w:rPr>
        <w:t xml:space="preserve">and the </w:t>
      </w:r>
      <w:r w:rsidRPr="002C1495">
        <w:rPr>
          <w:i/>
          <w:iCs/>
        </w:rPr>
        <w:t>2015-16</w:t>
      </w:r>
      <w:r w:rsidRPr="002C1495">
        <w:rPr>
          <w:iCs/>
        </w:rPr>
        <w:t xml:space="preserve"> </w:t>
      </w:r>
      <w:r w:rsidRPr="002C1495">
        <w:rPr>
          <w:i/>
          <w:iCs/>
        </w:rPr>
        <w:t>Mid</w:t>
      </w:r>
      <w:r w:rsidRPr="002C1495">
        <w:rPr>
          <w:i/>
          <w:iCs/>
        </w:rPr>
        <w:noBreakHyphen/>
        <w:t>Year Financial Report.</w:t>
      </w:r>
    </w:p>
    <w:p w:rsidR="002C39A3" w:rsidRPr="00F10B6E" w:rsidRDefault="002C39A3" w:rsidP="00361FA9">
      <w:pPr>
        <w:pStyle w:val="Heading3Numbering"/>
        <w:numPr>
          <w:ilvl w:val="0"/>
          <w:numId w:val="12"/>
        </w:numPr>
      </w:pPr>
      <w:r>
        <w:t>Statement of compliance</w:t>
      </w:r>
    </w:p>
    <w:p w:rsidR="002C39A3" w:rsidRPr="00F10B6E" w:rsidRDefault="002C39A3" w:rsidP="00361FA9">
      <w:r w:rsidRPr="00F10B6E">
        <w:t xml:space="preserve">These financial statements have been prepared in accordance with </w:t>
      </w:r>
      <w:r>
        <w:t xml:space="preserve">section 26 of </w:t>
      </w:r>
      <w:r w:rsidRPr="00F10B6E">
        <w:t xml:space="preserve">the </w:t>
      </w:r>
      <w:r w:rsidRPr="00F10B6E">
        <w:rPr>
          <w:i/>
          <w:iCs/>
        </w:rPr>
        <w:t xml:space="preserve">Financial Management Act 1994, </w:t>
      </w:r>
      <w:r w:rsidRPr="00F10B6E">
        <w:t xml:space="preserve">having regard to the recognition and measurement principles of the applicable Australian Accounting Standards (AASs), which include Interpretations issued by the Australian Accounting Standards Board (AASB). The financial statements are also presented in a manner consistent with the requirements of AASB 1049 </w:t>
      </w:r>
      <w:r w:rsidRPr="00F10B6E">
        <w:rPr>
          <w:i/>
          <w:iCs/>
        </w:rPr>
        <w:t>Whole of Government and General Government Sector Financial Reporting</w:t>
      </w:r>
      <w:r w:rsidRPr="00F10B6E">
        <w:t>.</w:t>
      </w:r>
    </w:p>
    <w:p w:rsidR="002C39A3" w:rsidRPr="00F10B6E" w:rsidRDefault="002C39A3" w:rsidP="00361FA9">
      <w:r w:rsidRPr="00F10B6E">
        <w:t>Where applicable, those paragraphs of AASs applicable to not</w:t>
      </w:r>
      <w:r w:rsidRPr="00F10B6E">
        <w:noBreakHyphen/>
        <w:t>for</w:t>
      </w:r>
      <w:r w:rsidRPr="00F10B6E">
        <w:noBreakHyphen/>
        <w:t>profit entities have been applied.</w:t>
      </w:r>
    </w:p>
    <w:p w:rsidR="002C39A3" w:rsidRPr="00F10B6E" w:rsidRDefault="002C39A3" w:rsidP="00361FA9">
      <w:pPr>
        <w:pStyle w:val="Heading3Numbering"/>
      </w:pPr>
      <w:r w:rsidRPr="00F10B6E">
        <w:t>Basis of accounting and measurement</w:t>
      </w:r>
    </w:p>
    <w:p w:rsidR="002C39A3" w:rsidRPr="00F10B6E" w:rsidRDefault="002C39A3" w:rsidP="00361FA9">
      <w:r w:rsidRPr="00F10B6E">
        <w:t xml:space="preserve">The accrual basis of accounting has been </w:t>
      </w:r>
      <w:r>
        <w:t>applied</w:t>
      </w:r>
      <w:r w:rsidRPr="00F10B6E">
        <w:t xml:space="preserve"> in the preparation of </w:t>
      </w:r>
      <w:r>
        <w:t>these</w:t>
      </w:r>
      <w:r w:rsidRPr="00F10B6E">
        <w:t xml:space="preserve"> financial </w:t>
      </w:r>
      <w:r>
        <w:t>statements</w:t>
      </w:r>
      <w:r w:rsidRPr="00F10B6E">
        <w:t xml:space="preserve"> whereby assets, liabilities, equity, revenue and expenses are recognised in the reporting period to which they relate, regardless of when cash </w:t>
      </w:r>
      <w:r>
        <w:t>is</w:t>
      </w:r>
      <w:r w:rsidRPr="00F10B6E">
        <w:t xml:space="preserve"> received or paid.</w:t>
      </w:r>
    </w:p>
    <w:p w:rsidR="002C39A3" w:rsidRPr="00F10B6E" w:rsidRDefault="002C39A3" w:rsidP="00361FA9">
      <w:pPr>
        <w:pStyle w:val="Heading3Numbering"/>
      </w:pPr>
      <w:r>
        <w:t>Reporting</w:t>
      </w:r>
      <w:r w:rsidRPr="00F10B6E">
        <w:t xml:space="preserve"> entity</w:t>
      </w:r>
      <w:r>
        <w:t xml:space="preserve"> </w:t>
      </w:r>
    </w:p>
    <w:p w:rsidR="002C39A3" w:rsidRDefault="002C39A3" w:rsidP="00361FA9">
      <w:r w:rsidRPr="00F10B6E">
        <w:t xml:space="preserve">The general government sector includes all government departments, offices and other government bodies engaged in providing services free of charge or at prices significantly below their cost of production. The </w:t>
      </w:r>
      <w:r>
        <w:t>primary function of</w:t>
      </w:r>
      <w:r w:rsidRPr="00F10B6E">
        <w:t xml:space="preserve"> entities </w:t>
      </w:r>
      <w:r>
        <w:t xml:space="preserve">in the general government sector is to provide public services (outputs), which </w:t>
      </w:r>
      <w:r w:rsidRPr="00F10B6E">
        <w:t xml:space="preserve">are </w:t>
      </w:r>
      <w:r>
        <w:t xml:space="preserve">mainly non-market in nature, for the collective consumption of the community, and involve the transfer or redistribution of revenue that is </w:t>
      </w:r>
      <w:r w:rsidRPr="00F10B6E">
        <w:t xml:space="preserve">financed mainly through taxes </w:t>
      </w:r>
      <w:r>
        <w:t xml:space="preserve">and </w:t>
      </w:r>
      <w:r w:rsidRPr="00F10B6E">
        <w:t>other compulsory levies. The general government sector is not a separate entity but represents a sector within the State of Victoria reporting entity</w:t>
      </w:r>
      <w:r>
        <w:t>, and is reported in accordance with AASB 1049</w:t>
      </w:r>
      <w:r w:rsidRPr="00F10B6E">
        <w:t>.</w:t>
      </w:r>
      <w:r>
        <w:t xml:space="preserve"> Unless otherwise noted, accounting policies applied by the State of Victoria apply equally to the general government sector.</w:t>
      </w:r>
    </w:p>
    <w:p w:rsidR="002C39A3" w:rsidRDefault="002C39A3" w:rsidP="00361FA9">
      <w:pPr>
        <w:spacing w:after="0"/>
      </w:pPr>
      <w:r>
        <w:br w:type="page"/>
      </w:r>
    </w:p>
    <w:p w:rsidR="002C39A3" w:rsidRDefault="002C39A3" w:rsidP="00361FA9">
      <w:pPr>
        <w:pStyle w:val="Heading2NotesContd"/>
        <w:tabs>
          <w:tab w:val="clear" w:pos="1152"/>
          <w:tab w:val="left" w:pos="0"/>
        </w:tabs>
        <w:ind w:left="0" w:firstLine="0"/>
      </w:pPr>
      <w:r>
        <w:t>Note 1:</w:t>
      </w:r>
      <w:r>
        <w:tab/>
        <w:t xml:space="preserve">Statement of significant accounting policies </w:t>
      </w:r>
      <w:r w:rsidRPr="00423972">
        <w:rPr>
          <w:i/>
        </w:rPr>
        <w:t>(continued)</w:t>
      </w:r>
    </w:p>
    <w:p w:rsidR="002C39A3" w:rsidRPr="00F10B6E" w:rsidRDefault="002C39A3" w:rsidP="00361FA9">
      <w:pPr>
        <w:pStyle w:val="Heading3Numbering"/>
      </w:pPr>
      <w:r w:rsidRPr="00F10B6E">
        <w:t>Basis of consolidation</w:t>
      </w:r>
    </w:p>
    <w:p w:rsidR="002C39A3" w:rsidRDefault="002C39A3" w:rsidP="00361FA9">
      <w:r w:rsidRPr="00607148">
        <w:t>The March Quarterly Financial Report includes entities classified as general government sector entities. Information on entities consolidated for the general government sector is included in Note 27 of Chapter 1, which should be read in conjunction with Note 42 Controlled entities of the 2014</w:t>
      </w:r>
      <w:r w:rsidRPr="00607148">
        <w:noBreakHyphen/>
        <w:t>15 AFR. In the process of reporting the general government</w:t>
      </w:r>
      <w:r>
        <w:rPr>
          <w:b/>
        </w:rPr>
        <w:t xml:space="preserve"> </w:t>
      </w:r>
      <w:r w:rsidRPr="00F10B6E">
        <w:t xml:space="preserve">sector as a single economic entity, all material transactions and </w:t>
      </w:r>
      <w:r w:rsidRPr="004C1D8D">
        <w:t>balances within the</w:t>
      </w:r>
      <w:r w:rsidRPr="00F10B6E">
        <w:t xml:space="preserve"> sector are eliminated.</w:t>
      </w:r>
    </w:p>
    <w:p w:rsidR="002C39A3" w:rsidRDefault="002C39A3" w:rsidP="00361FA9">
      <w:r w:rsidRPr="00F10B6E">
        <w:t>Entities in the public non</w:t>
      </w:r>
      <w:r w:rsidRPr="00F10B6E">
        <w:noBreakHyphen/>
        <w:t>financial corporations (PNFC) and public financial corporations (PFC) sectors are not consolidated into the financial statements of the general government sector, but are accounted for as equity investments measured at the Government</w:t>
      </w:r>
      <w:r w:rsidR="0097550F">
        <w:t>’</w:t>
      </w:r>
      <w:r w:rsidRPr="00F10B6E">
        <w:t>s proportional share of the carrying amount of net assets of the PNFC and PFC sector entities before consolidation eliminations. Where the carrying amount of the entity</w:t>
      </w:r>
      <w:r w:rsidR="0097550F">
        <w:t>’</w:t>
      </w:r>
      <w:r w:rsidRPr="00F10B6E">
        <w:t>s net assets before consolidation eliminations is less than zero, the amount is not included</w:t>
      </w:r>
      <w:r w:rsidRPr="00D26163">
        <w:t xml:space="preserve"> at the general government sector, but the net liabilities will be consolidated at the State level</w:t>
      </w:r>
      <w:r>
        <w:t xml:space="preserve">. </w:t>
      </w:r>
      <w:r w:rsidRPr="00F10B6E">
        <w:t xml:space="preserve">Any change in the carrying amount of the investment from period to period is accounted for as if the change in </w:t>
      </w:r>
      <w:r w:rsidRPr="009A1280">
        <w:t>the</w:t>
      </w:r>
      <w:r w:rsidRPr="00F10B6E">
        <w:t xml:space="preserve"> carrying amount is a change in fair value and accounted for in a manner consistent with AASB 139 </w:t>
      </w:r>
      <w:r w:rsidRPr="00F10B6E">
        <w:rPr>
          <w:i/>
        </w:rPr>
        <w:t>Financial Instruments: Recognition and Measurement</w:t>
      </w:r>
      <w:r>
        <w:t xml:space="preserve">. </w:t>
      </w:r>
    </w:p>
    <w:p w:rsidR="002C39A3" w:rsidRPr="00607148" w:rsidRDefault="002C39A3" w:rsidP="00361FA9"/>
    <w:p w:rsidR="002C39A3" w:rsidRDefault="002C39A3" w:rsidP="00361FA9"/>
    <w:p w:rsidR="002C39A3" w:rsidRDefault="002C39A3">
      <w:pPr>
        <w:spacing w:after="0"/>
        <w:rPr>
          <w:rFonts w:ascii="Calibri" w:hAnsi="Calibri"/>
          <w:b/>
          <w:kern w:val="28"/>
          <w:sz w:val="26"/>
          <w:szCs w:val="22"/>
        </w:rPr>
      </w:pPr>
      <w:r>
        <w:br w:type="page"/>
      </w:r>
    </w:p>
    <w:p w:rsidR="002C39A3" w:rsidRDefault="002C39A3" w:rsidP="00361FA9">
      <w:pPr>
        <w:pStyle w:val="Heading2Notes"/>
      </w:pPr>
      <w:bookmarkStart w:id="66" w:name="_Toc448400810"/>
      <w:r>
        <w:t>Note 2:</w:t>
      </w:r>
      <w:r>
        <w:tab/>
        <w:t>Taxation</w:t>
      </w:r>
      <w:bookmarkEnd w:id="66"/>
    </w:p>
    <w:p w:rsidR="002C39A3" w:rsidRPr="00F944DD" w:rsidRDefault="002C39A3" w:rsidP="00361FA9">
      <w:pPr>
        <w:pStyle w:val="million"/>
        <w:rPr>
          <w:b/>
          <w:bCs/>
          <w:i w:val="0"/>
          <w:lang w:val="en-US"/>
        </w:rPr>
      </w:pPr>
      <w:r>
        <w:t>($ million)</w:t>
      </w:r>
    </w:p>
    <w:tbl>
      <w:tblPr>
        <w:tblW w:w="7766" w:type="dxa"/>
        <w:tblInd w:w="45" w:type="dxa"/>
        <w:tblLayout w:type="fixed"/>
        <w:tblCellMar>
          <w:left w:w="45" w:type="dxa"/>
          <w:right w:w="45" w:type="dxa"/>
        </w:tblCellMar>
        <w:tblLook w:val="0000" w:firstRow="0" w:lastRow="0" w:firstColumn="0" w:lastColumn="0" w:noHBand="0" w:noVBand="0"/>
      </w:tblPr>
      <w:tblGrid>
        <w:gridCol w:w="850"/>
        <w:gridCol w:w="5216"/>
        <w:gridCol w:w="850"/>
        <w:gridCol w:w="850"/>
      </w:tblGrid>
      <w:tr w:rsidR="00251C6B" w:rsidRPr="00F944DD" w:rsidTr="00072147">
        <w:trPr>
          <w:trHeight w:val="696"/>
          <w:tblHeader/>
        </w:trPr>
        <w:tc>
          <w:tcPr>
            <w:tcW w:w="850" w:type="dxa"/>
            <w:tcBorders>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2014-15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5216" w:type="dxa"/>
            <w:tcBorders>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2015-16</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850" w:type="dxa"/>
            <w:tcBorders>
              <w:lef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Revised</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budget</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3 829</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Taxes on employers</w:t>
            </w:r>
            <w:r w:rsidR="0097550F">
              <w:rPr>
                <w:rFonts w:ascii="Calibri" w:eastAsiaTheme="minorEastAsia" w:hAnsi="Calibri" w:cs="Calibri"/>
                <w:b/>
                <w:bCs/>
                <w:color w:val="000000"/>
                <w:sz w:val="19"/>
                <w:szCs w:val="19"/>
                <w:lang w:eastAsia="en-AU"/>
              </w:rPr>
              <w:t>’</w:t>
            </w:r>
            <w:r w:rsidRPr="00F944DD">
              <w:rPr>
                <w:rFonts w:ascii="Calibri" w:eastAsiaTheme="minorEastAsia" w:hAnsi="Calibri" w:cs="Calibri"/>
                <w:b/>
                <w:bCs/>
                <w:color w:val="000000"/>
                <w:sz w:val="19"/>
                <w:szCs w:val="19"/>
                <w:lang w:eastAsia="en-AU"/>
              </w:rPr>
              <w:t xml:space="preserve"> payroll and labour force</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4 009</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5 386</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Taxes on property</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Taxes on immovable property</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1 660</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Land tax</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1 636</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1 734</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586</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Fire Services Property Levy</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662</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662</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96</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Congestion levy</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83</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112</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146</w:t>
            </w:r>
          </w:p>
        </w:tc>
        <w:tc>
          <w:tcPr>
            <w:tcW w:w="52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Metropolitan improvement levy</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158</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159</w:t>
            </w:r>
          </w:p>
        </w:tc>
      </w:tr>
      <w:tr w:rsidR="002C39A3" w:rsidRPr="00F944DD" w:rsidTr="00361FA9">
        <w:tc>
          <w:tcPr>
            <w:tcW w:w="850"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2 488</w:t>
            </w:r>
          </w:p>
        </w:tc>
        <w:tc>
          <w:tcPr>
            <w:tcW w:w="5216"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taxes on immovable property</w:t>
            </w:r>
          </w:p>
        </w:tc>
        <w:tc>
          <w:tcPr>
            <w:tcW w:w="85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2 539</w:t>
            </w:r>
          </w:p>
        </w:tc>
        <w:tc>
          <w:tcPr>
            <w:tcW w:w="850"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2 666</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Financial and capital transactions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3 701</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Land transfer duty</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4 509</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6 064</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Other property duties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Metropolitan Planning levy</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16</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17</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63</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Financial accommodation levy</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116</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127</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92</w:t>
            </w:r>
          </w:p>
        </w:tc>
        <w:tc>
          <w:tcPr>
            <w:tcW w:w="52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Growth Areas Infrastructure Contribution</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105</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138</w:t>
            </w:r>
          </w:p>
        </w:tc>
      </w:tr>
      <w:tr w:rsidR="002C39A3" w:rsidRPr="00F944DD" w:rsidTr="00361FA9">
        <w:tc>
          <w:tcPr>
            <w:tcW w:w="850" w:type="dxa"/>
            <w:tcBorders>
              <w:top w:val="single" w:sz="6" w:space="0" w:color="000000"/>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3 857</w:t>
            </w:r>
          </w:p>
        </w:tc>
        <w:tc>
          <w:tcPr>
            <w:tcW w:w="5216"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financial and capital transactions</w:t>
            </w:r>
          </w:p>
        </w:tc>
        <w:tc>
          <w:tcPr>
            <w:tcW w:w="850"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4 748</w:t>
            </w:r>
          </w:p>
        </w:tc>
        <w:tc>
          <w:tcPr>
            <w:tcW w:w="850" w:type="dxa"/>
            <w:tcBorders>
              <w:top w:val="single" w:sz="6" w:space="0" w:color="000000"/>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6 349</w:t>
            </w:r>
          </w:p>
        </w:tc>
      </w:tr>
      <w:tr w:rsidR="002C39A3" w:rsidRPr="00F944DD" w:rsidTr="00361FA9">
        <w:tc>
          <w:tcPr>
            <w:tcW w:w="850" w:type="dxa"/>
            <w:tcBorders>
              <w:top w:val="single" w:sz="6" w:space="0" w:color="000000"/>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6 344</w:t>
            </w:r>
          </w:p>
        </w:tc>
        <w:tc>
          <w:tcPr>
            <w:tcW w:w="5216"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taxes on property</w:t>
            </w:r>
          </w:p>
        </w:tc>
        <w:tc>
          <w:tcPr>
            <w:tcW w:w="850"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7 287</w:t>
            </w:r>
          </w:p>
        </w:tc>
        <w:tc>
          <w:tcPr>
            <w:tcW w:w="850" w:type="dxa"/>
            <w:tcBorders>
              <w:top w:val="single" w:sz="6" w:space="0" w:color="000000"/>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9 015</w:t>
            </w:r>
          </w:p>
        </w:tc>
      </w:tr>
      <w:tr w:rsidR="002C39A3" w:rsidRPr="00F944DD" w:rsidTr="00361FA9">
        <w:tc>
          <w:tcPr>
            <w:tcW w:w="850"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5216"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Taxes on provision of goods and services</w:t>
            </w:r>
          </w:p>
        </w:tc>
        <w:tc>
          <w:tcPr>
            <w:tcW w:w="85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Gambling taxes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299</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Public lotteries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332</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437</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797</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Electronic gaming machines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816</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1 080</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157</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Casino</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164</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240</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62</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Racing</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59</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79</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17</w:t>
            </w:r>
          </w:p>
        </w:tc>
        <w:tc>
          <w:tcPr>
            <w:tcW w:w="52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Other</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17</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24</w:t>
            </w:r>
          </w:p>
        </w:tc>
      </w:tr>
      <w:tr w:rsidR="002C39A3" w:rsidRPr="00F944DD" w:rsidTr="00361FA9">
        <w:tc>
          <w:tcPr>
            <w:tcW w:w="850"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1 333</w:t>
            </w:r>
          </w:p>
        </w:tc>
        <w:tc>
          <w:tcPr>
            <w:tcW w:w="5216"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gambling taxes</w:t>
            </w:r>
          </w:p>
        </w:tc>
        <w:tc>
          <w:tcPr>
            <w:tcW w:w="85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1 387</w:t>
            </w:r>
          </w:p>
        </w:tc>
        <w:tc>
          <w:tcPr>
            <w:tcW w:w="850"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1 860</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82</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Levies on statutory corporations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82</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112</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833</w:t>
            </w:r>
          </w:p>
        </w:tc>
        <w:tc>
          <w:tcPr>
            <w:tcW w:w="52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Taxes on insurance</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871</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1 148</w:t>
            </w:r>
          </w:p>
        </w:tc>
      </w:tr>
      <w:tr w:rsidR="002C39A3" w:rsidRPr="00F944DD" w:rsidTr="00361FA9">
        <w:tc>
          <w:tcPr>
            <w:tcW w:w="850" w:type="dxa"/>
            <w:tcBorders>
              <w:top w:val="single" w:sz="6" w:space="0" w:color="000000"/>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2 248</w:t>
            </w:r>
          </w:p>
        </w:tc>
        <w:tc>
          <w:tcPr>
            <w:tcW w:w="5216"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taxes on the provision of goods and services</w:t>
            </w:r>
          </w:p>
        </w:tc>
        <w:tc>
          <w:tcPr>
            <w:tcW w:w="850"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2 340</w:t>
            </w:r>
          </w:p>
        </w:tc>
        <w:tc>
          <w:tcPr>
            <w:tcW w:w="850" w:type="dxa"/>
            <w:tcBorders>
              <w:top w:val="single" w:sz="6" w:space="0" w:color="000000"/>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3 120</w:t>
            </w:r>
          </w:p>
        </w:tc>
      </w:tr>
      <w:tr w:rsidR="002C39A3" w:rsidRPr="00F944DD" w:rsidTr="00361FA9">
        <w:tc>
          <w:tcPr>
            <w:tcW w:w="850"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5216"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Taxes on the use of goods and performance of activities</w:t>
            </w:r>
          </w:p>
        </w:tc>
        <w:tc>
          <w:tcPr>
            <w:tcW w:w="85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Motor vehicle taxes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1 034</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Vehicle registration fees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1 078</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1 456</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535</w:t>
            </w:r>
          </w:p>
        </w:tc>
        <w:tc>
          <w:tcPr>
            <w:tcW w:w="52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Duty on vehicle registrations and transfers</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577</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775</w:t>
            </w:r>
          </w:p>
        </w:tc>
      </w:tr>
      <w:tr w:rsidR="002C39A3" w:rsidRPr="00F944DD" w:rsidTr="00361FA9">
        <w:tc>
          <w:tcPr>
            <w:tcW w:w="850"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1 569</w:t>
            </w:r>
          </w:p>
        </w:tc>
        <w:tc>
          <w:tcPr>
            <w:tcW w:w="5216"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motor vehicle taxes</w:t>
            </w:r>
          </w:p>
        </w:tc>
        <w:tc>
          <w:tcPr>
            <w:tcW w:w="85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1 655</w:t>
            </w:r>
          </w:p>
        </w:tc>
        <w:tc>
          <w:tcPr>
            <w:tcW w:w="850"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2 231</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22</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Liquor licence fees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21</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22</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229</w:t>
            </w:r>
          </w:p>
        </w:tc>
        <w:tc>
          <w:tcPr>
            <w:tcW w:w="52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Other</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230</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305</w:t>
            </w:r>
          </w:p>
        </w:tc>
      </w:tr>
      <w:tr w:rsidR="002C39A3" w:rsidRPr="00F944DD" w:rsidTr="00361FA9">
        <w:tc>
          <w:tcPr>
            <w:tcW w:w="850" w:type="dxa"/>
            <w:tcBorders>
              <w:top w:val="single" w:sz="6" w:space="0" w:color="000000"/>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1 819</w:t>
            </w:r>
          </w:p>
        </w:tc>
        <w:tc>
          <w:tcPr>
            <w:tcW w:w="5216"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taxes on the use of goods and performance of activities</w:t>
            </w:r>
          </w:p>
        </w:tc>
        <w:tc>
          <w:tcPr>
            <w:tcW w:w="850"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1 906</w:t>
            </w:r>
          </w:p>
        </w:tc>
        <w:tc>
          <w:tcPr>
            <w:tcW w:w="850" w:type="dxa"/>
            <w:tcBorders>
              <w:top w:val="single" w:sz="6" w:space="0" w:color="000000"/>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2 558</w:t>
            </w:r>
          </w:p>
        </w:tc>
      </w:tr>
      <w:tr w:rsidR="002C39A3" w:rsidRPr="00F944DD" w:rsidTr="00361FA9">
        <w:tc>
          <w:tcPr>
            <w:tcW w:w="850" w:type="dxa"/>
            <w:tcBorders>
              <w:top w:val="single" w:sz="6" w:space="0" w:color="000000"/>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14 240</w:t>
            </w:r>
          </w:p>
        </w:tc>
        <w:tc>
          <w:tcPr>
            <w:tcW w:w="5216"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taxation revenue</w:t>
            </w:r>
          </w:p>
        </w:tc>
        <w:tc>
          <w:tcPr>
            <w:tcW w:w="85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15 542</w:t>
            </w:r>
          </w:p>
        </w:tc>
        <w:tc>
          <w:tcPr>
            <w:tcW w:w="850" w:type="dxa"/>
            <w:tcBorders>
              <w:top w:val="single" w:sz="6" w:space="0" w:color="000000"/>
              <w:left w:val="nil"/>
              <w:bottom w:val="single" w:sz="12"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20 079</w:t>
            </w:r>
          </w:p>
        </w:tc>
      </w:tr>
    </w:tbl>
    <w:p w:rsidR="002C39A3" w:rsidRDefault="002C39A3" w:rsidP="00361FA9"/>
    <w:p w:rsidR="002C39A3" w:rsidRDefault="002C39A3" w:rsidP="00361FA9">
      <w:pPr>
        <w:rPr>
          <w:rFonts w:ascii="Calibri" w:hAnsi="Calibri"/>
          <w:kern w:val="28"/>
          <w:sz w:val="26"/>
          <w:szCs w:val="22"/>
        </w:rPr>
      </w:pPr>
      <w:r>
        <w:br w:type="page"/>
      </w:r>
    </w:p>
    <w:p w:rsidR="002C39A3" w:rsidRDefault="002C39A3" w:rsidP="00361FA9">
      <w:pPr>
        <w:pStyle w:val="Heading2Notes"/>
      </w:pPr>
      <w:bookmarkStart w:id="67" w:name="_Toc448400811"/>
      <w:r>
        <w:t>Note 3:</w:t>
      </w:r>
      <w:r>
        <w:tab/>
        <w:t>Dividends and income tax equivalent and rate equivalent revenue</w:t>
      </w:r>
      <w:bookmarkEnd w:id="67"/>
    </w:p>
    <w:p w:rsidR="002C39A3" w:rsidRDefault="002C39A3" w:rsidP="00361FA9">
      <w:pPr>
        <w:pStyle w:val="Tableheading"/>
      </w:pPr>
      <w:r>
        <w:t>(a)</w:t>
      </w:r>
      <w:r>
        <w:tab/>
        <w:t>Dividends and income tax equivalent and rate equivalent revenue</w:t>
      </w:r>
    </w:p>
    <w:p w:rsidR="002C39A3" w:rsidRPr="00F944DD" w:rsidRDefault="002C39A3" w:rsidP="00361FA9">
      <w:pPr>
        <w:pStyle w:val="million"/>
        <w:rPr>
          <w:rFonts w:ascii="Garamond" w:hAnsi="Garamond"/>
          <w:b/>
          <w:bCs/>
          <w:i w:val="0"/>
          <w:sz w:val="22"/>
          <w:szCs w:val="22"/>
          <w:lang w:val="en-US"/>
        </w:rPr>
      </w:pPr>
      <w:r>
        <w:t>($ million)</w:t>
      </w:r>
    </w:p>
    <w:tbl>
      <w:tblPr>
        <w:tblW w:w="7766" w:type="dxa"/>
        <w:tblInd w:w="45" w:type="dxa"/>
        <w:tblLayout w:type="fixed"/>
        <w:tblCellMar>
          <w:left w:w="45" w:type="dxa"/>
          <w:right w:w="45" w:type="dxa"/>
        </w:tblCellMar>
        <w:tblLook w:val="0000" w:firstRow="0" w:lastRow="0" w:firstColumn="0" w:lastColumn="0" w:noHBand="0" w:noVBand="0"/>
      </w:tblPr>
      <w:tblGrid>
        <w:gridCol w:w="850"/>
        <w:gridCol w:w="5216"/>
        <w:gridCol w:w="850"/>
        <w:gridCol w:w="850"/>
      </w:tblGrid>
      <w:tr w:rsidR="00251C6B" w:rsidRPr="00F944DD" w:rsidTr="00F23CC8">
        <w:trPr>
          <w:trHeight w:val="696"/>
          <w:tblHeader/>
        </w:trPr>
        <w:tc>
          <w:tcPr>
            <w:tcW w:w="850" w:type="dxa"/>
            <w:tcBorders>
              <w:right w:val="nil"/>
            </w:tcBorders>
            <w:shd w:val="solid" w:color="000000" w:fill="auto"/>
            <w:vAlign w:val="bottom"/>
          </w:tcPr>
          <w:p w:rsidR="00251C6B" w:rsidRPr="00F944DD" w:rsidRDefault="00251C6B" w:rsidP="00361FA9">
            <w:pPr>
              <w:pStyle w:val="million"/>
              <w:jc w:val="right"/>
              <w:rPr>
                <w:rFonts w:eastAsiaTheme="minorEastAsia" w:cs="Calibri"/>
                <w:iCs/>
                <w:color w:val="FFFFFF"/>
                <w:sz w:val="19"/>
                <w:szCs w:val="19"/>
                <w:lang w:eastAsia="en-AU"/>
              </w:rPr>
            </w:pPr>
            <w:r w:rsidRPr="00F944DD">
              <w:rPr>
                <w:rFonts w:eastAsiaTheme="minorEastAsia" w:cs="Calibri"/>
                <w:iCs/>
                <w:color w:val="FFFFFF"/>
                <w:sz w:val="19"/>
                <w:szCs w:val="19"/>
                <w:lang w:eastAsia="en-AU"/>
              </w:rPr>
              <w:t xml:space="preserve">2014-15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Actual </w:t>
            </w:r>
          </w:p>
          <w:p w:rsidR="00251C6B" w:rsidRPr="00F944DD" w:rsidRDefault="00251C6B" w:rsidP="00361FA9">
            <w:pPr>
              <w:autoSpaceDE w:val="0"/>
              <w:autoSpaceDN w:val="0"/>
              <w:adjustRightInd w:val="0"/>
              <w:spacing w:after="0"/>
              <w:jc w:val="right"/>
              <w:rPr>
                <w:rFonts w:eastAsiaTheme="minorEastAsia" w:cs="Calibr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5216" w:type="dxa"/>
            <w:tcBorders>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2015-16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850" w:type="dxa"/>
            <w:tcBorders>
              <w:lef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Revised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budget</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472</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Dividends from PFC sector</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223</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239</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131</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Dividends from PNFC sector</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124</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149</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14</w:t>
            </w:r>
          </w:p>
        </w:tc>
        <w:tc>
          <w:tcPr>
            <w:tcW w:w="52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Dividends from non-public sector</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22</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29</w:t>
            </w:r>
          </w:p>
        </w:tc>
      </w:tr>
      <w:tr w:rsidR="002C39A3" w:rsidRPr="00F944DD" w:rsidTr="00361FA9">
        <w:tc>
          <w:tcPr>
            <w:tcW w:w="850"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617</w:t>
            </w:r>
          </w:p>
        </w:tc>
        <w:tc>
          <w:tcPr>
            <w:tcW w:w="5216"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Dividends</w:t>
            </w:r>
          </w:p>
        </w:tc>
        <w:tc>
          <w:tcPr>
            <w:tcW w:w="85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368</w:t>
            </w:r>
          </w:p>
        </w:tc>
        <w:tc>
          <w:tcPr>
            <w:tcW w:w="850"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416</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15</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Income tax equivalent revenue from PFC sector</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14</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97</w:t>
            </w:r>
          </w:p>
        </w:tc>
        <w:tc>
          <w:tcPr>
            <w:tcW w:w="52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Income tax equivalent revenue from PNFC sector</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173</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333</w:t>
            </w:r>
          </w:p>
        </w:tc>
      </w:tr>
      <w:tr w:rsidR="002C39A3" w:rsidRPr="00F944DD" w:rsidTr="00361FA9">
        <w:tc>
          <w:tcPr>
            <w:tcW w:w="850"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112</w:t>
            </w:r>
          </w:p>
        </w:tc>
        <w:tc>
          <w:tcPr>
            <w:tcW w:w="5216"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Income tax equivalent revenue</w:t>
            </w:r>
          </w:p>
        </w:tc>
        <w:tc>
          <w:tcPr>
            <w:tcW w:w="85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187</w:t>
            </w:r>
          </w:p>
        </w:tc>
        <w:tc>
          <w:tcPr>
            <w:tcW w:w="850"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336</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w:t>
            </w:r>
          </w:p>
        </w:tc>
        <w:tc>
          <w:tcPr>
            <w:tcW w:w="52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Local government rate equivalent revenue</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10</w:t>
            </w:r>
          </w:p>
        </w:tc>
      </w:tr>
      <w:tr w:rsidR="002C39A3" w:rsidRPr="00F944DD" w:rsidTr="00361FA9">
        <w:tc>
          <w:tcPr>
            <w:tcW w:w="850" w:type="dxa"/>
            <w:tcBorders>
              <w:top w:val="single" w:sz="6" w:space="0" w:color="000000"/>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730</w:t>
            </w:r>
          </w:p>
        </w:tc>
        <w:tc>
          <w:tcPr>
            <w:tcW w:w="5216"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Total dividends and income tax equivalent and </w:t>
            </w:r>
            <w:r w:rsidR="00251C6B">
              <w:rPr>
                <w:rFonts w:ascii="Calibri" w:eastAsiaTheme="minorEastAsia" w:hAnsi="Calibri" w:cs="Calibri"/>
                <w:b/>
                <w:bCs/>
                <w:color w:val="000000"/>
                <w:sz w:val="19"/>
                <w:szCs w:val="19"/>
                <w:lang w:eastAsia="en-AU"/>
              </w:rPr>
              <w:br/>
            </w:r>
            <w:r w:rsidRPr="00F944DD">
              <w:rPr>
                <w:rFonts w:ascii="Calibri" w:eastAsiaTheme="minorEastAsia" w:hAnsi="Calibri" w:cs="Calibri"/>
                <w:b/>
                <w:bCs/>
                <w:color w:val="000000"/>
                <w:sz w:val="19"/>
                <w:szCs w:val="19"/>
                <w:lang w:eastAsia="en-AU"/>
              </w:rPr>
              <w:t>rate equivalent revenue</w:t>
            </w:r>
          </w:p>
        </w:tc>
        <w:tc>
          <w:tcPr>
            <w:tcW w:w="85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560</w:t>
            </w:r>
          </w:p>
        </w:tc>
        <w:tc>
          <w:tcPr>
            <w:tcW w:w="850" w:type="dxa"/>
            <w:tcBorders>
              <w:top w:val="single" w:sz="6" w:space="0" w:color="000000"/>
              <w:left w:val="nil"/>
              <w:bottom w:val="single" w:sz="12"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762</w:t>
            </w:r>
          </w:p>
        </w:tc>
      </w:tr>
    </w:tbl>
    <w:p w:rsidR="002C39A3" w:rsidRPr="00EB5DE9" w:rsidRDefault="002C39A3" w:rsidP="00361FA9"/>
    <w:p w:rsidR="002C39A3" w:rsidRDefault="002C39A3" w:rsidP="00361FA9">
      <w:pPr>
        <w:pStyle w:val="Tableheading"/>
      </w:pPr>
      <w:r>
        <w:t>(b)</w:t>
      </w:r>
      <w:r>
        <w:tab/>
        <w:t>Dividends by entity</w:t>
      </w:r>
    </w:p>
    <w:p w:rsidR="002C39A3" w:rsidRPr="00F944DD" w:rsidRDefault="002C39A3" w:rsidP="00361FA9">
      <w:pPr>
        <w:pStyle w:val="million"/>
        <w:rPr>
          <w:b/>
          <w:bCs/>
          <w:i w:val="0"/>
          <w:lang w:val="en-US"/>
        </w:rPr>
      </w:pPr>
      <w:r>
        <w:t>($ million)</w:t>
      </w:r>
    </w:p>
    <w:tbl>
      <w:tblPr>
        <w:tblW w:w="7766" w:type="dxa"/>
        <w:tblInd w:w="45" w:type="dxa"/>
        <w:tblLayout w:type="fixed"/>
        <w:tblCellMar>
          <w:left w:w="45" w:type="dxa"/>
          <w:right w:w="45" w:type="dxa"/>
        </w:tblCellMar>
        <w:tblLook w:val="0000" w:firstRow="0" w:lastRow="0" w:firstColumn="0" w:lastColumn="0" w:noHBand="0" w:noVBand="0"/>
      </w:tblPr>
      <w:tblGrid>
        <w:gridCol w:w="850"/>
        <w:gridCol w:w="5216"/>
        <w:gridCol w:w="850"/>
        <w:gridCol w:w="850"/>
      </w:tblGrid>
      <w:tr w:rsidR="00251C6B" w:rsidRPr="00F944DD" w:rsidTr="0087367D">
        <w:trPr>
          <w:trHeight w:val="696"/>
          <w:tblHeader/>
        </w:trPr>
        <w:tc>
          <w:tcPr>
            <w:tcW w:w="850" w:type="dxa"/>
            <w:tcBorders>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2014-15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5216" w:type="dxa"/>
            <w:tcBorders>
              <w:left w:val="nil"/>
              <w:right w:val="nil"/>
            </w:tcBorders>
            <w:shd w:val="solid" w:color="000000" w:fill="auto"/>
            <w:vAlign w:val="bottom"/>
          </w:tcPr>
          <w:p w:rsidR="00251C6B" w:rsidRPr="00F944DD" w:rsidRDefault="00251C6B" w:rsidP="00251C6B">
            <w:pPr>
              <w:autoSpaceDE w:val="0"/>
              <w:autoSpaceDN w:val="0"/>
              <w:adjustRightInd w:val="0"/>
              <w:spacing w:after="0"/>
              <w:rPr>
                <w:rFonts w:ascii="Calibri" w:eastAsiaTheme="minorEastAsia" w:hAnsi="Calibri" w:cs="Calibri"/>
                <w:i/>
                <w:iCs/>
                <w:color w:val="FFFFFF"/>
                <w:sz w:val="19"/>
                <w:szCs w:val="19"/>
                <w:lang w:eastAsia="en-AU"/>
              </w:rPr>
            </w:pP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2015-16</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850" w:type="dxa"/>
            <w:tcBorders>
              <w:lef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Revised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budget</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Public financial corporations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239</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WorkSafe Victoria</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Victorian Managed Insurance Authority</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73</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73</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163</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Transport Accident Commission</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116</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132</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51</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Treasury Corporation of Victoria</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32</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32</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17</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Rural Finance Corporation of Victoria</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State Trustees Ltd</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w:t>
            </w:r>
          </w:p>
        </w:tc>
        <w:tc>
          <w:tcPr>
            <w:tcW w:w="52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Victorian Funds Management Corporation</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w:t>
            </w:r>
          </w:p>
        </w:tc>
      </w:tr>
      <w:tr w:rsidR="002C39A3" w:rsidRPr="00F944DD" w:rsidTr="00361FA9">
        <w:tc>
          <w:tcPr>
            <w:tcW w:w="850" w:type="dxa"/>
            <w:tcBorders>
              <w:top w:val="single" w:sz="6" w:space="0" w:color="000000"/>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472</w:t>
            </w:r>
          </w:p>
        </w:tc>
        <w:tc>
          <w:tcPr>
            <w:tcW w:w="5216"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Dividends from PFC sector</w:t>
            </w:r>
          </w:p>
        </w:tc>
        <w:tc>
          <w:tcPr>
            <w:tcW w:w="850"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223</w:t>
            </w:r>
          </w:p>
        </w:tc>
        <w:tc>
          <w:tcPr>
            <w:tcW w:w="850" w:type="dxa"/>
            <w:tcBorders>
              <w:top w:val="single" w:sz="6" w:space="0" w:color="000000"/>
              <w:left w:val="nil"/>
              <w:bottom w:val="single" w:sz="12"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239</w:t>
            </w:r>
          </w:p>
        </w:tc>
      </w:tr>
      <w:tr w:rsidR="002C39A3" w:rsidRPr="00F944DD" w:rsidTr="00361FA9">
        <w:tc>
          <w:tcPr>
            <w:tcW w:w="850" w:type="dxa"/>
            <w:tcBorders>
              <w:top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5216"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Public non-financial corporations</w:t>
            </w:r>
          </w:p>
        </w:tc>
        <w:tc>
          <w:tcPr>
            <w:tcW w:w="850"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single" w:sz="12"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22</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Melbourne Water Corporation</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11</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City West Water Corporation</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10</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10</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49</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South East Water Corporation</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26</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26</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22</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Yarra Valley Water Corporation</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24</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24</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25</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Port of Melbourne Corporation</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30</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State Electricity Commission of Victoria</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50</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50</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w:t>
            </w:r>
          </w:p>
        </w:tc>
        <w:tc>
          <w:tcPr>
            <w:tcW w:w="52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Others</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6</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9</w:t>
            </w:r>
          </w:p>
        </w:tc>
      </w:tr>
      <w:tr w:rsidR="002C39A3" w:rsidRPr="00F944DD" w:rsidTr="00361FA9">
        <w:tc>
          <w:tcPr>
            <w:tcW w:w="850" w:type="dxa"/>
            <w:tcBorders>
              <w:top w:val="single" w:sz="6" w:space="0" w:color="000000"/>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131</w:t>
            </w:r>
          </w:p>
        </w:tc>
        <w:tc>
          <w:tcPr>
            <w:tcW w:w="5216"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Dividends from PNFC sector</w:t>
            </w:r>
          </w:p>
        </w:tc>
        <w:tc>
          <w:tcPr>
            <w:tcW w:w="85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124</w:t>
            </w:r>
          </w:p>
        </w:tc>
        <w:tc>
          <w:tcPr>
            <w:tcW w:w="850" w:type="dxa"/>
            <w:tcBorders>
              <w:top w:val="single" w:sz="6" w:space="0" w:color="000000"/>
              <w:left w:val="nil"/>
              <w:bottom w:val="single" w:sz="12"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149</w:t>
            </w:r>
          </w:p>
        </w:tc>
      </w:tr>
    </w:tbl>
    <w:p w:rsidR="002C39A3" w:rsidRDefault="002C39A3">
      <w:pPr>
        <w:spacing w:after="0"/>
        <w:rPr>
          <w:rFonts w:ascii="Calibri" w:hAnsi="Calibri"/>
          <w:i/>
          <w:sz w:val="18"/>
          <w:szCs w:val="18"/>
        </w:rPr>
      </w:pPr>
    </w:p>
    <w:p w:rsidR="002C39A3" w:rsidRDefault="002C39A3">
      <w:pPr>
        <w:spacing w:after="0"/>
        <w:rPr>
          <w:rFonts w:ascii="Calibri" w:hAnsi="Calibri"/>
          <w:b/>
          <w:kern w:val="28"/>
          <w:sz w:val="26"/>
          <w:szCs w:val="22"/>
        </w:rPr>
      </w:pPr>
      <w:r>
        <w:br w:type="page"/>
      </w:r>
    </w:p>
    <w:p w:rsidR="002C39A3" w:rsidRDefault="002C39A3" w:rsidP="00361FA9">
      <w:pPr>
        <w:pStyle w:val="Heading2Notes"/>
      </w:pPr>
      <w:bookmarkStart w:id="68" w:name="_Toc448400812"/>
      <w:r>
        <w:t>Note 4:</w:t>
      </w:r>
      <w:r>
        <w:tab/>
        <w:t>Sales of goods and services</w:t>
      </w:r>
      <w:bookmarkEnd w:id="68"/>
    </w:p>
    <w:p w:rsidR="002C39A3" w:rsidRPr="00F944DD" w:rsidRDefault="002C39A3" w:rsidP="00361FA9">
      <w:pPr>
        <w:pStyle w:val="million"/>
        <w:rPr>
          <w:b/>
          <w:bCs/>
          <w:i w:val="0"/>
          <w:lang w:val="en-US"/>
        </w:rPr>
      </w:pPr>
      <w:r>
        <w:t>($ million)</w:t>
      </w:r>
    </w:p>
    <w:tbl>
      <w:tblPr>
        <w:tblW w:w="7766" w:type="dxa"/>
        <w:tblInd w:w="45" w:type="dxa"/>
        <w:tblLayout w:type="fixed"/>
        <w:tblCellMar>
          <w:left w:w="45" w:type="dxa"/>
          <w:right w:w="45" w:type="dxa"/>
        </w:tblCellMar>
        <w:tblLook w:val="0000" w:firstRow="0" w:lastRow="0" w:firstColumn="0" w:lastColumn="0" w:noHBand="0" w:noVBand="0"/>
      </w:tblPr>
      <w:tblGrid>
        <w:gridCol w:w="850"/>
        <w:gridCol w:w="5216"/>
        <w:gridCol w:w="850"/>
        <w:gridCol w:w="850"/>
      </w:tblGrid>
      <w:tr w:rsidR="00251C6B" w:rsidRPr="00F944DD" w:rsidTr="004E3B7B">
        <w:trPr>
          <w:trHeight w:val="696"/>
          <w:tblHeader/>
        </w:trPr>
        <w:tc>
          <w:tcPr>
            <w:tcW w:w="850" w:type="dxa"/>
            <w:tcBorders>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2014-15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5216" w:type="dxa"/>
            <w:tcBorders>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2015-16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850" w:type="dxa"/>
            <w:tcBorders>
              <w:lef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Revised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budget</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179</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Motor vehicle regulatory fees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189</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241</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362</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Other regulatory fees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385</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492</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57</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Sale of goods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76</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70</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3 159</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Provision of services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2 763</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3 979</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48</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Rental</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53</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61</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51</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Refunds and reimbursements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20</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56</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1 187</w:t>
            </w:r>
          </w:p>
        </w:tc>
        <w:tc>
          <w:tcPr>
            <w:tcW w:w="52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Inter-sector capital asset charge</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1 307</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1 744</w:t>
            </w:r>
          </w:p>
        </w:tc>
      </w:tr>
      <w:tr w:rsidR="002C39A3" w:rsidRPr="00F944DD" w:rsidTr="00361FA9">
        <w:tc>
          <w:tcPr>
            <w:tcW w:w="850" w:type="dxa"/>
            <w:tcBorders>
              <w:top w:val="single" w:sz="6" w:space="0" w:color="000000"/>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5 044</w:t>
            </w:r>
          </w:p>
        </w:tc>
        <w:tc>
          <w:tcPr>
            <w:tcW w:w="5216"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sales of goods and services</w:t>
            </w:r>
          </w:p>
        </w:tc>
        <w:tc>
          <w:tcPr>
            <w:tcW w:w="85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4 792</w:t>
            </w:r>
          </w:p>
        </w:tc>
        <w:tc>
          <w:tcPr>
            <w:tcW w:w="850" w:type="dxa"/>
            <w:tcBorders>
              <w:top w:val="single" w:sz="6" w:space="0" w:color="000000"/>
              <w:left w:val="nil"/>
              <w:bottom w:val="single" w:sz="12"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6 643</w:t>
            </w:r>
          </w:p>
        </w:tc>
      </w:tr>
    </w:tbl>
    <w:p w:rsidR="002C39A3" w:rsidRDefault="002C39A3" w:rsidP="00361FA9"/>
    <w:p w:rsidR="002C39A3" w:rsidRDefault="002C39A3" w:rsidP="00361FA9"/>
    <w:p w:rsidR="002C39A3" w:rsidRDefault="002C39A3" w:rsidP="00361FA9">
      <w:pPr>
        <w:pStyle w:val="Heading2Notes"/>
      </w:pPr>
      <w:bookmarkStart w:id="69" w:name="_Toc448400813"/>
      <w:r>
        <w:t>Note 5:</w:t>
      </w:r>
      <w:r>
        <w:tab/>
        <w:t>Grant revenue</w:t>
      </w:r>
      <w:bookmarkEnd w:id="69"/>
    </w:p>
    <w:p w:rsidR="002C39A3" w:rsidRPr="00F944DD" w:rsidRDefault="002C39A3" w:rsidP="00361FA9">
      <w:pPr>
        <w:pStyle w:val="million"/>
        <w:rPr>
          <w:b/>
          <w:bCs/>
          <w:i w:val="0"/>
          <w:lang w:val="en-US"/>
        </w:rPr>
      </w:pPr>
      <w:r>
        <w:t>($ million)</w:t>
      </w:r>
    </w:p>
    <w:tbl>
      <w:tblPr>
        <w:tblW w:w="7766" w:type="dxa"/>
        <w:tblInd w:w="45" w:type="dxa"/>
        <w:tblLayout w:type="fixed"/>
        <w:tblCellMar>
          <w:left w:w="45" w:type="dxa"/>
          <w:right w:w="45" w:type="dxa"/>
        </w:tblCellMar>
        <w:tblLook w:val="0000" w:firstRow="0" w:lastRow="0" w:firstColumn="0" w:lastColumn="0" w:noHBand="0" w:noVBand="0"/>
      </w:tblPr>
      <w:tblGrid>
        <w:gridCol w:w="850"/>
        <w:gridCol w:w="5216"/>
        <w:gridCol w:w="850"/>
        <w:gridCol w:w="850"/>
      </w:tblGrid>
      <w:tr w:rsidR="00251C6B" w:rsidRPr="00F944DD" w:rsidTr="008D1EBE">
        <w:trPr>
          <w:trHeight w:val="696"/>
          <w:tblHeader/>
        </w:trPr>
        <w:tc>
          <w:tcPr>
            <w:tcW w:w="850" w:type="dxa"/>
            <w:tcBorders>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2014-15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5216" w:type="dxa"/>
            <w:tcBorders>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2015-16</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850" w:type="dxa"/>
            <w:tcBorders>
              <w:lef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Revised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budget</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8 953</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General purpose grants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9 674</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13 032</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3 064</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Specific purpose grants for on-passing</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3 005</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3 095</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6 355</w:t>
            </w:r>
          </w:p>
        </w:tc>
        <w:tc>
          <w:tcPr>
            <w:tcW w:w="52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Other specific purpose grants</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6 433</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9 114</w:t>
            </w:r>
          </w:p>
        </w:tc>
      </w:tr>
      <w:tr w:rsidR="002C39A3" w:rsidRPr="00F944DD" w:rsidTr="00361FA9">
        <w:tc>
          <w:tcPr>
            <w:tcW w:w="850"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18 372</w:t>
            </w:r>
          </w:p>
        </w:tc>
        <w:tc>
          <w:tcPr>
            <w:tcW w:w="5216"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w:t>
            </w:r>
          </w:p>
        </w:tc>
        <w:tc>
          <w:tcPr>
            <w:tcW w:w="85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19 112</w:t>
            </w:r>
          </w:p>
        </w:tc>
        <w:tc>
          <w:tcPr>
            <w:tcW w:w="850"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25 240</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92</w:t>
            </w:r>
          </w:p>
        </w:tc>
        <w:tc>
          <w:tcPr>
            <w:tcW w:w="52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Other contributions and grants</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67</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123</w:t>
            </w:r>
          </w:p>
        </w:tc>
      </w:tr>
      <w:tr w:rsidR="002C39A3" w:rsidRPr="00F944DD" w:rsidTr="00361FA9">
        <w:tc>
          <w:tcPr>
            <w:tcW w:w="850" w:type="dxa"/>
            <w:tcBorders>
              <w:top w:val="single" w:sz="6" w:space="0" w:color="000000"/>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18 464</w:t>
            </w:r>
          </w:p>
        </w:tc>
        <w:tc>
          <w:tcPr>
            <w:tcW w:w="5216"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grant revenue</w:t>
            </w:r>
          </w:p>
        </w:tc>
        <w:tc>
          <w:tcPr>
            <w:tcW w:w="85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19 179</w:t>
            </w:r>
          </w:p>
        </w:tc>
        <w:tc>
          <w:tcPr>
            <w:tcW w:w="850" w:type="dxa"/>
            <w:tcBorders>
              <w:top w:val="single" w:sz="6" w:space="0" w:color="000000"/>
              <w:left w:val="nil"/>
              <w:bottom w:val="single" w:sz="12"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25 364</w:t>
            </w:r>
          </w:p>
        </w:tc>
      </w:tr>
    </w:tbl>
    <w:p w:rsidR="002C39A3" w:rsidRDefault="002C39A3" w:rsidP="00361FA9"/>
    <w:p w:rsidR="002C39A3" w:rsidRDefault="002C39A3" w:rsidP="00361FA9"/>
    <w:p w:rsidR="002C39A3" w:rsidRDefault="002C39A3" w:rsidP="00361FA9">
      <w:pPr>
        <w:pStyle w:val="Heading2Notes"/>
      </w:pPr>
      <w:bookmarkStart w:id="70" w:name="_Toc448400814"/>
      <w:r>
        <w:t>Note 6:</w:t>
      </w:r>
      <w:r>
        <w:tab/>
        <w:t>Other revenue</w:t>
      </w:r>
      <w:bookmarkEnd w:id="70"/>
    </w:p>
    <w:p w:rsidR="002C39A3" w:rsidRPr="00F944DD" w:rsidRDefault="002C39A3" w:rsidP="00361FA9">
      <w:pPr>
        <w:pStyle w:val="million"/>
        <w:rPr>
          <w:b/>
          <w:bCs/>
          <w:i w:val="0"/>
          <w:lang w:val="en-US"/>
        </w:rPr>
      </w:pPr>
      <w:r>
        <w:t>($ million)</w:t>
      </w:r>
    </w:p>
    <w:tbl>
      <w:tblPr>
        <w:tblW w:w="7766" w:type="dxa"/>
        <w:tblInd w:w="45" w:type="dxa"/>
        <w:tblLayout w:type="fixed"/>
        <w:tblCellMar>
          <w:left w:w="45" w:type="dxa"/>
          <w:right w:w="45" w:type="dxa"/>
        </w:tblCellMar>
        <w:tblLook w:val="0000" w:firstRow="0" w:lastRow="0" w:firstColumn="0" w:lastColumn="0" w:noHBand="0" w:noVBand="0"/>
      </w:tblPr>
      <w:tblGrid>
        <w:gridCol w:w="850"/>
        <w:gridCol w:w="5216"/>
        <w:gridCol w:w="850"/>
        <w:gridCol w:w="850"/>
      </w:tblGrid>
      <w:tr w:rsidR="00251C6B" w:rsidRPr="00F944DD" w:rsidTr="007206FD">
        <w:trPr>
          <w:trHeight w:val="696"/>
          <w:tblHeader/>
        </w:trPr>
        <w:tc>
          <w:tcPr>
            <w:tcW w:w="850" w:type="dxa"/>
            <w:tcBorders>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2014-15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5216" w:type="dxa"/>
            <w:tcBorders>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2015-16</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850" w:type="dxa"/>
            <w:tcBorders>
              <w:lef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Revised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budget</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38</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Fair value of assets received free of charge or for nominal consideration</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9</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96</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549</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Fines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588</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757</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36</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Royalties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41</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48</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182</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Donations and gifts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185</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276</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20</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Other non-property rental</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21</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21</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826</w:t>
            </w:r>
          </w:p>
        </w:tc>
        <w:tc>
          <w:tcPr>
            <w:tcW w:w="52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Other miscellaneous revenue</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1 372</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1 629</w:t>
            </w:r>
          </w:p>
        </w:tc>
      </w:tr>
      <w:tr w:rsidR="002C39A3" w:rsidRPr="00F944DD" w:rsidTr="00361FA9">
        <w:tc>
          <w:tcPr>
            <w:tcW w:w="850" w:type="dxa"/>
            <w:tcBorders>
              <w:top w:val="single" w:sz="6" w:space="0" w:color="000000"/>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1 651</w:t>
            </w:r>
          </w:p>
        </w:tc>
        <w:tc>
          <w:tcPr>
            <w:tcW w:w="5216"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other revenue</w:t>
            </w:r>
          </w:p>
        </w:tc>
        <w:tc>
          <w:tcPr>
            <w:tcW w:w="85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2 215</w:t>
            </w:r>
          </w:p>
        </w:tc>
        <w:tc>
          <w:tcPr>
            <w:tcW w:w="850" w:type="dxa"/>
            <w:tcBorders>
              <w:top w:val="single" w:sz="6" w:space="0" w:color="000000"/>
              <w:left w:val="nil"/>
              <w:bottom w:val="single" w:sz="12"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2 828</w:t>
            </w:r>
          </w:p>
        </w:tc>
      </w:tr>
    </w:tbl>
    <w:p w:rsidR="002C39A3" w:rsidRDefault="002C39A3">
      <w:pPr>
        <w:spacing w:after="0"/>
        <w:rPr>
          <w:rFonts w:ascii="Calibri" w:hAnsi="Calibri"/>
          <w:i/>
          <w:sz w:val="18"/>
          <w:szCs w:val="18"/>
        </w:rPr>
      </w:pPr>
    </w:p>
    <w:p w:rsidR="002C39A3" w:rsidRDefault="002C39A3" w:rsidP="00361FA9">
      <w:pPr>
        <w:pStyle w:val="Heading2Notes"/>
      </w:pPr>
      <w:bookmarkStart w:id="71" w:name="_Toc448400815"/>
      <w:r>
        <w:t>Note 7:</w:t>
      </w:r>
      <w:r>
        <w:tab/>
        <w:t>Superannuation</w:t>
      </w:r>
      <w:bookmarkEnd w:id="71"/>
    </w:p>
    <w:p w:rsidR="002C39A3" w:rsidRDefault="002C39A3" w:rsidP="00361FA9">
      <w:pPr>
        <w:pStyle w:val="Tableheading"/>
      </w:pPr>
      <w:r>
        <w:t>(a)</w:t>
      </w:r>
      <w:r>
        <w:tab/>
        <w:t>Superannuation expense recognised in the comprehensive operating statement</w:t>
      </w:r>
    </w:p>
    <w:p w:rsidR="002C39A3" w:rsidRPr="00F944DD" w:rsidRDefault="002C39A3" w:rsidP="00361FA9">
      <w:pPr>
        <w:pStyle w:val="million"/>
        <w:rPr>
          <w:rFonts w:ascii="Garamond" w:hAnsi="Garamond"/>
          <w:b/>
          <w:bCs/>
          <w:i w:val="0"/>
          <w:sz w:val="22"/>
          <w:szCs w:val="22"/>
          <w:lang w:val="en-US"/>
        </w:rPr>
      </w:pPr>
      <w:r>
        <w:t>($ million)</w:t>
      </w:r>
    </w:p>
    <w:tbl>
      <w:tblPr>
        <w:tblW w:w="7766" w:type="dxa"/>
        <w:tblInd w:w="45" w:type="dxa"/>
        <w:tblLayout w:type="fixed"/>
        <w:tblCellMar>
          <w:left w:w="45" w:type="dxa"/>
          <w:right w:w="45" w:type="dxa"/>
        </w:tblCellMar>
        <w:tblLook w:val="0000" w:firstRow="0" w:lastRow="0" w:firstColumn="0" w:lastColumn="0" w:noHBand="0" w:noVBand="0"/>
      </w:tblPr>
      <w:tblGrid>
        <w:gridCol w:w="850"/>
        <w:gridCol w:w="4820"/>
        <w:gridCol w:w="284"/>
        <w:gridCol w:w="962"/>
        <w:gridCol w:w="850"/>
      </w:tblGrid>
      <w:tr w:rsidR="00251C6B" w:rsidRPr="00F944DD" w:rsidTr="00B05C20">
        <w:trPr>
          <w:trHeight w:val="696"/>
          <w:tblHeader/>
        </w:trPr>
        <w:tc>
          <w:tcPr>
            <w:tcW w:w="850" w:type="dxa"/>
            <w:tcBorders>
              <w:right w:val="nil"/>
            </w:tcBorders>
            <w:shd w:val="solid" w:color="000000" w:fill="auto"/>
            <w:vAlign w:val="bottom"/>
          </w:tcPr>
          <w:p w:rsidR="00251C6B" w:rsidRPr="00F944DD" w:rsidRDefault="00251C6B" w:rsidP="00361FA9">
            <w:pPr>
              <w:pStyle w:val="million"/>
              <w:jc w:val="right"/>
              <w:rPr>
                <w:rFonts w:eastAsiaTheme="minorEastAsia" w:cs="Calibri"/>
                <w:iCs/>
                <w:color w:val="FFFFFF"/>
                <w:sz w:val="19"/>
                <w:szCs w:val="19"/>
                <w:lang w:eastAsia="en-AU"/>
              </w:rPr>
            </w:pPr>
            <w:r w:rsidRPr="00F944DD">
              <w:rPr>
                <w:rFonts w:eastAsiaTheme="minorEastAsia" w:cs="Calibri"/>
                <w:iCs/>
                <w:color w:val="FFFFFF"/>
                <w:sz w:val="19"/>
                <w:szCs w:val="19"/>
                <w:lang w:eastAsia="en-AU"/>
              </w:rPr>
              <w:t xml:space="preserve">2014-15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Actual </w:t>
            </w:r>
          </w:p>
          <w:p w:rsidR="00251C6B" w:rsidRPr="00F944DD" w:rsidRDefault="00251C6B" w:rsidP="00361FA9">
            <w:pPr>
              <w:autoSpaceDE w:val="0"/>
              <w:autoSpaceDN w:val="0"/>
              <w:adjustRightInd w:val="0"/>
              <w:spacing w:after="0"/>
              <w:jc w:val="right"/>
              <w:rPr>
                <w:rFonts w:eastAsiaTheme="minorEastAsia" w:cs="Calibr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482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tc>
        <w:tc>
          <w:tcPr>
            <w:tcW w:w="1246" w:type="dxa"/>
            <w:gridSpan w:val="2"/>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2015-16</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850" w:type="dxa"/>
            <w:tcBorders>
              <w:lef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Revised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budget</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482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Defined benefit plans </w:t>
            </w:r>
          </w:p>
        </w:tc>
        <w:tc>
          <w:tcPr>
            <w:tcW w:w="124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762</w:t>
            </w:r>
          </w:p>
        </w:tc>
        <w:tc>
          <w:tcPr>
            <w:tcW w:w="482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Net superannuation interest expense</w:t>
            </w:r>
          </w:p>
        </w:tc>
        <w:tc>
          <w:tcPr>
            <w:tcW w:w="124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660</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878</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554</w:t>
            </w:r>
          </w:p>
        </w:tc>
        <w:tc>
          <w:tcPr>
            <w:tcW w:w="482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Current service cost </w:t>
            </w:r>
          </w:p>
        </w:tc>
        <w:tc>
          <w:tcPr>
            <w:tcW w:w="124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577</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773</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 </w:t>
            </w:r>
          </w:p>
        </w:tc>
        <w:tc>
          <w:tcPr>
            <w:tcW w:w="482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Remeasurements:</w:t>
            </w:r>
          </w:p>
        </w:tc>
        <w:tc>
          <w:tcPr>
            <w:tcW w:w="124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 </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 </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(474)</w:t>
            </w:r>
          </w:p>
        </w:tc>
        <w:tc>
          <w:tcPr>
            <w:tcW w:w="482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Expected return on superannuation assets excluding interest income</w:t>
            </w:r>
          </w:p>
        </w:tc>
        <w:tc>
          <w:tcPr>
            <w:tcW w:w="124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(589)</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(787)</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(1 042)</w:t>
            </w:r>
          </w:p>
        </w:tc>
        <w:tc>
          <w:tcPr>
            <w:tcW w:w="482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Other actuarial (gain)/loss on superannuation assets</w:t>
            </w:r>
          </w:p>
        </w:tc>
        <w:tc>
          <w:tcPr>
            <w:tcW w:w="124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1 211</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1 223</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5 951</w:t>
            </w:r>
          </w:p>
        </w:tc>
        <w:tc>
          <w:tcPr>
            <w:tcW w:w="482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Actuarial and other adjustments to unfunded superannuation liability</w:t>
            </w:r>
          </w:p>
        </w:tc>
        <w:tc>
          <w:tcPr>
            <w:tcW w:w="1246" w:type="dxa"/>
            <w:gridSpan w:val="2"/>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1 355</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1 355</w:t>
            </w:r>
          </w:p>
        </w:tc>
      </w:tr>
      <w:tr w:rsidR="002C39A3" w:rsidRPr="00F944DD" w:rsidTr="00361FA9">
        <w:tc>
          <w:tcPr>
            <w:tcW w:w="850"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5 752</w:t>
            </w:r>
          </w:p>
        </w:tc>
        <w:tc>
          <w:tcPr>
            <w:tcW w:w="482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(gain)/expenses recognised in respect of defined benefit plans</w:t>
            </w:r>
          </w:p>
        </w:tc>
        <w:tc>
          <w:tcPr>
            <w:tcW w:w="1246" w:type="dxa"/>
            <w:gridSpan w:val="2"/>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3 215</w:t>
            </w:r>
          </w:p>
        </w:tc>
        <w:tc>
          <w:tcPr>
            <w:tcW w:w="850"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3 442</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482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Defined contribution plans</w:t>
            </w:r>
          </w:p>
        </w:tc>
        <w:tc>
          <w:tcPr>
            <w:tcW w:w="124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904</w:t>
            </w:r>
          </w:p>
        </w:tc>
        <w:tc>
          <w:tcPr>
            <w:tcW w:w="482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Employer contributions to defined contribution plans </w:t>
            </w:r>
          </w:p>
        </w:tc>
        <w:tc>
          <w:tcPr>
            <w:tcW w:w="124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994</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1 291</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59</w:t>
            </w:r>
          </w:p>
        </w:tc>
        <w:tc>
          <w:tcPr>
            <w:tcW w:w="482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Other (including pensions)</w:t>
            </w:r>
          </w:p>
        </w:tc>
        <w:tc>
          <w:tcPr>
            <w:tcW w:w="1246" w:type="dxa"/>
            <w:gridSpan w:val="2"/>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64</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67</w:t>
            </w:r>
          </w:p>
        </w:tc>
      </w:tr>
      <w:tr w:rsidR="002C39A3" w:rsidRPr="00F944DD" w:rsidTr="00361FA9">
        <w:tc>
          <w:tcPr>
            <w:tcW w:w="850"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963</w:t>
            </w:r>
          </w:p>
        </w:tc>
        <w:tc>
          <w:tcPr>
            <w:tcW w:w="482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expense recognised in respect of defined contribution plans</w:t>
            </w:r>
          </w:p>
        </w:tc>
        <w:tc>
          <w:tcPr>
            <w:tcW w:w="1246" w:type="dxa"/>
            <w:gridSpan w:val="2"/>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1 058</w:t>
            </w:r>
          </w:p>
        </w:tc>
        <w:tc>
          <w:tcPr>
            <w:tcW w:w="850"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1 358</w:t>
            </w:r>
          </w:p>
        </w:tc>
      </w:tr>
      <w:tr w:rsidR="002C39A3" w:rsidRPr="00F944DD" w:rsidTr="00361FA9">
        <w:tc>
          <w:tcPr>
            <w:tcW w:w="850" w:type="dxa"/>
            <w:tcBorders>
              <w:top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6 715</w:t>
            </w:r>
          </w:p>
        </w:tc>
        <w:tc>
          <w:tcPr>
            <w:tcW w:w="4820" w:type="dxa"/>
            <w:tcBorders>
              <w:top w:val="nil"/>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superannuation (gain)/expense recognised in operating statement</w:t>
            </w:r>
          </w:p>
        </w:tc>
        <w:tc>
          <w:tcPr>
            <w:tcW w:w="1246" w:type="dxa"/>
            <w:gridSpan w:val="2"/>
            <w:tcBorders>
              <w:top w:val="nil"/>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4 273</w:t>
            </w:r>
          </w:p>
        </w:tc>
        <w:tc>
          <w:tcPr>
            <w:tcW w:w="850" w:type="dxa"/>
            <w:tcBorders>
              <w:top w:val="nil"/>
              <w:left w:val="nil"/>
              <w:bottom w:val="single" w:sz="12"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4 800</w:t>
            </w:r>
          </w:p>
        </w:tc>
      </w:tr>
      <w:tr w:rsidR="002C39A3" w:rsidRPr="00F944DD" w:rsidTr="00361FA9">
        <w:tc>
          <w:tcPr>
            <w:tcW w:w="850" w:type="dxa"/>
            <w:tcBorders>
              <w:top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4820"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Represented by:</w:t>
            </w:r>
          </w:p>
        </w:tc>
        <w:tc>
          <w:tcPr>
            <w:tcW w:w="1246" w:type="dxa"/>
            <w:gridSpan w:val="2"/>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single" w:sz="12"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762</w:t>
            </w:r>
          </w:p>
        </w:tc>
        <w:tc>
          <w:tcPr>
            <w:tcW w:w="4820"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Superannuation interest expense</w:t>
            </w:r>
          </w:p>
        </w:tc>
        <w:tc>
          <w:tcPr>
            <w:tcW w:w="1246"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660</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878</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1 517</w:t>
            </w:r>
          </w:p>
        </w:tc>
        <w:tc>
          <w:tcPr>
            <w:tcW w:w="482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Other superannuation</w:t>
            </w:r>
          </w:p>
        </w:tc>
        <w:tc>
          <w:tcPr>
            <w:tcW w:w="1246" w:type="dxa"/>
            <w:gridSpan w:val="2"/>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1 635</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2 130</w:t>
            </w:r>
          </w:p>
        </w:tc>
      </w:tr>
      <w:tr w:rsidR="002C39A3" w:rsidRPr="00F944DD" w:rsidTr="00361FA9">
        <w:tc>
          <w:tcPr>
            <w:tcW w:w="850" w:type="dxa"/>
            <w:tcBorders>
              <w:top w:val="single" w:sz="6" w:space="0" w:color="000000"/>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2 279</w:t>
            </w:r>
          </w:p>
        </w:tc>
        <w:tc>
          <w:tcPr>
            <w:tcW w:w="4820"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Superannuation expense from transactions</w:t>
            </w:r>
          </w:p>
        </w:tc>
        <w:tc>
          <w:tcPr>
            <w:tcW w:w="1246" w:type="dxa"/>
            <w:gridSpan w:val="2"/>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2 295</w:t>
            </w:r>
          </w:p>
        </w:tc>
        <w:tc>
          <w:tcPr>
            <w:tcW w:w="850" w:type="dxa"/>
            <w:tcBorders>
              <w:top w:val="single" w:sz="6" w:space="0" w:color="000000"/>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3 008</w:t>
            </w:r>
          </w:p>
        </w:tc>
      </w:tr>
      <w:tr w:rsidR="002C39A3" w:rsidRPr="00F944DD" w:rsidTr="00361FA9">
        <w:tc>
          <w:tcPr>
            <w:tcW w:w="850" w:type="dxa"/>
            <w:tcBorders>
              <w:top w:val="single" w:sz="6" w:space="0" w:color="000000"/>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4 436</w:t>
            </w:r>
          </w:p>
        </w:tc>
        <w:tc>
          <w:tcPr>
            <w:tcW w:w="5104" w:type="dxa"/>
            <w:gridSpan w:val="2"/>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Remeasurement recognised in other comprehensive income</w:t>
            </w:r>
          </w:p>
        </w:tc>
        <w:tc>
          <w:tcPr>
            <w:tcW w:w="962"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1 978</w:t>
            </w:r>
          </w:p>
        </w:tc>
        <w:tc>
          <w:tcPr>
            <w:tcW w:w="850" w:type="dxa"/>
            <w:tcBorders>
              <w:top w:val="single" w:sz="6" w:space="0" w:color="000000"/>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1 791</w:t>
            </w:r>
          </w:p>
        </w:tc>
      </w:tr>
      <w:tr w:rsidR="002C39A3" w:rsidRPr="00F944DD" w:rsidTr="00361FA9">
        <w:tc>
          <w:tcPr>
            <w:tcW w:w="850" w:type="dxa"/>
            <w:tcBorders>
              <w:top w:val="single" w:sz="6" w:space="0" w:color="000000"/>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6 715</w:t>
            </w:r>
          </w:p>
        </w:tc>
        <w:tc>
          <w:tcPr>
            <w:tcW w:w="5104" w:type="dxa"/>
            <w:gridSpan w:val="2"/>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superannuation costs recognised in operating statement</w:t>
            </w:r>
          </w:p>
        </w:tc>
        <w:tc>
          <w:tcPr>
            <w:tcW w:w="962"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4 273</w:t>
            </w:r>
          </w:p>
        </w:tc>
        <w:tc>
          <w:tcPr>
            <w:tcW w:w="850" w:type="dxa"/>
            <w:tcBorders>
              <w:top w:val="single" w:sz="6" w:space="0" w:color="000000"/>
              <w:left w:val="nil"/>
              <w:bottom w:val="single" w:sz="12"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4 800</w:t>
            </w:r>
          </w:p>
        </w:tc>
      </w:tr>
    </w:tbl>
    <w:p w:rsidR="002C39A3" w:rsidRPr="00F32421" w:rsidRDefault="002C39A3" w:rsidP="00361FA9">
      <w:pPr>
        <w:pStyle w:val="million"/>
        <w:jc w:val="left"/>
        <w:rPr>
          <w:rFonts w:ascii="Garamond" w:hAnsi="Garamond"/>
          <w:i w:val="0"/>
          <w:sz w:val="22"/>
          <w:szCs w:val="22"/>
        </w:rPr>
      </w:pPr>
    </w:p>
    <w:p w:rsidR="002C39A3" w:rsidRDefault="002C39A3" w:rsidP="00361FA9">
      <w:pPr>
        <w:pStyle w:val="Tableheading"/>
      </w:pPr>
      <w:r>
        <w:t>(b)</w:t>
      </w:r>
      <w:r>
        <w:tab/>
        <w:t>Superannuation liabilities</w:t>
      </w:r>
    </w:p>
    <w:p w:rsidR="002C39A3" w:rsidRPr="00F944DD" w:rsidRDefault="002C39A3" w:rsidP="00361FA9">
      <w:pPr>
        <w:pStyle w:val="million"/>
        <w:rPr>
          <w:b/>
          <w:bCs/>
          <w:lang w:val="en-US"/>
        </w:rPr>
      </w:pPr>
      <w:r>
        <w:t>($ million)</w:t>
      </w:r>
    </w:p>
    <w:tbl>
      <w:tblPr>
        <w:tblW w:w="7766" w:type="dxa"/>
        <w:tblInd w:w="45" w:type="dxa"/>
        <w:tblLayout w:type="fixed"/>
        <w:tblCellMar>
          <w:left w:w="45" w:type="dxa"/>
          <w:right w:w="45" w:type="dxa"/>
        </w:tblCellMar>
        <w:tblLook w:val="0000" w:firstRow="0" w:lastRow="0" w:firstColumn="0" w:lastColumn="0" w:noHBand="0" w:noVBand="0"/>
      </w:tblPr>
      <w:tblGrid>
        <w:gridCol w:w="850"/>
        <w:gridCol w:w="5216"/>
        <w:gridCol w:w="850"/>
        <w:gridCol w:w="850"/>
      </w:tblGrid>
      <w:tr w:rsidR="00251C6B" w:rsidRPr="00F944DD" w:rsidTr="00F17B52">
        <w:trPr>
          <w:trHeight w:val="696"/>
          <w:tblHeader/>
        </w:trPr>
        <w:tc>
          <w:tcPr>
            <w:tcW w:w="850" w:type="dxa"/>
            <w:tcBorders>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2014-15</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Actual</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5216" w:type="dxa"/>
            <w:tcBorders>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2015-16</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Actual</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850" w:type="dxa"/>
            <w:tcBorders>
              <w:lef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Revised</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budget</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1 000</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Current liability</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1 000</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1 033</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29 881</w:t>
            </w:r>
          </w:p>
        </w:tc>
        <w:tc>
          <w:tcPr>
            <w:tcW w:w="52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Non-current liability</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27 032</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26 854</w:t>
            </w:r>
          </w:p>
        </w:tc>
      </w:tr>
      <w:tr w:rsidR="002C39A3" w:rsidRPr="00F944DD" w:rsidTr="00361FA9">
        <w:tc>
          <w:tcPr>
            <w:tcW w:w="850" w:type="dxa"/>
            <w:tcBorders>
              <w:top w:val="single" w:sz="6" w:space="0" w:color="000000"/>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30 881</w:t>
            </w:r>
          </w:p>
        </w:tc>
        <w:tc>
          <w:tcPr>
            <w:tcW w:w="5216"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superannuation liability</w:t>
            </w:r>
          </w:p>
        </w:tc>
        <w:tc>
          <w:tcPr>
            <w:tcW w:w="850"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28 032</w:t>
            </w:r>
          </w:p>
        </w:tc>
        <w:tc>
          <w:tcPr>
            <w:tcW w:w="850" w:type="dxa"/>
            <w:tcBorders>
              <w:top w:val="single" w:sz="6" w:space="0" w:color="000000"/>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27 888</w:t>
            </w:r>
          </w:p>
        </w:tc>
      </w:tr>
      <w:tr w:rsidR="002C39A3" w:rsidRPr="00F944DD" w:rsidTr="00361FA9">
        <w:tc>
          <w:tcPr>
            <w:tcW w:w="850"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5216"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Represented by:</w:t>
            </w:r>
          </w:p>
        </w:tc>
        <w:tc>
          <w:tcPr>
            <w:tcW w:w="85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29 864</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Emergency Services and State Super</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27 008</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26 869</w:t>
            </w:r>
          </w:p>
        </w:tc>
      </w:tr>
      <w:tr w:rsidR="002C39A3" w:rsidRPr="00F944DD" w:rsidTr="00361FA9">
        <w:tc>
          <w:tcPr>
            <w:tcW w:w="850" w:type="dxa"/>
            <w:tcBorders>
              <w:top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1 017</w:t>
            </w:r>
          </w:p>
        </w:tc>
        <w:tc>
          <w:tcPr>
            <w:tcW w:w="5216" w:type="dxa"/>
            <w:tcBorders>
              <w:top w:val="nil"/>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Other funds</w:t>
            </w:r>
          </w:p>
        </w:tc>
        <w:tc>
          <w:tcPr>
            <w:tcW w:w="850" w:type="dxa"/>
            <w:tcBorders>
              <w:top w:val="nil"/>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1 024</w:t>
            </w:r>
          </w:p>
        </w:tc>
        <w:tc>
          <w:tcPr>
            <w:tcW w:w="850" w:type="dxa"/>
            <w:tcBorders>
              <w:top w:val="nil"/>
              <w:left w:val="nil"/>
              <w:bottom w:val="single" w:sz="12"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1 019</w:t>
            </w:r>
          </w:p>
        </w:tc>
      </w:tr>
    </w:tbl>
    <w:p w:rsidR="002C39A3" w:rsidRDefault="002C39A3">
      <w:pPr>
        <w:spacing w:after="0"/>
        <w:rPr>
          <w:rFonts w:ascii="Calibri" w:hAnsi="Calibri"/>
          <w:i/>
          <w:sz w:val="18"/>
          <w:szCs w:val="18"/>
        </w:rPr>
      </w:pPr>
    </w:p>
    <w:p w:rsidR="002C39A3" w:rsidRDefault="002C39A3" w:rsidP="00361FA9">
      <w:pPr>
        <w:pStyle w:val="Heading2Notes"/>
      </w:pPr>
      <w:bookmarkStart w:id="72" w:name="_Toc448400816"/>
      <w:r>
        <w:t>Note 8:</w:t>
      </w:r>
      <w:r>
        <w:tab/>
        <w:t>Depreciation</w:t>
      </w:r>
      <w:bookmarkEnd w:id="72"/>
    </w:p>
    <w:p w:rsidR="002C39A3" w:rsidRPr="00F944DD" w:rsidRDefault="002C39A3" w:rsidP="00361FA9">
      <w:pPr>
        <w:pStyle w:val="million"/>
        <w:rPr>
          <w:b/>
          <w:bCs/>
          <w:i w:val="0"/>
          <w:lang w:val="en-US"/>
        </w:rPr>
      </w:pPr>
      <w:r>
        <w:t>($ million)</w:t>
      </w:r>
    </w:p>
    <w:tbl>
      <w:tblPr>
        <w:tblW w:w="7766" w:type="dxa"/>
        <w:tblInd w:w="45" w:type="dxa"/>
        <w:tblLayout w:type="fixed"/>
        <w:tblCellMar>
          <w:left w:w="45" w:type="dxa"/>
          <w:right w:w="45" w:type="dxa"/>
        </w:tblCellMar>
        <w:tblLook w:val="0000" w:firstRow="0" w:lastRow="0" w:firstColumn="0" w:lastColumn="0" w:noHBand="0" w:noVBand="0"/>
      </w:tblPr>
      <w:tblGrid>
        <w:gridCol w:w="850"/>
        <w:gridCol w:w="5216"/>
        <w:gridCol w:w="850"/>
        <w:gridCol w:w="850"/>
      </w:tblGrid>
      <w:tr w:rsidR="00251C6B" w:rsidRPr="00F944DD" w:rsidTr="002A334C">
        <w:trPr>
          <w:trHeight w:val="696"/>
          <w:tblHeader/>
        </w:trPr>
        <w:tc>
          <w:tcPr>
            <w:tcW w:w="850" w:type="dxa"/>
            <w:tcBorders>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2014-15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5216" w:type="dxa"/>
            <w:tcBorders>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2015-16</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850" w:type="dxa"/>
            <w:tcBorders>
              <w:lef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Revised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budget</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769</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Buildings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765</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1 049</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67</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Leasehold buildings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64</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101</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20</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Infrastructure systems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26</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29</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417</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Plant, equipment and vehicles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402</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560</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440</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Road and road networks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452</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616</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15</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Cultural assets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11</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19</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82</w:t>
            </w:r>
          </w:p>
        </w:tc>
        <w:tc>
          <w:tcPr>
            <w:tcW w:w="52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vertAlign w:val="superscript"/>
                <w:lang w:eastAsia="en-AU"/>
              </w:rPr>
            </w:pPr>
            <w:r w:rsidRPr="00F944DD">
              <w:rPr>
                <w:rFonts w:ascii="Calibri" w:eastAsiaTheme="minorEastAsia" w:hAnsi="Calibri" w:cs="Calibri"/>
                <w:color w:val="000000"/>
                <w:sz w:val="19"/>
                <w:szCs w:val="19"/>
                <w:lang w:eastAsia="en-AU"/>
              </w:rPr>
              <w:t xml:space="preserve">Intangible produced assets </w:t>
            </w:r>
            <w:r w:rsidRPr="00F944DD">
              <w:rPr>
                <w:rFonts w:ascii="Calibri" w:eastAsiaTheme="minorEastAsia" w:hAnsi="Calibri" w:cs="Calibri"/>
                <w:color w:val="000000"/>
                <w:sz w:val="19"/>
                <w:szCs w:val="19"/>
                <w:vertAlign w:val="superscript"/>
                <w:lang w:eastAsia="en-AU"/>
              </w:rPr>
              <w:t>(a)</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87</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132</w:t>
            </w:r>
          </w:p>
        </w:tc>
      </w:tr>
      <w:tr w:rsidR="002C39A3" w:rsidRPr="00F944DD" w:rsidTr="00361FA9">
        <w:tc>
          <w:tcPr>
            <w:tcW w:w="850" w:type="dxa"/>
            <w:tcBorders>
              <w:top w:val="single" w:sz="6" w:space="0" w:color="000000"/>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1 809</w:t>
            </w:r>
          </w:p>
        </w:tc>
        <w:tc>
          <w:tcPr>
            <w:tcW w:w="5216"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depreciation</w:t>
            </w:r>
          </w:p>
        </w:tc>
        <w:tc>
          <w:tcPr>
            <w:tcW w:w="85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1 806</w:t>
            </w:r>
          </w:p>
        </w:tc>
        <w:tc>
          <w:tcPr>
            <w:tcW w:w="850" w:type="dxa"/>
            <w:tcBorders>
              <w:top w:val="single" w:sz="6" w:space="0" w:color="000000"/>
              <w:left w:val="nil"/>
              <w:bottom w:val="single" w:sz="12"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2 506</w:t>
            </w:r>
          </w:p>
        </w:tc>
      </w:tr>
    </w:tbl>
    <w:p w:rsidR="002C39A3" w:rsidRDefault="002C39A3" w:rsidP="00361FA9">
      <w:pPr>
        <w:pStyle w:val="Notes"/>
      </w:pPr>
      <w:r>
        <w:t>Note:</w:t>
      </w:r>
    </w:p>
    <w:p w:rsidR="002C39A3" w:rsidRDefault="002C39A3" w:rsidP="00361FA9">
      <w:pPr>
        <w:pStyle w:val="Notes"/>
      </w:pPr>
      <w:r>
        <w:t>(a)</w:t>
      </w:r>
      <w:r>
        <w:tab/>
        <w:t>Amortisation of intangible non</w:t>
      </w:r>
      <w:r>
        <w:noBreakHyphen/>
        <w:t>produced assets is included under other economic flows included in the net result.</w:t>
      </w:r>
    </w:p>
    <w:p w:rsidR="002C39A3" w:rsidRDefault="002C39A3" w:rsidP="00361FA9"/>
    <w:p w:rsidR="002C39A3" w:rsidRDefault="002C39A3" w:rsidP="00361FA9"/>
    <w:p w:rsidR="002C39A3" w:rsidRDefault="002C39A3" w:rsidP="00361FA9">
      <w:pPr>
        <w:pStyle w:val="Heading2Notes"/>
        <w:rPr>
          <w:vertAlign w:val="superscript"/>
        </w:rPr>
      </w:pPr>
      <w:bookmarkStart w:id="73" w:name="_Toc448400817"/>
      <w:r>
        <w:t>Note 9:</w:t>
      </w:r>
      <w:r>
        <w:tab/>
        <w:t>Total expenses by government purpose and by department</w:t>
      </w:r>
      <w:bookmarkEnd w:id="73"/>
    </w:p>
    <w:p w:rsidR="002C39A3" w:rsidRPr="004159CD" w:rsidRDefault="002C39A3" w:rsidP="00361FA9">
      <w:pPr>
        <w:pStyle w:val="Tableheading"/>
      </w:pPr>
      <w:r w:rsidRPr="004159CD">
        <w:t>(a)</w:t>
      </w:r>
      <w:r>
        <w:tab/>
      </w:r>
      <w:r w:rsidRPr="004159CD">
        <w:t>Total expenses by government purpose classification</w:t>
      </w:r>
      <w:r w:rsidRPr="00C934DC">
        <w:rPr>
          <w:vertAlign w:val="superscript"/>
        </w:rPr>
        <w:t>(a)</w:t>
      </w:r>
    </w:p>
    <w:p w:rsidR="002C39A3" w:rsidRPr="00F944DD" w:rsidRDefault="002C39A3" w:rsidP="00361FA9">
      <w:pPr>
        <w:pStyle w:val="million"/>
        <w:rPr>
          <w:rFonts w:eastAsiaTheme="minorEastAsia"/>
          <w:b/>
          <w:bCs/>
          <w:lang w:val="en-US" w:eastAsia="en-AU"/>
        </w:rPr>
      </w:pPr>
      <w:r w:rsidRPr="004159CD">
        <w:t>($ million)</w:t>
      </w:r>
    </w:p>
    <w:tbl>
      <w:tblPr>
        <w:tblW w:w="7766" w:type="dxa"/>
        <w:tblInd w:w="45" w:type="dxa"/>
        <w:tblLayout w:type="fixed"/>
        <w:tblCellMar>
          <w:left w:w="45" w:type="dxa"/>
          <w:right w:w="45" w:type="dxa"/>
        </w:tblCellMar>
        <w:tblLook w:val="0000" w:firstRow="0" w:lastRow="0" w:firstColumn="0" w:lastColumn="0" w:noHBand="0" w:noVBand="0"/>
      </w:tblPr>
      <w:tblGrid>
        <w:gridCol w:w="850"/>
        <w:gridCol w:w="5216"/>
        <w:gridCol w:w="850"/>
        <w:gridCol w:w="850"/>
      </w:tblGrid>
      <w:tr w:rsidR="00251C6B" w:rsidRPr="00F944DD" w:rsidTr="00360971">
        <w:trPr>
          <w:trHeight w:val="696"/>
          <w:tblHeader/>
        </w:trPr>
        <w:tc>
          <w:tcPr>
            <w:tcW w:w="850" w:type="dxa"/>
            <w:tcBorders>
              <w:top w:val="nil"/>
              <w:left w:val="nil"/>
              <w:right w:val="nil"/>
            </w:tcBorders>
            <w:shd w:val="solid" w:color="000000" w:fill="auto"/>
            <w:vAlign w:val="bottom"/>
          </w:tcPr>
          <w:p w:rsidR="00251C6B" w:rsidRPr="00F944DD" w:rsidRDefault="00251C6B" w:rsidP="00361FA9">
            <w:pPr>
              <w:pStyle w:val="Notes"/>
              <w:jc w:val="right"/>
              <w:rPr>
                <w:rFonts w:eastAsiaTheme="minorEastAsia" w:cs="Calibri"/>
                <w:iCs/>
                <w:color w:val="FFFFFF"/>
                <w:sz w:val="19"/>
                <w:lang w:eastAsia="en-AU"/>
              </w:rPr>
            </w:pPr>
            <w:r w:rsidRPr="00F944DD">
              <w:rPr>
                <w:rFonts w:eastAsiaTheme="minorEastAsia" w:cs="Calibri"/>
                <w:iCs/>
                <w:color w:val="FFFFFF"/>
                <w:sz w:val="19"/>
                <w:lang w:eastAsia="en-AU"/>
              </w:rPr>
              <w:t>2014-15</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lang w:eastAsia="en-AU"/>
              </w:rPr>
            </w:pPr>
            <w:r w:rsidRPr="00F944DD">
              <w:rPr>
                <w:rFonts w:ascii="Calibri" w:eastAsiaTheme="minorEastAsia" w:hAnsi="Calibri" w:cs="Calibri"/>
                <w:i/>
                <w:iCs/>
                <w:color w:val="FFFFFF"/>
                <w:sz w:val="19"/>
                <w:lang w:eastAsia="en-AU"/>
              </w:rPr>
              <w:t xml:space="preserve">Actual </w:t>
            </w:r>
          </w:p>
          <w:p w:rsidR="00251C6B" w:rsidRPr="00F944DD" w:rsidRDefault="00251C6B" w:rsidP="00361FA9">
            <w:pPr>
              <w:autoSpaceDE w:val="0"/>
              <w:autoSpaceDN w:val="0"/>
              <w:adjustRightInd w:val="0"/>
              <w:spacing w:after="0"/>
              <w:jc w:val="right"/>
              <w:rPr>
                <w:rFonts w:eastAsiaTheme="minorEastAsia" w:cs="Calibri"/>
                <w:iCs/>
                <w:color w:val="FFFFFF"/>
                <w:sz w:val="19"/>
                <w:lang w:eastAsia="en-AU"/>
              </w:rPr>
            </w:pPr>
            <w:r w:rsidRPr="00F944DD">
              <w:rPr>
                <w:rFonts w:ascii="Calibri" w:eastAsiaTheme="minorEastAsia" w:hAnsi="Calibri" w:cs="Calibri"/>
                <w:i/>
                <w:iCs/>
                <w:color w:val="FFFFFF"/>
                <w:sz w:val="19"/>
                <w:lang w:eastAsia="en-AU"/>
              </w:rPr>
              <w:t>to Mar</w:t>
            </w:r>
          </w:p>
        </w:tc>
        <w:tc>
          <w:tcPr>
            <w:tcW w:w="5216" w:type="dxa"/>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lang w:eastAsia="en-AU"/>
              </w:rPr>
            </w:pPr>
            <w:r w:rsidRPr="00F944DD">
              <w:rPr>
                <w:rFonts w:ascii="Calibri" w:eastAsiaTheme="minorEastAsia" w:hAnsi="Calibri" w:cs="Calibri"/>
                <w:i/>
                <w:iCs/>
                <w:color w:val="FFFFFF"/>
                <w:sz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lang w:eastAsia="en-AU"/>
              </w:rPr>
            </w:pPr>
            <w:r w:rsidRPr="00F944DD">
              <w:rPr>
                <w:rFonts w:ascii="Calibri" w:eastAsiaTheme="minorEastAsia" w:hAnsi="Calibri" w:cs="Calibri"/>
                <w:i/>
                <w:iCs/>
                <w:color w:val="FFFFFF"/>
                <w:sz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lang w:eastAsia="en-AU"/>
              </w:rPr>
            </w:pPr>
            <w:r w:rsidRPr="00F944DD">
              <w:rPr>
                <w:rFonts w:ascii="Calibri" w:eastAsiaTheme="minorEastAsia" w:hAnsi="Calibri" w:cs="Calibri"/>
                <w:i/>
                <w:iCs/>
                <w:color w:val="FFFFFF"/>
                <w:sz w:val="19"/>
                <w:lang w:eastAsia="en-AU"/>
              </w:rPr>
              <w:t xml:space="preserve"> </w:t>
            </w:r>
          </w:p>
        </w:tc>
        <w:tc>
          <w:tcPr>
            <w:tcW w:w="850" w:type="dxa"/>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lang w:eastAsia="en-AU"/>
              </w:rPr>
            </w:pPr>
            <w:r w:rsidRPr="00F944DD">
              <w:rPr>
                <w:rFonts w:ascii="Calibri" w:eastAsiaTheme="minorEastAsia" w:hAnsi="Calibri" w:cs="Calibri"/>
                <w:i/>
                <w:iCs/>
                <w:color w:val="FFFFFF"/>
                <w:sz w:val="19"/>
                <w:lang w:eastAsia="en-AU"/>
              </w:rPr>
              <w:t>2015-16</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lang w:eastAsia="en-AU"/>
              </w:rPr>
            </w:pPr>
            <w:r w:rsidRPr="00F944DD">
              <w:rPr>
                <w:rFonts w:ascii="Calibri" w:eastAsiaTheme="minorEastAsia" w:hAnsi="Calibri" w:cs="Calibri"/>
                <w:i/>
                <w:iCs/>
                <w:color w:val="FFFFFF"/>
                <w:sz w:val="19"/>
                <w:lang w:eastAsia="en-AU"/>
              </w:rPr>
              <w:t xml:space="preserve">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lang w:eastAsia="en-AU"/>
              </w:rPr>
            </w:pPr>
            <w:r w:rsidRPr="00F944DD">
              <w:rPr>
                <w:rFonts w:ascii="Calibri" w:eastAsiaTheme="minorEastAsia" w:hAnsi="Calibri" w:cs="Calibri"/>
                <w:i/>
                <w:iCs/>
                <w:color w:val="FFFFFF"/>
                <w:sz w:val="19"/>
                <w:lang w:eastAsia="en-AU"/>
              </w:rPr>
              <w:t>to Mar</w:t>
            </w:r>
          </w:p>
        </w:tc>
        <w:tc>
          <w:tcPr>
            <w:tcW w:w="850" w:type="dxa"/>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lang w:eastAsia="en-AU"/>
              </w:rPr>
            </w:pPr>
            <w:r w:rsidRPr="00F944DD">
              <w:rPr>
                <w:rFonts w:ascii="Calibri" w:eastAsiaTheme="minorEastAsia" w:hAnsi="Calibri" w:cs="Calibri"/>
                <w:i/>
                <w:iCs/>
                <w:color w:val="FFFFFF"/>
                <w:sz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lang w:eastAsia="en-AU"/>
              </w:rPr>
            </w:pPr>
            <w:r w:rsidRPr="00F944DD">
              <w:rPr>
                <w:rFonts w:ascii="Calibri" w:eastAsiaTheme="minorEastAsia" w:hAnsi="Calibri" w:cs="Calibri"/>
                <w:i/>
                <w:iCs/>
                <w:color w:val="FFFFFF"/>
                <w:sz w:val="19"/>
                <w:lang w:eastAsia="en-AU"/>
              </w:rPr>
              <w:t>Revised</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lang w:eastAsia="en-AU"/>
              </w:rPr>
            </w:pPr>
            <w:r w:rsidRPr="00F944DD">
              <w:rPr>
                <w:rFonts w:ascii="Calibri" w:eastAsiaTheme="minorEastAsia" w:hAnsi="Calibri" w:cs="Calibri"/>
                <w:i/>
                <w:iCs/>
                <w:color w:val="FFFFFF"/>
                <w:sz w:val="19"/>
                <w:lang w:eastAsia="en-AU"/>
              </w:rPr>
              <w:t xml:space="preserve">budget  </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1 147</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General public services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1 003</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1 176</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4 200</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Public order and safety</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4 529</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6 345</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10 285</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Education</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10 659</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13 996</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10 173</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 xml:space="preserve">Health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10 989</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15 425</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3 418</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Social security and welfare</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3 280</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4 408</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2 066</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Housing and community amenities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1 860</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2 727</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593</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Recreation and culture</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568</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711</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93</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Fuel and energy</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108</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145</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206</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Agriculture, forestry, fishing, and hunting</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272</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422</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4 455</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vertAlign w:val="superscript"/>
                <w:lang w:eastAsia="en-AU"/>
              </w:rPr>
            </w:pPr>
            <w:r w:rsidRPr="00F944DD">
              <w:rPr>
                <w:rFonts w:ascii="Calibri" w:eastAsiaTheme="minorEastAsia" w:hAnsi="Calibri" w:cs="Calibri"/>
                <w:color w:val="000000"/>
                <w:sz w:val="19"/>
                <w:lang w:eastAsia="en-AU"/>
              </w:rPr>
              <w:t>Transport and communications</w:t>
            </w:r>
            <w:r w:rsidRPr="00F944DD">
              <w:rPr>
                <w:rFonts w:ascii="Calibri" w:eastAsiaTheme="minorEastAsia" w:hAnsi="Calibri" w:cs="Calibri"/>
                <w:color w:val="000000"/>
                <w:sz w:val="19"/>
                <w:vertAlign w:val="superscript"/>
                <w:lang w:eastAsia="en-AU"/>
              </w:rPr>
              <w:t xml:space="preserve">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4 492</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6 352</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835</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Other economic affairs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623</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1 124</w:t>
            </w:r>
          </w:p>
        </w:tc>
      </w:tr>
      <w:tr w:rsidR="002C39A3" w:rsidRPr="00F944DD" w:rsidTr="00361FA9">
        <w:tc>
          <w:tcPr>
            <w:tcW w:w="850"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1 394</w:t>
            </w:r>
          </w:p>
        </w:tc>
        <w:tc>
          <w:tcPr>
            <w:tcW w:w="5216"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vertAlign w:val="superscript"/>
                <w:lang w:eastAsia="en-AU"/>
              </w:rPr>
            </w:pPr>
            <w:r w:rsidRPr="00F944DD">
              <w:rPr>
                <w:rFonts w:ascii="Calibri" w:eastAsiaTheme="minorEastAsia" w:hAnsi="Calibri" w:cs="Calibri"/>
                <w:color w:val="000000"/>
                <w:sz w:val="19"/>
                <w:lang w:eastAsia="en-AU"/>
              </w:rPr>
              <w:t>Other purposes</w:t>
            </w:r>
            <w:r w:rsidRPr="00F944DD">
              <w:rPr>
                <w:rFonts w:ascii="Calibri" w:eastAsiaTheme="minorEastAsia" w:hAnsi="Calibri" w:cs="Calibri"/>
                <w:color w:val="000000"/>
                <w:sz w:val="19"/>
                <w:vertAlign w:val="superscript"/>
                <w:lang w:eastAsia="en-AU"/>
              </w:rPr>
              <w:t xml:space="preserve"> </w:t>
            </w:r>
          </w:p>
        </w:tc>
        <w:tc>
          <w:tcPr>
            <w:tcW w:w="850"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1 249</w:t>
            </w:r>
          </w:p>
        </w:tc>
        <w:tc>
          <w:tcPr>
            <w:tcW w:w="850"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1 753</w:t>
            </w:r>
          </w:p>
        </w:tc>
      </w:tr>
      <w:tr w:rsidR="002C39A3" w:rsidRPr="00F944DD" w:rsidTr="00361FA9">
        <w:tc>
          <w:tcPr>
            <w:tcW w:w="850" w:type="dxa"/>
            <w:tcBorders>
              <w:top w:val="single" w:sz="6" w:space="0" w:color="auto"/>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F944DD">
              <w:rPr>
                <w:rFonts w:ascii="Calibri" w:eastAsiaTheme="minorEastAsia" w:hAnsi="Calibri" w:cs="Calibri"/>
                <w:b/>
                <w:bCs/>
                <w:color w:val="000000"/>
                <w:sz w:val="19"/>
                <w:lang w:eastAsia="en-AU"/>
              </w:rPr>
              <w:t>38 865</w:t>
            </w:r>
          </w:p>
        </w:tc>
        <w:tc>
          <w:tcPr>
            <w:tcW w:w="5216" w:type="dxa"/>
            <w:tcBorders>
              <w:top w:val="single" w:sz="6" w:space="0" w:color="auto"/>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lang w:eastAsia="en-AU"/>
              </w:rPr>
            </w:pPr>
            <w:r w:rsidRPr="00F944DD">
              <w:rPr>
                <w:rFonts w:ascii="Calibri" w:eastAsiaTheme="minorEastAsia" w:hAnsi="Calibri" w:cs="Calibri"/>
                <w:b/>
                <w:bCs/>
                <w:color w:val="000000"/>
                <w:sz w:val="19"/>
                <w:lang w:eastAsia="en-AU"/>
              </w:rPr>
              <w:t xml:space="preserve">Total expenses from transactions </w:t>
            </w:r>
          </w:p>
        </w:tc>
        <w:tc>
          <w:tcPr>
            <w:tcW w:w="850" w:type="dxa"/>
            <w:tcBorders>
              <w:top w:val="single" w:sz="6" w:space="0" w:color="auto"/>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F944DD">
              <w:rPr>
                <w:rFonts w:ascii="Calibri" w:eastAsiaTheme="minorEastAsia" w:hAnsi="Calibri" w:cs="Calibri"/>
                <w:b/>
                <w:bCs/>
                <w:color w:val="000000"/>
                <w:sz w:val="19"/>
                <w:lang w:eastAsia="en-AU"/>
              </w:rPr>
              <w:t>39 633</w:t>
            </w:r>
          </w:p>
        </w:tc>
        <w:tc>
          <w:tcPr>
            <w:tcW w:w="850" w:type="dxa"/>
            <w:tcBorders>
              <w:top w:val="single" w:sz="6" w:space="0" w:color="auto"/>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Pr>
                <w:rFonts w:ascii="Calibri" w:eastAsiaTheme="minorEastAsia" w:hAnsi="Calibri" w:cs="Calibri"/>
                <w:b/>
                <w:bCs/>
                <w:color w:val="000000"/>
                <w:sz w:val="19"/>
                <w:lang w:eastAsia="en-AU"/>
              </w:rPr>
              <w:t>54 582</w:t>
            </w:r>
          </w:p>
        </w:tc>
      </w:tr>
    </w:tbl>
    <w:p w:rsidR="002C39A3" w:rsidRPr="004159CD" w:rsidRDefault="002C39A3" w:rsidP="00361FA9">
      <w:pPr>
        <w:pStyle w:val="Notes"/>
      </w:pPr>
      <w:r w:rsidRPr="004159CD">
        <w:t>Note:</w:t>
      </w:r>
    </w:p>
    <w:p w:rsidR="002C39A3" w:rsidRDefault="002C39A3" w:rsidP="00361FA9">
      <w:pPr>
        <w:pStyle w:val="Notes"/>
        <w:numPr>
          <w:ilvl w:val="0"/>
          <w:numId w:val="11"/>
        </w:numPr>
      </w:pPr>
      <w:r>
        <w:t xml:space="preserve">Note 41 of the </w:t>
      </w:r>
      <w:r w:rsidRPr="00A769CA">
        <w:rPr>
          <w:i w:val="0"/>
        </w:rPr>
        <w:t>201</w:t>
      </w:r>
      <w:r>
        <w:rPr>
          <w:i w:val="0"/>
        </w:rPr>
        <w:t>4</w:t>
      </w:r>
      <w:r>
        <w:rPr>
          <w:i w:val="0"/>
        </w:rPr>
        <w:noBreakHyphen/>
        <w:t xml:space="preserve">15 Financial Report </w:t>
      </w:r>
      <w:r w:rsidRPr="000A2198">
        <w:t>for the State of Victoria</w:t>
      </w:r>
      <w:r>
        <w:t xml:space="preserve"> provides definitions and descriptions of government purpose classifications.</w:t>
      </w:r>
    </w:p>
    <w:p w:rsidR="002C39A3" w:rsidRDefault="002C39A3" w:rsidP="00361FA9">
      <w:pPr>
        <w:pStyle w:val="Heading2Notes"/>
        <w:rPr>
          <w:vertAlign w:val="superscript"/>
        </w:rPr>
      </w:pPr>
    </w:p>
    <w:p w:rsidR="002C39A3" w:rsidRDefault="002C39A3">
      <w:pPr>
        <w:spacing w:after="0"/>
        <w:rPr>
          <w:rFonts w:ascii="Calibri" w:hAnsi="Calibri"/>
          <w:b/>
        </w:rPr>
      </w:pPr>
      <w:r>
        <w:br w:type="page"/>
      </w:r>
    </w:p>
    <w:p w:rsidR="002C39A3" w:rsidRDefault="002C39A3" w:rsidP="00361FA9">
      <w:pPr>
        <w:pStyle w:val="Heading2NotesContd"/>
      </w:pPr>
      <w:r>
        <w:t>Note 9:</w:t>
      </w:r>
      <w:r>
        <w:tab/>
        <w:t xml:space="preserve">Total expenses by government purpose and by department </w:t>
      </w:r>
      <w:r w:rsidRPr="004159CD">
        <w:rPr>
          <w:i/>
        </w:rPr>
        <w:t>(continued)</w:t>
      </w:r>
    </w:p>
    <w:p w:rsidR="002C39A3" w:rsidRPr="004159CD" w:rsidRDefault="002C39A3" w:rsidP="00361FA9">
      <w:pPr>
        <w:pStyle w:val="Tableheading"/>
      </w:pPr>
      <w:r>
        <w:t>(b)</w:t>
      </w:r>
      <w:r w:rsidRPr="004159CD">
        <w:tab/>
        <w:t>Total expenses by department</w:t>
      </w:r>
      <w:r w:rsidRPr="004159CD">
        <w:rPr>
          <w:vertAlign w:val="superscript"/>
        </w:rPr>
        <w:t>(a)</w:t>
      </w:r>
    </w:p>
    <w:p w:rsidR="002C39A3" w:rsidRPr="00F944DD" w:rsidRDefault="002C39A3" w:rsidP="00361FA9">
      <w:pPr>
        <w:pStyle w:val="million"/>
        <w:rPr>
          <w:b/>
          <w:bCs/>
          <w:sz w:val="15"/>
          <w:lang w:val="en-US"/>
        </w:rPr>
      </w:pPr>
      <w:r>
        <w:t>($ million)</w:t>
      </w:r>
    </w:p>
    <w:tbl>
      <w:tblPr>
        <w:tblW w:w="7766" w:type="dxa"/>
        <w:tblInd w:w="45" w:type="dxa"/>
        <w:tblLayout w:type="fixed"/>
        <w:tblCellMar>
          <w:left w:w="45" w:type="dxa"/>
          <w:right w:w="45" w:type="dxa"/>
        </w:tblCellMar>
        <w:tblLook w:val="0000" w:firstRow="0" w:lastRow="0" w:firstColumn="0" w:lastColumn="0" w:noHBand="0" w:noVBand="0"/>
      </w:tblPr>
      <w:tblGrid>
        <w:gridCol w:w="850"/>
        <w:gridCol w:w="5216"/>
        <w:gridCol w:w="850"/>
        <w:gridCol w:w="850"/>
      </w:tblGrid>
      <w:tr w:rsidR="00251C6B" w:rsidRPr="00F944DD" w:rsidTr="00A12F3E">
        <w:trPr>
          <w:trHeight w:val="696"/>
          <w:tblHeader/>
        </w:trPr>
        <w:tc>
          <w:tcPr>
            <w:tcW w:w="850" w:type="dxa"/>
            <w:tcBorders>
              <w:top w:val="nil"/>
              <w:left w:val="nil"/>
              <w:right w:val="nil"/>
            </w:tcBorders>
            <w:shd w:val="solid" w:color="000000" w:fill="auto"/>
            <w:vAlign w:val="bottom"/>
          </w:tcPr>
          <w:p w:rsidR="00251C6B" w:rsidRPr="00F944DD" w:rsidRDefault="00251C6B" w:rsidP="00361FA9">
            <w:pPr>
              <w:pStyle w:val="Notes"/>
              <w:jc w:val="right"/>
              <w:rPr>
                <w:rFonts w:eastAsiaTheme="minorEastAsia" w:cs="Calibri"/>
                <w:iCs/>
                <w:color w:val="FFFFFF"/>
                <w:sz w:val="19"/>
                <w:lang w:eastAsia="en-AU"/>
              </w:rPr>
            </w:pPr>
            <w:r w:rsidRPr="00F944DD">
              <w:rPr>
                <w:rFonts w:eastAsiaTheme="minorEastAsia" w:cs="Calibri"/>
                <w:iCs/>
                <w:color w:val="FFFFFF"/>
                <w:sz w:val="19"/>
                <w:lang w:eastAsia="en-AU"/>
              </w:rPr>
              <w:t>2014-15</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lang w:eastAsia="en-AU"/>
              </w:rPr>
            </w:pPr>
            <w:r w:rsidRPr="00F944DD">
              <w:rPr>
                <w:rFonts w:ascii="Calibri" w:eastAsiaTheme="minorEastAsia" w:hAnsi="Calibri" w:cs="Calibri"/>
                <w:i/>
                <w:iCs/>
                <w:color w:val="FFFFFF"/>
                <w:sz w:val="19"/>
                <w:lang w:eastAsia="en-AU"/>
              </w:rPr>
              <w:t xml:space="preserve">Actual </w:t>
            </w:r>
          </w:p>
          <w:p w:rsidR="00251C6B" w:rsidRPr="00F944DD" w:rsidRDefault="00251C6B" w:rsidP="00361FA9">
            <w:pPr>
              <w:autoSpaceDE w:val="0"/>
              <w:autoSpaceDN w:val="0"/>
              <w:adjustRightInd w:val="0"/>
              <w:spacing w:after="0"/>
              <w:jc w:val="right"/>
              <w:rPr>
                <w:rFonts w:eastAsiaTheme="minorEastAsia" w:cs="Calibri"/>
                <w:iCs/>
                <w:color w:val="FFFFFF"/>
                <w:sz w:val="19"/>
                <w:lang w:eastAsia="en-AU"/>
              </w:rPr>
            </w:pPr>
            <w:r w:rsidRPr="00F944DD">
              <w:rPr>
                <w:rFonts w:ascii="Calibri" w:eastAsiaTheme="minorEastAsia" w:hAnsi="Calibri" w:cs="Calibri"/>
                <w:i/>
                <w:iCs/>
                <w:color w:val="FFFFFF"/>
                <w:sz w:val="19"/>
                <w:lang w:eastAsia="en-AU"/>
              </w:rPr>
              <w:t xml:space="preserve">to Mar </w:t>
            </w:r>
            <w:r w:rsidRPr="00F944DD">
              <w:rPr>
                <w:rFonts w:ascii="Calibri" w:eastAsiaTheme="minorEastAsia" w:hAnsi="Calibri" w:cs="Calibri"/>
                <w:i/>
                <w:iCs/>
                <w:color w:val="FFFFFF"/>
                <w:sz w:val="19"/>
                <w:vertAlign w:val="superscript"/>
                <w:lang w:eastAsia="en-AU"/>
              </w:rPr>
              <w:t>(b)</w:t>
            </w:r>
          </w:p>
        </w:tc>
        <w:tc>
          <w:tcPr>
            <w:tcW w:w="5216" w:type="dxa"/>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lang w:eastAsia="en-AU"/>
              </w:rPr>
            </w:pPr>
            <w:r w:rsidRPr="00F944DD">
              <w:rPr>
                <w:rFonts w:ascii="Calibri" w:eastAsiaTheme="minorEastAsia" w:hAnsi="Calibri" w:cs="Calibri"/>
                <w:i/>
                <w:iCs/>
                <w:color w:val="FFFFFF"/>
                <w:sz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lang w:eastAsia="en-AU"/>
              </w:rPr>
            </w:pPr>
            <w:r w:rsidRPr="00F944DD">
              <w:rPr>
                <w:rFonts w:ascii="Calibri" w:eastAsiaTheme="minorEastAsia" w:hAnsi="Calibri" w:cs="Calibri"/>
                <w:i/>
                <w:iCs/>
                <w:color w:val="FFFFFF"/>
                <w:sz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lang w:eastAsia="en-AU"/>
              </w:rPr>
            </w:pPr>
            <w:r w:rsidRPr="00F944DD">
              <w:rPr>
                <w:rFonts w:ascii="Calibri" w:eastAsiaTheme="minorEastAsia" w:hAnsi="Calibri" w:cs="Calibri"/>
                <w:i/>
                <w:iCs/>
                <w:color w:val="FFFFFF"/>
                <w:sz w:val="19"/>
                <w:lang w:eastAsia="en-AU"/>
              </w:rPr>
              <w:t xml:space="preserve"> </w:t>
            </w:r>
          </w:p>
        </w:tc>
        <w:tc>
          <w:tcPr>
            <w:tcW w:w="850" w:type="dxa"/>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lang w:eastAsia="en-AU"/>
              </w:rPr>
            </w:pPr>
            <w:r w:rsidRPr="00F944DD">
              <w:rPr>
                <w:rFonts w:ascii="Calibri" w:eastAsiaTheme="minorEastAsia" w:hAnsi="Calibri" w:cs="Calibri"/>
                <w:i/>
                <w:iCs/>
                <w:color w:val="FFFFFF"/>
                <w:sz w:val="19"/>
                <w:lang w:eastAsia="en-AU"/>
              </w:rPr>
              <w:t>2015-16</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lang w:eastAsia="en-AU"/>
              </w:rPr>
            </w:pPr>
            <w:r w:rsidRPr="00F944DD">
              <w:rPr>
                <w:rFonts w:ascii="Calibri" w:eastAsiaTheme="minorEastAsia" w:hAnsi="Calibri" w:cs="Calibri"/>
                <w:i/>
                <w:iCs/>
                <w:color w:val="FFFFFF"/>
                <w:sz w:val="19"/>
                <w:lang w:eastAsia="en-AU"/>
              </w:rPr>
              <w:t xml:space="preserve">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lang w:eastAsia="en-AU"/>
              </w:rPr>
            </w:pPr>
            <w:r w:rsidRPr="00F944DD">
              <w:rPr>
                <w:rFonts w:ascii="Calibri" w:eastAsiaTheme="minorEastAsia" w:hAnsi="Calibri" w:cs="Calibri"/>
                <w:i/>
                <w:iCs/>
                <w:color w:val="FFFFFF"/>
                <w:sz w:val="19"/>
                <w:lang w:eastAsia="en-AU"/>
              </w:rPr>
              <w:t>to Mar</w:t>
            </w:r>
          </w:p>
        </w:tc>
        <w:tc>
          <w:tcPr>
            <w:tcW w:w="850" w:type="dxa"/>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lang w:eastAsia="en-AU"/>
              </w:rPr>
            </w:pPr>
            <w:r w:rsidRPr="00F944DD">
              <w:rPr>
                <w:rFonts w:ascii="Calibri" w:eastAsiaTheme="minorEastAsia" w:hAnsi="Calibri" w:cs="Calibri"/>
                <w:i/>
                <w:iCs/>
                <w:color w:val="FFFFFF"/>
                <w:sz w:val="19"/>
                <w:lang w:eastAsia="en-AU"/>
              </w:rPr>
              <w:t>Revised</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lang w:eastAsia="en-AU"/>
              </w:rPr>
            </w:pPr>
            <w:r w:rsidRPr="00F944DD">
              <w:rPr>
                <w:rFonts w:ascii="Calibri" w:eastAsiaTheme="minorEastAsia" w:hAnsi="Calibri" w:cs="Calibri"/>
                <w:i/>
                <w:iCs/>
                <w:color w:val="FFFFFF"/>
                <w:sz w:val="19"/>
                <w:lang w:eastAsia="en-AU"/>
              </w:rPr>
              <w:t xml:space="preserve">budget  </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 xml:space="preserve"> </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lang w:eastAsia="en-AU"/>
              </w:rPr>
            </w:pPr>
            <w:r w:rsidRPr="00F944DD">
              <w:rPr>
                <w:rFonts w:ascii="Calibri" w:eastAsiaTheme="minorEastAsia" w:hAnsi="Calibri" w:cs="Calibri"/>
                <w:b/>
                <w:bCs/>
                <w:color w:val="000000"/>
                <w:sz w:val="19"/>
                <w:lang w:eastAsia="en-AU"/>
              </w:rPr>
              <w:t>Expenses from transactions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 xml:space="preserve">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 xml:space="preserve"> </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2 808</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Economic Development, Jobs, Transport and Resources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5 864</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8 518</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11 443</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Education and Training</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11 940</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15 676</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1 794</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 xml:space="preserve">Environment, Land, Water and Planning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1 916</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2 603</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12 885</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Health and Human Services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15 609</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21 439</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3 949</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Justice and Regulation</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4 164</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5 729</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435</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Premier and Cabinet</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252</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417</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5 493</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 xml:space="preserve">Treasury and Finance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5 464</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6 724</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123</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Parliament</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125</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182</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357</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Courts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367</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542</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1 416</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vertAlign w:val="superscript"/>
                <w:lang w:eastAsia="en-AU"/>
              </w:rPr>
            </w:pPr>
            <w:r w:rsidRPr="00F944DD">
              <w:rPr>
                <w:rFonts w:ascii="Calibri" w:eastAsiaTheme="minorEastAsia" w:hAnsi="Calibri" w:cs="Calibri"/>
                <w:color w:val="000000"/>
                <w:sz w:val="19"/>
                <w:lang w:eastAsia="en-AU"/>
              </w:rPr>
              <w:t xml:space="preserve">Regulatory bodies and other part funded agencies </w:t>
            </w:r>
            <w:r w:rsidRPr="00F944DD">
              <w:rPr>
                <w:rFonts w:ascii="Calibri" w:eastAsiaTheme="minorEastAsia" w:hAnsi="Calibri" w:cs="Calibri"/>
                <w:color w:val="000000"/>
                <w:sz w:val="19"/>
                <w:vertAlign w:val="superscript"/>
                <w:lang w:eastAsia="en-AU"/>
              </w:rPr>
              <w:t>(c)</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1 393</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2 042</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1 923</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Human Services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w:t>
            </w:r>
          </w:p>
        </w:tc>
      </w:tr>
      <w:tr w:rsidR="002C39A3" w:rsidRPr="00F944DD" w:rsidTr="00361FA9">
        <w:tc>
          <w:tcPr>
            <w:tcW w:w="850"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3 457</w:t>
            </w:r>
          </w:p>
        </w:tc>
        <w:tc>
          <w:tcPr>
            <w:tcW w:w="5216"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Transport, Planning and Local Infrastructure</w:t>
            </w:r>
          </w:p>
        </w:tc>
        <w:tc>
          <w:tcPr>
            <w:tcW w:w="850"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w:t>
            </w:r>
          </w:p>
        </w:tc>
      </w:tr>
      <w:tr w:rsidR="002C39A3" w:rsidRPr="00F944DD" w:rsidTr="00361FA9">
        <w:tc>
          <w:tcPr>
            <w:tcW w:w="850" w:type="dxa"/>
            <w:tcBorders>
              <w:top w:val="single" w:sz="6" w:space="0" w:color="auto"/>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F944DD">
              <w:rPr>
                <w:rFonts w:ascii="Calibri" w:eastAsiaTheme="minorEastAsia" w:hAnsi="Calibri" w:cs="Calibri"/>
                <w:b/>
                <w:bCs/>
                <w:color w:val="000000"/>
                <w:sz w:val="19"/>
                <w:lang w:eastAsia="en-AU"/>
              </w:rPr>
              <w:t>46 084</w:t>
            </w:r>
          </w:p>
        </w:tc>
        <w:tc>
          <w:tcPr>
            <w:tcW w:w="5216" w:type="dxa"/>
            <w:tcBorders>
              <w:top w:val="single" w:sz="6" w:space="0" w:color="auto"/>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lang w:eastAsia="en-AU"/>
              </w:rPr>
            </w:pPr>
            <w:r w:rsidRPr="00F944DD">
              <w:rPr>
                <w:rFonts w:ascii="Calibri" w:eastAsiaTheme="minorEastAsia" w:hAnsi="Calibri" w:cs="Calibri"/>
                <w:b/>
                <w:bCs/>
                <w:color w:val="000000"/>
                <w:sz w:val="19"/>
                <w:lang w:eastAsia="en-AU"/>
              </w:rPr>
              <w:t xml:space="preserve">Total expenses by department </w:t>
            </w:r>
          </w:p>
        </w:tc>
        <w:tc>
          <w:tcPr>
            <w:tcW w:w="850" w:type="dxa"/>
            <w:tcBorders>
              <w:top w:val="single" w:sz="6" w:space="0" w:color="auto"/>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F944DD">
              <w:rPr>
                <w:rFonts w:ascii="Calibri" w:eastAsiaTheme="minorEastAsia" w:hAnsi="Calibri" w:cs="Calibri"/>
                <w:b/>
                <w:bCs/>
                <w:color w:val="000000"/>
                <w:sz w:val="19"/>
                <w:lang w:eastAsia="en-AU"/>
              </w:rPr>
              <w:t>47 093</w:t>
            </w:r>
          </w:p>
        </w:tc>
        <w:tc>
          <w:tcPr>
            <w:tcW w:w="850" w:type="dxa"/>
            <w:tcBorders>
              <w:top w:val="single" w:sz="6" w:space="0" w:color="auto"/>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F944DD">
              <w:rPr>
                <w:rFonts w:ascii="Calibri" w:eastAsiaTheme="minorEastAsia" w:hAnsi="Calibri" w:cs="Calibri"/>
                <w:b/>
                <w:bCs/>
                <w:color w:val="000000"/>
                <w:sz w:val="19"/>
                <w:lang w:eastAsia="en-AU"/>
              </w:rPr>
              <w:t>63 872</w:t>
            </w:r>
          </w:p>
        </w:tc>
      </w:tr>
      <w:tr w:rsidR="002C39A3" w:rsidRPr="00F944DD" w:rsidTr="00361FA9">
        <w:tc>
          <w:tcPr>
            <w:tcW w:w="850"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(7 219)</w:t>
            </w:r>
          </w:p>
        </w:tc>
        <w:tc>
          <w:tcPr>
            <w:tcW w:w="5216"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i/>
                <w:iCs/>
                <w:color w:val="000000"/>
                <w:sz w:val="19"/>
                <w:vertAlign w:val="superscript"/>
                <w:lang w:eastAsia="en-AU"/>
              </w:rPr>
            </w:pPr>
            <w:r w:rsidRPr="00F944DD">
              <w:rPr>
                <w:rFonts w:ascii="Calibri" w:eastAsiaTheme="minorEastAsia" w:hAnsi="Calibri" w:cs="Calibri"/>
                <w:i/>
                <w:iCs/>
                <w:color w:val="000000"/>
                <w:sz w:val="19"/>
                <w:lang w:eastAsia="en-AU"/>
              </w:rPr>
              <w:t xml:space="preserve">Less eliminations and adjustments </w:t>
            </w:r>
            <w:r w:rsidRPr="00F944DD">
              <w:rPr>
                <w:rFonts w:ascii="Calibri" w:eastAsiaTheme="minorEastAsia" w:hAnsi="Calibri" w:cs="Calibri"/>
                <w:i/>
                <w:iCs/>
                <w:color w:val="000000"/>
                <w:sz w:val="19"/>
                <w:vertAlign w:val="superscript"/>
                <w:lang w:eastAsia="en-AU"/>
              </w:rPr>
              <w:t>(d)</w:t>
            </w:r>
          </w:p>
        </w:tc>
        <w:tc>
          <w:tcPr>
            <w:tcW w:w="850"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(7 460)</w:t>
            </w:r>
          </w:p>
        </w:tc>
        <w:tc>
          <w:tcPr>
            <w:tcW w:w="850"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lang w:eastAsia="en-AU"/>
              </w:rPr>
            </w:pPr>
            <w:r w:rsidRPr="00F944DD">
              <w:rPr>
                <w:rFonts w:ascii="Calibri" w:eastAsiaTheme="minorEastAsia" w:hAnsi="Calibri" w:cs="Calibri"/>
                <w:color w:val="000000"/>
                <w:sz w:val="19"/>
                <w:lang w:eastAsia="en-AU"/>
              </w:rPr>
              <w:t>(9 290)</w:t>
            </w:r>
          </w:p>
        </w:tc>
      </w:tr>
      <w:tr w:rsidR="002C39A3" w:rsidRPr="00F944DD" w:rsidTr="00361FA9">
        <w:tc>
          <w:tcPr>
            <w:tcW w:w="850" w:type="dxa"/>
            <w:tcBorders>
              <w:top w:val="single" w:sz="6" w:space="0" w:color="auto"/>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F944DD">
              <w:rPr>
                <w:rFonts w:ascii="Calibri" w:eastAsiaTheme="minorEastAsia" w:hAnsi="Calibri" w:cs="Calibri"/>
                <w:b/>
                <w:bCs/>
                <w:color w:val="000000"/>
                <w:sz w:val="19"/>
                <w:lang w:eastAsia="en-AU"/>
              </w:rPr>
              <w:t>38 865</w:t>
            </w:r>
          </w:p>
        </w:tc>
        <w:tc>
          <w:tcPr>
            <w:tcW w:w="5216" w:type="dxa"/>
            <w:tcBorders>
              <w:top w:val="single" w:sz="6" w:space="0" w:color="auto"/>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lang w:eastAsia="en-AU"/>
              </w:rPr>
            </w:pPr>
            <w:r w:rsidRPr="00F944DD">
              <w:rPr>
                <w:rFonts w:ascii="Calibri" w:eastAsiaTheme="minorEastAsia" w:hAnsi="Calibri" w:cs="Calibri"/>
                <w:b/>
                <w:bCs/>
                <w:color w:val="000000"/>
                <w:sz w:val="19"/>
                <w:lang w:eastAsia="en-AU"/>
              </w:rPr>
              <w:t>Total expenses from transactions</w:t>
            </w:r>
          </w:p>
        </w:tc>
        <w:tc>
          <w:tcPr>
            <w:tcW w:w="850" w:type="dxa"/>
            <w:tcBorders>
              <w:top w:val="single" w:sz="6" w:space="0" w:color="auto"/>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F944DD">
              <w:rPr>
                <w:rFonts w:ascii="Calibri" w:eastAsiaTheme="minorEastAsia" w:hAnsi="Calibri" w:cs="Calibri"/>
                <w:b/>
                <w:bCs/>
                <w:color w:val="000000"/>
                <w:sz w:val="19"/>
                <w:lang w:eastAsia="en-AU"/>
              </w:rPr>
              <w:t>39 633</w:t>
            </w:r>
          </w:p>
        </w:tc>
        <w:tc>
          <w:tcPr>
            <w:tcW w:w="850" w:type="dxa"/>
            <w:tcBorders>
              <w:top w:val="single" w:sz="6" w:space="0" w:color="auto"/>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lang w:eastAsia="en-AU"/>
              </w:rPr>
            </w:pPr>
            <w:r w:rsidRPr="00F944DD">
              <w:rPr>
                <w:rFonts w:ascii="Calibri" w:eastAsiaTheme="minorEastAsia" w:hAnsi="Calibri" w:cs="Calibri"/>
                <w:b/>
                <w:bCs/>
                <w:color w:val="000000"/>
                <w:sz w:val="19"/>
                <w:lang w:eastAsia="en-AU"/>
              </w:rPr>
              <w:t>54 582</w:t>
            </w:r>
          </w:p>
        </w:tc>
      </w:tr>
    </w:tbl>
    <w:p w:rsidR="002C39A3" w:rsidRDefault="002C39A3" w:rsidP="00361FA9">
      <w:pPr>
        <w:pStyle w:val="Notes"/>
      </w:pPr>
      <w:r>
        <w:t>Notes:</w:t>
      </w:r>
    </w:p>
    <w:p w:rsidR="002C39A3" w:rsidRPr="00BA4C01" w:rsidRDefault="002C39A3" w:rsidP="00361FA9">
      <w:pPr>
        <w:pStyle w:val="Notes"/>
      </w:pPr>
      <w:r w:rsidRPr="00A34C10">
        <w:t>(a)</w:t>
      </w:r>
      <w:r w:rsidRPr="00A34C10">
        <w:tab/>
      </w:r>
      <w:r w:rsidRPr="00BA4C01">
        <w:t>On 4 December 2014, the Premier announced machinery of government changes effective from 1 January 2015. The following Victorian government departments were affected:</w:t>
      </w:r>
    </w:p>
    <w:p w:rsidR="002C39A3" w:rsidRPr="00424F91" w:rsidRDefault="002C39A3" w:rsidP="00361FA9">
      <w:pPr>
        <w:pStyle w:val="NotesDash"/>
        <w:tabs>
          <w:tab w:val="num" w:pos="752"/>
        </w:tabs>
        <w:ind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Department of Education and Early Childhood Dev</w:t>
      </w:r>
      <w:r>
        <w:rPr>
          <w:rFonts w:asciiTheme="minorHAnsi" w:hAnsiTheme="minorHAnsi" w:cstheme="minorHAnsi"/>
        </w:rPr>
        <w:t xml:space="preserve">elopment was renamed </w:t>
      </w:r>
      <w:r w:rsidRPr="00424F91">
        <w:rPr>
          <w:rFonts w:asciiTheme="minorHAnsi" w:hAnsiTheme="minorHAnsi" w:cstheme="minorHAnsi"/>
        </w:rPr>
        <w:t xml:space="preserve">the Department of Education and Training; </w:t>
      </w:r>
    </w:p>
    <w:p w:rsidR="002C39A3" w:rsidRPr="00424F91" w:rsidRDefault="002C39A3" w:rsidP="00361FA9">
      <w:pPr>
        <w:pStyle w:val="NotesDash"/>
        <w:tabs>
          <w:tab w:val="num" w:pos="752"/>
        </w:tabs>
        <w:ind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Department of Environment and P</w:t>
      </w:r>
      <w:r>
        <w:rPr>
          <w:rFonts w:asciiTheme="minorHAnsi" w:hAnsiTheme="minorHAnsi" w:cstheme="minorHAnsi"/>
        </w:rPr>
        <w:t>rimary Industries was renamed</w:t>
      </w:r>
      <w:r w:rsidRPr="00424F91">
        <w:rPr>
          <w:rFonts w:asciiTheme="minorHAnsi" w:hAnsiTheme="minorHAnsi" w:cstheme="minorHAnsi"/>
        </w:rPr>
        <w:t xml:space="preserve"> the Department of Environment, Land, Water and Planning; </w:t>
      </w:r>
    </w:p>
    <w:p w:rsidR="002C39A3" w:rsidRPr="00424F91" w:rsidRDefault="002C39A3" w:rsidP="00361FA9">
      <w:pPr>
        <w:pStyle w:val="NotesDash"/>
        <w:tabs>
          <w:tab w:val="num" w:pos="752"/>
        </w:tabs>
        <w:ind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w:t>
      </w:r>
      <w:r>
        <w:rPr>
          <w:rFonts w:asciiTheme="minorHAnsi" w:hAnsiTheme="minorHAnsi" w:cstheme="minorHAnsi"/>
        </w:rPr>
        <w:t>artment of Health was renamed</w:t>
      </w:r>
      <w:r w:rsidRPr="00424F91">
        <w:rPr>
          <w:rFonts w:asciiTheme="minorHAnsi" w:hAnsiTheme="minorHAnsi" w:cstheme="minorHAnsi"/>
        </w:rPr>
        <w:t xml:space="preserve"> the Department of Health and Human Services; </w:t>
      </w:r>
    </w:p>
    <w:p w:rsidR="002C39A3" w:rsidRPr="00424F91" w:rsidRDefault="002C39A3" w:rsidP="00361FA9">
      <w:pPr>
        <w:pStyle w:val="NotesDash"/>
        <w:tabs>
          <w:tab w:val="num" w:pos="752"/>
        </w:tabs>
        <w:ind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Depar</w:t>
      </w:r>
      <w:r>
        <w:rPr>
          <w:rFonts w:asciiTheme="minorHAnsi" w:hAnsiTheme="minorHAnsi" w:cstheme="minorHAnsi"/>
        </w:rPr>
        <w:t xml:space="preserve">tment of Justice was renamed </w:t>
      </w:r>
      <w:r w:rsidRPr="00424F91">
        <w:rPr>
          <w:rFonts w:asciiTheme="minorHAnsi" w:hAnsiTheme="minorHAnsi" w:cstheme="minorHAnsi"/>
        </w:rPr>
        <w:t xml:space="preserve">the Department of Justice and Regulation; </w:t>
      </w:r>
    </w:p>
    <w:p w:rsidR="002C39A3" w:rsidRPr="00424F91" w:rsidRDefault="002C39A3" w:rsidP="00361FA9">
      <w:pPr>
        <w:pStyle w:val="NotesDash"/>
        <w:tabs>
          <w:tab w:val="num" w:pos="752"/>
        </w:tabs>
        <w:ind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Department of State Development, Busines</w:t>
      </w:r>
      <w:r>
        <w:rPr>
          <w:rFonts w:asciiTheme="minorHAnsi" w:hAnsiTheme="minorHAnsi" w:cstheme="minorHAnsi"/>
        </w:rPr>
        <w:t xml:space="preserve">s and Innovation was renamed </w:t>
      </w:r>
      <w:r w:rsidRPr="00424F91">
        <w:rPr>
          <w:rFonts w:asciiTheme="minorHAnsi" w:hAnsiTheme="minorHAnsi" w:cstheme="minorHAnsi"/>
        </w:rPr>
        <w:t>the Department of Economic Development, Jobs, Transport and Resources;</w:t>
      </w:r>
    </w:p>
    <w:p w:rsidR="002C39A3" w:rsidRPr="00424F91" w:rsidRDefault="002C39A3" w:rsidP="00361FA9">
      <w:pPr>
        <w:pStyle w:val="NotesDash"/>
        <w:tabs>
          <w:tab w:val="num" w:pos="752"/>
        </w:tabs>
        <w:ind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 xml:space="preserve">Department of Human Services </w:t>
      </w:r>
      <w:r>
        <w:rPr>
          <w:rFonts w:asciiTheme="minorHAnsi" w:hAnsiTheme="minorHAnsi" w:cstheme="minorHAnsi"/>
        </w:rPr>
        <w:t>was abolished</w:t>
      </w:r>
      <w:r w:rsidRPr="00424F91">
        <w:rPr>
          <w:rFonts w:asciiTheme="minorHAnsi" w:hAnsiTheme="minorHAnsi" w:cstheme="minorHAnsi"/>
        </w:rPr>
        <w:t>; and</w:t>
      </w:r>
    </w:p>
    <w:p w:rsidR="002C39A3" w:rsidRPr="00424F91" w:rsidRDefault="002C39A3" w:rsidP="00361FA9">
      <w:pPr>
        <w:pStyle w:val="NotesDash"/>
        <w:tabs>
          <w:tab w:val="num" w:pos="752"/>
        </w:tabs>
        <w:ind w:hanging="266"/>
        <w:rPr>
          <w:rFonts w:asciiTheme="minorHAnsi" w:hAnsiTheme="minorHAnsi" w:cstheme="minorHAnsi"/>
        </w:rPr>
      </w:pPr>
      <w:r>
        <w:rPr>
          <w:rFonts w:asciiTheme="minorHAnsi" w:hAnsiTheme="minorHAnsi" w:cstheme="minorHAnsi"/>
        </w:rPr>
        <w:t xml:space="preserve">the </w:t>
      </w:r>
      <w:r w:rsidRPr="00424F91">
        <w:rPr>
          <w:rFonts w:asciiTheme="minorHAnsi" w:hAnsiTheme="minorHAnsi" w:cstheme="minorHAnsi"/>
        </w:rPr>
        <w:t>Department of Transport, Planning and Local Infrastructure</w:t>
      </w:r>
      <w:r>
        <w:rPr>
          <w:rFonts w:asciiTheme="minorHAnsi" w:hAnsiTheme="minorHAnsi" w:cstheme="minorHAnsi"/>
        </w:rPr>
        <w:t xml:space="preserve"> was abolished</w:t>
      </w:r>
      <w:r w:rsidRPr="00424F91">
        <w:rPr>
          <w:rFonts w:asciiTheme="minorHAnsi" w:hAnsiTheme="minorHAnsi" w:cstheme="minorHAnsi"/>
        </w:rPr>
        <w:t>.</w:t>
      </w:r>
    </w:p>
    <w:p w:rsidR="002C39A3" w:rsidRDefault="002C39A3" w:rsidP="00361FA9">
      <w:pPr>
        <w:pStyle w:val="Notes"/>
        <w:rPr>
          <w:lang w:eastAsia="en-AU"/>
        </w:rPr>
      </w:pPr>
      <w:r>
        <w:rPr>
          <w:lang w:eastAsia="en-AU"/>
        </w:rPr>
        <w:tab/>
      </w:r>
      <w:r w:rsidRPr="00424F91">
        <w:rPr>
          <w:lang w:eastAsia="en-AU"/>
        </w:rPr>
        <w:t xml:space="preserve">The two </w:t>
      </w:r>
      <w:r>
        <w:rPr>
          <w:lang w:eastAsia="en-AU"/>
        </w:rPr>
        <w:t xml:space="preserve">abolished </w:t>
      </w:r>
      <w:r w:rsidRPr="00424F91">
        <w:rPr>
          <w:lang w:eastAsia="en-AU"/>
        </w:rPr>
        <w:t>departments had their functions and operations transferred to other Victorian government departments. Functions and operations of the Department of Human Services were transferred to the Department of Heal</w:t>
      </w:r>
      <w:r>
        <w:rPr>
          <w:lang w:eastAsia="en-AU"/>
        </w:rPr>
        <w:t xml:space="preserve">th and Human Services </w:t>
      </w:r>
      <w:r w:rsidRPr="00424F91">
        <w:rPr>
          <w:lang w:eastAsia="en-AU"/>
        </w:rPr>
        <w:t xml:space="preserve">and </w:t>
      </w:r>
      <w:r>
        <w:rPr>
          <w:lang w:eastAsia="en-AU"/>
        </w:rPr>
        <w:t xml:space="preserve">to </w:t>
      </w:r>
      <w:r w:rsidRPr="00424F91">
        <w:rPr>
          <w:lang w:eastAsia="en-AU"/>
        </w:rPr>
        <w:t xml:space="preserve">the Department </w:t>
      </w:r>
      <w:r>
        <w:rPr>
          <w:lang w:eastAsia="en-AU"/>
        </w:rPr>
        <w:t>of Premier and Cabinet.</w:t>
      </w:r>
      <w:r w:rsidRPr="00424F91">
        <w:rPr>
          <w:lang w:eastAsia="en-AU"/>
        </w:rPr>
        <w:t xml:space="preserve"> Functions and operations of the Department of Transport, Planning and Local Infrastructure were transferred to </w:t>
      </w:r>
      <w:r>
        <w:rPr>
          <w:lang w:eastAsia="en-AU"/>
        </w:rPr>
        <w:t xml:space="preserve">the </w:t>
      </w:r>
      <w:r w:rsidRPr="00424F91">
        <w:rPr>
          <w:lang w:eastAsia="en-AU"/>
        </w:rPr>
        <w:t>Department of Environment, La</w:t>
      </w:r>
      <w:r>
        <w:rPr>
          <w:lang w:eastAsia="en-AU"/>
        </w:rPr>
        <w:t>nd, Water and Planning</w:t>
      </w:r>
      <w:r w:rsidRPr="00424F91">
        <w:rPr>
          <w:lang w:eastAsia="en-AU"/>
        </w:rPr>
        <w:t>, the Department of Heal</w:t>
      </w:r>
      <w:r>
        <w:rPr>
          <w:lang w:eastAsia="en-AU"/>
        </w:rPr>
        <w:t xml:space="preserve">th and Human Services </w:t>
      </w:r>
      <w:r w:rsidRPr="00424F91">
        <w:rPr>
          <w:lang w:eastAsia="en-AU"/>
        </w:rPr>
        <w:t xml:space="preserve">and </w:t>
      </w:r>
      <w:r>
        <w:rPr>
          <w:lang w:eastAsia="en-AU"/>
        </w:rPr>
        <w:t xml:space="preserve">to </w:t>
      </w:r>
      <w:r w:rsidRPr="00424F91">
        <w:rPr>
          <w:lang w:eastAsia="en-AU"/>
        </w:rPr>
        <w:t>the Department of Economic Development, Jobs, T</w:t>
      </w:r>
      <w:r>
        <w:rPr>
          <w:lang w:eastAsia="en-AU"/>
        </w:rPr>
        <w:t>ransport and Resources</w:t>
      </w:r>
      <w:r w:rsidRPr="00424F91">
        <w:rPr>
          <w:lang w:eastAsia="en-AU"/>
        </w:rPr>
        <w:t xml:space="preserve">. Certain functions and operations of </w:t>
      </w:r>
      <w:r>
        <w:rPr>
          <w:lang w:eastAsia="en-AU"/>
        </w:rPr>
        <w:t>continuing</w:t>
      </w:r>
      <w:r w:rsidRPr="00424F91">
        <w:rPr>
          <w:lang w:eastAsia="en-AU"/>
        </w:rPr>
        <w:t xml:space="preserve"> Victorian government departments were also transferred </w:t>
      </w:r>
      <w:r>
        <w:rPr>
          <w:lang w:eastAsia="en-AU"/>
        </w:rPr>
        <w:t xml:space="preserve">amongst departments </w:t>
      </w:r>
      <w:r w:rsidRPr="00424F91">
        <w:rPr>
          <w:lang w:eastAsia="en-AU"/>
        </w:rPr>
        <w:t xml:space="preserve">as part of the </w:t>
      </w:r>
      <w:r>
        <w:rPr>
          <w:lang w:eastAsia="en-AU"/>
        </w:rPr>
        <w:t xml:space="preserve">machinery of government changes. </w:t>
      </w:r>
    </w:p>
    <w:p w:rsidR="002C39A3" w:rsidRPr="00A34C10" w:rsidRDefault="002C39A3" w:rsidP="00361FA9">
      <w:pPr>
        <w:pStyle w:val="Notes"/>
      </w:pPr>
      <w:r>
        <w:t>(b)</w:t>
      </w:r>
      <w:r>
        <w:tab/>
        <w:t>The March 2015</w:t>
      </w:r>
      <w:r w:rsidRPr="00A34C10">
        <w:t xml:space="preserve"> comparative figu</w:t>
      </w:r>
      <w:r>
        <w:t>res have been updated to reflect more c</w:t>
      </w:r>
      <w:r w:rsidRPr="00A34C10">
        <w:t>urrent information.</w:t>
      </w:r>
    </w:p>
    <w:p w:rsidR="002C39A3" w:rsidRDefault="002C39A3" w:rsidP="00361FA9">
      <w:pPr>
        <w:pStyle w:val="Notes"/>
      </w:pPr>
      <w:r>
        <w:t xml:space="preserve">(c) </w:t>
      </w:r>
      <w:r>
        <w:tab/>
        <w:t>Other general government sector agencies, which receive less than 50 per cent of their revenue from appropriations and therefore not allocated to departments.</w:t>
      </w:r>
    </w:p>
    <w:p w:rsidR="002C39A3" w:rsidRDefault="002C39A3" w:rsidP="00361FA9">
      <w:pPr>
        <w:pStyle w:val="Notes"/>
      </w:pPr>
      <w:r>
        <w:t xml:space="preserve">(d) </w:t>
      </w:r>
      <w:r>
        <w:tab/>
        <w:t xml:space="preserve">Mainly comprising payroll tax, </w:t>
      </w:r>
      <w:r w:rsidRPr="00193E48">
        <w:t>capital</w:t>
      </w:r>
      <w:r>
        <w:t xml:space="preserve"> asset charge and inter</w:t>
      </w:r>
      <w:r>
        <w:noBreakHyphen/>
        <w:t>departmental transfers.</w:t>
      </w:r>
    </w:p>
    <w:p w:rsidR="002C39A3" w:rsidRPr="000F2970" w:rsidRDefault="002C39A3" w:rsidP="00361FA9">
      <w:pPr>
        <w:pStyle w:val="million"/>
      </w:pPr>
    </w:p>
    <w:p w:rsidR="002C39A3" w:rsidRDefault="002C39A3">
      <w:pPr>
        <w:spacing w:after="0"/>
        <w:rPr>
          <w:rFonts w:ascii="Calibri" w:hAnsi="Calibri"/>
          <w:i/>
          <w:sz w:val="18"/>
          <w:szCs w:val="18"/>
        </w:rPr>
      </w:pPr>
      <w:r>
        <w:br w:type="page"/>
      </w:r>
    </w:p>
    <w:p w:rsidR="002C39A3" w:rsidRDefault="002C39A3" w:rsidP="00361FA9">
      <w:pPr>
        <w:pStyle w:val="Heading2Notes"/>
      </w:pPr>
      <w:bookmarkStart w:id="74" w:name="_Toc448400818"/>
      <w:r>
        <w:t>Note 10:</w:t>
      </w:r>
      <w:r>
        <w:tab/>
        <w:t>Other gains/(losses) from other economic flows</w:t>
      </w:r>
      <w:bookmarkEnd w:id="74"/>
    </w:p>
    <w:p w:rsidR="002C39A3" w:rsidRPr="00F944DD" w:rsidRDefault="002C39A3" w:rsidP="00361FA9">
      <w:pPr>
        <w:pStyle w:val="million"/>
        <w:rPr>
          <w:b/>
          <w:bCs/>
          <w:i w:val="0"/>
          <w:lang w:val="en-US"/>
        </w:rPr>
      </w:pPr>
      <w:r>
        <w:t>($ million)</w:t>
      </w:r>
    </w:p>
    <w:tbl>
      <w:tblPr>
        <w:tblW w:w="7766" w:type="dxa"/>
        <w:tblInd w:w="45" w:type="dxa"/>
        <w:tblLayout w:type="fixed"/>
        <w:tblCellMar>
          <w:left w:w="45" w:type="dxa"/>
          <w:right w:w="45" w:type="dxa"/>
        </w:tblCellMar>
        <w:tblLook w:val="0000" w:firstRow="0" w:lastRow="0" w:firstColumn="0" w:lastColumn="0" w:noHBand="0" w:noVBand="0"/>
      </w:tblPr>
      <w:tblGrid>
        <w:gridCol w:w="850"/>
        <w:gridCol w:w="5216"/>
        <w:gridCol w:w="850"/>
        <w:gridCol w:w="850"/>
      </w:tblGrid>
      <w:tr w:rsidR="00251C6B" w:rsidRPr="00F944DD" w:rsidTr="002962A8">
        <w:trPr>
          <w:trHeight w:val="696"/>
          <w:tblHeader/>
        </w:trPr>
        <w:tc>
          <w:tcPr>
            <w:tcW w:w="850" w:type="dxa"/>
            <w:tcBorders>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2014-15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5216" w:type="dxa"/>
            <w:tcBorders>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2015-16</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850" w:type="dxa"/>
            <w:tcBorders>
              <w:lef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Revised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budget</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(217)</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Net (increase)/decrease in provision for doubtful receivables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(212)</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(166)</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Amortisation of intangible non-produced assets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(76)</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Bad debts written off</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(92)</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(154)</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(200)</w:t>
            </w:r>
          </w:p>
        </w:tc>
        <w:tc>
          <w:tcPr>
            <w:tcW w:w="521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Other gains/(losses)</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(77)</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19</w:t>
            </w:r>
          </w:p>
        </w:tc>
      </w:tr>
      <w:tr w:rsidR="002C39A3" w:rsidRPr="00F944DD" w:rsidTr="00361FA9">
        <w:tc>
          <w:tcPr>
            <w:tcW w:w="850" w:type="dxa"/>
            <w:tcBorders>
              <w:top w:val="single" w:sz="6" w:space="0" w:color="000000"/>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(495)</w:t>
            </w:r>
          </w:p>
        </w:tc>
        <w:tc>
          <w:tcPr>
            <w:tcW w:w="5216"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other gains/(losses) from other economic flows</w:t>
            </w:r>
          </w:p>
        </w:tc>
        <w:tc>
          <w:tcPr>
            <w:tcW w:w="85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(385)</w:t>
            </w:r>
          </w:p>
        </w:tc>
        <w:tc>
          <w:tcPr>
            <w:tcW w:w="850" w:type="dxa"/>
            <w:tcBorders>
              <w:top w:val="single" w:sz="6" w:space="0" w:color="000000"/>
              <w:left w:val="nil"/>
              <w:bottom w:val="single" w:sz="12"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(304)</w:t>
            </w:r>
          </w:p>
        </w:tc>
      </w:tr>
    </w:tbl>
    <w:p w:rsidR="002C39A3" w:rsidRDefault="002C39A3" w:rsidP="00361FA9"/>
    <w:p w:rsidR="002C39A3" w:rsidRDefault="002C39A3" w:rsidP="00361FA9"/>
    <w:p w:rsidR="002C39A3" w:rsidRDefault="002C39A3" w:rsidP="00361FA9">
      <w:pPr>
        <w:pStyle w:val="Heading2Notes"/>
      </w:pPr>
      <w:bookmarkStart w:id="75" w:name="_Toc448400819"/>
      <w:r>
        <w:t>Note 11:</w:t>
      </w:r>
      <w:r>
        <w:tab/>
        <w:t>Net acquisition of non</w:t>
      </w:r>
      <w:r>
        <w:noBreakHyphen/>
        <w:t>financial assets from transactions</w:t>
      </w:r>
      <w:bookmarkEnd w:id="75"/>
    </w:p>
    <w:p w:rsidR="002C39A3" w:rsidRPr="00F944DD" w:rsidRDefault="002C39A3" w:rsidP="00361FA9">
      <w:pPr>
        <w:pStyle w:val="million"/>
        <w:rPr>
          <w:b/>
          <w:bCs/>
          <w:i w:val="0"/>
          <w:lang w:val="en-US"/>
        </w:rPr>
      </w:pPr>
      <w:r>
        <w:t>($ million)</w:t>
      </w:r>
    </w:p>
    <w:tbl>
      <w:tblPr>
        <w:tblW w:w="7766" w:type="dxa"/>
        <w:tblInd w:w="45" w:type="dxa"/>
        <w:tblLayout w:type="fixed"/>
        <w:tblCellMar>
          <w:left w:w="45" w:type="dxa"/>
          <w:right w:w="45" w:type="dxa"/>
        </w:tblCellMar>
        <w:tblLook w:val="0000" w:firstRow="0" w:lastRow="0" w:firstColumn="0" w:lastColumn="0" w:noHBand="0" w:noVBand="0"/>
      </w:tblPr>
      <w:tblGrid>
        <w:gridCol w:w="850"/>
        <w:gridCol w:w="5246"/>
        <w:gridCol w:w="820"/>
        <w:gridCol w:w="850"/>
      </w:tblGrid>
      <w:tr w:rsidR="00251C6B" w:rsidRPr="00F944DD" w:rsidTr="00592D98">
        <w:trPr>
          <w:trHeight w:val="696"/>
          <w:tblHeader/>
        </w:trPr>
        <w:tc>
          <w:tcPr>
            <w:tcW w:w="850" w:type="dxa"/>
            <w:tcBorders>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2014-15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5246" w:type="dxa"/>
            <w:tcBorders>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tc>
        <w:tc>
          <w:tcPr>
            <w:tcW w:w="82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2015-16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850" w:type="dxa"/>
            <w:tcBorders>
              <w:lef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Revised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budget</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2 387</w:t>
            </w:r>
          </w:p>
        </w:tc>
        <w:tc>
          <w:tcPr>
            <w:tcW w:w="524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vertAlign w:val="superscript"/>
                <w:lang w:eastAsia="en-AU"/>
              </w:rPr>
            </w:pPr>
            <w:r w:rsidRPr="00F944DD">
              <w:rPr>
                <w:rFonts w:ascii="Calibri" w:eastAsiaTheme="minorEastAsia" w:hAnsi="Calibri" w:cs="Calibri"/>
                <w:color w:val="000000"/>
                <w:sz w:val="19"/>
                <w:szCs w:val="19"/>
                <w:lang w:eastAsia="en-AU"/>
              </w:rPr>
              <w:t xml:space="preserve">Purchases of non-financial assets (including change in inventories) </w:t>
            </w:r>
            <w:r w:rsidRPr="00F944DD">
              <w:rPr>
                <w:rFonts w:ascii="Calibri" w:eastAsiaTheme="minorEastAsia" w:hAnsi="Calibri" w:cs="Calibri"/>
                <w:color w:val="000000"/>
                <w:sz w:val="19"/>
                <w:szCs w:val="19"/>
                <w:vertAlign w:val="superscript"/>
                <w:lang w:eastAsia="en-AU"/>
              </w:rPr>
              <w:t>(a)</w:t>
            </w:r>
          </w:p>
        </w:tc>
        <w:tc>
          <w:tcPr>
            <w:tcW w:w="82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2 991</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4 065</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(185)</w:t>
            </w:r>
          </w:p>
        </w:tc>
        <w:tc>
          <w:tcPr>
            <w:tcW w:w="524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Less: Sales of non-financial assets</w:t>
            </w:r>
          </w:p>
        </w:tc>
        <w:tc>
          <w:tcPr>
            <w:tcW w:w="82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(103)</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(174)</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(1 809)</w:t>
            </w:r>
          </w:p>
        </w:tc>
        <w:tc>
          <w:tcPr>
            <w:tcW w:w="524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Less: Depreciation</w:t>
            </w:r>
          </w:p>
        </w:tc>
        <w:tc>
          <w:tcPr>
            <w:tcW w:w="82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(1 806)</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(2 506)</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(455)</w:t>
            </w:r>
          </w:p>
        </w:tc>
        <w:tc>
          <w:tcPr>
            <w:tcW w:w="5246"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vertAlign w:val="superscript"/>
                <w:lang w:eastAsia="en-AU"/>
              </w:rPr>
            </w:pPr>
            <w:r w:rsidRPr="00F944DD">
              <w:rPr>
                <w:rFonts w:ascii="Calibri" w:eastAsiaTheme="minorEastAsia" w:hAnsi="Calibri" w:cs="Calibri"/>
                <w:color w:val="000000"/>
                <w:sz w:val="19"/>
                <w:szCs w:val="19"/>
                <w:lang w:eastAsia="en-AU"/>
              </w:rPr>
              <w:t xml:space="preserve">Plus: Other movements in non-financial assets </w:t>
            </w:r>
            <w:r w:rsidRPr="00F944DD">
              <w:rPr>
                <w:rFonts w:ascii="Calibri" w:eastAsiaTheme="minorEastAsia" w:hAnsi="Calibri" w:cs="Calibri"/>
                <w:color w:val="000000"/>
                <w:sz w:val="19"/>
                <w:szCs w:val="19"/>
                <w:vertAlign w:val="superscript"/>
                <w:lang w:eastAsia="en-AU"/>
              </w:rPr>
              <w:t>(a)</w:t>
            </w:r>
          </w:p>
        </w:tc>
        <w:tc>
          <w:tcPr>
            <w:tcW w:w="82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(531)</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(812)</w:t>
            </w:r>
          </w:p>
        </w:tc>
      </w:tr>
      <w:tr w:rsidR="002C39A3" w:rsidRPr="00F944DD" w:rsidTr="00361FA9">
        <w:tc>
          <w:tcPr>
            <w:tcW w:w="850" w:type="dxa"/>
            <w:tcBorders>
              <w:top w:val="single" w:sz="6" w:space="0" w:color="000000"/>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(62)</w:t>
            </w:r>
          </w:p>
        </w:tc>
        <w:tc>
          <w:tcPr>
            <w:tcW w:w="5246"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vertAlign w:val="superscript"/>
                <w:lang w:eastAsia="en-AU"/>
              </w:rPr>
            </w:pPr>
            <w:r w:rsidRPr="00F944DD">
              <w:rPr>
                <w:rFonts w:ascii="Calibri" w:eastAsiaTheme="minorEastAsia" w:hAnsi="Calibri" w:cs="Calibri"/>
                <w:b/>
                <w:bCs/>
                <w:color w:val="000000"/>
                <w:sz w:val="19"/>
                <w:szCs w:val="19"/>
                <w:lang w:eastAsia="en-AU"/>
              </w:rPr>
              <w:t xml:space="preserve">Total net acquisition of non-financial assets from transactions </w:t>
            </w:r>
            <w:r w:rsidRPr="00F944DD">
              <w:rPr>
                <w:rFonts w:ascii="Calibri" w:eastAsiaTheme="minorEastAsia" w:hAnsi="Calibri" w:cs="Calibri"/>
                <w:b/>
                <w:bCs/>
                <w:color w:val="000000"/>
                <w:sz w:val="19"/>
                <w:szCs w:val="19"/>
                <w:vertAlign w:val="superscript"/>
                <w:lang w:eastAsia="en-AU"/>
              </w:rPr>
              <w:t>(a)</w:t>
            </w:r>
          </w:p>
        </w:tc>
        <w:tc>
          <w:tcPr>
            <w:tcW w:w="82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551</w:t>
            </w:r>
          </w:p>
        </w:tc>
        <w:tc>
          <w:tcPr>
            <w:tcW w:w="850" w:type="dxa"/>
            <w:tcBorders>
              <w:top w:val="single" w:sz="6" w:space="0" w:color="000000"/>
              <w:left w:val="nil"/>
              <w:bottom w:val="single" w:sz="12"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573</w:t>
            </w:r>
          </w:p>
        </w:tc>
      </w:tr>
    </w:tbl>
    <w:p w:rsidR="002C39A3" w:rsidRDefault="002C39A3" w:rsidP="00361FA9">
      <w:pPr>
        <w:pStyle w:val="Notes"/>
      </w:pPr>
      <w:r>
        <w:t>Note:</w:t>
      </w:r>
    </w:p>
    <w:p w:rsidR="002C39A3" w:rsidRPr="00A34C10" w:rsidRDefault="002C39A3" w:rsidP="00361FA9">
      <w:pPr>
        <w:pStyle w:val="Notes"/>
      </w:pPr>
      <w:r>
        <w:t>(a)</w:t>
      </w:r>
      <w:r>
        <w:tab/>
        <w:t>The March 2015</w:t>
      </w:r>
      <w:r w:rsidRPr="00A34C10">
        <w:t xml:space="preserve"> comparative figures have been updated to reflect current information.</w:t>
      </w:r>
    </w:p>
    <w:p w:rsidR="002C39A3" w:rsidRDefault="002C39A3" w:rsidP="00361FA9">
      <w:pPr>
        <w:pStyle w:val="Notes"/>
      </w:pPr>
    </w:p>
    <w:p w:rsidR="002C39A3" w:rsidRDefault="002C39A3" w:rsidP="00361FA9"/>
    <w:p w:rsidR="002C39A3" w:rsidRDefault="002C39A3">
      <w:pPr>
        <w:spacing w:after="0"/>
        <w:rPr>
          <w:rFonts w:ascii="Calibri" w:hAnsi="Calibri"/>
          <w:b/>
          <w:kern w:val="28"/>
          <w:sz w:val="26"/>
          <w:szCs w:val="22"/>
        </w:rPr>
      </w:pPr>
      <w:r>
        <w:br w:type="page"/>
      </w:r>
    </w:p>
    <w:p w:rsidR="002C39A3" w:rsidRDefault="002C39A3" w:rsidP="00361FA9">
      <w:pPr>
        <w:pStyle w:val="Heading2Notes"/>
      </w:pPr>
      <w:bookmarkStart w:id="76" w:name="_Toc448400820"/>
      <w:r>
        <w:t>Note 12:</w:t>
      </w:r>
      <w:r>
        <w:tab/>
        <w:t>Receivables</w:t>
      </w:r>
      <w:bookmarkEnd w:id="76"/>
    </w:p>
    <w:p w:rsidR="002C39A3" w:rsidRPr="00F944DD" w:rsidRDefault="002C39A3" w:rsidP="00361FA9">
      <w:pPr>
        <w:pStyle w:val="million"/>
        <w:rPr>
          <w:b/>
          <w:bCs/>
          <w:i w:val="0"/>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850"/>
        <w:gridCol w:w="4365"/>
        <w:gridCol w:w="850"/>
        <w:gridCol w:w="850"/>
        <w:gridCol w:w="850"/>
      </w:tblGrid>
      <w:tr w:rsidR="00251C6B" w:rsidRPr="00F944DD" w:rsidTr="006975FB">
        <w:trPr>
          <w:trHeight w:val="696"/>
          <w:tblHeader/>
        </w:trPr>
        <w:tc>
          <w:tcPr>
            <w:tcW w:w="850" w:type="dxa"/>
            <w:tcBorders>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2014-15</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Actual</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31 Mar</w:t>
            </w:r>
          </w:p>
        </w:tc>
        <w:tc>
          <w:tcPr>
            <w:tcW w:w="4365" w:type="dxa"/>
            <w:tcBorders>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Opening</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1 Jul</w:t>
            </w: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2015-16</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Actual</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31 Mar</w:t>
            </w:r>
          </w:p>
        </w:tc>
        <w:tc>
          <w:tcPr>
            <w:tcW w:w="850" w:type="dxa"/>
            <w:tcBorders>
              <w:lef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Revised</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budget</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Contractual</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1 266</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vertAlign w:val="superscript"/>
                <w:lang w:eastAsia="en-AU"/>
              </w:rPr>
            </w:pPr>
            <w:r w:rsidRPr="00F944DD">
              <w:rPr>
                <w:rFonts w:ascii="Calibri" w:eastAsiaTheme="minorEastAsia" w:hAnsi="Calibri" w:cs="Calibri"/>
                <w:color w:val="000000"/>
                <w:sz w:val="19"/>
                <w:szCs w:val="19"/>
                <w:lang w:eastAsia="en-AU"/>
              </w:rPr>
              <w:t xml:space="preserve">Sales of goods and services </w:t>
            </w:r>
            <w:r w:rsidRPr="00F944DD">
              <w:rPr>
                <w:rFonts w:ascii="Calibri" w:eastAsiaTheme="minorEastAsia" w:hAnsi="Calibri" w:cs="Calibri"/>
                <w:color w:val="000000"/>
                <w:sz w:val="19"/>
                <w:szCs w:val="19"/>
                <w:vertAlign w:val="superscript"/>
                <w:lang w:eastAsia="en-AU"/>
              </w:rPr>
              <w:t>(a)</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675</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889</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678</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38</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Accrued investment income</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17</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28</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17</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1 287</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vertAlign w:val="superscript"/>
                <w:lang w:eastAsia="en-AU"/>
              </w:rPr>
            </w:pPr>
            <w:r w:rsidRPr="00F944DD">
              <w:rPr>
                <w:rFonts w:ascii="Calibri" w:eastAsiaTheme="minorEastAsia" w:hAnsi="Calibri" w:cs="Calibri"/>
                <w:color w:val="000000"/>
                <w:sz w:val="19"/>
                <w:szCs w:val="19"/>
                <w:lang w:eastAsia="en-AU"/>
              </w:rPr>
              <w:t xml:space="preserve">Other receivables </w:t>
            </w:r>
            <w:r w:rsidRPr="00F944DD">
              <w:rPr>
                <w:rFonts w:ascii="Calibri" w:eastAsiaTheme="minorEastAsia" w:hAnsi="Calibri" w:cs="Calibri"/>
                <w:color w:val="000000"/>
                <w:sz w:val="19"/>
                <w:szCs w:val="19"/>
                <w:vertAlign w:val="superscript"/>
                <w:lang w:eastAsia="en-AU"/>
              </w:rPr>
              <w:t>(a)</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1 262</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1 254</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841</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(76)</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Provision for doubtful contractual receivables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(69)</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(77)</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(66)</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Statutory</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11</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Sales of goods and services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3 121</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Taxes receivables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2 492</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3 094</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2 403</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1 780</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Fines and regulatory fees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1 761</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1 906</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2 018</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192</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GST input tax credits recoverable</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255</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235</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255</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(893)</w:t>
            </w:r>
          </w:p>
        </w:tc>
        <w:tc>
          <w:tcPr>
            <w:tcW w:w="4365"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Provision for doubtful statutory receivables</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(838)</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(886)</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(990)</w:t>
            </w:r>
          </w:p>
        </w:tc>
      </w:tr>
      <w:tr w:rsidR="002C39A3" w:rsidRPr="00F944DD" w:rsidTr="00361FA9">
        <w:tc>
          <w:tcPr>
            <w:tcW w:w="850" w:type="dxa"/>
            <w:tcBorders>
              <w:top w:val="single" w:sz="6" w:space="0" w:color="000000"/>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6 727</w:t>
            </w:r>
          </w:p>
        </w:tc>
        <w:tc>
          <w:tcPr>
            <w:tcW w:w="4365"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vertAlign w:val="superscript"/>
                <w:lang w:eastAsia="en-AU"/>
              </w:rPr>
            </w:pPr>
            <w:r w:rsidRPr="00F944DD">
              <w:rPr>
                <w:rFonts w:ascii="Calibri" w:eastAsiaTheme="minorEastAsia" w:hAnsi="Calibri" w:cs="Calibri"/>
                <w:b/>
                <w:bCs/>
                <w:color w:val="000000"/>
                <w:sz w:val="19"/>
                <w:szCs w:val="19"/>
                <w:lang w:eastAsia="en-AU"/>
              </w:rPr>
              <w:t xml:space="preserve">Total receivables </w:t>
            </w:r>
            <w:r w:rsidRPr="00F944DD">
              <w:rPr>
                <w:rFonts w:ascii="Calibri" w:eastAsiaTheme="minorEastAsia" w:hAnsi="Calibri" w:cs="Calibri"/>
                <w:b/>
                <w:bCs/>
                <w:color w:val="000000"/>
                <w:sz w:val="19"/>
                <w:szCs w:val="19"/>
                <w:vertAlign w:val="superscript"/>
                <w:lang w:eastAsia="en-AU"/>
              </w:rPr>
              <w:t>(a)</w:t>
            </w:r>
          </w:p>
        </w:tc>
        <w:tc>
          <w:tcPr>
            <w:tcW w:w="850"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5 555</w:t>
            </w:r>
          </w:p>
        </w:tc>
        <w:tc>
          <w:tcPr>
            <w:tcW w:w="850"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6 450</w:t>
            </w:r>
          </w:p>
        </w:tc>
        <w:tc>
          <w:tcPr>
            <w:tcW w:w="850" w:type="dxa"/>
            <w:tcBorders>
              <w:top w:val="single" w:sz="6" w:space="0" w:color="000000"/>
              <w:left w:val="nil"/>
              <w:bottom w:val="single" w:sz="12"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5 157</w:t>
            </w:r>
          </w:p>
        </w:tc>
      </w:tr>
      <w:tr w:rsidR="002C39A3" w:rsidRPr="00F944DD" w:rsidTr="00361FA9">
        <w:tc>
          <w:tcPr>
            <w:tcW w:w="850" w:type="dxa"/>
            <w:tcBorders>
              <w:top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4365"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Represented by:</w:t>
            </w:r>
          </w:p>
        </w:tc>
        <w:tc>
          <w:tcPr>
            <w:tcW w:w="850"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single" w:sz="12"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5 514</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vertAlign w:val="superscript"/>
                <w:lang w:eastAsia="en-AU"/>
              </w:rPr>
            </w:pPr>
            <w:r w:rsidRPr="00F944DD">
              <w:rPr>
                <w:rFonts w:ascii="Calibri" w:eastAsiaTheme="minorEastAsia" w:hAnsi="Calibri" w:cs="Calibri"/>
                <w:color w:val="000000"/>
                <w:sz w:val="19"/>
                <w:szCs w:val="19"/>
                <w:lang w:eastAsia="en-AU"/>
              </w:rPr>
              <w:t xml:space="preserve">Current receivables </w:t>
            </w:r>
            <w:r w:rsidRPr="00F944DD">
              <w:rPr>
                <w:rFonts w:ascii="Calibri" w:eastAsiaTheme="minorEastAsia" w:hAnsi="Calibri" w:cs="Calibri"/>
                <w:color w:val="000000"/>
                <w:sz w:val="19"/>
                <w:szCs w:val="19"/>
                <w:vertAlign w:val="superscript"/>
                <w:lang w:eastAsia="en-AU"/>
              </w:rPr>
              <w:t>(a)</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4 447</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5 395</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4 364</w:t>
            </w:r>
          </w:p>
        </w:tc>
      </w:tr>
      <w:tr w:rsidR="002C39A3" w:rsidRPr="00F944DD" w:rsidTr="00361FA9">
        <w:tc>
          <w:tcPr>
            <w:tcW w:w="850" w:type="dxa"/>
            <w:tcBorders>
              <w:top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1 213</w:t>
            </w:r>
          </w:p>
        </w:tc>
        <w:tc>
          <w:tcPr>
            <w:tcW w:w="4365" w:type="dxa"/>
            <w:tcBorders>
              <w:top w:val="nil"/>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Non-current receivables</w:t>
            </w:r>
          </w:p>
        </w:tc>
        <w:tc>
          <w:tcPr>
            <w:tcW w:w="850" w:type="dxa"/>
            <w:tcBorders>
              <w:top w:val="nil"/>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1 109</w:t>
            </w:r>
          </w:p>
        </w:tc>
        <w:tc>
          <w:tcPr>
            <w:tcW w:w="850" w:type="dxa"/>
            <w:tcBorders>
              <w:top w:val="nil"/>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1 055</w:t>
            </w:r>
          </w:p>
        </w:tc>
        <w:tc>
          <w:tcPr>
            <w:tcW w:w="850" w:type="dxa"/>
            <w:tcBorders>
              <w:top w:val="nil"/>
              <w:left w:val="nil"/>
              <w:bottom w:val="single" w:sz="12"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793</w:t>
            </w:r>
          </w:p>
        </w:tc>
      </w:tr>
    </w:tbl>
    <w:p w:rsidR="002C39A3" w:rsidRDefault="002C39A3" w:rsidP="00361FA9">
      <w:pPr>
        <w:pStyle w:val="Notes"/>
        <w:tabs>
          <w:tab w:val="clear" w:pos="454"/>
          <w:tab w:val="left" w:pos="701"/>
        </w:tabs>
      </w:pPr>
      <w:r>
        <w:t>Note:</w:t>
      </w:r>
    </w:p>
    <w:p w:rsidR="002C39A3" w:rsidRPr="00334957" w:rsidRDefault="002C39A3" w:rsidP="00361FA9">
      <w:pPr>
        <w:pStyle w:val="Notes"/>
        <w:rPr>
          <w:i w:val="0"/>
        </w:rPr>
      </w:pPr>
      <w:r>
        <w:t>(a)</w:t>
      </w:r>
      <w:r>
        <w:tab/>
        <w:t>The March 2015</w:t>
      </w:r>
      <w:r w:rsidRPr="00A34C10">
        <w:t xml:space="preserve"> comparative figures have been updated</w:t>
      </w:r>
      <w:r>
        <w:t xml:space="preserve"> to reflect current information, mainly relating to adjustments outlined in Note 37 of the </w:t>
      </w:r>
      <w:r>
        <w:rPr>
          <w:i w:val="0"/>
        </w:rPr>
        <w:t>2014</w:t>
      </w:r>
      <w:r>
        <w:rPr>
          <w:i w:val="0"/>
        </w:rPr>
        <w:noBreakHyphen/>
        <w:t>15 Financial Report.</w:t>
      </w:r>
    </w:p>
    <w:p w:rsidR="002C39A3" w:rsidRDefault="002C39A3" w:rsidP="00361FA9">
      <w:pPr>
        <w:pStyle w:val="Notes"/>
      </w:pPr>
    </w:p>
    <w:p w:rsidR="002C39A3" w:rsidRDefault="002C39A3" w:rsidP="00361FA9"/>
    <w:p w:rsidR="002C39A3" w:rsidRDefault="002C39A3" w:rsidP="00361FA9"/>
    <w:p w:rsidR="002C39A3" w:rsidRDefault="002C39A3">
      <w:pPr>
        <w:spacing w:after="0"/>
        <w:rPr>
          <w:rFonts w:ascii="Calibri" w:hAnsi="Calibri"/>
          <w:b/>
          <w:kern w:val="28"/>
          <w:sz w:val="26"/>
          <w:szCs w:val="22"/>
        </w:rPr>
      </w:pPr>
      <w:r>
        <w:br w:type="page"/>
      </w:r>
    </w:p>
    <w:p w:rsidR="002C39A3" w:rsidRDefault="002C39A3" w:rsidP="00361FA9">
      <w:pPr>
        <w:pStyle w:val="Heading2Notes"/>
      </w:pPr>
      <w:bookmarkStart w:id="77" w:name="_Toc448400821"/>
      <w:r>
        <w:t>Note 13:</w:t>
      </w:r>
      <w:r>
        <w:tab/>
        <w:t>Property, plant and equipment</w:t>
      </w:r>
      <w:bookmarkEnd w:id="77"/>
    </w:p>
    <w:p w:rsidR="002C39A3" w:rsidRDefault="002C39A3" w:rsidP="00361FA9">
      <w:pPr>
        <w:pStyle w:val="Tableheading"/>
      </w:pPr>
      <w:r>
        <w:t>(a)</w:t>
      </w:r>
      <w:r>
        <w:tab/>
        <w:t>Total land, buildings, infrastructure, plant and equipment</w:t>
      </w:r>
    </w:p>
    <w:p w:rsidR="002C39A3" w:rsidRPr="00F944DD" w:rsidRDefault="002C39A3" w:rsidP="00361FA9">
      <w:pPr>
        <w:pStyle w:val="million"/>
        <w:rPr>
          <w:rFonts w:ascii="Garamond" w:hAnsi="Garamond"/>
          <w:b/>
          <w:bCs/>
          <w:i w:val="0"/>
          <w:sz w:val="22"/>
          <w:szCs w:val="22"/>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850"/>
        <w:gridCol w:w="4365"/>
        <w:gridCol w:w="850"/>
        <w:gridCol w:w="850"/>
        <w:gridCol w:w="850"/>
      </w:tblGrid>
      <w:tr w:rsidR="00251C6B" w:rsidRPr="00F944DD" w:rsidTr="00CB6600">
        <w:trPr>
          <w:trHeight w:val="696"/>
          <w:tblHeader/>
        </w:trPr>
        <w:tc>
          <w:tcPr>
            <w:tcW w:w="850" w:type="dxa"/>
            <w:tcBorders>
              <w:right w:val="nil"/>
            </w:tcBorders>
            <w:shd w:val="solid" w:color="000000" w:fill="auto"/>
            <w:vAlign w:val="bottom"/>
          </w:tcPr>
          <w:p w:rsidR="00251C6B" w:rsidRPr="00F944DD" w:rsidRDefault="00251C6B" w:rsidP="00361FA9">
            <w:pPr>
              <w:pStyle w:val="million"/>
              <w:jc w:val="right"/>
              <w:rPr>
                <w:rFonts w:eastAsiaTheme="minorEastAsia" w:cs="Calibri"/>
                <w:iCs/>
                <w:color w:val="FFFFFF"/>
                <w:sz w:val="19"/>
                <w:szCs w:val="19"/>
                <w:lang w:eastAsia="en-AU"/>
              </w:rPr>
            </w:pPr>
            <w:r w:rsidRPr="00F944DD">
              <w:rPr>
                <w:rFonts w:eastAsiaTheme="minorEastAsia" w:cs="Calibri"/>
                <w:iCs/>
                <w:color w:val="FFFFFF"/>
                <w:sz w:val="19"/>
                <w:szCs w:val="19"/>
                <w:lang w:eastAsia="en-AU"/>
              </w:rPr>
              <w:t>2014-15</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Actual</w:t>
            </w:r>
          </w:p>
          <w:p w:rsidR="00251C6B" w:rsidRPr="00F944DD" w:rsidRDefault="00251C6B" w:rsidP="00361FA9">
            <w:pPr>
              <w:autoSpaceDE w:val="0"/>
              <w:autoSpaceDN w:val="0"/>
              <w:adjustRightInd w:val="0"/>
              <w:spacing w:after="0"/>
              <w:jc w:val="right"/>
              <w:rPr>
                <w:rFonts w:eastAsiaTheme="minorEastAsia" w:cs="Calibri"/>
                <w:iCs/>
                <w:color w:val="FFFFFF"/>
                <w:sz w:val="19"/>
                <w:szCs w:val="19"/>
                <w:lang w:eastAsia="en-AU"/>
              </w:rPr>
            </w:pPr>
            <w:r w:rsidRPr="00F944DD">
              <w:rPr>
                <w:rFonts w:ascii="Calibri" w:eastAsiaTheme="minorEastAsia" w:hAnsi="Calibri" w:cs="Calibri"/>
                <w:i/>
                <w:iCs/>
                <w:color w:val="FFFFFF"/>
                <w:sz w:val="19"/>
                <w:szCs w:val="19"/>
                <w:lang w:eastAsia="en-AU"/>
              </w:rPr>
              <w:t xml:space="preserve">31 Mar </w:t>
            </w:r>
            <w:r w:rsidRPr="00F944DD">
              <w:rPr>
                <w:rFonts w:ascii="Calibri" w:eastAsiaTheme="minorEastAsia" w:hAnsi="Calibri" w:cs="Calibri"/>
                <w:i/>
                <w:iCs/>
                <w:color w:val="FFFFFF"/>
                <w:sz w:val="19"/>
                <w:szCs w:val="19"/>
                <w:vertAlign w:val="superscript"/>
                <w:lang w:eastAsia="en-AU"/>
              </w:rPr>
              <w:t>(a)</w:t>
            </w:r>
          </w:p>
        </w:tc>
        <w:tc>
          <w:tcPr>
            <w:tcW w:w="4365" w:type="dxa"/>
            <w:tcBorders>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Opening</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1 Jul</w:t>
            </w: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2015-16</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Actual</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31 Mar</w:t>
            </w:r>
          </w:p>
        </w:tc>
        <w:tc>
          <w:tcPr>
            <w:tcW w:w="850" w:type="dxa"/>
            <w:tcBorders>
              <w:lef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Revised</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budget</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26 133</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Buildings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25 976</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25 990</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25 502</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2 371</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Buildings leasehold</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2 476</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2 443</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3 453</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37 538</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Land and national parks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40 699</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40 724</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41 074</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1 278</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Infrastructure systems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1 299</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1 310</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1 321</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1 945</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Plant, equipment and vehicles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2 441</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2 347</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2 364</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22 248</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Roads and road networks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21 485</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21 903</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21 440</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7 685</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Earthworks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7 690</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7 690</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7 919</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5 484</w:t>
            </w:r>
          </w:p>
        </w:tc>
        <w:tc>
          <w:tcPr>
            <w:tcW w:w="4365"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Cultural assets</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5 496</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5 542</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5 526</w:t>
            </w:r>
          </w:p>
        </w:tc>
      </w:tr>
      <w:tr w:rsidR="002C39A3" w:rsidRPr="00F944DD" w:rsidTr="00361FA9">
        <w:tc>
          <w:tcPr>
            <w:tcW w:w="850" w:type="dxa"/>
            <w:tcBorders>
              <w:top w:val="single" w:sz="6" w:space="0" w:color="000000"/>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104 682</w:t>
            </w:r>
          </w:p>
        </w:tc>
        <w:tc>
          <w:tcPr>
            <w:tcW w:w="4365"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land, buildings, infrastructure, plant and equipment</w:t>
            </w:r>
          </w:p>
        </w:tc>
        <w:tc>
          <w:tcPr>
            <w:tcW w:w="85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107 562</w:t>
            </w:r>
          </w:p>
        </w:tc>
        <w:tc>
          <w:tcPr>
            <w:tcW w:w="85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107 948</w:t>
            </w:r>
          </w:p>
        </w:tc>
        <w:tc>
          <w:tcPr>
            <w:tcW w:w="850" w:type="dxa"/>
            <w:tcBorders>
              <w:top w:val="single" w:sz="6" w:space="0" w:color="000000"/>
              <w:left w:val="nil"/>
              <w:bottom w:val="single" w:sz="12"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108 600</w:t>
            </w:r>
          </w:p>
        </w:tc>
      </w:tr>
    </w:tbl>
    <w:p w:rsidR="002C39A3" w:rsidRDefault="002C39A3" w:rsidP="00361FA9">
      <w:pPr>
        <w:pStyle w:val="Notes"/>
      </w:pPr>
      <w:r>
        <w:t>Note:</w:t>
      </w:r>
    </w:p>
    <w:p w:rsidR="002C39A3" w:rsidRPr="00025383" w:rsidRDefault="002C39A3" w:rsidP="00361FA9">
      <w:pPr>
        <w:pStyle w:val="Notes"/>
        <w:rPr>
          <w:i w:val="0"/>
        </w:rPr>
      </w:pPr>
      <w:r>
        <w:t>(a)</w:t>
      </w:r>
      <w:r>
        <w:tab/>
        <w:t>The March 2015</w:t>
      </w:r>
      <w:r w:rsidRPr="00A34C10">
        <w:t xml:space="preserve"> comparative figures have been updated</w:t>
      </w:r>
      <w:r>
        <w:t xml:space="preserve"> to reflect current information, mainly relating to adjustments outlined in Note 37 of the </w:t>
      </w:r>
      <w:r>
        <w:rPr>
          <w:i w:val="0"/>
        </w:rPr>
        <w:t>2014</w:t>
      </w:r>
      <w:r>
        <w:rPr>
          <w:i w:val="0"/>
        </w:rPr>
        <w:noBreakHyphen/>
        <w:t>15 Financial Report.</w:t>
      </w:r>
    </w:p>
    <w:p w:rsidR="002C39A3" w:rsidRDefault="002C39A3" w:rsidP="00361FA9"/>
    <w:p w:rsidR="002C39A3" w:rsidRDefault="002C39A3" w:rsidP="00361FA9">
      <w:pPr>
        <w:pStyle w:val="Tableheading"/>
      </w:pPr>
      <w:r>
        <w:t>(b)</w:t>
      </w:r>
      <w:r>
        <w:tab/>
        <w:t>Land and buildings</w:t>
      </w:r>
    </w:p>
    <w:p w:rsidR="002C39A3" w:rsidRPr="00F944DD" w:rsidRDefault="002C39A3" w:rsidP="00361FA9">
      <w:pPr>
        <w:pStyle w:val="million"/>
        <w:rPr>
          <w:rFonts w:eastAsiaTheme="minorEastAsia"/>
          <w:lang w:val="en-US" w:eastAsia="en-AU"/>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850"/>
        <w:gridCol w:w="4365"/>
        <w:gridCol w:w="850"/>
        <w:gridCol w:w="850"/>
        <w:gridCol w:w="850"/>
      </w:tblGrid>
      <w:tr w:rsidR="00251C6B" w:rsidRPr="00F944DD" w:rsidTr="00771A77">
        <w:trPr>
          <w:trHeight w:val="696"/>
          <w:tblHeader/>
        </w:trPr>
        <w:tc>
          <w:tcPr>
            <w:tcW w:w="850" w:type="dxa"/>
            <w:tcBorders>
              <w:top w:val="nil"/>
              <w:left w:val="nil"/>
              <w:right w:val="nil"/>
            </w:tcBorders>
            <w:shd w:val="solid" w:color="000000" w:fill="auto"/>
            <w:vAlign w:val="bottom"/>
          </w:tcPr>
          <w:p w:rsidR="00251C6B" w:rsidRPr="00F944DD" w:rsidRDefault="00251C6B" w:rsidP="00361FA9">
            <w:pPr>
              <w:pStyle w:val="Notes"/>
              <w:jc w:val="right"/>
              <w:rPr>
                <w:rFonts w:eastAsiaTheme="minorEastAsia" w:cs="Calibri"/>
                <w:iCs/>
                <w:color w:val="FFFFFF"/>
                <w:sz w:val="19"/>
                <w:szCs w:val="19"/>
                <w:lang w:eastAsia="en-AU"/>
              </w:rPr>
            </w:pPr>
            <w:r w:rsidRPr="00F944DD">
              <w:rPr>
                <w:rFonts w:eastAsiaTheme="minorEastAsia" w:cs="Calibri"/>
                <w:iCs/>
                <w:color w:val="FFFFFF"/>
                <w:sz w:val="19"/>
                <w:szCs w:val="19"/>
                <w:lang w:eastAsia="en-AU"/>
              </w:rPr>
              <w:t>2014-15</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Actual</w:t>
            </w:r>
          </w:p>
          <w:p w:rsidR="00251C6B" w:rsidRPr="00F944DD" w:rsidRDefault="00251C6B" w:rsidP="00361FA9">
            <w:pPr>
              <w:autoSpaceDE w:val="0"/>
              <w:autoSpaceDN w:val="0"/>
              <w:adjustRightInd w:val="0"/>
              <w:spacing w:after="0"/>
              <w:jc w:val="right"/>
              <w:rPr>
                <w:rFonts w:eastAsiaTheme="minorEastAsia" w:cs="Calibri"/>
                <w:iCs/>
                <w:color w:val="FFFFFF"/>
                <w:sz w:val="19"/>
                <w:szCs w:val="19"/>
                <w:lang w:eastAsia="en-AU"/>
              </w:rPr>
            </w:pPr>
            <w:r w:rsidRPr="00F944DD">
              <w:rPr>
                <w:rFonts w:ascii="Calibri" w:eastAsiaTheme="minorEastAsia" w:hAnsi="Calibri" w:cs="Calibri"/>
                <w:i/>
                <w:iCs/>
                <w:color w:val="FFFFFF"/>
                <w:sz w:val="19"/>
                <w:szCs w:val="19"/>
                <w:lang w:eastAsia="en-AU"/>
              </w:rPr>
              <w:t xml:space="preserve">31 Mar </w:t>
            </w:r>
            <w:r w:rsidRPr="00F944DD">
              <w:rPr>
                <w:rFonts w:ascii="Calibri" w:eastAsiaTheme="minorEastAsia" w:hAnsi="Calibri" w:cs="Calibri"/>
                <w:i/>
                <w:iCs/>
                <w:color w:val="FFFFFF"/>
                <w:sz w:val="19"/>
                <w:szCs w:val="19"/>
                <w:vertAlign w:val="superscript"/>
                <w:lang w:eastAsia="en-AU"/>
              </w:rPr>
              <w:t>(a)</w:t>
            </w:r>
          </w:p>
        </w:tc>
        <w:tc>
          <w:tcPr>
            <w:tcW w:w="4365" w:type="dxa"/>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tc>
        <w:tc>
          <w:tcPr>
            <w:tcW w:w="850" w:type="dxa"/>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Opening</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1 Jul</w:t>
            </w:r>
          </w:p>
        </w:tc>
        <w:tc>
          <w:tcPr>
            <w:tcW w:w="850" w:type="dxa"/>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2015-16</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Actual</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31 Mar</w:t>
            </w:r>
          </w:p>
        </w:tc>
        <w:tc>
          <w:tcPr>
            <w:tcW w:w="850" w:type="dxa"/>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Revised</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budget</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28 217</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Buildings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28 236</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28 955</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28 824</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(2 084)</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Accumulated depreciation</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(2 260)</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(2 965)</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(3 322)</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26 133</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Buildings (net carrying amount)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25 976</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25 990</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25 502</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2 818</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Buildings leasehold</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2 967</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2 960</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4 048</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(447)</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Buildings leasehold accumulated depreciation</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(491)</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(518)</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(595)</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2 371</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Buildings leasehold (net carrying amount)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2 476</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2 443</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3 453</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35 855</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Land</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39 637</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39 663</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39 921</w:t>
            </w:r>
          </w:p>
        </w:tc>
      </w:tr>
      <w:tr w:rsidR="002C39A3" w:rsidRPr="00F944DD" w:rsidTr="00361FA9">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1 683</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National parks and other </w:t>
            </w:r>
            <w:r w:rsidR="0097550F">
              <w:rPr>
                <w:rFonts w:ascii="Calibri" w:eastAsiaTheme="minorEastAsia" w:hAnsi="Calibri" w:cs="Calibri"/>
                <w:color w:val="000000"/>
                <w:sz w:val="19"/>
                <w:szCs w:val="19"/>
                <w:lang w:eastAsia="en-AU"/>
              </w:rPr>
              <w:t>‘</w:t>
            </w:r>
            <w:r w:rsidRPr="00F944DD">
              <w:rPr>
                <w:rFonts w:ascii="Calibri" w:eastAsiaTheme="minorEastAsia" w:hAnsi="Calibri" w:cs="Calibri"/>
                <w:color w:val="000000"/>
                <w:sz w:val="19"/>
                <w:szCs w:val="19"/>
                <w:lang w:eastAsia="en-AU"/>
              </w:rPr>
              <w:t>land only</w:t>
            </w:r>
            <w:r w:rsidR="0097550F">
              <w:rPr>
                <w:rFonts w:ascii="Calibri" w:eastAsiaTheme="minorEastAsia" w:hAnsi="Calibri" w:cs="Calibri"/>
                <w:color w:val="000000"/>
                <w:sz w:val="19"/>
                <w:szCs w:val="19"/>
                <w:lang w:eastAsia="en-AU"/>
              </w:rPr>
              <w:t>’</w:t>
            </w:r>
            <w:r w:rsidRPr="00F944DD">
              <w:rPr>
                <w:rFonts w:ascii="Calibri" w:eastAsiaTheme="minorEastAsia" w:hAnsi="Calibri" w:cs="Calibri"/>
                <w:color w:val="000000"/>
                <w:sz w:val="19"/>
                <w:szCs w:val="19"/>
                <w:lang w:eastAsia="en-AU"/>
              </w:rPr>
              <w:t xml:space="preserve"> holdings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1 062</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1 062</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1 153</w:t>
            </w:r>
          </w:p>
        </w:tc>
      </w:tr>
      <w:tr w:rsidR="002C39A3" w:rsidRPr="00F944DD" w:rsidTr="00361FA9">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37 538</w:t>
            </w:r>
          </w:p>
        </w:tc>
        <w:tc>
          <w:tcPr>
            <w:tcW w:w="4365"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Land and national parks</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40 699</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40 724</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41 074</w:t>
            </w:r>
          </w:p>
        </w:tc>
      </w:tr>
      <w:tr w:rsidR="002C39A3" w:rsidRPr="00F944DD" w:rsidTr="00361FA9">
        <w:tc>
          <w:tcPr>
            <w:tcW w:w="85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66 041</w:t>
            </w:r>
          </w:p>
        </w:tc>
        <w:tc>
          <w:tcPr>
            <w:tcW w:w="4365"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land and buildings</w:t>
            </w:r>
          </w:p>
        </w:tc>
        <w:tc>
          <w:tcPr>
            <w:tcW w:w="85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69 151</w:t>
            </w:r>
          </w:p>
        </w:tc>
        <w:tc>
          <w:tcPr>
            <w:tcW w:w="85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69 157</w:t>
            </w:r>
          </w:p>
        </w:tc>
        <w:tc>
          <w:tcPr>
            <w:tcW w:w="85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70 029</w:t>
            </w:r>
          </w:p>
        </w:tc>
      </w:tr>
    </w:tbl>
    <w:p w:rsidR="002C39A3" w:rsidRDefault="002C39A3" w:rsidP="00361FA9">
      <w:pPr>
        <w:pStyle w:val="Notes"/>
      </w:pPr>
      <w:r>
        <w:t>Note:</w:t>
      </w:r>
    </w:p>
    <w:p w:rsidR="002C39A3" w:rsidRDefault="002C39A3" w:rsidP="00361FA9">
      <w:pPr>
        <w:pStyle w:val="Notes"/>
      </w:pPr>
      <w:r>
        <w:t>(a)</w:t>
      </w:r>
      <w:r>
        <w:tab/>
        <w:t>The March 2015</w:t>
      </w:r>
      <w:r w:rsidRPr="00A34C10">
        <w:t xml:space="preserve"> comparative figures have been updated</w:t>
      </w:r>
      <w:r>
        <w:t xml:space="preserve"> to reflect current information, mainly relating to adjustments outlined in Note 37 of the </w:t>
      </w:r>
      <w:r>
        <w:rPr>
          <w:i w:val="0"/>
        </w:rPr>
        <w:t>2014</w:t>
      </w:r>
      <w:r>
        <w:rPr>
          <w:i w:val="0"/>
        </w:rPr>
        <w:noBreakHyphen/>
        <w:t>15 Financial Report.</w:t>
      </w:r>
    </w:p>
    <w:p w:rsidR="002C39A3" w:rsidRPr="00716B38" w:rsidRDefault="002C39A3" w:rsidP="00361FA9">
      <w:pPr>
        <w:pStyle w:val="million"/>
        <w:jc w:val="left"/>
        <w:rPr>
          <w:rFonts w:ascii="Garamond" w:hAnsi="Garamond"/>
          <w:i w:val="0"/>
          <w:sz w:val="22"/>
          <w:szCs w:val="22"/>
        </w:rPr>
      </w:pPr>
    </w:p>
    <w:p w:rsidR="002C39A3" w:rsidRDefault="002C39A3" w:rsidP="00361FA9"/>
    <w:p w:rsidR="002C39A3" w:rsidRDefault="002C39A3">
      <w:pPr>
        <w:spacing w:after="0"/>
        <w:rPr>
          <w:rFonts w:ascii="Calibri" w:hAnsi="Calibri"/>
          <w:b/>
        </w:rPr>
      </w:pPr>
      <w:r>
        <w:br w:type="page"/>
      </w:r>
    </w:p>
    <w:p w:rsidR="002C39A3" w:rsidRDefault="002C39A3" w:rsidP="00361FA9">
      <w:pPr>
        <w:pStyle w:val="Heading2NotesContd"/>
      </w:pPr>
      <w:r w:rsidRPr="00B47276">
        <w:t>Note 13:</w:t>
      </w:r>
      <w:r w:rsidRPr="00B47276">
        <w:tab/>
        <w:t>Property, plant and equipment</w:t>
      </w:r>
      <w:r>
        <w:t xml:space="preserve"> </w:t>
      </w:r>
      <w:r w:rsidRPr="00B47276">
        <w:rPr>
          <w:i/>
        </w:rPr>
        <w:t>(continued)</w:t>
      </w:r>
    </w:p>
    <w:p w:rsidR="002C39A3" w:rsidRDefault="002C39A3" w:rsidP="00361FA9">
      <w:pPr>
        <w:pStyle w:val="Tableheading"/>
      </w:pPr>
      <w:r>
        <w:t>(c)</w:t>
      </w:r>
      <w:r>
        <w:tab/>
        <w:t>Plant, equipment and vehicles, and infrastructure systems</w:t>
      </w:r>
    </w:p>
    <w:p w:rsidR="002C39A3" w:rsidRPr="00F944DD" w:rsidRDefault="002C39A3" w:rsidP="00361FA9">
      <w:pPr>
        <w:pStyle w:val="million"/>
        <w:rPr>
          <w:rFonts w:ascii="Garamond" w:hAnsi="Garamond"/>
          <w:b/>
          <w:bCs/>
          <w:i w:val="0"/>
          <w:sz w:val="22"/>
          <w:szCs w:val="22"/>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850"/>
        <w:gridCol w:w="4365"/>
        <w:gridCol w:w="231"/>
        <w:gridCol w:w="619"/>
        <w:gridCol w:w="850"/>
        <w:gridCol w:w="850"/>
      </w:tblGrid>
      <w:tr w:rsidR="00251C6B" w:rsidRPr="00F944DD" w:rsidTr="001705D9">
        <w:trPr>
          <w:trHeight w:val="696"/>
          <w:tblHeader/>
        </w:trPr>
        <w:tc>
          <w:tcPr>
            <w:tcW w:w="850" w:type="dxa"/>
            <w:tcBorders>
              <w:right w:val="nil"/>
            </w:tcBorders>
            <w:shd w:val="solid" w:color="000000" w:fill="auto"/>
            <w:vAlign w:val="bottom"/>
          </w:tcPr>
          <w:p w:rsidR="00251C6B" w:rsidRPr="00F944DD" w:rsidRDefault="00251C6B" w:rsidP="00361FA9">
            <w:pPr>
              <w:pStyle w:val="million"/>
              <w:jc w:val="right"/>
              <w:rPr>
                <w:rFonts w:eastAsiaTheme="minorEastAsia" w:cs="Calibri"/>
                <w:iCs/>
                <w:color w:val="FFFFFF"/>
                <w:sz w:val="19"/>
                <w:szCs w:val="19"/>
                <w:lang w:eastAsia="en-AU"/>
              </w:rPr>
            </w:pPr>
            <w:r w:rsidRPr="00F944DD">
              <w:rPr>
                <w:rFonts w:eastAsiaTheme="minorEastAsia" w:cs="Calibri"/>
                <w:iCs/>
                <w:color w:val="FFFFFF"/>
                <w:sz w:val="19"/>
                <w:szCs w:val="19"/>
                <w:lang w:eastAsia="en-AU"/>
              </w:rPr>
              <w:t>2014-15</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Actual</w:t>
            </w:r>
          </w:p>
          <w:p w:rsidR="00251C6B" w:rsidRPr="00F944DD" w:rsidRDefault="00251C6B" w:rsidP="00361FA9">
            <w:pPr>
              <w:autoSpaceDE w:val="0"/>
              <w:autoSpaceDN w:val="0"/>
              <w:adjustRightInd w:val="0"/>
              <w:spacing w:after="0"/>
              <w:jc w:val="right"/>
              <w:rPr>
                <w:rFonts w:eastAsiaTheme="minorEastAsia" w:cs="Calibri"/>
                <w:iCs/>
                <w:color w:val="FFFFFF"/>
                <w:sz w:val="19"/>
                <w:szCs w:val="19"/>
                <w:lang w:eastAsia="en-AU"/>
              </w:rPr>
            </w:pPr>
            <w:r w:rsidRPr="00F944DD">
              <w:rPr>
                <w:rFonts w:ascii="Calibri" w:eastAsiaTheme="minorEastAsia" w:hAnsi="Calibri" w:cs="Calibri"/>
                <w:i/>
                <w:iCs/>
                <w:color w:val="FFFFFF"/>
                <w:sz w:val="19"/>
                <w:szCs w:val="19"/>
                <w:lang w:eastAsia="en-AU"/>
              </w:rPr>
              <w:t>31 Mar</w:t>
            </w:r>
          </w:p>
        </w:tc>
        <w:tc>
          <w:tcPr>
            <w:tcW w:w="4365" w:type="dxa"/>
            <w:tcBorders>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tc>
        <w:tc>
          <w:tcPr>
            <w:tcW w:w="850" w:type="dxa"/>
            <w:gridSpan w:val="2"/>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Opening</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1 Jul</w:t>
            </w: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2015-16</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Actual</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31 Mar</w:t>
            </w:r>
          </w:p>
        </w:tc>
        <w:tc>
          <w:tcPr>
            <w:tcW w:w="850" w:type="dxa"/>
            <w:tcBorders>
              <w:lef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Revised</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budget</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1 767</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Infrastructure systems</w:t>
            </w:r>
          </w:p>
        </w:tc>
        <w:tc>
          <w:tcPr>
            <w:tcW w:w="850"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1 747</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1 784</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1 798</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(489)</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Accumulated depreciation</w:t>
            </w:r>
          </w:p>
        </w:tc>
        <w:tc>
          <w:tcPr>
            <w:tcW w:w="850"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(448)</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(474)</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(476)</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1 278</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Infrastructure systems (net carrying amount)</w:t>
            </w:r>
          </w:p>
        </w:tc>
        <w:tc>
          <w:tcPr>
            <w:tcW w:w="850"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1 299</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1 310</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1 321</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5 429</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vertAlign w:val="superscript"/>
                <w:lang w:eastAsia="en-AU"/>
              </w:rPr>
            </w:pPr>
            <w:r w:rsidRPr="00F944DD">
              <w:rPr>
                <w:rFonts w:ascii="Calibri" w:eastAsiaTheme="minorEastAsia" w:hAnsi="Calibri" w:cs="Calibri"/>
                <w:color w:val="000000"/>
                <w:sz w:val="19"/>
                <w:szCs w:val="19"/>
                <w:lang w:eastAsia="en-AU"/>
              </w:rPr>
              <w:t xml:space="preserve">Plant, equipment and vehicles </w:t>
            </w:r>
            <w:r w:rsidRPr="00F944DD">
              <w:rPr>
                <w:rFonts w:ascii="Calibri" w:eastAsiaTheme="minorEastAsia" w:hAnsi="Calibri" w:cs="Calibri"/>
                <w:color w:val="000000"/>
                <w:sz w:val="19"/>
                <w:szCs w:val="19"/>
                <w:vertAlign w:val="superscript"/>
                <w:lang w:eastAsia="en-AU"/>
              </w:rPr>
              <w:t>(a)</w:t>
            </w:r>
          </w:p>
        </w:tc>
        <w:tc>
          <w:tcPr>
            <w:tcW w:w="850"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5 949</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5 964</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6 313</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(3 766)</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vertAlign w:val="superscript"/>
                <w:lang w:eastAsia="en-AU"/>
              </w:rPr>
            </w:pPr>
            <w:r w:rsidRPr="00F944DD">
              <w:rPr>
                <w:rFonts w:ascii="Calibri" w:eastAsiaTheme="minorEastAsia" w:hAnsi="Calibri" w:cs="Calibri"/>
                <w:color w:val="000000"/>
                <w:sz w:val="19"/>
                <w:szCs w:val="19"/>
                <w:lang w:eastAsia="en-AU"/>
              </w:rPr>
              <w:t xml:space="preserve">Accumulated depreciation </w:t>
            </w:r>
            <w:r w:rsidRPr="00F944DD">
              <w:rPr>
                <w:rFonts w:ascii="Calibri" w:eastAsiaTheme="minorEastAsia" w:hAnsi="Calibri" w:cs="Calibri"/>
                <w:color w:val="000000"/>
                <w:sz w:val="19"/>
                <w:szCs w:val="19"/>
                <w:vertAlign w:val="superscript"/>
                <w:lang w:eastAsia="en-AU"/>
              </w:rPr>
              <w:t>(a)</w:t>
            </w:r>
          </w:p>
        </w:tc>
        <w:tc>
          <w:tcPr>
            <w:tcW w:w="850"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(3 674)</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(3 838)</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(4 092)</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513</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Leased plant, equipment and vehicles</w:t>
            </w:r>
          </w:p>
        </w:tc>
        <w:tc>
          <w:tcPr>
            <w:tcW w:w="850"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373</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452</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373</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(231)</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Accumulated depreciation</w:t>
            </w:r>
          </w:p>
        </w:tc>
        <w:tc>
          <w:tcPr>
            <w:tcW w:w="850"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(207)</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(231)</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(230)</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1 945</w:t>
            </w:r>
          </w:p>
        </w:tc>
        <w:tc>
          <w:tcPr>
            <w:tcW w:w="4596" w:type="dxa"/>
            <w:gridSpan w:val="2"/>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vertAlign w:val="superscript"/>
                <w:lang w:eastAsia="en-AU"/>
              </w:rPr>
            </w:pPr>
            <w:r w:rsidRPr="00F944DD">
              <w:rPr>
                <w:rFonts w:ascii="Calibri" w:eastAsiaTheme="minorEastAsia" w:hAnsi="Calibri" w:cs="Calibri"/>
                <w:b/>
                <w:bCs/>
                <w:color w:val="000000"/>
                <w:sz w:val="19"/>
                <w:szCs w:val="19"/>
                <w:lang w:eastAsia="en-AU"/>
              </w:rPr>
              <w:t xml:space="preserve">Plant, equipment and vehicles (net carrying amount) </w:t>
            </w:r>
            <w:r w:rsidRPr="00F944DD">
              <w:rPr>
                <w:rFonts w:ascii="Calibri" w:eastAsiaTheme="minorEastAsia" w:hAnsi="Calibri" w:cs="Calibri"/>
                <w:b/>
                <w:bCs/>
                <w:color w:val="000000"/>
                <w:sz w:val="19"/>
                <w:szCs w:val="19"/>
                <w:vertAlign w:val="superscript"/>
                <w:lang w:eastAsia="en-AU"/>
              </w:rPr>
              <w:t>(a)</w:t>
            </w:r>
          </w:p>
        </w:tc>
        <w:tc>
          <w:tcPr>
            <w:tcW w:w="619"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2 441</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2 347</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2 364</w:t>
            </w:r>
          </w:p>
        </w:tc>
      </w:tr>
      <w:tr w:rsidR="002C39A3" w:rsidRPr="00F944DD" w:rsidTr="00361FA9">
        <w:tc>
          <w:tcPr>
            <w:tcW w:w="850" w:type="dxa"/>
            <w:tcBorders>
              <w:top w:val="single" w:sz="6" w:space="0" w:color="000000"/>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3 223</w:t>
            </w:r>
          </w:p>
        </w:tc>
        <w:tc>
          <w:tcPr>
            <w:tcW w:w="4365"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vertAlign w:val="superscript"/>
                <w:lang w:eastAsia="en-AU"/>
              </w:rPr>
            </w:pPr>
            <w:r w:rsidRPr="00F944DD">
              <w:rPr>
                <w:rFonts w:ascii="Calibri" w:eastAsiaTheme="minorEastAsia" w:hAnsi="Calibri" w:cs="Calibri"/>
                <w:b/>
                <w:bCs/>
                <w:color w:val="000000"/>
                <w:sz w:val="19"/>
                <w:szCs w:val="19"/>
                <w:lang w:eastAsia="en-AU"/>
              </w:rPr>
              <w:t xml:space="preserve">Total plant, equipment and vehicles, and infrastructure systems </w:t>
            </w:r>
            <w:r w:rsidRPr="00F944DD">
              <w:rPr>
                <w:rFonts w:ascii="Calibri" w:eastAsiaTheme="minorEastAsia" w:hAnsi="Calibri" w:cs="Calibri"/>
                <w:b/>
                <w:bCs/>
                <w:color w:val="000000"/>
                <w:sz w:val="19"/>
                <w:szCs w:val="19"/>
                <w:vertAlign w:val="superscript"/>
                <w:lang w:eastAsia="en-AU"/>
              </w:rPr>
              <w:t>(a)</w:t>
            </w:r>
          </w:p>
        </w:tc>
        <w:tc>
          <w:tcPr>
            <w:tcW w:w="850" w:type="dxa"/>
            <w:gridSpan w:val="2"/>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3 740</w:t>
            </w:r>
          </w:p>
        </w:tc>
        <w:tc>
          <w:tcPr>
            <w:tcW w:w="85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3 657</w:t>
            </w:r>
          </w:p>
        </w:tc>
        <w:tc>
          <w:tcPr>
            <w:tcW w:w="850" w:type="dxa"/>
            <w:tcBorders>
              <w:top w:val="single" w:sz="6" w:space="0" w:color="000000"/>
              <w:left w:val="nil"/>
              <w:bottom w:val="single" w:sz="12"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3 685</w:t>
            </w:r>
          </w:p>
        </w:tc>
      </w:tr>
    </w:tbl>
    <w:p w:rsidR="002C39A3" w:rsidRDefault="002C39A3" w:rsidP="00361FA9">
      <w:pPr>
        <w:pStyle w:val="Notes"/>
      </w:pPr>
      <w:r>
        <w:t>Note:</w:t>
      </w:r>
    </w:p>
    <w:p w:rsidR="002C39A3" w:rsidRPr="00A34C10" w:rsidRDefault="002C39A3" w:rsidP="00361FA9">
      <w:pPr>
        <w:pStyle w:val="Notes"/>
      </w:pPr>
      <w:r>
        <w:t>(a)</w:t>
      </w:r>
      <w:r>
        <w:tab/>
        <w:t>The March 2015</w:t>
      </w:r>
      <w:r w:rsidRPr="00A34C10">
        <w:t xml:space="preserve"> comparative figures have been updated</w:t>
      </w:r>
      <w:r>
        <w:t xml:space="preserve"> to reflect current information, mainly relating to adjustments outlined in Note 37 of the </w:t>
      </w:r>
      <w:r>
        <w:rPr>
          <w:i w:val="0"/>
        </w:rPr>
        <w:t>2014</w:t>
      </w:r>
      <w:r>
        <w:rPr>
          <w:i w:val="0"/>
        </w:rPr>
        <w:noBreakHyphen/>
        <w:t>15 Financial Report.</w:t>
      </w:r>
    </w:p>
    <w:p w:rsidR="002C39A3" w:rsidRDefault="002C39A3" w:rsidP="00361FA9">
      <w:pPr>
        <w:pStyle w:val="Notes"/>
        <w:rPr>
          <w:rFonts w:ascii="Garamond" w:hAnsi="Garamond"/>
          <w:sz w:val="22"/>
          <w:szCs w:val="22"/>
        </w:rPr>
      </w:pPr>
    </w:p>
    <w:p w:rsidR="002C39A3" w:rsidRDefault="002C39A3" w:rsidP="00361FA9">
      <w:pPr>
        <w:pStyle w:val="Tableheading"/>
      </w:pPr>
      <w:r>
        <w:t>(d)</w:t>
      </w:r>
      <w:r>
        <w:tab/>
        <w:t>Road networks and earthworks</w:t>
      </w:r>
    </w:p>
    <w:p w:rsidR="002C39A3" w:rsidRPr="00F944DD" w:rsidRDefault="002C39A3" w:rsidP="00361FA9">
      <w:pPr>
        <w:pStyle w:val="million"/>
        <w:rPr>
          <w:rFonts w:ascii="Garamond" w:hAnsi="Garamond"/>
          <w:b/>
          <w:bCs/>
          <w:i w:val="0"/>
          <w:sz w:val="22"/>
          <w:szCs w:val="22"/>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850"/>
        <w:gridCol w:w="4395"/>
        <w:gridCol w:w="820"/>
        <w:gridCol w:w="850"/>
        <w:gridCol w:w="850"/>
      </w:tblGrid>
      <w:tr w:rsidR="00251C6B" w:rsidRPr="00F944DD" w:rsidTr="00280ADB">
        <w:trPr>
          <w:trHeight w:val="696"/>
          <w:tblHeader/>
        </w:trPr>
        <w:tc>
          <w:tcPr>
            <w:tcW w:w="850" w:type="dxa"/>
            <w:tcBorders>
              <w:right w:val="nil"/>
            </w:tcBorders>
            <w:shd w:val="solid" w:color="000000" w:fill="auto"/>
            <w:vAlign w:val="bottom"/>
          </w:tcPr>
          <w:p w:rsidR="00251C6B" w:rsidRPr="00F944DD" w:rsidRDefault="00251C6B" w:rsidP="00361FA9">
            <w:pPr>
              <w:pStyle w:val="million"/>
              <w:jc w:val="right"/>
              <w:rPr>
                <w:rFonts w:eastAsiaTheme="minorEastAsia" w:cs="Calibri"/>
                <w:iCs/>
                <w:color w:val="FFFFFF"/>
                <w:sz w:val="19"/>
                <w:szCs w:val="19"/>
                <w:lang w:eastAsia="en-AU"/>
              </w:rPr>
            </w:pPr>
            <w:r w:rsidRPr="00F944DD">
              <w:rPr>
                <w:rFonts w:eastAsiaTheme="minorEastAsia" w:cs="Calibri"/>
                <w:iCs/>
                <w:color w:val="FFFFFF"/>
                <w:sz w:val="19"/>
                <w:szCs w:val="19"/>
                <w:lang w:eastAsia="en-AU"/>
              </w:rPr>
              <w:t>2014-15</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Actual</w:t>
            </w:r>
          </w:p>
          <w:p w:rsidR="00251C6B" w:rsidRPr="00F944DD" w:rsidRDefault="00251C6B" w:rsidP="00361FA9">
            <w:pPr>
              <w:autoSpaceDE w:val="0"/>
              <w:autoSpaceDN w:val="0"/>
              <w:adjustRightInd w:val="0"/>
              <w:spacing w:after="0"/>
              <w:jc w:val="right"/>
              <w:rPr>
                <w:rFonts w:eastAsiaTheme="minorEastAsia" w:cs="Calibri"/>
                <w:iCs/>
                <w:color w:val="FFFFFF"/>
                <w:sz w:val="19"/>
                <w:szCs w:val="19"/>
                <w:lang w:eastAsia="en-AU"/>
              </w:rPr>
            </w:pPr>
            <w:r w:rsidRPr="00F944DD">
              <w:rPr>
                <w:rFonts w:ascii="Calibri" w:eastAsiaTheme="minorEastAsia" w:hAnsi="Calibri" w:cs="Calibri"/>
                <w:i/>
                <w:iCs/>
                <w:color w:val="FFFFFF"/>
                <w:sz w:val="19"/>
                <w:szCs w:val="19"/>
                <w:lang w:eastAsia="en-AU"/>
              </w:rPr>
              <w:t>31 Mar</w:t>
            </w:r>
          </w:p>
        </w:tc>
        <w:tc>
          <w:tcPr>
            <w:tcW w:w="4395" w:type="dxa"/>
            <w:tcBorders>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tc>
        <w:tc>
          <w:tcPr>
            <w:tcW w:w="82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Opening</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1 Jul</w:t>
            </w: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2015-16</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Actual</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31 Mar</w:t>
            </w:r>
          </w:p>
        </w:tc>
        <w:tc>
          <w:tcPr>
            <w:tcW w:w="850" w:type="dxa"/>
            <w:tcBorders>
              <w:lef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Revised</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budget</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38 475</w:t>
            </w:r>
          </w:p>
        </w:tc>
        <w:tc>
          <w:tcPr>
            <w:tcW w:w="439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Roads and roads infrastructure</w:t>
            </w:r>
          </w:p>
        </w:tc>
        <w:tc>
          <w:tcPr>
            <w:tcW w:w="82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39 568</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40 431</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40 153</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(16 227)</w:t>
            </w:r>
          </w:p>
        </w:tc>
        <w:tc>
          <w:tcPr>
            <w:tcW w:w="439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Accumulated depreciation</w:t>
            </w:r>
          </w:p>
        </w:tc>
        <w:tc>
          <w:tcPr>
            <w:tcW w:w="82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(18 084)</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(18 528)</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(18 713)</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22 248</w:t>
            </w:r>
          </w:p>
        </w:tc>
        <w:tc>
          <w:tcPr>
            <w:tcW w:w="439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Roads and roads infrastructure (net carrying amount)</w:t>
            </w:r>
          </w:p>
        </w:tc>
        <w:tc>
          <w:tcPr>
            <w:tcW w:w="82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21 485</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21 903</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21 440</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7 685</w:t>
            </w:r>
          </w:p>
        </w:tc>
        <w:tc>
          <w:tcPr>
            <w:tcW w:w="4395"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Earthworks</w:t>
            </w:r>
          </w:p>
        </w:tc>
        <w:tc>
          <w:tcPr>
            <w:tcW w:w="82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7 690</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7 690</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7 919</w:t>
            </w:r>
          </w:p>
        </w:tc>
      </w:tr>
      <w:tr w:rsidR="002C39A3" w:rsidRPr="00F944DD" w:rsidTr="00361FA9">
        <w:tc>
          <w:tcPr>
            <w:tcW w:w="850" w:type="dxa"/>
            <w:tcBorders>
              <w:top w:val="single" w:sz="6" w:space="0" w:color="000000"/>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29 933</w:t>
            </w:r>
          </w:p>
        </w:tc>
        <w:tc>
          <w:tcPr>
            <w:tcW w:w="4395"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road networks and earthworks</w:t>
            </w:r>
          </w:p>
        </w:tc>
        <w:tc>
          <w:tcPr>
            <w:tcW w:w="82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29 175</w:t>
            </w:r>
          </w:p>
        </w:tc>
        <w:tc>
          <w:tcPr>
            <w:tcW w:w="85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29 592</w:t>
            </w:r>
          </w:p>
        </w:tc>
        <w:tc>
          <w:tcPr>
            <w:tcW w:w="850" w:type="dxa"/>
            <w:tcBorders>
              <w:top w:val="single" w:sz="6" w:space="0" w:color="000000"/>
              <w:left w:val="nil"/>
              <w:bottom w:val="single" w:sz="12"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29 359</w:t>
            </w:r>
          </w:p>
        </w:tc>
      </w:tr>
    </w:tbl>
    <w:p w:rsidR="002C39A3" w:rsidRPr="00716B38" w:rsidRDefault="002C39A3" w:rsidP="00361FA9">
      <w:pPr>
        <w:pStyle w:val="million"/>
        <w:jc w:val="left"/>
        <w:rPr>
          <w:rFonts w:ascii="Garamond" w:hAnsi="Garamond"/>
          <w:i w:val="0"/>
          <w:sz w:val="22"/>
          <w:szCs w:val="22"/>
        </w:rPr>
      </w:pPr>
    </w:p>
    <w:p w:rsidR="002C39A3" w:rsidRDefault="002C39A3" w:rsidP="00361FA9">
      <w:pPr>
        <w:pStyle w:val="Tableheading"/>
      </w:pPr>
      <w:r>
        <w:t>(e)</w:t>
      </w:r>
      <w:r>
        <w:tab/>
        <w:t>Cultural assets</w:t>
      </w:r>
    </w:p>
    <w:p w:rsidR="002C39A3" w:rsidRPr="00F944DD" w:rsidRDefault="002C39A3" w:rsidP="00361FA9">
      <w:pPr>
        <w:pStyle w:val="million"/>
        <w:rPr>
          <w:rFonts w:ascii="Garamond" w:hAnsi="Garamond"/>
          <w:b/>
          <w:bCs/>
          <w:i w:val="0"/>
          <w:sz w:val="22"/>
          <w:szCs w:val="22"/>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850"/>
        <w:gridCol w:w="4365"/>
        <w:gridCol w:w="850"/>
        <w:gridCol w:w="850"/>
        <w:gridCol w:w="850"/>
      </w:tblGrid>
      <w:tr w:rsidR="00251C6B" w:rsidRPr="00F944DD" w:rsidTr="00D56DDA">
        <w:trPr>
          <w:trHeight w:val="696"/>
          <w:tblHeader/>
        </w:trPr>
        <w:tc>
          <w:tcPr>
            <w:tcW w:w="850" w:type="dxa"/>
            <w:tcBorders>
              <w:right w:val="nil"/>
            </w:tcBorders>
            <w:shd w:val="solid" w:color="000000" w:fill="auto"/>
            <w:vAlign w:val="bottom"/>
          </w:tcPr>
          <w:p w:rsidR="00251C6B" w:rsidRPr="00F944DD" w:rsidRDefault="00251C6B" w:rsidP="00361FA9">
            <w:pPr>
              <w:pStyle w:val="million"/>
              <w:jc w:val="right"/>
              <w:rPr>
                <w:rFonts w:eastAsiaTheme="minorEastAsia" w:cs="Calibri"/>
                <w:iCs/>
                <w:color w:val="FFFFFF"/>
                <w:sz w:val="19"/>
                <w:szCs w:val="19"/>
                <w:lang w:eastAsia="en-AU"/>
              </w:rPr>
            </w:pPr>
            <w:r w:rsidRPr="00F944DD">
              <w:rPr>
                <w:rFonts w:eastAsiaTheme="minorEastAsia" w:cs="Calibri"/>
                <w:iCs/>
                <w:color w:val="FFFFFF"/>
                <w:sz w:val="19"/>
                <w:szCs w:val="19"/>
                <w:lang w:eastAsia="en-AU"/>
              </w:rPr>
              <w:t>2014-15</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Actual</w:t>
            </w:r>
          </w:p>
          <w:p w:rsidR="00251C6B" w:rsidRPr="00F944DD" w:rsidRDefault="00251C6B" w:rsidP="00361FA9">
            <w:pPr>
              <w:autoSpaceDE w:val="0"/>
              <w:autoSpaceDN w:val="0"/>
              <w:adjustRightInd w:val="0"/>
              <w:spacing w:after="0"/>
              <w:jc w:val="right"/>
              <w:rPr>
                <w:rFonts w:eastAsiaTheme="minorEastAsia" w:cs="Calibri"/>
                <w:iCs/>
                <w:color w:val="FFFFFF"/>
                <w:sz w:val="19"/>
                <w:szCs w:val="19"/>
                <w:lang w:eastAsia="en-AU"/>
              </w:rPr>
            </w:pPr>
            <w:r w:rsidRPr="00F944DD">
              <w:rPr>
                <w:rFonts w:ascii="Calibri" w:eastAsiaTheme="minorEastAsia" w:hAnsi="Calibri" w:cs="Calibri"/>
                <w:i/>
                <w:iCs/>
                <w:color w:val="FFFFFF"/>
                <w:sz w:val="19"/>
                <w:szCs w:val="19"/>
                <w:lang w:eastAsia="en-AU"/>
              </w:rPr>
              <w:t>31 Mar</w:t>
            </w:r>
          </w:p>
        </w:tc>
        <w:tc>
          <w:tcPr>
            <w:tcW w:w="4365" w:type="dxa"/>
            <w:tcBorders>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Opening</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1 Jul</w:t>
            </w: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2015-16</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Actual</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31 Mar</w:t>
            </w:r>
          </w:p>
        </w:tc>
        <w:tc>
          <w:tcPr>
            <w:tcW w:w="850" w:type="dxa"/>
            <w:tcBorders>
              <w:lef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Revised</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budget</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5 619</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Cultural assets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5 633</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5 762</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5 668</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(135)</w:t>
            </w:r>
          </w:p>
        </w:tc>
        <w:tc>
          <w:tcPr>
            <w:tcW w:w="4365"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Accumulated depreciation</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(137)</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(220)</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(142)</w:t>
            </w:r>
          </w:p>
        </w:tc>
      </w:tr>
      <w:tr w:rsidR="002C39A3" w:rsidRPr="00F944DD" w:rsidTr="00361FA9">
        <w:tc>
          <w:tcPr>
            <w:tcW w:w="850" w:type="dxa"/>
            <w:tcBorders>
              <w:top w:val="single" w:sz="6" w:space="0" w:color="000000"/>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5 484</w:t>
            </w:r>
          </w:p>
        </w:tc>
        <w:tc>
          <w:tcPr>
            <w:tcW w:w="4365"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cultural assets</w:t>
            </w:r>
          </w:p>
        </w:tc>
        <w:tc>
          <w:tcPr>
            <w:tcW w:w="85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5 496</w:t>
            </w:r>
          </w:p>
        </w:tc>
        <w:tc>
          <w:tcPr>
            <w:tcW w:w="85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5 542</w:t>
            </w:r>
          </w:p>
        </w:tc>
        <w:tc>
          <w:tcPr>
            <w:tcW w:w="850" w:type="dxa"/>
            <w:tcBorders>
              <w:top w:val="single" w:sz="6" w:space="0" w:color="000000"/>
              <w:left w:val="nil"/>
              <w:bottom w:val="single" w:sz="12"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5 526</w:t>
            </w:r>
          </w:p>
        </w:tc>
      </w:tr>
    </w:tbl>
    <w:p w:rsidR="002C39A3" w:rsidRPr="00716B38" w:rsidRDefault="002C39A3" w:rsidP="00361FA9">
      <w:pPr>
        <w:pStyle w:val="million"/>
        <w:jc w:val="left"/>
        <w:rPr>
          <w:rFonts w:ascii="Garamond" w:hAnsi="Garamond"/>
          <w:i w:val="0"/>
          <w:sz w:val="22"/>
          <w:szCs w:val="22"/>
        </w:rPr>
      </w:pPr>
    </w:p>
    <w:p w:rsidR="002C39A3" w:rsidRDefault="002C39A3" w:rsidP="00361FA9">
      <w:pPr>
        <w:pStyle w:val="million"/>
        <w:jc w:val="left"/>
      </w:pPr>
    </w:p>
    <w:p w:rsidR="002C39A3" w:rsidRDefault="002C39A3" w:rsidP="00361FA9">
      <w:pPr>
        <w:pStyle w:val="million"/>
      </w:pPr>
    </w:p>
    <w:p w:rsidR="002C39A3" w:rsidRDefault="002C39A3" w:rsidP="00361FA9">
      <w:pPr>
        <w:pStyle w:val="million"/>
      </w:pPr>
    </w:p>
    <w:p w:rsidR="002C39A3" w:rsidRDefault="002C39A3">
      <w:pPr>
        <w:spacing w:after="0"/>
        <w:rPr>
          <w:rFonts w:ascii="Calibri" w:hAnsi="Calibri"/>
          <w:i/>
          <w:sz w:val="18"/>
          <w:szCs w:val="18"/>
        </w:rPr>
      </w:pPr>
      <w:r>
        <w:br w:type="page"/>
      </w:r>
    </w:p>
    <w:p w:rsidR="002C39A3" w:rsidRDefault="002C39A3" w:rsidP="00361FA9">
      <w:pPr>
        <w:pStyle w:val="Heading2Notes"/>
      </w:pPr>
      <w:bookmarkStart w:id="78" w:name="_Toc448400822"/>
      <w:r>
        <w:t>Note 14:</w:t>
      </w:r>
      <w:r>
        <w:tab/>
        <w:t>Other non</w:t>
      </w:r>
      <w:r>
        <w:noBreakHyphen/>
        <w:t>financial assets</w:t>
      </w:r>
      <w:bookmarkEnd w:id="78"/>
    </w:p>
    <w:p w:rsidR="002C39A3" w:rsidRPr="00F944DD" w:rsidRDefault="002C39A3" w:rsidP="00361FA9">
      <w:pPr>
        <w:pStyle w:val="million"/>
        <w:rPr>
          <w:b/>
          <w:bCs/>
          <w:i w:val="0"/>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850"/>
        <w:gridCol w:w="4365"/>
        <w:gridCol w:w="850"/>
        <w:gridCol w:w="850"/>
        <w:gridCol w:w="850"/>
      </w:tblGrid>
      <w:tr w:rsidR="00251C6B" w:rsidRPr="00F944DD" w:rsidTr="00EA70D7">
        <w:trPr>
          <w:trHeight w:val="696"/>
          <w:tblHeader/>
        </w:trPr>
        <w:tc>
          <w:tcPr>
            <w:tcW w:w="850" w:type="dxa"/>
            <w:tcBorders>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2014-15</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Actual</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31 Mar </w:t>
            </w:r>
            <w:r w:rsidRPr="00F944DD">
              <w:rPr>
                <w:rFonts w:ascii="Calibri" w:eastAsiaTheme="minorEastAsia" w:hAnsi="Calibri" w:cs="Calibri"/>
                <w:i/>
                <w:iCs/>
                <w:color w:val="FFFFFF"/>
                <w:sz w:val="19"/>
                <w:szCs w:val="19"/>
                <w:vertAlign w:val="superscript"/>
                <w:lang w:eastAsia="en-AU"/>
              </w:rPr>
              <w:t>(a)</w:t>
            </w:r>
          </w:p>
        </w:tc>
        <w:tc>
          <w:tcPr>
            <w:tcW w:w="4365" w:type="dxa"/>
            <w:tcBorders>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Opening</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1 Jul</w:t>
            </w: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2015-16</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Actual</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31 Mar</w:t>
            </w:r>
          </w:p>
        </w:tc>
        <w:tc>
          <w:tcPr>
            <w:tcW w:w="850" w:type="dxa"/>
            <w:tcBorders>
              <w:lef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Revised</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budget</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1 306</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Intangible produced assets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1 287</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1 331</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1 409</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(650)</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Accumulated depreciation</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(701)</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(791)</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(837)</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134</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Intangible non-produced assets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154</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110</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121</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(50)</w:t>
            </w:r>
          </w:p>
        </w:tc>
        <w:tc>
          <w:tcPr>
            <w:tcW w:w="4365"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Accumulated amortisation</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(69)</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(38)</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(41)</w:t>
            </w:r>
          </w:p>
        </w:tc>
      </w:tr>
      <w:tr w:rsidR="002C39A3" w:rsidRPr="00F944DD" w:rsidTr="00361FA9">
        <w:tc>
          <w:tcPr>
            <w:tcW w:w="850"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740</w:t>
            </w:r>
          </w:p>
        </w:tc>
        <w:tc>
          <w:tcPr>
            <w:tcW w:w="4365"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Total intangibles </w:t>
            </w:r>
          </w:p>
        </w:tc>
        <w:tc>
          <w:tcPr>
            <w:tcW w:w="85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670</w:t>
            </w:r>
          </w:p>
        </w:tc>
        <w:tc>
          <w:tcPr>
            <w:tcW w:w="85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613</w:t>
            </w:r>
          </w:p>
        </w:tc>
        <w:tc>
          <w:tcPr>
            <w:tcW w:w="850"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652</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130</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Investment properties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69</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67</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64</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vertAlign w:val="superscript"/>
                <w:lang w:eastAsia="en-AU"/>
              </w:rPr>
            </w:pPr>
            <w:r w:rsidRPr="00F944DD">
              <w:rPr>
                <w:rFonts w:ascii="Calibri" w:eastAsiaTheme="minorEastAsia" w:hAnsi="Calibri" w:cs="Calibri"/>
                <w:color w:val="000000"/>
                <w:sz w:val="19"/>
                <w:szCs w:val="19"/>
                <w:lang w:eastAsia="en-AU"/>
              </w:rPr>
              <w:t xml:space="preserve">Biological assets </w:t>
            </w:r>
            <w:r w:rsidRPr="00F944DD">
              <w:rPr>
                <w:rFonts w:ascii="Calibri" w:eastAsiaTheme="minorEastAsia" w:hAnsi="Calibri" w:cs="Calibri"/>
                <w:color w:val="000000"/>
                <w:sz w:val="19"/>
                <w:szCs w:val="19"/>
                <w:vertAlign w:val="superscript"/>
                <w:lang w:eastAsia="en-AU"/>
              </w:rPr>
              <w:t>(b)</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451</w:t>
            </w:r>
          </w:p>
        </w:tc>
        <w:tc>
          <w:tcPr>
            <w:tcW w:w="4365"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Other assets</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295</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384</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304</w:t>
            </w:r>
          </w:p>
        </w:tc>
      </w:tr>
      <w:tr w:rsidR="002C39A3" w:rsidRPr="00F944DD" w:rsidTr="00361FA9">
        <w:tc>
          <w:tcPr>
            <w:tcW w:w="850" w:type="dxa"/>
            <w:tcBorders>
              <w:top w:val="single" w:sz="6" w:space="0" w:color="000000"/>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1 325</w:t>
            </w:r>
          </w:p>
        </w:tc>
        <w:tc>
          <w:tcPr>
            <w:tcW w:w="4365"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other non-financial assets</w:t>
            </w:r>
          </w:p>
        </w:tc>
        <w:tc>
          <w:tcPr>
            <w:tcW w:w="85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1 038</w:t>
            </w:r>
          </w:p>
        </w:tc>
        <w:tc>
          <w:tcPr>
            <w:tcW w:w="85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1 068</w:t>
            </w:r>
          </w:p>
        </w:tc>
        <w:tc>
          <w:tcPr>
            <w:tcW w:w="850" w:type="dxa"/>
            <w:tcBorders>
              <w:top w:val="single" w:sz="6" w:space="0" w:color="000000"/>
              <w:left w:val="nil"/>
              <w:bottom w:val="single" w:sz="12"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1 024</w:t>
            </w:r>
          </w:p>
        </w:tc>
      </w:tr>
    </w:tbl>
    <w:p w:rsidR="002C39A3" w:rsidRDefault="002C39A3" w:rsidP="00361FA9">
      <w:pPr>
        <w:pStyle w:val="Notes"/>
      </w:pPr>
      <w:r>
        <w:t>Notes:</w:t>
      </w:r>
    </w:p>
    <w:p w:rsidR="002C39A3" w:rsidRDefault="002C39A3" w:rsidP="00361FA9">
      <w:pPr>
        <w:pStyle w:val="Notes"/>
      </w:pPr>
      <w:r>
        <w:t>(a)</w:t>
      </w:r>
      <w:r>
        <w:tab/>
        <w:t>The March 2015</w:t>
      </w:r>
      <w:r w:rsidRPr="00A34C10">
        <w:t xml:space="preserve"> comparative figures have been updated</w:t>
      </w:r>
      <w:r>
        <w:t xml:space="preserve"> to reflect current information, mainly relating to adjustments outlined in Note 37 of the </w:t>
      </w:r>
      <w:r>
        <w:rPr>
          <w:i w:val="0"/>
        </w:rPr>
        <w:t>2014</w:t>
      </w:r>
      <w:r>
        <w:rPr>
          <w:i w:val="0"/>
        </w:rPr>
        <w:noBreakHyphen/>
        <w:t>15 Financial Report.</w:t>
      </w:r>
    </w:p>
    <w:p w:rsidR="002C39A3" w:rsidRDefault="002C39A3" w:rsidP="00361FA9">
      <w:pPr>
        <w:pStyle w:val="Notes"/>
      </w:pPr>
      <w:r>
        <w:t xml:space="preserve">(b) </w:t>
      </w:r>
      <w:r>
        <w:tab/>
        <w:t>The majority of biological assets comprises commercial forests and also includes any living animal, plant or agricultural produce, which is the harvested product of biological assets.</w:t>
      </w:r>
    </w:p>
    <w:p w:rsidR="002C39A3" w:rsidRDefault="002C39A3" w:rsidP="00361FA9"/>
    <w:p w:rsidR="002C39A3" w:rsidRDefault="002C39A3" w:rsidP="00361FA9"/>
    <w:p w:rsidR="002C39A3" w:rsidRDefault="002C39A3" w:rsidP="00361FA9">
      <w:pPr>
        <w:pStyle w:val="Heading2Notes"/>
      </w:pPr>
      <w:bookmarkStart w:id="79" w:name="_Toc448400823"/>
      <w:r>
        <w:t>Note 15:</w:t>
      </w:r>
      <w:r>
        <w:tab/>
        <w:t>Payables</w:t>
      </w:r>
      <w:bookmarkEnd w:id="79"/>
    </w:p>
    <w:p w:rsidR="002C39A3" w:rsidRPr="00F944DD" w:rsidRDefault="002C39A3" w:rsidP="00361FA9">
      <w:pPr>
        <w:pStyle w:val="million"/>
      </w:pPr>
      <w:r>
        <w:t>($ million)</w:t>
      </w:r>
    </w:p>
    <w:tbl>
      <w:tblPr>
        <w:tblW w:w="7764" w:type="dxa"/>
        <w:tblInd w:w="45" w:type="dxa"/>
        <w:tblLayout w:type="fixed"/>
        <w:tblCellMar>
          <w:left w:w="45" w:type="dxa"/>
          <w:right w:w="45" w:type="dxa"/>
        </w:tblCellMar>
        <w:tblLook w:val="0000" w:firstRow="0" w:lastRow="0" w:firstColumn="0" w:lastColumn="0" w:noHBand="0" w:noVBand="0"/>
      </w:tblPr>
      <w:tblGrid>
        <w:gridCol w:w="850"/>
        <w:gridCol w:w="4365"/>
        <w:gridCol w:w="850"/>
        <w:gridCol w:w="850"/>
        <w:gridCol w:w="849"/>
      </w:tblGrid>
      <w:tr w:rsidR="00251C6B" w:rsidRPr="00F944DD" w:rsidTr="009624C0">
        <w:trPr>
          <w:trHeight w:val="696"/>
          <w:tblHeader/>
        </w:trPr>
        <w:tc>
          <w:tcPr>
            <w:tcW w:w="850" w:type="dxa"/>
            <w:tcBorders>
              <w:right w:val="nil"/>
            </w:tcBorders>
            <w:shd w:val="solid" w:color="000000" w:fill="auto"/>
            <w:vAlign w:val="bottom"/>
          </w:tcPr>
          <w:p w:rsidR="00251C6B" w:rsidRPr="00F944DD" w:rsidRDefault="00251C6B" w:rsidP="00361FA9">
            <w:pPr>
              <w:pStyle w:val="million"/>
              <w:jc w:val="right"/>
              <w:rPr>
                <w:rFonts w:eastAsiaTheme="minorEastAsia" w:cs="Calibri"/>
                <w:iCs/>
                <w:color w:val="FFFFFF"/>
                <w:sz w:val="19"/>
                <w:szCs w:val="19"/>
                <w:lang w:eastAsia="en-AU"/>
              </w:rPr>
            </w:pPr>
            <w:r w:rsidRPr="00F944DD">
              <w:rPr>
                <w:rFonts w:eastAsiaTheme="minorEastAsia" w:cs="Calibri"/>
                <w:iCs/>
                <w:color w:val="FFFFFF"/>
                <w:sz w:val="19"/>
                <w:szCs w:val="19"/>
                <w:lang w:eastAsia="en-AU"/>
              </w:rPr>
              <w:t>2014-15</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Actual</w:t>
            </w:r>
          </w:p>
          <w:p w:rsidR="00251C6B" w:rsidRPr="00F944DD" w:rsidRDefault="00251C6B" w:rsidP="00361FA9">
            <w:pPr>
              <w:autoSpaceDE w:val="0"/>
              <w:autoSpaceDN w:val="0"/>
              <w:adjustRightInd w:val="0"/>
              <w:spacing w:after="0"/>
              <w:jc w:val="right"/>
              <w:rPr>
                <w:rFonts w:eastAsiaTheme="minorEastAsia" w:cs="Calibri"/>
                <w:iCs/>
                <w:color w:val="FFFFFF"/>
                <w:sz w:val="19"/>
                <w:szCs w:val="19"/>
                <w:lang w:eastAsia="en-AU"/>
              </w:rPr>
            </w:pPr>
            <w:r w:rsidRPr="00F944DD">
              <w:rPr>
                <w:rFonts w:ascii="Calibri" w:eastAsiaTheme="minorEastAsia" w:hAnsi="Calibri" w:cs="Calibri"/>
                <w:i/>
                <w:iCs/>
                <w:color w:val="FFFFFF"/>
                <w:sz w:val="19"/>
                <w:szCs w:val="19"/>
                <w:lang w:eastAsia="en-AU"/>
              </w:rPr>
              <w:t xml:space="preserve">31 Mar </w:t>
            </w:r>
            <w:r w:rsidRPr="00F944DD">
              <w:rPr>
                <w:rFonts w:ascii="Calibri" w:eastAsiaTheme="minorEastAsia" w:hAnsi="Calibri" w:cs="Calibri"/>
                <w:i/>
                <w:iCs/>
                <w:color w:val="FFFFFF"/>
                <w:sz w:val="19"/>
                <w:szCs w:val="19"/>
                <w:vertAlign w:val="superscript"/>
                <w:lang w:eastAsia="en-AU"/>
              </w:rPr>
              <w:t>(a)</w:t>
            </w:r>
          </w:p>
        </w:tc>
        <w:tc>
          <w:tcPr>
            <w:tcW w:w="4365" w:type="dxa"/>
            <w:tcBorders>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Opening</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1 Jul</w:t>
            </w: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2015-16</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Actual</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31 Mar</w:t>
            </w:r>
          </w:p>
        </w:tc>
        <w:tc>
          <w:tcPr>
            <w:tcW w:w="849" w:type="dxa"/>
            <w:tcBorders>
              <w:lef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Revised</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budget</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Contractual</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49"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1 494</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Accounts payable</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1 158</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1 122</w:t>
            </w:r>
          </w:p>
        </w:tc>
        <w:tc>
          <w:tcPr>
            <w:tcW w:w="849"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1 221</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1 744</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Accrued expenses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2 172</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1 859</w:t>
            </w:r>
          </w:p>
        </w:tc>
        <w:tc>
          <w:tcPr>
            <w:tcW w:w="849"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1 738</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2 903</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Unearned income</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2 332</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2 393</w:t>
            </w:r>
          </w:p>
        </w:tc>
        <w:tc>
          <w:tcPr>
            <w:tcW w:w="849"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2 265</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Statutory</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49"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41</w:t>
            </w:r>
          </w:p>
        </w:tc>
        <w:tc>
          <w:tcPr>
            <w:tcW w:w="4365"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Accrued taxes payable</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43</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39</w:t>
            </w:r>
          </w:p>
        </w:tc>
        <w:tc>
          <w:tcPr>
            <w:tcW w:w="849"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44</w:t>
            </w:r>
          </w:p>
        </w:tc>
      </w:tr>
      <w:tr w:rsidR="002C39A3" w:rsidRPr="00F944DD" w:rsidTr="00361FA9">
        <w:tc>
          <w:tcPr>
            <w:tcW w:w="850" w:type="dxa"/>
            <w:tcBorders>
              <w:top w:val="single" w:sz="6" w:space="0" w:color="000000"/>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6 182</w:t>
            </w:r>
          </w:p>
        </w:tc>
        <w:tc>
          <w:tcPr>
            <w:tcW w:w="4365"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payables</w:t>
            </w:r>
          </w:p>
        </w:tc>
        <w:tc>
          <w:tcPr>
            <w:tcW w:w="850"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5 704</w:t>
            </w:r>
          </w:p>
        </w:tc>
        <w:tc>
          <w:tcPr>
            <w:tcW w:w="850"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5 413</w:t>
            </w:r>
          </w:p>
        </w:tc>
        <w:tc>
          <w:tcPr>
            <w:tcW w:w="849" w:type="dxa"/>
            <w:tcBorders>
              <w:top w:val="single" w:sz="6" w:space="0" w:color="000000"/>
              <w:left w:val="nil"/>
              <w:bottom w:val="single" w:sz="12"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5 267</w:t>
            </w:r>
          </w:p>
        </w:tc>
      </w:tr>
      <w:tr w:rsidR="002C39A3" w:rsidRPr="00F944DD" w:rsidTr="00361FA9">
        <w:tc>
          <w:tcPr>
            <w:tcW w:w="850" w:type="dxa"/>
            <w:tcBorders>
              <w:top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4365"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Represented by:</w:t>
            </w:r>
          </w:p>
        </w:tc>
        <w:tc>
          <w:tcPr>
            <w:tcW w:w="850"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49" w:type="dxa"/>
            <w:tcBorders>
              <w:top w:val="single" w:sz="12"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4 123</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Current payables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3 776</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3 595</w:t>
            </w:r>
          </w:p>
        </w:tc>
        <w:tc>
          <w:tcPr>
            <w:tcW w:w="849"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3 489</w:t>
            </w:r>
          </w:p>
        </w:tc>
      </w:tr>
      <w:tr w:rsidR="002C39A3" w:rsidRPr="00F944DD" w:rsidTr="00361FA9">
        <w:tc>
          <w:tcPr>
            <w:tcW w:w="850" w:type="dxa"/>
            <w:tcBorders>
              <w:top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2 059</w:t>
            </w:r>
          </w:p>
        </w:tc>
        <w:tc>
          <w:tcPr>
            <w:tcW w:w="4365" w:type="dxa"/>
            <w:tcBorders>
              <w:top w:val="nil"/>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Non-current payables</w:t>
            </w:r>
          </w:p>
        </w:tc>
        <w:tc>
          <w:tcPr>
            <w:tcW w:w="850" w:type="dxa"/>
            <w:tcBorders>
              <w:top w:val="nil"/>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1 928</w:t>
            </w:r>
          </w:p>
        </w:tc>
        <w:tc>
          <w:tcPr>
            <w:tcW w:w="850" w:type="dxa"/>
            <w:tcBorders>
              <w:top w:val="nil"/>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1 818</w:t>
            </w:r>
          </w:p>
        </w:tc>
        <w:tc>
          <w:tcPr>
            <w:tcW w:w="849" w:type="dxa"/>
            <w:tcBorders>
              <w:top w:val="nil"/>
              <w:left w:val="nil"/>
              <w:bottom w:val="single" w:sz="12"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1 778</w:t>
            </w:r>
          </w:p>
        </w:tc>
      </w:tr>
    </w:tbl>
    <w:p w:rsidR="002C39A3" w:rsidRDefault="002C39A3" w:rsidP="00361FA9">
      <w:pPr>
        <w:pStyle w:val="Notes"/>
      </w:pPr>
      <w:r>
        <w:t>Note:</w:t>
      </w:r>
    </w:p>
    <w:p w:rsidR="002C39A3" w:rsidRDefault="002C39A3" w:rsidP="00361FA9">
      <w:pPr>
        <w:pStyle w:val="Notes"/>
      </w:pPr>
      <w:r>
        <w:t>(a)</w:t>
      </w:r>
      <w:r>
        <w:tab/>
        <w:t>The March 2015</w:t>
      </w:r>
      <w:r w:rsidRPr="00A34C10">
        <w:t xml:space="preserve"> comparative figures have been updated</w:t>
      </w:r>
      <w:r>
        <w:t xml:space="preserve"> to reflect current information, mainly relating to adjustments outlined in Note 37 of the </w:t>
      </w:r>
      <w:r>
        <w:rPr>
          <w:i w:val="0"/>
        </w:rPr>
        <w:t>2014</w:t>
      </w:r>
      <w:r>
        <w:rPr>
          <w:i w:val="0"/>
        </w:rPr>
        <w:noBreakHyphen/>
        <w:t>15 Financial Report.</w:t>
      </w:r>
    </w:p>
    <w:p w:rsidR="002C39A3" w:rsidRDefault="002C39A3" w:rsidP="00361FA9"/>
    <w:p w:rsidR="002C39A3" w:rsidRDefault="002C39A3" w:rsidP="00361FA9"/>
    <w:p w:rsidR="002C39A3" w:rsidRDefault="002C39A3">
      <w:pPr>
        <w:spacing w:after="0"/>
        <w:rPr>
          <w:rFonts w:ascii="Calibri" w:hAnsi="Calibri"/>
          <w:b/>
          <w:kern w:val="28"/>
          <w:sz w:val="26"/>
          <w:szCs w:val="22"/>
        </w:rPr>
      </w:pPr>
      <w:r>
        <w:br w:type="page"/>
      </w:r>
    </w:p>
    <w:p w:rsidR="002C39A3" w:rsidRDefault="002C39A3" w:rsidP="00361FA9">
      <w:pPr>
        <w:pStyle w:val="Heading2Notes"/>
      </w:pPr>
      <w:bookmarkStart w:id="80" w:name="_Toc448400824"/>
      <w:r>
        <w:t>Note 16:</w:t>
      </w:r>
      <w:r>
        <w:tab/>
        <w:t>Employee benefits</w:t>
      </w:r>
      <w:bookmarkEnd w:id="80"/>
    </w:p>
    <w:p w:rsidR="002C39A3" w:rsidRPr="00F944DD" w:rsidRDefault="002C39A3" w:rsidP="00361FA9">
      <w:pPr>
        <w:pStyle w:val="million"/>
        <w:rPr>
          <w:b/>
          <w:bCs/>
          <w:sz w:val="15"/>
          <w:lang w:val="en-US"/>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850"/>
        <w:gridCol w:w="4365"/>
        <w:gridCol w:w="850"/>
        <w:gridCol w:w="850"/>
        <w:gridCol w:w="850"/>
      </w:tblGrid>
      <w:tr w:rsidR="00251C6B" w:rsidRPr="00F944DD" w:rsidTr="00257CA1">
        <w:trPr>
          <w:trHeight w:val="696"/>
          <w:tblHeader/>
        </w:trPr>
        <w:tc>
          <w:tcPr>
            <w:tcW w:w="850" w:type="dxa"/>
            <w:tcBorders>
              <w:right w:val="nil"/>
            </w:tcBorders>
            <w:shd w:val="solid" w:color="000000" w:fill="auto"/>
            <w:vAlign w:val="bottom"/>
          </w:tcPr>
          <w:p w:rsidR="00251C6B" w:rsidRPr="00F944DD" w:rsidRDefault="00251C6B" w:rsidP="00361FA9">
            <w:pPr>
              <w:pStyle w:val="Notes"/>
              <w:jc w:val="right"/>
              <w:rPr>
                <w:rFonts w:eastAsiaTheme="minorEastAsia" w:cs="Calibri"/>
                <w:iCs/>
                <w:color w:val="FFFFFF"/>
                <w:sz w:val="19"/>
                <w:szCs w:val="19"/>
                <w:lang w:eastAsia="en-AU"/>
              </w:rPr>
            </w:pPr>
            <w:r w:rsidRPr="00F944DD">
              <w:rPr>
                <w:rFonts w:eastAsiaTheme="minorEastAsia" w:cs="Calibri"/>
                <w:iCs/>
                <w:color w:val="FFFFFF"/>
                <w:sz w:val="19"/>
                <w:szCs w:val="19"/>
                <w:lang w:eastAsia="en-AU"/>
              </w:rPr>
              <w:t>2014-15</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Actual</w:t>
            </w:r>
          </w:p>
          <w:p w:rsidR="00251C6B" w:rsidRPr="00F944DD" w:rsidRDefault="00251C6B" w:rsidP="00361FA9">
            <w:pPr>
              <w:autoSpaceDE w:val="0"/>
              <w:autoSpaceDN w:val="0"/>
              <w:adjustRightInd w:val="0"/>
              <w:spacing w:after="0"/>
              <w:jc w:val="right"/>
              <w:rPr>
                <w:rFonts w:eastAsiaTheme="minorEastAsia" w:cs="Calibri"/>
                <w:iCs/>
                <w:color w:val="FFFFFF"/>
                <w:sz w:val="19"/>
                <w:szCs w:val="19"/>
                <w:lang w:eastAsia="en-AU"/>
              </w:rPr>
            </w:pPr>
            <w:r w:rsidRPr="00F944DD">
              <w:rPr>
                <w:rFonts w:ascii="Calibri" w:eastAsiaTheme="minorEastAsia" w:hAnsi="Calibri" w:cs="Calibri"/>
                <w:i/>
                <w:iCs/>
                <w:color w:val="FFFFFF"/>
                <w:sz w:val="19"/>
                <w:szCs w:val="19"/>
                <w:lang w:eastAsia="en-AU"/>
              </w:rPr>
              <w:t xml:space="preserve">31 Mar </w:t>
            </w:r>
            <w:r w:rsidRPr="00F944DD">
              <w:rPr>
                <w:rFonts w:ascii="Calibri" w:eastAsiaTheme="minorEastAsia" w:hAnsi="Calibri" w:cs="Calibri"/>
                <w:i/>
                <w:iCs/>
                <w:color w:val="FFFFFF"/>
                <w:sz w:val="19"/>
                <w:szCs w:val="19"/>
                <w:vertAlign w:val="superscript"/>
                <w:lang w:eastAsia="en-AU"/>
              </w:rPr>
              <w:t>(a)</w:t>
            </w:r>
          </w:p>
        </w:tc>
        <w:tc>
          <w:tcPr>
            <w:tcW w:w="4365" w:type="dxa"/>
            <w:tcBorders>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Opening</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1 Jul</w:t>
            </w: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2015-16</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Actual</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31 Mar</w:t>
            </w:r>
          </w:p>
        </w:tc>
        <w:tc>
          <w:tcPr>
            <w:tcW w:w="850" w:type="dxa"/>
            <w:tcBorders>
              <w:lef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Revised</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budget</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Current</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1 699</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vertAlign w:val="superscript"/>
                <w:lang w:eastAsia="en-AU"/>
              </w:rPr>
            </w:pPr>
            <w:r w:rsidRPr="00F944DD">
              <w:rPr>
                <w:rFonts w:ascii="Calibri" w:eastAsiaTheme="minorEastAsia" w:hAnsi="Calibri" w:cs="Calibri"/>
                <w:color w:val="000000"/>
                <w:sz w:val="19"/>
                <w:szCs w:val="19"/>
                <w:lang w:eastAsia="en-AU"/>
              </w:rPr>
              <w:t xml:space="preserve">Accrued salaries and wages </w:t>
            </w:r>
            <w:r w:rsidRPr="00F944DD">
              <w:rPr>
                <w:rFonts w:ascii="Calibri" w:eastAsiaTheme="minorEastAsia" w:hAnsi="Calibri" w:cs="Calibri"/>
                <w:color w:val="000000"/>
                <w:sz w:val="19"/>
                <w:szCs w:val="19"/>
                <w:vertAlign w:val="superscript"/>
                <w:lang w:eastAsia="en-AU"/>
              </w:rPr>
              <w:t>(b)(c)</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1 616</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1 534</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1 672</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3 189</w:t>
            </w:r>
          </w:p>
        </w:tc>
        <w:tc>
          <w:tcPr>
            <w:tcW w:w="4365"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vertAlign w:val="superscript"/>
                <w:lang w:eastAsia="en-AU"/>
              </w:rPr>
            </w:pPr>
            <w:r w:rsidRPr="00F944DD">
              <w:rPr>
                <w:rFonts w:ascii="Calibri" w:eastAsiaTheme="minorEastAsia" w:hAnsi="Calibri" w:cs="Calibri"/>
                <w:color w:val="000000"/>
                <w:sz w:val="19"/>
                <w:szCs w:val="19"/>
                <w:lang w:eastAsia="en-AU"/>
              </w:rPr>
              <w:t xml:space="preserve">Long service leave </w:t>
            </w:r>
            <w:r w:rsidRPr="00F944DD">
              <w:rPr>
                <w:rFonts w:ascii="Calibri" w:eastAsiaTheme="minorEastAsia" w:hAnsi="Calibri" w:cs="Calibri"/>
                <w:color w:val="000000"/>
                <w:sz w:val="19"/>
                <w:szCs w:val="19"/>
                <w:vertAlign w:val="superscript"/>
                <w:lang w:eastAsia="en-AU"/>
              </w:rPr>
              <w:t>(c)</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3 277</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3 423</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3 399</w:t>
            </w:r>
          </w:p>
        </w:tc>
      </w:tr>
      <w:tr w:rsidR="002C39A3" w:rsidRPr="00F944DD" w:rsidTr="00361FA9">
        <w:tc>
          <w:tcPr>
            <w:tcW w:w="850"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4 888</w:t>
            </w:r>
          </w:p>
        </w:tc>
        <w:tc>
          <w:tcPr>
            <w:tcW w:w="4365"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current employee benefits and on-costs</w:t>
            </w:r>
          </w:p>
        </w:tc>
        <w:tc>
          <w:tcPr>
            <w:tcW w:w="85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4 893</w:t>
            </w:r>
          </w:p>
        </w:tc>
        <w:tc>
          <w:tcPr>
            <w:tcW w:w="850"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4 957</w:t>
            </w:r>
          </w:p>
        </w:tc>
        <w:tc>
          <w:tcPr>
            <w:tcW w:w="850"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5 071</w:t>
            </w:r>
          </w:p>
        </w:tc>
      </w:tr>
      <w:tr w:rsidR="002C39A3" w:rsidRPr="00F944DD" w:rsidTr="00361FA9">
        <w:tc>
          <w:tcPr>
            <w:tcW w:w="850" w:type="dxa"/>
            <w:tcBorders>
              <w:top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436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Non-current</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c>
          <w:tcPr>
            <w:tcW w:w="850"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 </w:t>
            </w:r>
          </w:p>
        </w:tc>
      </w:tr>
      <w:tr w:rsidR="002C39A3" w:rsidRPr="00F944DD" w:rsidTr="00361FA9">
        <w:tc>
          <w:tcPr>
            <w:tcW w:w="850"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713</w:t>
            </w:r>
          </w:p>
        </w:tc>
        <w:tc>
          <w:tcPr>
            <w:tcW w:w="4365"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Long service leave</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712</w:t>
            </w:r>
          </w:p>
        </w:tc>
        <w:tc>
          <w:tcPr>
            <w:tcW w:w="850"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719</w:t>
            </w:r>
          </w:p>
        </w:tc>
        <w:tc>
          <w:tcPr>
            <w:tcW w:w="850"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789</w:t>
            </w:r>
          </w:p>
        </w:tc>
      </w:tr>
      <w:tr w:rsidR="002C39A3" w:rsidRPr="00F944DD" w:rsidTr="00361FA9">
        <w:tc>
          <w:tcPr>
            <w:tcW w:w="850" w:type="dxa"/>
            <w:tcBorders>
              <w:top w:val="single" w:sz="6" w:space="0" w:color="000000"/>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713</w:t>
            </w:r>
          </w:p>
        </w:tc>
        <w:tc>
          <w:tcPr>
            <w:tcW w:w="4365"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non-current employee benefits and on-costs</w:t>
            </w:r>
          </w:p>
        </w:tc>
        <w:tc>
          <w:tcPr>
            <w:tcW w:w="850"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712</w:t>
            </w:r>
          </w:p>
        </w:tc>
        <w:tc>
          <w:tcPr>
            <w:tcW w:w="850"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719</w:t>
            </w:r>
          </w:p>
        </w:tc>
        <w:tc>
          <w:tcPr>
            <w:tcW w:w="850" w:type="dxa"/>
            <w:tcBorders>
              <w:top w:val="single" w:sz="6" w:space="0" w:color="000000"/>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789</w:t>
            </w:r>
          </w:p>
        </w:tc>
      </w:tr>
      <w:tr w:rsidR="002C39A3" w:rsidRPr="00F944DD" w:rsidTr="00361FA9">
        <w:tc>
          <w:tcPr>
            <w:tcW w:w="850" w:type="dxa"/>
            <w:tcBorders>
              <w:top w:val="single" w:sz="6" w:space="0" w:color="000000"/>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5 601</w:t>
            </w:r>
          </w:p>
        </w:tc>
        <w:tc>
          <w:tcPr>
            <w:tcW w:w="4365"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employee benefits and on-costs</w:t>
            </w:r>
          </w:p>
        </w:tc>
        <w:tc>
          <w:tcPr>
            <w:tcW w:w="85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5 605</w:t>
            </w:r>
          </w:p>
        </w:tc>
        <w:tc>
          <w:tcPr>
            <w:tcW w:w="850"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5 676</w:t>
            </w:r>
          </w:p>
        </w:tc>
        <w:tc>
          <w:tcPr>
            <w:tcW w:w="850" w:type="dxa"/>
            <w:tcBorders>
              <w:top w:val="single" w:sz="6" w:space="0" w:color="000000"/>
              <w:left w:val="nil"/>
              <w:bottom w:val="single" w:sz="12"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5 860</w:t>
            </w:r>
          </w:p>
        </w:tc>
      </w:tr>
    </w:tbl>
    <w:p w:rsidR="002C39A3" w:rsidRDefault="002C39A3" w:rsidP="00361FA9">
      <w:pPr>
        <w:pStyle w:val="Notes"/>
      </w:pPr>
      <w:r>
        <w:t>Notes:</w:t>
      </w:r>
    </w:p>
    <w:p w:rsidR="002C39A3" w:rsidRDefault="002C39A3" w:rsidP="00361FA9">
      <w:pPr>
        <w:pStyle w:val="Notes"/>
      </w:pPr>
      <w:r>
        <w:t>(a)</w:t>
      </w:r>
      <w:r>
        <w:tab/>
        <w:t>The March 2015</w:t>
      </w:r>
      <w:r w:rsidRPr="00A34C10">
        <w:t xml:space="preserve"> comparative figures have been updated</w:t>
      </w:r>
      <w:r>
        <w:t xml:space="preserve"> to reflect current information, mainly relating to adjustments outlined in Note 37 of the </w:t>
      </w:r>
      <w:r>
        <w:rPr>
          <w:i w:val="0"/>
        </w:rPr>
        <w:t>2014</w:t>
      </w:r>
      <w:r>
        <w:rPr>
          <w:i w:val="0"/>
        </w:rPr>
        <w:noBreakHyphen/>
        <w:t>15 Financial Report.</w:t>
      </w:r>
    </w:p>
    <w:p w:rsidR="002C39A3" w:rsidRDefault="002C39A3" w:rsidP="00361FA9">
      <w:pPr>
        <w:pStyle w:val="Notes"/>
      </w:pPr>
      <w:r>
        <w:t>(b)</w:t>
      </w:r>
      <w:r>
        <w:tab/>
        <w:t>Includes accrued annual leave, payroll tax and other similar on</w:t>
      </w:r>
      <w:r>
        <w:noBreakHyphen/>
        <w:t>costs.</w:t>
      </w:r>
    </w:p>
    <w:p w:rsidR="002C39A3" w:rsidRDefault="002C39A3" w:rsidP="00361FA9">
      <w:pPr>
        <w:pStyle w:val="Notes"/>
      </w:pPr>
      <w:r>
        <w:t>(c)</w:t>
      </w:r>
      <w:r>
        <w:tab/>
        <w:t>While employee related on</w:t>
      </w:r>
      <w:r>
        <w:noBreakHyphen/>
        <w:t xml:space="preserve">costs were allocated against accrued salaries and wages in the </w:t>
      </w:r>
      <w:r w:rsidRPr="007009AF">
        <w:t>2015</w:t>
      </w:r>
      <w:r>
        <w:noBreakHyphen/>
      </w:r>
      <w:r w:rsidRPr="007009AF">
        <w:t>16 Budget Update</w:t>
      </w:r>
      <w:r>
        <w:t xml:space="preserve">, for the </w:t>
      </w:r>
      <w:r w:rsidRPr="00BF33AB">
        <w:rPr>
          <w:i w:val="0"/>
        </w:rPr>
        <w:t>2015</w:t>
      </w:r>
      <w:r>
        <w:rPr>
          <w:i w:val="0"/>
        </w:rPr>
        <w:noBreakHyphen/>
      </w:r>
      <w:r w:rsidRPr="00BF33AB">
        <w:rPr>
          <w:i w:val="0"/>
        </w:rPr>
        <w:t>16 </w:t>
      </w:r>
      <w:r>
        <w:rPr>
          <w:i w:val="0"/>
        </w:rPr>
        <w:t>Mid-Year Financial Report, 2015-16 revised budget,</w:t>
      </w:r>
      <w:r>
        <w:t xml:space="preserve"> and </w:t>
      </w:r>
      <w:r w:rsidRPr="00BF33AB">
        <w:rPr>
          <w:i w:val="0"/>
        </w:rPr>
        <w:t>2015</w:t>
      </w:r>
      <w:r>
        <w:rPr>
          <w:i w:val="0"/>
        </w:rPr>
        <w:noBreakHyphen/>
      </w:r>
      <w:r w:rsidRPr="00BF33AB">
        <w:rPr>
          <w:i w:val="0"/>
        </w:rPr>
        <w:t>16 original budget</w:t>
      </w:r>
      <w:r>
        <w:t>, data was available for on costs to be allocated between accrued salaries and wages and long service leave so that such on costs are better attributed to the respective components of the employee benefit provision.</w:t>
      </w:r>
    </w:p>
    <w:p w:rsidR="002C39A3" w:rsidRDefault="002C39A3" w:rsidP="00361FA9"/>
    <w:p w:rsidR="002C39A3" w:rsidRDefault="002C39A3" w:rsidP="00361FA9"/>
    <w:p w:rsidR="002C39A3" w:rsidRDefault="002C39A3" w:rsidP="00361FA9">
      <w:pPr>
        <w:pStyle w:val="Heading2Notes"/>
      </w:pPr>
      <w:bookmarkStart w:id="81" w:name="_Toc448400825"/>
      <w:r>
        <w:t>Note 17:</w:t>
      </w:r>
      <w:r>
        <w:tab/>
        <w:t>Reconciliation of cash and cash equivalents</w:t>
      </w:r>
      <w:bookmarkEnd w:id="81"/>
    </w:p>
    <w:p w:rsidR="002C39A3" w:rsidRPr="00F944DD" w:rsidRDefault="002C39A3" w:rsidP="00361FA9">
      <w:pPr>
        <w:pStyle w:val="million"/>
        <w:rPr>
          <w:b/>
          <w:bCs/>
          <w:lang w:val="en-US"/>
        </w:rPr>
      </w:pPr>
      <w:r>
        <w:t>($ million)</w:t>
      </w:r>
    </w:p>
    <w:tbl>
      <w:tblPr>
        <w:tblW w:w="7766" w:type="dxa"/>
        <w:tblInd w:w="45" w:type="dxa"/>
        <w:tblLayout w:type="fixed"/>
        <w:tblCellMar>
          <w:left w:w="45" w:type="dxa"/>
          <w:right w:w="45" w:type="dxa"/>
        </w:tblCellMar>
        <w:tblLook w:val="0000" w:firstRow="0" w:lastRow="0" w:firstColumn="0" w:lastColumn="0" w:noHBand="0" w:noVBand="0"/>
      </w:tblPr>
      <w:tblGrid>
        <w:gridCol w:w="850"/>
        <w:gridCol w:w="5216"/>
        <w:gridCol w:w="850"/>
        <w:gridCol w:w="850"/>
      </w:tblGrid>
      <w:tr w:rsidR="00251C6B" w:rsidRPr="00F944DD" w:rsidTr="00444DB0">
        <w:trPr>
          <w:trHeight w:val="696"/>
          <w:tblHeader/>
        </w:trPr>
        <w:tc>
          <w:tcPr>
            <w:tcW w:w="850" w:type="dxa"/>
            <w:tcBorders>
              <w:right w:val="nil"/>
            </w:tcBorders>
            <w:shd w:val="solid" w:color="000000" w:fill="auto"/>
            <w:vAlign w:val="bottom"/>
          </w:tcPr>
          <w:p w:rsidR="00251C6B" w:rsidRPr="00F944DD" w:rsidRDefault="00251C6B" w:rsidP="00361FA9">
            <w:pPr>
              <w:pStyle w:val="million"/>
              <w:jc w:val="right"/>
              <w:rPr>
                <w:rFonts w:eastAsiaTheme="minorEastAsia" w:cs="Calibri"/>
                <w:iCs/>
                <w:color w:val="FFFFFF"/>
                <w:sz w:val="19"/>
                <w:szCs w:val="19"/>
                <w:lang w:eastAsia="en-AU"/>
              </w:rPr>
            </w:pPr>
            <w:r w:rsidRPr="00F944DD">
              <w:rPr>
                <w:rFonts w:eastAsiaTheme="minorEastAsia" w:cs="Calibri"/>
                <w:iCs/>
                <w:color w:val="FFFFFF"/>
                <w:sz w:val="19"/>
                <w:szCs w:val="19"/>
                <w:lang w:eastAsia="en-AU"/>
              </w:rPr>
              <w:t>2014-15</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Actual </w:t>
            </w:r>
          </w:p>
          <w:p w:rsidR="00251C6B" w:rsidRPr="00F944DD" w:rsidRDefault="00251C6B" w:rsidP="00361FA9">
            <w:pPr>
              <w:autoSpaceDE w:val="0"/>
              <w:autoSpaceDN w:val="0"/>
              <w:adjustRightInd w:val="0"/>
              <w:spacing w:after="0"/>
              <w:jc w:val="right"/>
              <w:rPr>
                <w:rFonts w:eastAsiaTheme="minorEastAsia" w:cs="Calibr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5216" w:type="dxa"/>
            <w:tcBorders>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tc>
        <w:tc>
          <w:tcPr>
            <w:tcW w:w="850" w:type="dxa"/>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2015-16</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850" w:type="dxa"/>
            <w:tcBorders>
              <w:lef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Revised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budget</w:t>
            </w:r>
          </w:p>
        </w:tc>
      </w:tr>
      <w:tr w:rsidR="002C39A3" w:rsidRPr="00F944DD" w:rsidTr="00361FA9">
        <w:tc>
          <w:tcPr>
            <w:tcW w:w="850" w:type="dxa"/>
            <w:tcBorders>
              <w:top w:val="nil"/>
              <w:right w:val="nil"/>
            </w:tcBorders>
            <w:shd w:val="clear" w:color="000000"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1 816</w:t>
            </w:r>
          </w:p>
        </w:tc>
        <w:tc>
          <w:tcPr>
            <w:tcW w:w="5216" w:type="dxa"/>
            <w:tcBorders>
              <w:top w:val="nil"/>
              <w:left w:val="nil"/>
              <w:right w:val="nil"/>
            </w:tcBorders>
            <w:shd w:val="clear" w:color="000000"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Cash</w:t>
            </w:r>
          </w:p>
        </w:tc>
        <w:tc>
          <w:tcPr>
            <w:tcW w:w="850" w:type="dxa"/>
            <w:tcBorders>
              <w:top w:val="nil"/>
              <w:left w:val="nil"/>
              <w:right w:val="nil"/>
            </w:tcBorders>
            <w:shd w:val="clear" w:color="000000"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1 273</w:t>
            </w:r>
          </w:p>
        </w:tc>
        <w:tc>
          <w:tcPr>
            <w:tcW w:w="850" w:type="dxa"/>
            <w:tcBorders>
              <w:top w:val="nil"/>
              <w:left w:val="nil"/>
            </w:tcBorders>
            <w:shd w:val="clear" w:color="000000"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1 430</w:t>
            </w:r>
          </w:p>
        </w:tc>
      </w:tr>
      <w:tr w:rsidR="002C39A3" w:rsidRPr="00F944DD" w:rsidTr="00361FA9">
        <w:tc>
          <w:tcPr>
            <w:tcW w:w="850" w:type="dxa"/>
            <w:tcBorders>
              <w:top w:val="nil"/>
              <w:bottom w:val="single" w:sz="6" w:space="0" w:color="000000"/>
              <w:right w:val="nil"/>
            </w:tcBorders>
            <w:shd w:val="clear" w:color="000000"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2 792</w:t>
            </w:r>
          </w:p>
        </w:tc>
        <w:tc>
          <w:tcPr>
            <w:tcW w:w="5216" w:type="dxa"/>
            <w:tcBorders>
              <w:top w:val="nil"/>
              <w:left w:val="nil"/>
              <w:bottom w:val="single" w:sz="6" w:space="0" w:color="000000"/>
              <w:right w:val="nil"/>
            </w:tcBorders>
            <w:shd w:val="clear" w:color="000000"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Deposits at call</w:t>
            </w:r>
          </w:p>
        </w:tc>
        <w:tc>
          <w:tcPr>
            <w:tcW w:w="850" w:type="dxa"/>
            <w:tcBorders>
              <w:top w:val="nil"/>
              <w:left w:val="nil"/>
              <w:bottom w:val="single" w:sz="6" w:space="0" w:color="000000"/>
              <w:right w:val="nil"/>
            </w:tcBorders>
            <w:shd w:val="clear" w:color="000000"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3 142</w:t>
            </w:r>
          </w:p>
        </w:tc>
        <w:tc>
          <w:tcPr>
            <w:tcW w:w="850" w:type="dxa"/>
            <w:tcBorders>
              <w:top w:val="nil"/>
              <w:left w:val="nil"/>
              <w:bottom w:val="single" w:sz="6" w:space="0" w:color="000000"/>
            </w:tcBorders>
            <w:shd w:val="clear" w:color="000000"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2 907</w:t>
            </w:r>
          </w:p>
        </w:tc>
      </w:tr>
      <w:tr w:rsidR="002C39A3" w:rsidRPr="00F944DD" w:rsidTr="00361FA9">
        <w:tc>
          <w:tcPr>
            <w:tcW w:w="850" w:type="dxa"/>
            <w:tcBorders>
              <w:top w:val="single" w:sz="6" w:space="0" w:color="000000"/>
              <w:right w:val="nil"/>
            </w:tcBorders>
            <w:shd w:val="clear" w:color="000000"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4 609</w:t>
            </w:r>
          </w:p>
        </w:tc>
        <w:tc>
          <w:tcPr>
            <w:tcW w:w="5216" w:type="dxa"/>
            <w:tcBorders>
              <w:top w:val="single" w:sz="6" w:space="0" w:color="000000"/>
              <w:left w:val="nil"/>
              <w:right w:val="nil"/>
            </w:tcBorders>
            <w:shd w:val="clear" w:color="000000"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Cash and cash equivalents</w:t>
            </w:r>
          </w:p>
        </w:tc>
        <w:tc>
          <w:tcPr>
            <w:tcW w:w="850" w:type="dxa"/>
            <w:tcBorders>
              <w:top w:val="single" w:sz="6" w:space="0" w:color="000000"/>
              <w:left w:val="nil"/>
              <w:right w:val="nil"/>
            </w:tcBorders>
            <w:shd w:val="clear" w:color="000000"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4 415</w:t>
            </w:r>
          </w:p>
        </w:tc>
        <w:tc>
          <w:tcPr>
            <w:tcW w:w="850" w:type="dxa"/>
            <w:tcBorders>
              <w:top w:val="single" w:sz="6" w:space="0" w:color="000000"/>
              <w:left w:val="nil"/>
            </w:tcBorders>
            <w:shd w:val="clear" w:color="000000"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4 338</w:t>
            </w:r>
          </w:p>
        </w:tc>
      </w:tr>
      <w:tr w:rsidR="002C39A3" w:rsidRPr="00F944DD" w:rsidTr="00361FA9">
        <w:tc>
          <w:tcPr>
            <w:tcW w:w="850" w:type="dxa"/>
            <w:tcBorders>
              <w:top w:val="nil"/>
              <w:bottom w:val="single" w:sz="6" w:space="0" w:color="000000"/>
              <w:right w:val="nil"/>
            </w:tcBorders>
            <w:shd w:val="clear" w:color="000000"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w:t>
            </w:r>
            <w:r w:rsidRPr="00F944DD">
              <w:rPr>
                <w:rFonts w:ascii="Calibri" w:eastAsiaTheme="minorEastAsia" w:hAnsi="Calibri" w:cs="Calibri"/>
                <w:color w:val="000000"/>
                <w:sz w:val="19"/>
                <w:szCs w:val="19"/>
                <w:lang w:eastAsia="en-AU"/>
              </w:rPr>
              <w:t xml:space="preserve"> </w:t>
            </w:r>
          </w:p>
        </w:tc>
        <w:tc>
          <w:tcPr>
            <w:tcW w:w="5216" w:type="dxa"/>
            <w:tcBorders>
              <w:top w:val="nil"/>
              <w:left w:val="nil"/>
              <w:bottom w:val="single" w:sz="6" w:space="0" w:color="000000"/>
              <w:right w:val="nil"/>
            </w:tcBorders>
            <w:shd w:val="clear" w:color="000000"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Bank overdraft</w:t>
            </w:r>
          </w:p>
        </w:tc>
        <w:tc>
          <w:tcPr>
            <w:tcW w:w="850" w:type="dxa"/>
            <w:tcBorders>
              <w:top w:val="nil"/>
              <w:left w:val="nil"/>
              <w:bottom w:val="single" w:sz="6" w:space="0" w:color="000000"/>
              <w:right w:val="nil"/>
            </w:tcBorders>
            <w:shd w:val="clear" w:color="000000"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w:t>
            </w:r>
            <w:r w:rsidRPr="00F944DD">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000000"/>
            </w:tcBorders>
            <w:shd w:val="clear" w:color="000000"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w:t>
            </w:r>
            <w:r w:rsidRPr="00F944DD">
              <w:rPr>
                <w:rFonts w:ascii="Calibri" w:eastAsiaTheme="minorEastAsia" w:hAnsi="Calibri" w:cs="Calibri"/>
                <w:color w:val="000000"/>
                <w:sz w:val="19"/>
                <w:szCs w:val="19"/>
                <w:lang w:eastAsia="en-AU"/>
              </w:rPr>
              <w:t xml:space="preserve"> </w:t>
            </w:r>
          </w:p>
        </w:tc>
      </w:tr>
      <w:tr w:rsidR="002C39A3" w:rsidRPr="00F944DD" w:rsidTr="00361FA9">
        <w:tc>
          <w:tcPr>
            <w:tcW w:w="850" w:type="dxa"/>
            <w:tcBorders>
              <w:top w:val="single" w:sz="6" w:space="0" w:color="000000"/>
              <w:bottom w:val="single" w:sz="12" w:space="0" w:color="auto"/>
              <w:right w:val="nil"/>
            </w:tcBorders>
            <w:shd w:val="clear" w:color="000000"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4 609</w:t>
            </w:r>
          </w:p>
        </w:tc>
        <w:tc>
          <w:tcPr>
            <w:tcW w:w="5216" w:type="dxa"/>
            <w:tcBorders>
              <w:top w:val="single" w:sz="6" w:space="0" w:color="000000"/>
              <w:left w:val="nil"/>
              <w:bottom w:val="single" w:sz="12" w:space="0" w:color="auto"/>
              <w:right w:val="nil"/>
            </w:tcBorders>
            <w:shd w:val="clear" w:color="000000"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Balances as per cash flow statement</w:t>
            </w:r>
          </w:p>
        </w:tc>
        <w:tc>
          <w:tcPr>
            <w:tcW w:w="850" w:type="dxa"/>
            <w:tcBorders>
              <w:top w:val="single" w:sz="6" w:space="0" w:color="000000"/>
              <w:left w:val="nil"/>
              <w:bottom w:val="single" w:sz="12" w:space="0" w:color="auto"/>
              <w:right w:val="nil"/>
            </w:tcBorders>
            <w:shd w:val="clear" w:color="000000"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4 415</w:t>
            </w:r>
          </w:p>
        </w:tc>
        <w:tc>
          <w:tcPr>
            <w:tcW w:w="850" w:type="dxa"/>
            <w:tcBorders>
              <w:top w:val="single" w:sz="6" w:space="0" w:color="000000"/>
              <w:left w:val="nil"/>
              <w:bottom w:val="single" w:sz="12" w:space="0" w:color="auto"/>
            </w:tcBorders>
            <w:shd w:val="clear" w:color="000000"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4 338</w:t>
            </w:r>
          </w:p>
        </w:tc>
      </w:tr>
    </w:tbl>
    <w:p w:rsidR="002C39A3" w:rsidRDefault="002C39A3" w:rsidP="00361FA9">
      <w:pPr>
        <w:pStyle w:val="million"/>
      </w:pPr>
    </w:p>
    <w:p w:rsidR="002C39A3" w:rsidRDefault="002C39A3" w:rsidP="00361FA9"/>
    <w:p w:rsidR="002C39A3" w:rsidRDefault="002C39A3">
      <w:pPr>
        <w:spacing w:after="0"/>
        <w:rPr>
          <w:rFonts w:ascii="Calibri" w:hAnsi="Calibri"/>
          <w:b/>
          <w:kern w:val="28"/>
          <w:sz w:val="26"/>
          <w:szCs w:val="22"/>
        </w:rPr>
      </w:pPr>
      <w:r>
        <w:br w:type="page"/>
      </w:r>
    </w:p>
    <w:p w:rsidR="002C39A3" w:rsidRDefault="002C39A3" w:rsidP="00361FA9">
      <w:pPr>
        <w:pStyle w:val="Heading2Notes"/>
      </w:pPr>
      <w:bookmarkStart w:id="82" w:name="_Toc448400826"/>
      <w:r>
        <w:t xml:space="preserve">Note 18: </w:t>
      </w:r>
      <w:r>
        <w:tab/>
        <w:t>Public account</w:t>
      </w:r>
      <w:bookmarkEnd w:id="82"/>
    </w:p>
    <w:p w:rsidR="002C39A3" w:rsidRDefault="002C39A3" w:rsidP="00361FA9">
      <w:pPr>
        <w:pStyle w:val="Tableheading"/>
        <w:spacing w:after="60"/>
      </w:pPr>
      <w:r w:rsidRPr="00485D0E">
        <w:t xml:space="preserve">(a) </w:t>
      </w:r>
      <w:r>
        <w:tab/>
      </w:r>
      <w:r w:rsidRPr="00485D0E">
        <w:t>Consolidated Fund receipts and payments</w:t>
      </w:r>
    </w:p>
    <w:p w:rsidR="002C39A3" w:rsidRPr="00F944DD" w:rsidRDefault="002C39A3" w:rsidP="00361FA9">
      <w:pPr>
        <w:pStyle w:val="million"/>
        <w:rPr>
          <w:rFonts w:ascii="Garamond" w:hAnsi="Garamond"/>
          <w:b/>
          <w:bCs/>
          <w:sz w:val="22"/>
          <w:lang w:val="en-US"/>
        </w:rPr>
      </w:pPr>
      <w:r>
        <w:t>($ million)</w:t>
      </w:r>
    </w:p>
    <w:tbl>
      <w:tblPr>
        <w:tblW w:w="7766" w:type="dxa"/>
        <w:tblInd w:w="45" w:type="dxa"/>
        <w:tblLayout w:type="fixed"/>
        <w:tblCellMar>
          <w:left w:w="45" w:type="dxa"/>
          <w:right w:w="45" w:type="dxa"/>
        </w:tblCellMar>
        <w:tblLook w:val="0000" w:firstRow="0" w:lastRow="0" w:firstColumn="0" w:lastColumn="0" w:noHBand="0" w:noVBand="0"/>
      </w:tblPr>
      <w:tblGrid>
        <w:gridCol w:w="850"/>
        <w:gridCol w:w="5215"/>
        <w:gridCol w:w="850"/>
        <w:gridCol w:w="851"/>
      </w:tblGrid>
      <w:tr w:rsidR="00251C6B" w:rsidRPr="00F944DD" w:rsidTr="008049E9">
        <w:trPr>
          <w:trHeight w:val="696"/>
          <w:tblHeader/>
        </w:trPr>
        <w:tc>
          <w:tcPr>
            <w:tcW w:w="850" w:type="dxa"/>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2014-15</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to Mar </w:t>
            </w:r>
            <w:r w:rsidRPr="00F944DD">
              <w:rPr>
                <w:rFonts w:ascii="Calibri" w:eastAsiaTheme="minorEastAsia" w:hAnsi="Calibri" w:cs="Calibri"/>
                <w:i/>
                <w:iCs/>
                <w:color w:val="FFFFFF"/>
                <w:sz w:val="19"/>
                <w:szCs w:val="19"/>
                <w:vertAlign w:val="superscript"/>
                <w:lang w:eastAsia="en-AU"/>
              </w:rPr>
              <w:t>(a)</w:t>
            </w:r>
          </w:p>
        </w:tc>
        <w:tc>
          <w:tcPr>
            <w:tcW w:w="5215" w:type="dxa"/>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tc>
        <w:tc>
          <w:tcPr>
            <w:tcW w:w="850" w:type="dxa"/>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2015-16</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851" w:type="dxa"/>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jc w:val="center"/>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Revised</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budget</w:t>
            </w:r>
          </w:p>
        </w:tc>
      </w:tr>
      <w:tr w:rsidR="002C39A3" w:rsidRPr="00F944DD" w:rsidTr="00251C6B">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sidRPr="00F944DD">
              <w:rPr>
                <w:rFonts w:ascii="Calibri" w:eastAsiaTheme="minorEastAsia" w:hAnsi="Calibri" w:cs="Calibri"/>
                <w:i/>
                <w:iCs/>
                <w:color w:val="000000"/>
                <w:sz w:val="19"/>
                <w:szCs w:val="19"/>
                <w:lang w:eastAsia="en-AU"/>
              </w:rPr>
              <w:t xml:space="preserve"> </w:t>
            </w:r>
          </w:p>
        </w:tc>
        <w:tc>
          <w:tcPr>
            <w:tcW w:w="521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Receipts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sidRPr="00F944DD">
              <w:rPr>
                <w:rFonts w:ascii="Calibri" w:eastAsiaTheme="minorEastAsia" w:hAnsi="Calibri" w:cs="Calibri"/>
                <w:i/>
                <w:iCs/>
                <w:color w:val="000000"/>
                <w:sz w:val="19"/>
                <w:szCs w:val="19"/>
                <w:lang w:eastAsia="en-AU"/>
              </w:rPr>
              <w:t xml:space="preserve"> </w:t>
            </w:r>
          </w:p>
        </w:tc>
        <w:tc>
          <w:tcPr>
            <w:tcW w:w="851"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i/>
                <w:iCs/>
                <w:color w:val="000000"/>
                <w:sz w:val="19"/>
                <w:szCs w:val="19"/>
                <w:lang w:eastAsia="en-AU"/>
              </w:rPr>
            </w:pPr>
            <w:r w:rsidRPr="00F944DD">
              <w:rPr>
                <w:rFonts w:ascii="Calibri" w:eastAsiaTheme="minorEastAsia" w:hAnsi="Calibri" w:cs="Calibri"/>
                <w:i/>
                <w:iCs/>
                <w:color w:val="000000"/>
                <w:sz w:val="19"/>
                <w:szCs w:val="19"/>
                <w:lang w:eastAsia="en-AU"/>
              </w:rPr>
              <w:t xml:space="preserve"> </w:t>
            </w:r>
          </w:p>
        </w:tc>
      </w:tr>
      <w:tr w:rsidR="002C39A3" w:rsidRPr="00F944DD" w:rsidTr="00251C6B">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13 794</w:t>
            </w:r>
          </w:p>
        </w:tc>
        <w:tc>
          <w:tcPr>
            <w:tcW w:w="521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Taxation</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14 834</w:t>
            </w:r>
          </w:p>
        </w:tc>
        <w:tc>
          <w:tcPr>
            <w:tcW w:w="851"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20 332</w:t>
            </w:r>
          </w:p>
        </w:tc>
      </w:tr>
      <w:tr w:rsidR="002C39A3" w:rsidRPr="00F944DD" w:rsidTr="00251C6B">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620</w:t>
            </w:r>
          </w:p>
        </w:tc>
        <w:tc>
          <w:tcPr>
            <w:tcW w:w="521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Fines and regulatory fees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637</w:t>
            </w:r>
          </w:p>
        </w:tc>
        <w:tc>
          <w:tcPr>
            <w:tcW w:w="851"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881</w:t>
            </w:r>
          </w:p>
        </w:tc>
      </w:tr>
      <w:tr w:rsidR="002C39A3" w:rsidRPr="00F944DD" w:rsidTr="00251C6B">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11 709</w:t>
            </w:r>
          </w:p>
        </w:tc>
        <w:tc>
          <w:tcPr>
            <w:tcW w:w="521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Grants received</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12 296</w:t>
            </w:r>
          </w:p>
        </w:tc>
        <w:tc>
          <w:tcPr>
            <w:tcW w:w="851"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16 891</w:t>
            </w:r>
          </w:p>
        </w:tc>
      </w:tr>
      <w:tr w:rsidR="002C39A3" w:rsidRPr="00F944DD" w:rsidTr="00251C6B">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4 052</w:t>
            </w:r>
          </w:p>
        </w:tc>
        <w:tc>
          <w:tcPr>
            <w:tcW w:w="521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Sales of goods and services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4 304</w:t>
            </w:r>
          </w:p>
        </w:tc>
        <w:tc>
          <w:tcPr>
            <w:tcW w:w="851"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5 817</w:t>
            </w:r>
          </w:p>
        </w:tc>
      </w:tr>
      <w:tr w:rsidR="002C39A3" w:rsidRPr="00F944DD" w:rsidTr="00251C6B">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370</w:t>
            </w:r>
          </w:p>
        </w:tc>
        <w:tc>
          <w:tcPr>
            <w:tcW w:w="521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Interest received</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367</w:t>
            </w:r>
          </w:p>
        </w:tc>
        <w:tc>
          <w:tcPr>
            <w:tcW w:w="851"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536</w:t>
            </w:r>
          </w:p>
        </w:tc>
      </w:tr>
      <w:tr w:rsidR="002C39A3" w:rsidRPr="00F944DD" w:rsidTr="00251C6B">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736</w:t>
            </w:r>
          </w:p>
        </w:tc>
        <w:tc>
          <w:tcPr>
            <w:tcW w:w="521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Public authority receipts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713</w:t>
            </w:r>
          </w:p>
        </w:tc>
        <w:tc>
          <w:tcPr>
            <w:tcW w:w="851"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752</w:t>
            </w:r>
          </w:p>
        </w:tc>
      </w:tr>
      <w:tr w:rsidR="002C39A3" w:rsidRPr="00F944DD" w:rsidTr="00251C6B">
        <w:tc>
          <w:tcPr>
            <w:tcW w:w="850"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222</w:t>
            </w:r>
          </w:p>
        </w:tc>
        <w:tc>
          <w:tcPr>
            <w:tcW w:w="5215"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vertAlign w:val="superscript"/>
                <w:lang w:eastAsia="en-AU"/>
              </w:rPr>
            </w:pPr>
            <w:r w:rsidRPr="00F944DD">
              <w:rPr>
                <w:rFonts w:ascii="Calibri" w:eastAsiaTheme="minorEastAsia" w:hAnsi="Calibri" w:cs="Calibri"/>
                <w:color w:val="000000"/>
                <w:sz w:val="19"/>
                <w:szCs w:val="19"/>
                <w:lang w:eastAsia="en-AU"/>
              </w:rPr>
              <w:t xml:space="preserve">Other receipts </w:t>
            </w:r>
            <w:r w:rsidRPr="00F944DD">
              <w:rPr>
                <w:rFonts w:ascii="Calibri" w:eastAsiaTheme="minorEastAsia" w:hAnsi="Calibri" w:cs="Calibri"/>
                <w:color w:val="000000"/>
                <w:sz w:val="19"/>
                <w:szCs w:val="19"/>
                <w:vertAlign w:val="superscript"/>
                <w:lang w:eastAsia="en-AU"/>
              </w:rPr>
              <w:t>(b)</w:t>
            </w:r>
          </w:p>
        </w:tc>
        <w:tc>
          <w:tcPr>
            <w:tcW w:w="850"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847</w:t>
            </w:r>
          </w:p>
        </w:tc>
        <w:tc>
          <w:tcPr>
            <w:tcW w:w="851"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1 160</w:t>
            </w:r>
          </w:p>
        </w:tc>
      </w:tr>
      <w:tr w:rsidR="002C39A3" w:rsidRPr="00F944DD" w:rsidTr="00251C6B">
        <w:tc>
          <w:tcPr>
            <w:tcW w:w="850" w:type="dxa"/>
            <w:tcBorders>
              <w:top w:val="single" w:sz="6" w:space="0" w:color="auto"/>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31 504</w:t>
            </w:r>
          </w:p>
        </w:tc>
        <w:tc>
          <w:tcPr>
            <w:tcW w:w="5215" w:type="dxa"/>
            <w:tcBorders>
              <w:top w:val="single" w:sz="6" w:space="0" w:color="auto"/>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vertAlign w:val="superscript"/>
                <w:lang w:eastAsia="en-AU"/>
              </w:rPr>
            </w:pPr>
            <w:r w:rsidRPr="00F944DD">
              <w:rPr>
                <w:rFonts w:ascii="Calibri" w:eastAsiaTheme="minorEastAsia" w:hAnsi="Calibri" w:cs="Calibri"/>
                <w:b/>
                <w:bCs/>
                <w:color w:val="000000"/>
                <w:sz w:val="19"/>
                <w:szCs w:val="19"/>
                <w:lang w:eastAsia="en-AU"/>
              </w:rPr>
              <w:t xml:space="preserve">Total operating activities </w:t>
            </w:r>
            <w:r w:rsidRPr="00F944DD">
              <w:rPr>
                <w:rFonts w:ascii="Calibri" w:eastAsiaTheme="minorEastAsia" w:hAnsi="Calibri" w:cs="Calibri"/>
                <w:b/>
                <w:bCs/>
                <w:color w:val="000000"/>
                <w:sz w:val="19"/>
                <w:szCs w:val="19"/>
                <w:vertAlign w:val="superscript"/>
                <w:lang w:eastAsia="en-AU"/>
              </w:rPr>
              <w:t>(b)</w:t>
            </w:r>
          </w:p>
        </w:tc>
        <w:tc>
          <w:tcPr>
            <w:tcW w:w="850" w:type="dxa"/>
            <w:tcBorders>
              <w:top w:val="single" w:sz="6" w:space="0" w:color="auto"/>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33 997</w:t>
            </w:r>
          </w:p>
        </w:tc>
        <w:tc>
          <w:tcPr>
            <w:tcW w:w="851" w:type="dxa"/>
            <w:tcBorders>
              <w:top w:val="single" w:sz="6" w:space="0" w:color="auto"/>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46 369</w:t>
            </w:r>
          </w:p>
        </w:tc>
      </w:tr>
      <w:tr w:rsidR="002C39A3" w:rsidRPr="00F944DD" w:rsidTr="00251C6B">
        <w:tc>
          <w:tcPr>
            <w:tcW w:w="850"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888</w:t>
            </w:r>
          </w:p>
        </w:tc>
        <w:tc>
          <w:tcPr>
            <w:tcW w:w="5215"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vertAlign w:val="superscript"/>
                <w:lang w:eastAsia="en-AU"/>
              </w:rPr>
            </w:pPr>
            <w:r w:rsidRPr="00F944DD">
              <w:rPr>
                <w:rFonts w:ascii="Calibri" w:eastAsiaTheme="minorEastAsia" w:hAnsi="Calibri" w:cs="Calibri"/>
                <w:color w:val="000000"/>
                <w:sz w:val="19"/>
                <w:szCs w:val="19"/>
                <w:lang w:eastAsia="en-AU"/>
              </w:rPr>
              <w:t xml:space="preserve">Total inflows from investing and financing </w:t>
            </w:r>
            <w:r w:rsidRPr="00F944DD">
              <w:rPr>
                <w:rFonts w:ascii="Calibri" w:eastAsiaTheme="minorEastAsia" w:hAnsi="Calibri" w:cs="Calibri"/>
                <w:color w:val="000000"/>
                <w:sz w:val="19"/>
                <w:szCs w:val="19"/>
                <w:vertAlign w:val="superscript"/>
                <w:lang w:eastAsia="en-AU"/>
              </w:rPr>
              <w:t xml:space="preserve">(b) </w:t>
            </w:r>
          </w:p>
        </w:tc>
        <w:tc>
          <w:tcPr>
            <w:tcW w:w="850"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525</w:t>
            </w:r>
          </w:p>
        </w:tc>
        <w:tc>
          <w:tcPr>
            <w:tcW w:w="851"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1 682</w:t>
            </w:r>
          </w:p>
        </w:tc>
      </w:tr>
      <w:tr w:rsidR="002C39A3" w:rsidRPr="00F944DD" w:rsidTr="00251C6B">
        <w:tc>
          <w:tcPr>
            <w:tcW w:w="850" w:type="dxa"/>
            <w:tcBorders>
              <w:top w:val="single" w:sz="6" w:space="0" w:color="auto"/>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32 392</w:t>
            </w:r>
          </w:p>
        </w:tc>
        <w:tc>
          <w:tcPr>
            <w:tcW w:w="5215" w:type="dxa"/>
            <w:tcBorders>
              <w:top w:val="single" w:sz="6" w:space="0" w:color="auto"/>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vertAlign w:val="superscript"/>
                <w:lang w:eastAsia="en-AU"/>
              </w:rPr>
            </w:pPr>
            <w:r w:rsidRPr="00F944DD">
              <w:rPr>
                <w:rFonts w:ascii="Calibri" w:eastAsiaTheme="minorEastAsia" w:hAnsi="Calibri" w:cs="Calibri"/>
                <w:b/>
                <w:bCs/>
                <w:color w:val="000000"/>
                <w:sz w:val="19"/>
                <w:szCs w:val="19"/>
                <w:lang w:eastAsia="en-AU"/>
              </w:rPr>
              <w:t xml:space="preserve">Total receipts </w:t>
            </w:r>
            <w:r w:rsidRPr="00F944DD">
              <w:rPr>
                <w:rFonts w:ascii="Calibri" w:eastAsiaTheme="minorEastAsia" w:hAnsi="Calibri" w:cs="Calibri"/>
                <w:b/>
                <w:bCs/>
                <w:color w:val="000000"/>
                <w:sz w:val="19"/>
                <w:szCs w:val="19"/>
                <w:vertAlign w:val="superscript"/>
                <w:lang w:eastAsia="en-AU"/>
              </w:rPr>
              <w:t>(b)</w:t>
            </w:r>
          </w:p>
        </w:tc>
        <w:tc>
          <w:tcPr>
            <w:tcW w:w="850" w:type="dxa"/>
            <w:tcBorders>
              <w:top w:val="single" w:sz="6" w:space="0" w:color="auto"/>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34 522</w:t>
            </w:r>
          </w:p>
        </w:tc>
        <w:tc>
          <w:tcPr>
            <w:tcW w:w="851" w:type="dxa"/>
            <w:tcBorders>
              <w:top w:val="single" w:sz="6" w:space="0" w:color="auto"/>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48 051</w:t>
            </w:r>
          </w:p>
        </w:tc>
      </w:tr>
      <w:tr w:rsidR="002C39A3" w:rsidRPr="00F944DD" w:rsidTr="00251C6B">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 </w:t>
            </w:r>
          </w:p>
        </w:tc>
        <w:tc>
          <w:tcPr>
            <w:tcW w:w="521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Payments to departments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 </w:t>
            </w:r>
          </w:p>
        </w:tc>
        <w:tc>
          <w:tcPr>
            <w:tcW w:w="851"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 </w:t>
            </w:r>
          </w:p>
        </w:tc>
      </w:tr>
      <w:tr w:rsidR="002C39A3" w:rsidRPr="00F944DD" w:rsidTr="00251C6B">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2 487</w:t>
            </w:r>
          </w:p>
        </w:tc>
        <w:tc>
          <w:tcPr>
            <w:tcW w:w="521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Economic Development, Jobs, Transport and Resources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6 584</w:t>
            </w:r>
          </w:p>
        </w:tc>
        <w:tc>
          <w:tcPr>
            <w:tcW w:w="851"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9 478</w:t>
            </w:r>
          </w:p>
        </w:tc>
      </w:tr>
      <w:tr w:rsidR="002C39A3" w:rsidRPr="00F944DD" w:rsidTr="00251C6B">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7 886</w:t>
            </w:r>
          </w:p>
        </w:tc>
        <w:tc>
          <w:tcPr>
            <w:tcW w:w="521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Education and Training</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8 355</w:t>
            </w:r>
          </w:p>
        </w:tc>
        <w:tc>
          <w:tcPr>
            <w:tcW w:w="851"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11 600</w:t>
            </w:r>
          </w:p>
        </w:tc>
      </w:tr>
      <w:tr w:rsidR="002C39A3" w:rsidRPr="00F944DD" w:rsidTr="00251C6B">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1 488</w:t>
            </w:r>
          </w:p>
        </w:tc>
        <w:tc>
          <w:tcPr>
            <w:tcW w:w="521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Environment, Land, Water and Planning</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1 458</w:t>
            </w:r>
          </w:p>
        </w:tc>
        <w:tc>
          <w:tcPr>
            <w:tcW w:w="851"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1 970</w:t>
            </w:r>
          </w:p>
        </w:tc>
      </w:tr>
      <w:tr w:rsidR="002C39A3" w:rsidRPr="00F944DD" w:rsidTr="00251C6B">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8 240</w:t>
            </w:r>
          </w:p>
        </w:tc>
        <w:tc>
          <w:tcPr>
            <w:tcW w:w="521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Health and Human Services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10 705</w:t>
            </w:r>
          </w:p>
        </w:tc>
        <w:tc>
          <w:tcPr>
            <w:tcW w:w="851"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14 173</w:t>
            </w:r>
          </w:p>
        </w:tc>
      </w:tr>
      <w:tr w:rsidR="002C39A3" w:rsidRPr="00F944DD" w:rsidTr="00251C6B">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4 105</w:t>
            </w:r>
          </w:p>
        </w:tc>
        <w:tc>
          <w:tcPr>
            <w:tcW w:w="521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Justice and Regulation</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4 358</w:t>
            </w:r>
          </w:p>
        </w:tc>
        <w:tc>
          <w:tcPr>
            <w:tcW w:w="851"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5 875</w:t>
            </w:r>
          </w:p>
        </w:tc>
      </w:tr>
      <w:tr w:rsidR="002C39A3" w:rsidRPr="00F944DD" w:rsidTr="00251C6B">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580</w:t>
            </w:r>
          </w:p>
        </w:tc>
        <w:tc>
          <w:tcPr>
            <w:tcW w:w="521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Premier and Cabinet</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246</w:t>
            </w:r>
          </w:p>
        </w:tc>
        <w:tc>
          <w:tcPr>
            <w:tcW w:w="851"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390</w:t>
            </w:r>
          </w:p>
        </w:tc>
      </w:tr>
      <w:tr w:rsidR="002C39A3" w:rsidRPr="00F944DD" w:rsidTr="00251C6B">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2 408</w:t>
            </w:r>
          </w:p>
        </w:tc>
        <w:tc>
          <w:tcPr>
            <w:tcW w:w="521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Treasury and Finance</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2 517</w:t>
            </w:r>
          </w:p>
        </w:tc>
        <w:tc>
          <w:tcPr>
            <w:tcW w:w="851"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4 605</w:t>
            </w:r>
          </w:p>
        </w:tc>
      </w:tr>
      <w:tr w:rsidR="002C39A3" w:rsidRPr="00F944DD" w:rsidTr="00251C6B">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123</w:t>
            </w:r>
          </w:p>
        </w:tc>
        <w:tc>
          <w:tcPr>
            <w:tcW w:w="521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Parliament</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123</w:t>
            </w:r>
          </w:p>
        </w:tc>
        <w:tc>
          <w:tcPr>
            <w:tcW w:w="851"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171</w:t>
            </w:r>
          </w:p>
        </w:tc>
      </w:tr>
      <w:tr w:rsidR="002C39A3" w:rsidRPr="00F944DD" w:rsidTr="00251C6B">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283</w:t>
            </w:r>
          </w:p>
        </w:tc>
        <w:tc>
          <w:tcPr>
            <w:tcW w:w="521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Courts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362</w:t>
            </w:r>
          </w:p>
        </w:tc>
        <w:tc>
          <w:tcPr>
            <w:tcW w:w="851"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532</w:t>
            </w:r>
          </w:p>
        </w:tc>
      </w:tr>
      <w:tr w:rsidR="002C39A3" w:rsidRPr="00F944DD" w:rsidTr="00251C6B">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2 039</w:t>
            </w:r>
          </w:p>
        </w:tc>
        <w:tc>
          <w:tcPr>
            <w:tcW w:w="5215"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Human Services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w:t>
            </w:r>
          </w:p>
        </w:tc>
        <w:tc>
          <w:tcPr>
            <w:tcW w:w="851"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w:t>
            </w:r>
          </w:p>
        </w:tc>
      </w:tr>
      <w:tr w:rsidR="002C39A3" w:rsidRPr="00F944DD" w:rsidTr="00251C6B">
        <w:tc>
          <w:tcPr>
            <w:tcW w:w="850"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3 783</w:t>
            </w:r>
          </w:p>
        </w:tc>
        <w:tc>
          <w:tcPr>
            <w:tcW w:w="5215"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Transport, Planning and Local Infrastructure </w:t>
            </w:r>
          </w:p>
        </w:tc>
        <w:tc>
          <w:tcPr>
            <w:tcW w:w="850"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w:t>
            </w:r>
          </w:p>
        </w:tc>
        <w:tc>
          <w:tcPr>
            <w:tcW w:w="851"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w:t>
            </w:r>
          </w:p>
        </w:tc>
      </w:tr>
      <w:tr w:rsidR="002C39A3" w:rsidRPr="00F944DD" w:rsidTr="00251C6B">
        <w:tc>
          <w:tcPr>
            <w:tcW w:w="850" w:type="dxa"/>
            <w:tcBorders>
              <w:top w:val="single" w:sz="6" w:space="0" w:color="auto"/>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33 423</w:t>
            </w:r>
          </w:p>
        </w:tc>
        <w:tc>
          <w:tcPr>
            <w:tcW w:w="5215" w:type="dxa"/>
            <w:tcBorders>
              <w:top w:val="single" w:sz="6" w:space="0" w:color="auto"/>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payments</w:t>
            </w:r>
          </w:p>
        </w:tc>
        <w:tc>
          <w:tcPr>
            <w:tcW w:w="850" w:type="dxa"/>
            <w:tcBorders>
              <w:top w:val="single" w:sz="6" w:space="0" w:color="auto"/>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34 709</w:t>
            </w:r>
          </w:p>
        </w:tc>
        <w:tc>
          <w:tcPr>
            <w:tcW w:w="851" w:type="dxa"/>
            <w:tcBorders>
              <w:top w:val="single" w:sz="6" w:space="0" w:color="auto"/>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48 794</w:t>
            </w:r>
          </w:p>
        </w:tc>
      </w:tr>
      <w:tr w:rsidR="002C39A3" w:rsidRPr="00F944DD" w:rsidTr="00251C6B">
        <w:tc>
          <w:tcPr>
            <w:tcW w:w="850" w:type="dxa"/>
            <w:tcBorders>
              <w:top w:val="single" w:sz="6" w:space="0" w:color="auto"/>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(1 031)</w:t>
            </w:r>
          </w:p>
        </w:tc>
        <w:tc>
          <w:tcPr>
            <w:tcW w:w="5215" w:type="dxa"/>
            <w:tcBorders>
              <w:top w:val="single" w:sz="6" w:space="0" w:color="auto"/>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vertAlign w:val="superscript"/>
                <w:lang w:eastAsia="en-AU"/>
              </w:rPr>
            </w:pPr>
            <w:r w:rsidRPr="00F944DD">
              <w:rPr>
                <w:rFonts w:ascii="Calibri" w:eastAsiaTheme="minorEastAsia" w:hAnsi="Calibri" w:cs="Calibri"/>
                <w:b/>
                <w:bCs/>
                <w:color w:val="000000"/>
                <w:sz w:val="19"/>
                <w:szCs w:val="19"/>
                <w:lang w:eastAsia="en-AU"/>
              </w:rPr>
              <w:t xml:space="preserve">Net receipts/(payments) </w:t>
            </w:r>
            <w:r w:rsidRPr="00F944DD">
              <w:rPr>
                <w:rFonts w:ascii="Calibri" w:eastAsiaTheme="minorEastAsia" w:hAnsi="Calibri" w:cs="Calibri"/>
                <w:b/>
                <w:bCs/>
                <w:color w:val="000000"/>
                <w:sz w:val="19"/>
                <w:szCs w:val="19"/>
                <w:vertAlign w:val="superscript"/>
                <w:lang w:eastAsia="en-AU"/>
              </w:rPr>
              <w:t>(b)</w:t>
            </w:r>
          </w:p>
        </w:tc>
        <w:tc>
          <w:tcPr>
            <w:tcW w:w="850" w:type="dxa"/>
            <w:tcBorders>
              <w:top w:val="single" w:sz="6" w:space="0" w:color="auto"/>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(187)</w:t>
            </w:r>
          </w:p>
        </w:tc>
        <w:tc>
          <w:tcPr>
            <w:tcW w:w="851" w:type="dxa"/>
            <w:tcBorders>
              <w:top w:val="single" w:sz="6" w:space="0" w:color="auto"/>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(744)</w:t>
            </w:r>
          </w:p>
        </w:tc>
      </w:tr>
    </w:tbl>
    <w:p w:rsidR="002C39A3" w:rsidRDefault="002C39A3" w:rsidP="00361FA9">
      <w:pPr>
        <w:pStyle w:val="Notes"/>
      </w:pPr>
      <w:r>
        <w:t>Notes:</w:t>
      </w:r>
    </w:p>
    <w:p w:rsidR="002C39A3" w:rsidRDefault="002C39A3" w:rsidP="00361FA9">
      <w:pPr>
        <w:pStyle w:val="Notes"/>
      </w:pPr>
      <w:r>
        <w:t>(a)</w:t>
      </w:r>
      <w:r>
        <w:tab/>
        <w:t>Effective 1 January 2015 several departments were renamed due to machinery of government changes:</w:t>
      </w:r>
    </w:p>
    <w:p w:rsidR="002C39A3" w:rsidRDefault="002C39A3" w:rsidP="00361FA9">
      <w:pPr>
        <w:pStyle w:val="NotesDash"/>
      </w:pPr>
      <w:r>
        <w:t>the Department of Education and Early Childhood Development was renamed the Department of Education and Training;</w:t>
      </w:r>
    </w:p>
    <w:p w:rsidR="002C39A3" w:rsidRDefault="002C39A3" w:rsidP="00361FA9">
      <w:pPr>
        <w:pStyle w:val="NotesDash"/>
      </w:pPr>
      <w:r>
        <w:t>the Department of Environment and Primary Industries was renamed the Department of Environment, Land, Water and Planning;</w:t>
      </w:r>
    </w:p>
    <w:p w:rsidR="002C39A3" w:rsidRDefault="002C39A3" w:rsidP="00361FA9">
      <w:pPr>
        <w:pStyle w:val="NotesDash"/>
      </w:pPr>
      <w:r>
        <w:t>the Department of Health was renamed the Department of Health and Human Services;</w:t>
      </w:r>
    </w:p>
    <w:p w:rsidR="002C39A3" w:rsidRDefault="002C39A3" w:rsidP="00361FA9">
      <w:pPr>
        <w:pStyle w:val="NotesDash"/>
      </w:pPr>
      <w:r>
        <w:t xml:space="preserve">the Department of Justice was renamed the Department of Justice and Regulation; </w:t>
      </w:r>
    </w:p>
    <w:p w:rsidR="002C39A3" w:rsidRDefault="002C39A3" w:rsidP="00361FA9">
      <w:pPr>
        <w:pStyle w:val="NotesDash"/>
      </w:pPr>
      <w:r>
        <w:t xml:space="preserve">the Department of State Development, Business and Innovation was renamed the Department of Economic Development, Jobs, Transport and Resources; </w:t>
      </w:r>
    </w:p>
    <w:p w:rsidR="002C39A3" w:rsidRDefault="002C39A3" w:rsidP="00361FA9">
      <w:pPr>
        <w:pStyle w:val="NotesDash"/>
      </w:pPr>
      <w:r>
        <w:t xml:space="preserve">the Department of Human Services was abolished; and </w:t>
      </w:r>
    </w:p>
    <w:p w:rsidR="002C39A3" w:rsidRDefault="002C39A3" w:rsidP="00361FA9">
      <w:pPr>
        <w:pStyle w:val="NotesDash"/>
      </w:pPr>
      <w:r>
        <w:t xml:space="preserve">the Department of Transport, Planning and Local Infrastructure was abolished. </w:t>
      </w:r>
    </w:p>
    <w:p w:rsidR="002C39A3" w:rsidRDefault="002C39A3" w:rsidP="00361FA9">
      <w:pPr>
        <w:pStyle w:val="Notes"/>
        <w:ind w:hanging="35"/>
      </w:pPr>
      <w:r>
        <w:t>The two abolished departments had their functions and operations transferred to other Victorian government departments. Functions and operations of the Department of Human Services were transferred to the Department of Health and Human Services and to the Department of Premier and Cabinet. Functions and operations of the Department of Transport, Planning and Local Infrastructure were transferred to the Department of Environment, Land, Water and Planning, the Department of Health and Humans Services and to the Department of Economic Development, Jobs, Transport and Resources. Certain functions and operations of continuing Victorian government departments were also transferred amongst departments as part of the machinery of government changes. Controlled entities which have been transferred as part of the machinery of government changes are listed under their new portfolio departments.</w:t>
      </w:r>
    </w:p>
    <w:p w:rsidR="002C39A3" w:rsidRDefault="002C39A3" w:rsidP="00361FA9">
      <w:pPr>
        <w:pStyle w:val="Notes"/>
      </w:pPr>
      <w:r>
        <w:t>(b)</w:t>
      </w:r>
      <w:r>
        <w:tab/>
      </w:r>
      <w:r w:rsidRPr="00E56B55">
        <w:t>The 2014</w:t>
      </w:r>
      <w:r>
        <w:noBreakHyphen/>
      </w:r>
      <w:r w:rsidRPr="00E56B55">
        <w:t>15 comparative figures have been restated to reflect more current information.</w:t>
      </w:r>
    </w:p>
    <w:p w:rsidR="002C39A3" w:rsidRDefault="002C39A3" w:rsidP="00361FA9">
      <w:pPr>
        <w:pStyle w:val="Heading2NotesContd"/>
      </w:pPr>
      <w:r w:rsidRPr="004159CD">
        <w:t>Note 1</w:t>
      </w:r>
      <w:r>
        <w:t>8</w:t>
      </w:r>
      <w:r w:rsidRPr="004159CD">
        <w:t xml:space="preserve">: </w:t>
      </w:r>
      <w:r w:rsidRPr="004159CD">
        <w:tab/>
        <w:t>Public account</w:t>
      </w:r>
      <w:r>
        <w:t xml:space="preserve"> </w:t>
      </w:r>
      <w:r w:rsidRPr="004159CD">
        <w:rPr>
          <w:i/>
        </w:rPr>
        <w:t>(continued)</w:t>
      </w:r>
    </w:p>
    <w:p w:rsidR="002C39A3" w:rsidRPr="00E56B55" w:rsidRDefault="002C39A3" w:rsidP="00361FA9">
      <w:pPr>
        <w:spacing w:after="0"/>
        <w:rPr>
          <w:rFonts w:ascii="Calibri" w:hAnsi="Calibri"/>
          <w:b/>
        </w:rPr>
      </w:pPr>
      <w:r>
        <w:rPr>
          <w:rFonts w:ascii="Calibri" w:hAnsi="Calibri"/>
          <w:b/>
        </w:rPr>
        <w:t>(b)</w:t>
      </w:r>
      <w:r>
        <w:rPr>
          <w:rFonts w:ascii="Calibri" w:hAnsi="Calibri"/>
          <w:b/>
        </w:rPr>
        <w:tab/>
      </w:r>
      <w:r w:rsidRPr="00E56B55">
        <w:rPr>
          <w:rFonts w:ascii="Calibri" w:hAnsi="Calibri"/>
          <w:b/>
        </w:rPr>
        <w:t>Trust Fund cash flow statement</w:t>
      </w:r>
    </w:p>
    <w:p w:rsidR="002C39A3" w:rsidRPr="006D1444" w:rsidRDefault="002C39A3" w:rsidP="00361FA9">
      <w:pPr>
        <w:pStyle w:val="million"/>
        <w:rPr>
          <w:rFonts w:ascii="Garamond" w:hAnsi="Garamond"/>
          <w:b/>
          <w:bCs/>
          <w:sz w:val="22"/>
          <w:lang w:val="en-US"/>
        </w:rPr>
      </w:pPr>
      <w:r w:rsidRPr="006852A4">
        <w:t>($ million)</w:t>
      </w:r>
    </w:p>
    <w:tbl>
      <w:tblPr>
        <w:tblW w:w="7766" w:type="dxa"/>
        <w:tblInd w:w="45" w:type="dxa"/>
        <w:tblLayout w:type="fixed"/>
        <w:tblCellMar>
          <w:left w:w="45" w:type="dxa"/>
          <w:right w:w="45" w:type="dxa"/>
        </w:tblCellMar>
        <w:tblLook w:val="0000" w:firstRow="0" w:lastRow="0" w:firstColumn="0" w:lastColumn="0" w:noHBand="0" w:noVBand="0"/>
      </w:tblPr>
      <w:tblGrid>
        <w:gridCol w:w="850"/>
        <w:gridCol w:w="5215"/>
        <w:gridCol w:w="850"/>
        <w:gridCol w:w="851"/>
      </w:tblGrid>
      <w:tr w:rsidR="00251C6B" w:rsidRPr="006D1444" w:rsidTr="00167570">
        <w:trPr>
          <w:trHeight w:val="696"/>
          <w:tblHeader/>
        </w:trPr>
        <w:tc>
          <w:tcPr>
            <w:tcW w:w="850" w:type="dxa"/>
            <w:tcBorders>
              <w:top w:val="nil"/>
              <w:left w:val="nil"/>
              <w:right w:val="nil"/>
            </w:tcBorders>
            <w:shd w:val="solid" w:color="000000" w:fill="auto"/>
            <w:vAlign w:val="bottom"/>
          </w:tcPr>
          <w:p w:rsidR="00251C6B" w:rsidRPr="006D1444"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6D1444">
              <w:rPr>
                <w:rFonts w:ascii="Calibri" w:eastAsiaTheme="minorEastAsia" w:hAnsi="Calibri" w:cs="Calibri"/>
                <w:i/>
                <w:iCs/>
                <w:color w:val="FFFFFF"/>
                <w:sz w:val="19"/>
                <w:szCs w:val="19"/>
                <w:lang w:eastAsia="en-AU"/>
              </w:rPr>
              <w:t>2014-15</w:t>
            </w:r>
          </w:p>
          <w:p w:rsidR="00251C6B" w:rsidRPr="006D1444"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6D1444">
              <w:rPr>
                <w:rFonts w:ascii="Calibri" w:eastAsiaTheme="minorEastAsia" w:hAnsi="Calibri" w:cs="Calibri"/>
                <w:i/>
                <w:iCs/>
                <w:color w:val="FFFFFF"/>
                <w:sz w:val="19"/>
                <w:szCs w:val="19"/>
                <w:lang w:eastAsia="en-AU"/>
              </w:rPr>
              <w:t xml:space="preserve"> Actual </w:t>
            </w:r>
          </w:p>
          <w:p w:rsidR="00251C6B" w:rsidRPr="006D1444"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6D1444">
              <w:rPr>
                <w:rFonts w:ascii="Calibri" w:eastAsiaTheme="minorEastAsia" w:hAnsi="Calibri" w:cs="Calibri"/>
                <w:i/>
                <w:iCs/>
                <w:color w:val="FFFFFF"/>
                <w:sz w:val="19"/>
                <w:szCs w:val="19"/>
                <w:lang w:eastAsia="en-AU"/>
              </w:rPr>
              <w:t>to Mar</w:t>
            </w:r>
          </w:p>
        </w:tc>
        <w:tc>
          <w:tcPr>
            <w:tcW w:w="5215" w:type="dxa"/>
            <w:tcBorders>
              <w:top w:val="nil"/>
              <w:left w:val="nil"/>
              <w:right w:val="nil"/>
            </w:tcBorders>
            <w:shd w:val="solid" w:color="000000" w:fill="auto"/>
            <w:vAlign w:val="bottom"/>
          </w:tcPr>
          <w:p w:rsidR="00251C6B" w:rsidRPr="006D1444"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6D1444">
              <w:rPr>
                <w:rFonts w:ascii="Calibri" w:eastAsiaTheme="minorEastAsia" w:hAnsi="Calibri" w:cs="Calibri"/>
                <w:i/>
                <w:iCs/>
                <w:color w:val="FFFFFF"/>
                <w:sz w:val="19"/>
                <w:szCs w:val="19"/>
                <w:lang w:eastAsia="en-AU"/>
              </w:rPr>
              <w:t xml:space="preserve"> </w:t>
            </w:r>
          </w:p>
          <w:p w:rsidR="00251C6B" w:rsidRPr="006D1444"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6D1444">
              <w:rPr>
                <w:rFonts w:ascii="Calibri" w:eastAsiaTheme="minorEastAsia" w:hAnsi="Calibri" w:cs="Calibri"/>
                <w:i/>
                <w:iCs/>
                <w:color w:val="FFFFFF"/>
                <w:sz w:val="19"/>
                <w:szCs w:val="19"/>
                <w:lang w:eastAsia="en-AU"/>
              </w:rPr>
              <w:t xml:space="preserve"> </w:t>
            </w:r>
          </w:p>
          <w:p w:rsidR="00251C6B" w:rsidRPr="006D1444"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6D1444">
              <w:rPr>
                <w:rFonts w:ascii="Calibri" w:eastAsiaTheme="minorEastAsia" w:hAnsi="Calibri" w:cs="Calibri"/>
                <w:i/>
                <w:iCs/>
                <w:color w:val="FFFFFF"/>
                <w:sz w:val="19"/>
                <w:szCs w:val="19"/>
                <w:lang w:eastAsia="en-AU"/>
              </w:rPr>
              <w:t xml:space="preserve"> </w:t>
            </w:r>
          </w:p>
        </w:tc>
        <w:tc>
          <w:tcPr>
            <w:tcW w:w="850" w:type="dxa"/>
            <w:tcBorders>
              <w:top w:val="nil"/>
              <w:left w:val="nil"/>
              <w:right w:val="nil"/>
            </w:tcBorders>
            <w:shd w:val="solid" w:color="000000" w:fill="auto"/>
            <w:vAlign w:val="bottom"/>
          </w:tcPr>
          <w:p w:rsidR="00251C6B" w:rsidRPr="006D1444"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6D1444">
              <w:rPr>
                <w:rFonts w:ascii="Calibri" w:eastAsiaTheme="minorEastAsia" w:hAnsi="Calibri" w:cs="Calibri"/>
                <w:i/>
                <w:iCs/>
                <w:color w:val="FFFFFF"/>
                <w:sz w:val="19"/>
                <w:szCs w:val="19"/>
                <w:lang w:eastAsia="en-AU"/>
              </w:rPr>
              <w:t>2015-16</w:t>
            </w:r>
          </w:p>
          <w:p w:rsidR="00251C6B" w:rsidRPr="006D1444"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6D1444">
              <w:rPr>
                <w:rFonts w:ascii="Calibri" w:eastAsiaTheme="minorEastAsia" w:hAnsi="Calibri" w:cs="Calibri"/>
                <w:i/>
                <w:iCs/>
                <w:color w:val="FFFFFF"/>
                <w:sz w:val="19"/>
                <w:szCs w:val="19"/>
                <w:lang w:eastAsia="en-AU"/>
              </w:rPr>
              <w:t xml:space="preserve"> Actual </w:t>
            </w:r>
          </w:p>
          <w:p w:rsidR="00251C6B" w:rsidRPr="006D1444"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6D1444">
              <w:rPr>
                <w:rFonts w:ascii="Calibri" w:eastAsiaTheme="minorEastAsia" w:hAnsi="Calibri" w:cs="Calibri"/>
                <w:i/>
                <w:iCs/>
                <w:color w:val="FFFFFF"/>
                <w:sz w:val="19"/>
                <w:szCs w:val="19"/>
                <w:lang w:eastAsia="en-AU"/>
              </w:rPr>
              <w:t>to Mar</w:t>
            </w:r>
          </w:p>
        </w:tc>
        <w:tc>
          <w:tcPr>
            <w:tcW w:w="851" w:type="dxa"/>
            <w:tcBorders>
              <w:top w:val="nil"/>
              <w:left w:val="nil"/>
              <w:right w:val="nil"/>
            </w:tcBorders>
            <w:shd w:val="solid" w:color="000000" w:fill="auto"/>
            <w:vAlign w:val="bottom"/>
          </w:tcPr>
          <w:p w:rsidR="00251C6B" w:rsidRPr="006D1444" w:rsidRDefault="00251C6B" w:rsidP="00361FA9">
            <w:pPr>
              <w:autoSpaceDE w:val="0"/>
              <w:autoSpaceDN w:val="0"/>
              <w:adjustRightInd w:val="0"/>
              <w:spacing w:after="0"/>
              <w:jc w:val="center"/>
              <w:rPr>
                <w:rFonts w:ascii="Calibri" w:eastAsiaTheme="minorEastAsia" w:hAnsi="Calibri" w:cs="Calibri"/>
                <w:i/>
                <w:iCs/>
                <w:color w:val="FFFFFF"/>
                <w:sz w:val="19"/>
                <w:szCs w:val="19"/>
                <w:lang w:eastAsia="en-AU"/>
              </w:rPr>
            </w:pPr>
            <w:r w:rsidRPr="006D1444">
              <w:rPr>
                <w:rFonts w:ascii="Calibri" w:eastAsiaTheme="minorEastAsia" w:hAnsi="Calibri" w:cs="Calibri"/>
                <w:i/>
                <w:iCs/>
                <w:color w:val="FFFFFF"/>
                <w:sz w:val="19"/>
                <w:szCs w:val="19"/>
                <w:lang w:eastAsia="en-AU"/>
              </w:rPr>
              <w:t xml:space="preserve"> </w:t>
            </w:r>
          </w:p>
          <w:p w:rsidR="00251C6B" w:rsidRPr="006D1444"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6D1444">
              <w:rPr>
                <w:rFonts w:ascii="Calibri" w:eastAsiaTheme="minorEastAsia" w:hAnsi="Calibri" w:cs="Calibri"/>
                <w:i/>
                <w:iCs/>
                <w:color w:val="FFFFFF"/>
                <w:sz w:val="19"/>
                <w:szCs w:val="19"/>
                <w:lang w:eastAsia="en-AU"/>
              </w:rPr>
              <w:t>Revised</w:t>
            </w:r>
          </w:p>
          <w:p w:rsidR="00251C6B" w:rsidRPr="006D1444"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6D1444">
              <w:rPr>
                <w:rFonts w:ascii="Calibri" w:eastAsiaTheme="minorEastAsia" w:hAnsi="Calibri" w:cs="Calibri"/>
                <w:i/>
                <w:iCs/>
                <w:color w:val="FFFFFF"/>
                <w:sz w:val="19"/>
                <w:szCs w:val="19"/>
                <w:lang w:eastAsia="en-AU"/>
              </w:rPr>
              <w:t>budget</w:t>
            </w:r>
          </w:p>
        </w:tc>
      </w:tr>
      <w:tr w:rsidR="002C39A3" w:rsidRPr="006D1444" w:rsidTr="00251C6B">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 xml:space="preserve"> </w:t>
            </w:r>
          </w:p>
        </w:tc>
        <w:tc>
          <w:tcPr>
            <w:tcW w:w="5215" w:type="dxa"/>
            <w:tcBorders>
              <w:top w:val="nil"/>
              <w:left w:val="nil"/>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Cash flows from operating activities</w:t>
            </w:r>
          </w:p>
        </w:tc>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 xml:space="preserve"> </w:t>
            </w:r>
          </w:p>
        </w:tc>
        <w:tc>
          <w:tcPr>
            <w:tcW w:w="851"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 xml:space="preserve"> </w:t>
            </w:r>
          </w:p>
        </w:tc>
      </w:tr>
      <w:tr w:rsidR="002C39A3" w:rsidRPr="006D1444" w:rsidTr="00251C6B">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 xml:space="preserve"> </w:t>
            </w:r>
          </w:p>
        </w:tc>
        <w:tc>
          <w:tcPr>
            <w:tcW w:w="5215" w:type="dxa"/>
            <w:tcBorders>
              <w:top w:val="nil"/>
              <w:left w:val="nil"/>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Receipts</w:t>
            </w:r>
          </w:p>
        </w:tc>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 xml:space="preserve"> </w:t>
            </w:r>
          </w:p>
        </w:tc>
        <w:tc>
          <w:tcPr>
            <w:tcW w:w="851"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 xml:space="preserve"> </w:t>
            </w:r>
          </w:p>
        </w:tc>
      </w:tr>
      <w:tr w:rsidR="002C39A3" w:rsidRPr="006D1444" w:rsidTr="00251C6B">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286</w:t>
            </w:r>
          </w:p>
        </w:tc>
        <w:tc>
          <w:tcPr>
            <w:tcW w:w="5215" w:type="dxa"/>
            <w:tcBorders>
              <w:top w:val="nil"/>
              <w:left w:val="nil"/>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Taxation</w:t>
            </w:r>
          </w:p>
        </w:tc>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313</w:t>
            </w:r>
          </w:p>
        </w:tc>
        <w:tc>
          <w:tcPr>
            <w:tcW w:w="851"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350</w:t>
            </w:r>
          </w:p>
        </w:tc>
      </w:tr>
      <w:tr w:rsidR="002C39A3" w:rsidRPr="006D1444" w:rsidTr="00251C6B">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41</w:t>
            </w:r>
          </w:p>
        </w:tc>
        <w:tc>
          <w:tcPr>
            <w:tcW w:w="5215" w:type="dxa"/>
            <w:tcBorders>
              <w:top w:val="nil"/>
              <w:left w:val="nil"/>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Regulatory fees and fines</w:t>
            </w:r>
          </w:p>
        </w:tc>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32</w:t>
            </w:r>
          </w:p>
        </w:tc>
        <w:tc>
          <w:tcPr>
            <w:tcW w:w="851"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32</w:t>
            </w:r>
          </w:p>
        </w:tc>
      </w:tr>
      <w:tr w:rsidR="002C39A3" w:rsidRPr="006D1444" w:rsidTr="00251C6B">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12 990</w:t>
            </w:r>
          </w:p>
        </w:tc>
        <w:tc>
          <w:tcPr>
            <w:tcW w:w="5215" w:type="dxa"/>
            <w:tcBorders>
              <w:top w:val="nil"/>
              <w:left w:val="nil"/>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color w:val="000000"/>
                <w:sz w:val="19"/>
                <w:szCs w:val="19"/>
                <w:vertAlign w:val="superscript"/>
                <w:lang w:eastAsia="en-AU"/>
              </w:rPr>
            </w:pPr>
            <w:r w:rsidRPr="006D1444">
              <w:rPr>
                <w:rFonts w:ascii="Calibri" w:eastAsiaTheme="minorEastAsia" w:hAnsi="Calibri" w:cs="Calibri"/>
                <w:color w:val="000000"/>
                <w:sz w:val="19"/>
                <w:szCs w:val="19"/>
                <w:lang w:eastAsia="en-AU"/>
              </w:rPr>
              <w:t xml:space="preserve">Grants received </w:t>
            </w:r>
            <w:r w:rsidRPr="006D1444">
              <w:rPr>
                <w:rFonts w:ascii="Calibri" w:eastAsiaTheme="minorEastAsia" w:hAnsi="Calibri" w:cs="Calibri"/>
                <w:color w:val="000000"/>
                <w:sz w:val="19"/>
                <w:szCs w:val="19"/>
                <w:vertAlign w:val="superscript"/>
                <w:lang w:eastAsia="en-AU"/>
              </w:rPr>
              <w:t>(a)</w:t>
            </w:r>
          </w:p>
        </w:tc>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13 079</w:t>
            </w:r>
          </w:p>
        </w:tc>
        <w:tc>
          <w:tcPr>
            <w:tcW w:w="851"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15 392</w:t>
            </w:r>
          </w:p>
        </w:tc>
      </w:tr>
      <w:tr w:rsidR="002C39A3" w:rsidRPr="006D1444" w:rsidTr="00251C6B">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336</w:t>
            </w:r>
          </w:p>
        </w:tc>
        <w:tc>
          <w:tcPr>
            <w:tcW w:w="5215" w:type="dxa"/>
            <w:tcBorders>
              <w:top w:val="nil"/>
              <w:left w:val="nil"/>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color w:val="000000"/>
                <w:sz w:val="19"/>
                <w:szCs w:val="19"/>
                <w:vertAlign w:val="superscript"/>
                <w:lang w:eastAsia="en-AU"/>
              </w:rPr>
            </w:pPr>
            <w:r w:rsidRPr="006D1444">
              <w:rPr>
                <w:rFonts w:ascii="Calibri" w:eastAsiaTheme="minorEastAsia" w:hAnsi="Calibri" w:cs="Calibri"/>
                <w:color w:val="000000"/>
                <w:sz w:val="19"/>
                <w:szCs w:val="19"/>
                <w:lang w:eastAsia="en-AU"/>
              </w:rPr>
              <w:t xml:space="preserve">Sale of goods and services </w:t>
            </w:r>
            <w:r w:rsidRPr="006D1444">
              <w:rPr>
                <w:rFonts w:ascii="Calibri" w:eastAsiaTheme="minorEastAsia" w:hAnsi="Calibri" w:cs="Calibri"/>
                <w:color w:val="000000"/>
                <w:sz w:val="19"/>
                <w:szCs w:val="19"/>
                <w:vertAlign w:val="superscript"/>
                <w:lang w:eastAsia="en-AU"/>
              </w:rPr>
              <w:t>(a)</w:t>
            </w:r>
          </w:p>
        </w:tc>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40</w:t>
            </w:r>
          </w:p>
        </w:tc>
        <w:tc>
          <w:tcPr>
            <w:tcW w:w="851"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136</w:t>
            </w:r>
          </w:p>
        </w:tc>
      </w:tr>
      <w:tr w:rsidR="002C39A3" w:rsidRPr="006D1444" w:rsidTr="00251C6B">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71</w:t>
            </w:r>
          </w:p>
        </w:tc>
        <w:tc>
          <w:tcPr>
            <w:tcW w:w="5215" w:type="dxa"/>
            <w:tcBorders>
              <w:top w:val="nil"/>
              <w:left w:val="nil"/>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Interest received</w:t>
            </w:r>
          </w:p>
        </w:tc>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74</w:t>
            </w:r>
          </w:p>
        </w:tc>
        <w:tc>
          <w:tcPr>
            <w:tcW w:w="851"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85</w:t>
            </w:r>
          </w:p>
        </w:tc>
      </w:tr>
      <w:tr w:rsidR="002C39A3" w:rsidRPr="006D1444" w:rsidTr="00251C6B">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6 701</w:t>
            </w:r>
          </w:p>
        </w:tc>
        <w:tc>
          <w:tcPr>
            <w:tcW w:w="5215" w:type="dxa"/>
            <w:tcBorders>
              <w:top w:val="nil"/>
              <w:left w:val="nil"/>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color w:val="000000"/>
                <w:sz w:val="19"/>
                <w:szCs w:val="19"/>
                <w:vertAlign w:val="superscript"/>
                <w:lang w:eastAsia="en-AU"/>
              </w:rPr>
            </w:pPr>
            <w:r w:rsidRPr="006D1444">
              <w:rPr>
                <w:rFonts w:ascii="Calibri" w:eastAsiaTheme="minorEastAsia" w:hAnsi="Calibri" w:cs="Calibri"/>
                <w:color w:val="000000"/>
                <w:sz w:val="19"/>
                <w:szCs w:val="19"/>
                <w:lang w:eastAsia="en-AU"/>
              </w:rPr>
              <w:t xml:space="preserve">Net transfers from consolidated fund </w:t>
            </w:r>
            <w:r w:rsidRPr="006D1444">
              <w:rPr>
                <w:rFonts w:ascii="Calibri" w:eastAsiaTheme="minorEastAsia" w:hAnsi="Calibri" w:cs="Calibri"/>
                <w:color w:val="000000"/>
                <w:sz w:val="19"/>
                <w:szCs w:val="19"/>
                <w:vertAlign w:val="superscript"/>
                <w:lang w:eastAsia="en-AU"/>
              </w:rPr>
              <w:t>(a)</w:t>
            </w:r>
          </w:p>
        </w:tc>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6 488</w:t>
            </w:r>
          </w:p>
        </w:tc>
        <w:tc>
          <w:tcPr>
            <w:tcW w:w="851"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7 634</w:t>
            </w:r>
          </w:p>
        </w:tc>
      </w:tr>
      <w:tr w:rsidR="002C39A3" w:rsidRPr="006D1444" w:rsidTr="00251C6B">
        <w:tc>
          <w:tcPr>
            <w:tcW w:w="850" w:type="dxa"/>
            <w:tcBorders>
              <w:top w:val="nil"/>
              <w:left w:val="nil"/>
              <w:bottom w:val="single" w:sz="6" w:space="0" w:color="auto"/>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110</w:t>
            </w:r>
          </w:p>
        </w:tc>
        <w:tc>
          <w:tcPr>
            <w:tcW w:w="5215" w:type="dxa"/>
            <w:tcBorders>
              <w:top w:val="nil"/>
              <w:left w:val="nil"/>
              <w:bottom w:val="single" w:sz="6" w:space="0" w:color="auto"/>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 xml:space="preserve">Other receipts </w:t>
            </w:r>
          </w:p>
        </w:tc>
        <w:tc>
          <w:tcPr>
            <w:tcW w:w="850" w:type="dxa"/>
            <w:tcBorders>
              <w:top w:val="nil"/>
              <w:left w:val="nil"/>
              <w:bottom w:val="single" w:sz="6" w:space="0" w:color="auto"/>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101</w:t>
            </w:r>
          </w:p>
        </w:tc>
        <w:tc>
          <w:tcPr>
            <w:tcW w:w="851" w:type="dxa"/>
            <w:tcBorders>
              <w:top w:val="nil"/>
              <w:left w:val="nil"/>
              <w:bottom w:val="single" w:sz="6" w:space="0" w:color="auto"/>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161</w:t>
            </w:r>
          </w:p>
        </w:tc>
      </w:tr>
      <w:tr w:rsidR="002C39A3" w:rsidRPr="006D1444" w:rsidTr="00251C6B">
        <w:tc>
          <w:tcPr>
            <w:tcW w:w="850" w:type="dxa"/>
            <w:tcBorders>
              <w:top w:val="single" w:sz="6" w:space="0" w:color="auto"/>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20 535</w:t>
            </w:r>
          </w:p>
        </w:tc>
        <w:tc>
          <w:tcPr>
            <w:tcW w:w="5215" w:type="dxa"/>
            <w:tcBorders>
              <w:top w:val="single" w:sz="6" w:space="0" w:color="auto"/>
              <w:left w:val="nil"/>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b/>
                <w:bCs/>
                <w:color w:val="000000"/>
                <w:sz w:val="19"/>
                <w:szCs w:val="19"/>
                <w:vertAlign w:val="superscript"/>
                <w:lang w:eastAsia="en-AU"/>
              </w:rPr>
            </w:pPr>
            <w:r w:rsidRPr="006D1444">
              <w:rPr>
                <w:rFonts w:ascii="Calibri" w:eastAsiaTheme="minorEastAsia" w:hAnsi="Calibri" w:cs="Calibri"/>
                <w:b/>
                <w:bCs/>
                <w:color w:val="000000"/>
                <w:sz w:val="19"/>
                <w:szCs w:val="19"/>
                <w:lang w:eastAsia="en-AU"/>
              </w:rPr>
              <w:t xml:space="preserve">Total receipts </w:t>
            </w:r>
            <w:r w:rsidRPr="006D1444">
              <w:rPr>
                <w:rFonts w:ascii="Calibri" w:eastAsiaTheme="minorEastAsia" w:hAnsi="Calibri" w:cs="Calibri"/>
                <w:b/>
                <w:bCs/>
                <w:color w:val="000000"/>
                <w:sz w:val="19"/>
                <w:szCs w:val="19"/>
                <w:vertAlign w:val="superscript"/>
                <w:lang w:eastAsia="en-AU"/>
              </w:rPr>
              <w:t>(a)</w:t>
            </w:r>
          </w:p>
        </w:tc>
        <w:tc>
          <w:tcPr>
            <w:tcW w:w="850" w:type="dxa"/>
            <w:tcBorders>
              <w:top w:val="single" w:sz="6" w:space="0" w:color="auto"/>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20 128</w:t>
            </w:r>
          </w:p>
        </w:tc>
        <w:tc>
          <w:tcPr>
            <w:tcW w:w="851" w:type="dxa"/>
            <w:tcBorders>
              <w:top w:val="single" w:sz="6" w:space="0" w:color="auto"/>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23 789</w:t>
            </w:r>
          </w:p>
        </w:tc>
      </w:tr>
      <w:tr w:rsidR="002C39A3" w:rsidRPr="006D1444" w:rsidTr="00251C6B">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 xml:space="preserve"> </w:t>
            </w:r>
          </w:p>
        </w:tc>
        <w:tc>
          <w:tcPr>
            <w:tcW w:w="5215" w:type="dxa"/>
            <w:tcBorders>
              <w:top w:val="nil"/>
              <w:left w:val="nil"/>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Payments</w:t>
            </w:r>
          </w:p>
        </w:tc>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 xml:space="preserve"> </w:t>
            </w:r>
          </w:p>
        </w:tc>
        <w:tc>
          <w:tcPr>
            <w:tcW w:w="851"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 xml:space="preserve"> </w:t>
            </w:r>
          </w:p>
        </w:tc>
      </w:tr>
      <w:tr w:rsidR="002C39A3" w:rsidRPr="006D1444" w:rsidTr="00251C6B">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(113)</w:t>
            </w:r>
          </w:p>
        </w:tc>
        <w:tc>
          <w:tcPr>
            <w:tcW w:w="5215" w:type="dxa"/>
            <w:tcBorders>
              <w:top w:val="nil"/>
              <w:left w:val="nil"/>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Employee benefits</w:t>
            </w:r>
          </w:p>
        </w:tc>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(114)</w:t>
            </w:r>
          </w:p>
        </w:tc>
        <w:tc>
          <w:tcPr>
            <w:tcW w:w="851"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(164)</w:t>
            </w:r>
          </w:p>
        </w:tc>
      </w:tr>
      <w:tr w:rsidR="002C39A3" w:rsidRPr="006D1444" w:rsidTr="00251C6B">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(10)</w:t>
            </w:r>
          </w:p>
        </w:tc>
        <w:tc>
          <w:tcPr>
            <w:tcW w:w="5215" w:type="dxa"/>
            <w:tcBorders>
              <w:top w:val="nil"/>
              <w:left w:val="nil"/>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Superannuation</w:t>
            </w:r>
          </w:p>
        </w:tc>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(10)</w:t>
            </w:r>
          </w:p>
        </w:tc>
        <w:tc>
          <w:tcPr>
            <w:tcW w:w="851"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(13)</w:t>
            </w:r>
          </w:p>
        </w:tc>
      </w:tr>
      <w:tr w:rsidR="002C39A3" w:rsidRPr="006D1444" w:rsidTr="00251C6B">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(18 540)</w:t>
            </w:r>
          </w:p>
        </w:tc>
        <w:tc>
          <w:tcPr>
            <w:tcW w:w="5215" w:type="dxa"/>
            <w:tcBorders>
              <w:top w:val="nil"/>
              <w:left w:val="nil"/>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color w:val="000000"/>
                <w:sz w:val="19"/>
                <w:szCs w:val="19"/>
                <w:vertAlign w:val="superscript"/>
                <w:lang w:eastAsia="en-AU"/>
              </w:rPr>
            </w:pPr>
            <w:r w:rsidRPr="006D1444">
              <w:rPr>
                <w:rFonts w:ascii="Calibri" w:eastAsiaTheme="minorEastAsia" w:hAnsi="Calibri" w:cs="Calibri"/>
                <w:color w:val="000000"/>
                <w:sz w:val="19"/>
                <w:szCs w:val="19"/>
                <w:lang w:eastAsia="en-AU"/>
              </w:rPr>
              <w:t>Grants paid</w:t>
            </w:r>
            <w:r w:rsidRPr="006D1444">
              <w:rPr>
                <w:rFonts w:ascii="Calibri" w:eastAsiaTheme="minorEastAsia" w:hAnsi="Calibri" w:cs="Calibri"/>
                <w:color w:val="000000"/>
                <w:sz w:val="19"/>
                <w:szCs w:val="19"/>
                <w:vertAlign w:val="superscript"/>
                <w:lang w:eastAsia="en-AU"/>
              </w:rPr>
              <w:t xml:space="preserve"> (a)</w:t>
            </w:r>
          </w:p>
        </w:tc>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(18 330)</w:t>
            </w:r>
          </w:p>
        </w:tc>
        <w:tc>
          <w:tcPr>
            <w:tcW w:w="851"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(20 806)</w:t>
            </w:r>
          </w:p>
        </w:tc>
      </w:tr>
      <w:tr w:rsidR="002C39A3" w:rsidRPr="006D1444" w:rsidTr="00251C6B">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(1 446)</w:t>
            </w:r>
          </w:p>
        </w:tc>
        <w:tc>
          <w:tcPr>
            <w:tcW w:w="5215" w:type="dxa"/>
            <w:tcBorders>
              <w:top w:val="nil"/>
              <w:left w:val="nil"/>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color w:val="000000"/>
                <w:sz w:val="19"/>
                <w:szCs w:val="19"/>
                <w:vertAlign w:val="superscript"/>
                <w:lang w:eastAsia="en-AU"/>
              </w:rPr>
            </w:pPr>
            <w:r w:rsidRPr="006D1444">
              <w:rPr>
                <w:rFonts w:ascii="Calibri" w:eastAsiaTheme="minorEastAsia" w:hAnsi="Calibri" w:cs="Calibri"/>
                <w:color w:val="000000"/>
                <w:sz w:val="19"/>
                <w:szCs w:val="19"/>
                <w:lang w:eastAsia="en-AU"/>
              </w:rPr>
              <w:t xml:space="preserve">Supplies and consumables </w:t>
            </w:r>
            <w:r w:rsidRPr="006D1444">
              <w:rPr>
                <w:rFonts w:ascii="Calibri" w:eastAsiaTheme="minorEastAsia" w:hAnsi="Calibri" w:cs="Calibri"/>
                <w:color w:val="000000"/>
                <w:sz w:val="19"/>
                <w:szCs w:val="19"/>
                <w:vertAlign w:val="superscript"/>
                <w:lang w:eastAsia="en-AU"/>
              </w:rPr>
              <w:t xml:space="preserve">(a) </w:t>
            </w:r>
          </w:p>
        </w:tc>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(1 499)</w:t>
            </w:r>
          </w:p>
        </w:tc>
        <w:tc>
          <w:tcPr>
            <w:tcW w:w="851"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(2 235)</w:t>
            </w:r>
          </w:p>
        </w:tc>
      </w:tr>
      <w:tr w:rsidR="002C39A3" w:rsidRPr="006D1444" w:rsidTr="00251C6B">
        <w:tc>
          <w:tcPr>
            <w:tcW w:w="850" w:type="dxa"/>
            <w:tcBorders>
              <w:top w:val="nil"/>
              <w:left w:val="nil"/>
              <w:bottom w:val="single" w:sz="6" w:space="0" w:color="auto"/>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(4)</w:t>
            </w:r>
          </w:p>
        </w:tc>
        <w:tc>
          <w:tcPr>
            <w:tcW w:w="5215" w:type="dxa"/>
            <w:tcBorders>
              <w:top w:val="nil"/>
              <w:left w:val="nil"/>
              <w:bottom w:val="single" w:sz="6" w:space="0" w:color="auto"/>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Interest paid</w:t>
            </w:r>
          </w:p>
        </w:tc>
        <w:tc>
          <w:tcPr>
            <w:tcW w:w="850" w:type="dxa"/>
            <w:tcBorders>
              <w:top w:val="nil"/>
              <w:left w:val="nil"/>
              <w:bottom w:val="single" w:sz="6" w:space="0" w:color="auto"/>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(4)</w:t>
            </w:r>
          </w:p>
        </w:tc>
        <w:tc>
          <w:tcPr>
            <w:tcW w:w="851" w:type="dxa"/>
            <w:tcBorders>
              <w:top w:val="nil"/>
              <w:left w:val="nil"/>
              <w:bottom w:val="single" w:sz="6" w:space="0" w:color="auto"/>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(7)</w:t>
            </w:r>
          </w:p>
        </w:tc>
      </w:tr>
      <w:tr w:rsidR="002C39A3" w:rsidRPr="006D1444" w:rsidTr="00251C6B">
        <w:tc>
          <w:tcPr>
            <w:tcW w:w="850" w:type="dxa"/>
            <w:tcBorders>
              <w:top w:val="single" w:sz="6" w:space="0" w:color="auto"/>
              <w:left w:val="nil"/>
              <w:bottom w:val="single" w:sz="6" w:space="0" w:color="auto"/>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(20 113)</w:t>
            </w:r>
          </w:p>
        </w:tc>
        <w:tc>
          <w:tcPr>
            <w:tcW w:w="5215" w:type="dxa"/>
            <w:tcBorders>
              <w:top w:val="single" w:sz="6" w:space="0" w:color="auto"/>
              <w:left w:val="nil"/>
              <w:bottom w:val="single" w:sz="6" w:space="0" w:color="auto"/>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b/>
                <w:bCs/>
                <w:color w:val="000000"/>
                <w:sz w:val="19"/>
                <w:szCs w:val="19"/>
                <w:vertAlign w:val="superscript"/>
                <w:lang w:eastAsia="en-AU"/>
              </w:rPr>
            </w:pPr>
            <w:r w:rsidRPr="006D1444">
              <w:rPr>
                <w:rFonts w:ascii="Calibri" w:eastAsiaTheme="minorEastAsia" w:hAnsi="Calibri" w:cs="Calibri"/>
                <w:b/>
                <w:bCs/>
                <w:color w:val="000000"/>
                <w:sz w:val="19"/>
                <w:szCs w:val="19"/>
                <w:lang w:eastAsia="en-AU"/>
              </w:rPr>
              <w:t xml:space="preserve">Total payments </w:t>
            </w:r>
            <w:r w:rsidRPr="006D1444">
              <w:rPr>
                <w:rFonts w:ascii="Calibri" w:eastAsiaTheme="minorEastAsia" w:hAnsi="Calibri" w:cs="Calibri"/>
                <w:b/>
                <w:bCs/>
                <w:color w:val="000000"/>
                <w:sz w:val="19"/>
                <w:szCs w:val="19"/>
                <w:vertAlign w:val="superscript"/>
                <w:lang w:eastAsia="en-AU"/>
              </w:rPr>
              <w:t xml:space="preserve">(a) </w:t>
            </w:r>
          </w:p>
        </w:tc>
        <w:tc>
          <w:tcPr>
            <w:tcW w:w="850" w:type="dxa"/>
            <w:tcBorders>
              <w:top w:val="single" w:sz="6" w:space="0" w:color="auto"/>
              <w:left w:val="nil"/>
              <w:bottom w:val="single" w:sz="6" w:space="0" w:color="auto"/>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(19 957)</w:t>
            </w:r>
          </w:p>
        </w:tc>
        <w:tc>
          <w:tcPr>
            <w:tcW w:w="851" w:type="dxa"/>
            <w:tcBorders>
              <w:top w:val="single" w:sz="6" w:space="0" w:color="auto"/>
              <w:left w:val="nil"/>
              <w:bottom w:val="single" w:sz="6" w:space="0" w:color="auto"/>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(23 224)</w:t>
            </w:r>
          </w:p>
        </w:tc>
      </w:tr>
      <w:tr w:rsidR="002C39A3" w:rsidRPr="006D1444" w:rsidTr="00251C6B">
        <w:tc>
          <w:tcPr>
            <w:tcW w:w="850" w:type="dxa"/>
            <w:tcBorders>
              <w:top w:val="single" w:sz="6" w:space="0" w:color="auto"/>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422</w:t>
            </w:r>
          </w:p>
        </w:tc>
        <w:tc>
          <w:tcPr>
            <w:tcW w:w="5215" w:type="dxa"/>
            <w:tcBorders>
              <w:top w:val="single" w:sz="6" w:space="0" w:color="auto"/>
              <w:left w:val="nil"/>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b/>
                <w:bCs/>
                <w:color w:val="000000"/>
                <w:sz w:val="19"/>
                <w:szCs w:val="19"/>
                <w:vertAlign w:val="superscript"/>
                <w:lang w:eastAsia="en-AU"/>
              </w:rPr>
            </w:pPr>
            <w:r w:rsidRPr="006D1444">
              <w:rPr>
                <w:rFonts w:ascii="Calibri" w:eastAsiaTheme="minorEastAsia" w:hAnsi="Calibri" w:cs="Calibri"/>
                <w:b/>
                <w:bCs/>
                <w:color w:val="000000"/>
                <w:sz w:val="19"/>
                <w:szCs w:val="19"/>
                <w:lang w:eastAsia="en-AU"/>
              </w:rPr>
              <w:t xml:space="preserve">Net cash flows from operating activities </w:t>
            </w:r>
            <w:r w:rsidRPr="006D1444">
              <w:rPr>
                <w:rFonts w:ascii="Calibri" w:eastAsiaTheme="minorEastAsia" w:hAnsi="Calibri" w:cs="Calibri"/>
                <w:b/>
                <w:bCs/>
                <w:color w:val="000000"/>
                <w:sz w:val="19"/>
                <w:szCs w:val="19"/>
                <w:vertAlign w:val="superscript"/>
                <w:lang w:eastAsia="en-AU"/>
              </w:rPr>
              <w:t xml:space="preserve">(a) </w:t>
            </w:r>
          </w:p>
        </w:tc>
        <w:tc>
          <w:tcPr>
            <w:tcW w:w="850" w:type="dxa"/>
            <w:tcBorders>
              <w:top w:val="single" w:sz="6" w:space="0" w:color="auto"/>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171</w:t>
            </w:r>
          </w:p>
        </w:tc>
        <w:tc>
          <w:tcPr>
            <w:tcW w:w="851" w:type="dxa"/>
            <w:tcBorders>
              <w:top w:val="single" w:sz="6" w:space="0" w:color="auto"/>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565</w:t>
            </w:r>
          </w:p>
        </w:tc>
      </w:tr>
      <w:tr w:rsidR="002C39A3" w:rsidRPr="006D1444" w:rsidTr="00251C6B">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 xml:space="preserve"> </w:t>
            </w:r>
          </w:p>
        </w:tc>
        <w:tc>
          <w:tcPr>
            <w:tcW w:w="5215" w:type="dxa"/>
            <w:tcBorders>
              <w:top w:val="nil"/>
              <w:left w:val="nil"/>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Cash flows from investing activities</w:t>
            </w:r>
          </w:p>
        </w:tc>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 xml:space="preserve"> </w:t>
            </w:r>
          </w:p>
        </w:tc>
        <w:tc>
          <w:tcPr>
            <w:tcW w:w="851"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 xml:space="preserve"> </w:t>
            </w:r>
          </w:p>
        </w:tc>
      </w:tr>
      <w:tr w:rsidR="002C39A3" w:rsidRPr="006D1444" w:rsidTr="00251C6B">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61</w:t>
            </w:r>
          </w:p>
        </w:tc>
        <w:tc>
          <w:tcPr>
            <w:tcW w:w="5215" w:type="dxa"/>
            <w:tcBorders>
              <w:top w:val="nil"/>
              <w:left w:val="nil"/>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Proceeds from sale of property, plant and equipment</w:t>
            </w:r>
          </w:p>
        </w:tc>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44</w:t>
            </w:r>
          </w:p>
        </w:tc>
        <w:tc>
          <w:tcPr>
            <w:tcW w:w="851"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36</w:t>
            </w:r>
          </w:p>
        </w:tc>
      </w:tr>
      <w:tr w:rsidR="002C39A3" w:rsidRPr="006D1444" w:rsidTr="00251C6B">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(8)</w:t>
            </w:r>
          </w:p>
        </w:tc>
        <w:tc>
          <w:tcPr>
            <w:tcW w:w="5215" w:type="dxa"/>
            <w:tcBorders>
              <w:top w:val="nil"/>
              <w:left w:val="nil"/>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Purchases of property, plant and equipment</w:t>
            </w:r>
          </w:p>
        </w:tc>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(18)</w:t>
            </w:r>
          </w:p>
        </w:tc>
        <w:tc>
          <w:tcPr>
            <w:tcW w:w="851"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(41)</w:t>
            </w:r>
          </w:p>
        </w:tc>
      </w:tr>
      <w:tr w:rsidR="002C39A3" w:rsidRPr="006D1444" w:rsidTr="00251C6B">
        <w:tc>
          <w:tcPr>
            <w:tcW w:w="850" w:type="dxa"/>
            <w:tcBorders>
              <w:top w:val="nil"/>
              <w:left w:val="nil"/>
              <w:bottom w:val="single" w:sz="6" w:space="0" w:color="auto"/>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(31)</w:t>
            </w:r>
          </w:p>
        </w:tc>
        <w:tc>
          <w:tcPr>
            <w:tcW w:w="5215" w:type="dxa"/>
            <w:tcBorders>
              <w:top w:val="nil"/>
              <w:left w:val="nil"/>
              <w:bottom w:val="single" w:sz="6" w:space="0" w:color="auto"/>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color w:val="000000"/>
                <w:sz w:val="19"/>
                <w:szCs w:val="19"/>
                <w:vertAlign w:val="superscript"/>
                <w:lang w:eastAsia="en-AU"/>
              </w:rPr>
            </w:pPr>
            <w:r w:rsidRPr="006D1444">
              <w:rPr>
                <w:rFonts w:ascii="Calibri" w:eastAsiaTheme="minorEastAsia" w:hAnsi="Calibri" w:cs="Calibri"/>
                <w:color w:val="000000"/>
                <w:sz w:val="19"/>
                <w:szCs w:val="19"/>
                <w:lang w:eastAsia="en-AU"/>
              </w:rPr>
              <w:t xml:space="preserve">Other investing activities </w:t>
            </w:r>
            <w:r w:rsidRPr="006D1444">
              <w:rPr>
                <w:rFonts w:ascii="Calibri" w:eastAsiaTheme="minorEastAsia" w:hAnsi="Calibri" w:cs="Calibri"/>
                <w:color w:val="000000"/>
                <w:sz w:val="19"/>
                <w:szCs w:val="19"/>
                <w:vertAlign w:val="superscript"/>
                <w:lang w:eastAsia="en-AU"/>
              </w:rPr>
              <w:t xml:space="preserve">(a) </w:t>
            </w:r>
          </w:p>
        </w:tc>
        <w:tc>
          <w:tcPr>
            <w:tcW w:w="850" w:type="dxa"/>
            <w:tcBorders>
              <w:top w:val="nil"/>
              <w:left w:val="nil"/>
              <w:bottom w:val="single" w:sz="6" w:space="0" w:color="auto"/>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(159)</w:t>
            </w:r>
          </w:p>
        </w:tc>
        <w:tc>
          <w:tcPr>
            <w:tcW w:w="851" w:type="dxa"/>
            <w:tcBorders>
              <w:top w:val="nil"/>
              <w:left w:val="nil"/>
              <w:bottom w:val="single" w:sz="6" w:space="0" w:color="auto"/>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(91)</w:t>
            </w:r>
          </w:p>
        </w:tc>
      </w:tr>
      <w:tr w:rsidR="002C39A3" w:rsidRPr="006D1444" w:rsidTr="00251C6B">
        <w:tc>
          <w:tcPr>
            <w:tcW w:w="850" w:type="dxa"/>
            <w:tcBorders>
              <w:top w:val="single" w:sz="6" w:space="0" w:color="auto"/>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22</w:t>
            </w:r>
          </w:p>
        </w:tc>
        <w:tc>
          <w:tcPr>
            <w:tcW w:w="5215" w:type="dxa"/>
            <w:tcBorders>
              <w:top w:val="single" w:sz="6" w:space="0" w:color="auto"/>
              <w:left w:val="nil"/>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b/>
                <w:bCs/>
                <w:color w:val="000000"/>
                <w:sz w:val="19"/>
                <w:szCs w:val="19"/>
                <w:vertAlign w:val="superscript"/>
                <w:lang w:eastAsia="en-AU"/>
              </w:rPr>
            </w:pPr>
            <w:r w:rsidRPr="006D1444">
              <w:rPr>
                <w:rFonts w:ascii="Calibri" w:eastAsiaTheme="minorEastAsia" w:hAnsi="Calibri" w:cs="Calibri"/>
                <w:b/>
                <w:bCs/>
                <w:color w:val="000000"/>
                <w:sz w:val="19"/>
                <w:szCs w:val="19"/>
                <w:lang w:eastAsia="en-AU"/>
              </w:rPr>
              <w:t xml:space="preserve">Net cash flows from investing activities </w:t>
            </w:r>
            <w:r w:rsidRPr="006D1444">
              <w:rPr>
                <w:rFonts w:ascii="Calibri" w:eastAsiaTheme="minorEastAsia" w:hAnsi="Calibri" w:cs="Calibri"/>
                <w:b/>
                <w:bCs/>
                <w:color w:val="000000"/>
                <w:sz w:val="19"/>
                <w:szCs w:val="19"/>
                <w:vertAlign w:val="superscript"/>
                <w:lang w:eastAsia="en-AU"/>
              </w:rPr>
              <w:t xml:space="preserve">(a) </w:t>
            </w:r>
          </w:p>
        </w:tc>
        <w:tc>
          <w:tcPr>
            <w:tcW w:w="850" w:type="dxa"/>
            <w:tcBorders>
              <w:top w:val="single" w:sz="6" w:space="0" w:color="auto"/>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(134)</w:t>
            </w:r>
          </w:p>
        </w:tc>
        <w:tc>
          <w:tcPr>
            <w:tcW w:w="851" w:type="dxa"/>
            <w:tcBorders>
              <w:top w:val="single" w:sz="6" w:space="0" w:color="auto"/>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(96)</w:t>
            </w:r>
          </w:p>
        </w:tc>
      </w:tr>
      <w:tr w:rsidR="002C39A3" w:rsidRPr="006D1444" w:rsidTr="00251C6B">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 xml:space="preserve"> </w:t>
            </w:r>
          </w:p>
        </w:tc>
        <w:tc>
          <w:tcPr>
            <w:tcW w:w="5215" w:type="dxa"/>
            <w:tcBorders>
              <w:top w:val="nil"/>
              <w:left w:val="nil"/>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Cash flows from financing activities</w:t>
            </w:r>
          </w:p>
        </w:tc>
        <w:tc>
          <w:tcPr>
            <w:tcW w:w="850"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 xml:space="preserve"> </w:t>
            </w:r>
          </w:p>
        </w:tc>
        <w:tc>
          <w:tcPr>
            <w:tcW w:w="851" w:type="dxa"/>
            <w:tcBorders>
              <w:top w:val="nil"/>
              <w:left w:val="nil"/>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 xml:space="preserve"> </w:t>
            </w:r>
          </w:p>
        </w:tc>
      </w:tr>
      <w:tr w:rsidR="002C39A3" w:rsidRPr="006D1444" w:rsidTr="00251C6B">
        <w:tc>
          <w:tcPr>
            <w:tcW w:w="850" w:type="dxa"/>
            <w:tcBorders>
              <w:top w:val="nil"/>
              <w:left w:val="nil"/>
              <w:bottom w:val="single" w:sz="6" w:space="0" w:color="auto"/>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(93)</w:t>
            </w:r>
          </w:p>
        </w:tc>
        <w:tc>
          <w:tcPr>
            <w:tcW w:w="5215" w:type="dxa"/>
            <w:tcBorders>
              <w:top w:val="nil"/>
              <w:left w:val="nil"/>
              <w:bottom w:val="single" w:sz="6" w:space="0" w:color="auto"/>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Net proceeds (repayments) from borrowings</w:t>
            </w:r>
          </w:p>
        </w:tc>
        <w:tc>
          <w:tcPr>
            <w:tcW w:w="850" w:type="dxa"/>
            <w:tcBorders>
              <w:top w:val="nil"/>
              <w:left w:val="nil"/>
              <w:bottom w:val="single" w:sz="6" w:space="0" w:color="auto"/>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(471)</w:t>
            </w:r>
          </w:p>
        </w:tc>
        <w:tc>
          <w:tcPr>
            <w:tcW w:w="851" w:type="dxa"/>
            <w:tcBorders>
              <w:top w:val="nil"/>
              <w:left w:val="nil"/>
              <w:bottom w:val="single" w:sz="6" w:space="0" w:color="auto"/>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6D1444">
              <w:rPr>
                <w:rFonts w:ascii="Calibri" w:eastAsiaTheme="minorEastAsia" w:hAnsi="Calibri" w:cs="Calibri"/>
                <w:color w:val="000000"/>
                <w:sz w:val="19"/>
                <w:szCs w:val="19"/>
                <w:lang w:eastAsia="en-AU"/>
              </w:rPr>
              <w:t>(29)</w:t>
            </w:r>
          </w:p>
        </w:tc>
      </w:tr>
      <w:tr w:rsidR="002C39A3" w:rsidRPr="006D1444" w:rsidTr="00251C6B">
        <w:tc>
          <w:tcPr>
            <w:tcW w:w="850" w:type="dxa"/>
            <w:tcBorders>
              <w:top w:val="single" w:sz="6" w:space="0" w:color="auto"/>
              <w:left w:val="nil"/>
              <w:bottom w:val="single" w:sz="6" w:space="0" w:color="auto"/>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(93)</w:t>
            </w:r>
          </w:p>
        </w:tc>
        <w:tc>
          <w:tcPr>
            <w:tcW w:w="5215" w:type="dxa"/>
            <w:tcBorders>
              <w:top w:val="single" w:sz="6" w:space="0" w:color="auto"/>
              <w:left w:val="nil"/>
              <w:bottom w:val="single" w:sz="6" w:space="0" w:color="auto"/>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 xml:space="preserve">Net cash flows from financing activities </w:t>
            </w:r>
          </w:p>
        </w:tc>
        <w:tc>
          <w:tcPr>
            <w:tcW w:w="850" w:type="dxa"/>
            <w:tcBorders>
              <w:top w:val="single" w:sz="6" w:space="0" w:color="auto"/>
              <w:left w:val="nil"/>
              <w:bottom w:val="single" w:sz="6" w:space="0" w:color="auto"/>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(471)</w:t>
            </w:r>
          </w:p>
        </w:tc>
        <w:tc>
          <w:tcPr>
            <w:tcW w:w="851" w:type="dxa"/>
            <w:tcBorders>
              <w:top w:val="single" w:sz="6" w:space="0" w:color="auto"/>
              <w:left w:val="nil"/>
              <w:bottom w:val="single" w:sz="6" w:space="0" w:color="auto"/>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(29)</w:t>
            </w:r>
          </w:p>
        </w:tc>
      </w:tr>
      <w:tr w:rsidR="002C39A3" w:rsidRPr="006D1444" w:rsidTr="00251C6B">
        <w:tc>
          <w:tcPr>
            <w:tcW w:w="850" w:type="dxa"/>
            <w:tcBorders>
              <w:top w:val="single" w:sz="6" w:space="0" w:color="auto"/>
              <w:left w:val="nil"/>
              <w:bottom w:val="single" w:sz="12" w:space="0" w:color="auto"/>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352</w:t>
            </w:r>
          </w:p>
        </w:tc>
        <w:tc>
          <w:tcPr>
            <w:tcW w:w="5215" w:type="dxa"/>
            <w:tcBorders>
              <w:top w:val="single" w:sz="6" w:space="0" w:color="auto"/>
              <w:left w:val="nil"/>
              <w:bottom w:val="single" w:sz="12" w:space="0" w:color="auto"/>
              <w:right w:val="nil"/>
            </w:tcBorders>
            <w:shd w:val="clear" w:color="auto" w:fill="FFFFFF"/>
          </w:tcPr>
          <w:p w:rsidR="002C39A3" w:rsidRPr="006D1444"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 xml:space="preserve">Net cash inflow/(outflow) </w:t>
            </w:r>
            <w:r w:rsidRPr="006D1444">
              <w:rPr>
                <w:rFonts w:ascii="Calibri" w:eastAsiaTheme="minorEastAsia" w:hAnsi="Calibri" w:cs="Calibri"/>
                <w:b/>
                <w:bCs/>
                <w:color w:val="000000"/>
                <w:sz w:val="19"/>
                <w:szCs w:val="19"/>
                <w:vertAlign w:val="superscript"/>
                <w:lang w:eastAsia="en-AU"/>
              </w:rPr>
              <w:t>(a)</w:t>
            </w:r>
            <w:r w:rsidRPr="006D1444">
              <w:rPr>
                <w:rFonts w:ascii="Calibri" w:eastAsiaTheme="minorEastAsia" w:hAnsi="Calibri" w:cs="Calibri"/>
                <w:b/>
                <w:bCs/>
                <w:color w:val="000000"/>
                <w:sz w:val="19"/>
                <w:szCs w:val="19"/>
                <w:lang w:eastAsia="en-AU"/>
              </w:rPr>
              <w:t xml:space="preserve"> </w:t>
            </w:r>
          </w:p>
        </w:tc>
        <w:tc>
          <w:tcPr>
            <w:tcW w:w="850" w:type="dxa"/>
            <w:tcBorders>
              <w:top w:val="single" w:sz="6" w:space="0" w:color="auto"/>
              <w:left w:val="nil"/>
              <w:bottom w:val="single" w:sz="12" w:space="0" w:color="auto"/>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(434)</w:t>
            </w:r>
          </w:p>
        </w:tc>
        <w:tc>
          <w:tcPr>
            <w:tcW w:w="851" w:type="dxa"/>
            <w:tcBorders>
              <w:top w:val="single" w:sz="6" w:space="0" w:color="auto"/>
              <w:left w:val="nil"/>
              <w:bottom w:val="single" w:sz="12" w:space="0" w:color="auto"/>
              <w:right w:val="nil"/>
            </w:tcBorders>
            <w:shd w:val="clear" w:color="auto" w:fill="FFFFFF"/>
          </w:tcPr>
          <w:p w:rsidR="002C39A3" w:rsidRPr="006D1444"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6D1444">
              <w:rPr>
                <w:rFonts w:ascii="Calibri" w:eastAsiaTheme="minorEastAsia" w:hAnsi="Calibri" w:cs="Calibri"/>
                <w:b/>
                <w:bCs/>
                <w:color w:val="000000"/>
                <w:sz w:val="19"/>
                <w:szCs w:val="19"/>
                <w:lang w:eastAsia="en-AU"/>
              </w:rPr>
              <w:t>440</w:t>
            </w:r>
          </w:p>
        </w:tc>
      </w:tr>
    </w:tbl>
    <w:p w:rsidR="002C39A3" w:rsidRDefault="002C39A3" w:rsidP="00361FA9">
      <w:pPr>
        <w:pStyle w:val="Notes"/>
      </w:pPr>
      <w:r>
        <w:t>Note:</w:t>
      </w:r>
    </w:p>
    <w:p w:rsidR="002C39A3" w:rsidRDefault="002C39A3" w:rsidP="00361FA9">
      <w:pPr>
        <w:pStyle w:val="Notes"/>
      </w:pPr>
      <w:r>
        <w:t>(a)</w:t>
      </w:r>
      <w:r>
        <w:tab/>
      </w:r>
      <w:r w:rsidRPr="003B5AE1">
        <w:t>The 2014</w:t>
      </w:r>
      <w:r>
        <w:noBreakHyphen/>
      </w:r>
      <w:r w:rsidRPr="003B5AE1">
        <w:t>15 comparative figures have been restated to reflect more current information.</w:t>
      </w:r>
    </w:p>
    <w:p w:rsidR="002C39A3" w:rsidRDefault="002C39A3">
      <w:pPr>
        <w:spacing w:after="0"/>
      </w:pPr>
    </w:p>
    <w:p w:rsidR="002C39A3" w:rsidRDefault="002C39A3">
      <w:pPr>
        <w:spacing w:after="0"/>
        <w:rPr>
          <w:rFonts w:ascii="Calibri" w:hAnsi="Calibri"/>
          <w:b/>
        </w:rPr>
      </w:pPr>
      <w:r>
        <w:br w:type="page"/>
      </w:r>
    </w:p>
    <w:p w:rsidR="002C39A3" w:rsidRDefault="002C39A3" w:rsidP="00361FA9">
      <w:pPr>
        <w:pStyle w:val="Heading2NotesContd"/>
      </w:pPr>
      <w:r w:rsidRPr="004159CD">
        <w:t>Note 1</w:t>
      </w:r>
      <w:r>
        <w:t>8</w:t>
      </w:r>
      <w:r w:rsidRPr="004159CD">
        <w:t xml:space="preserve">: </w:t>
      </w:r>
      <w:r w:rsidRPr="004159CD">
        <w:tab/>
        <w:t>Public account</w:t>
      </w:r>
      <w:r>
        <w:t xml:space="preserve"> </w:t>
      </w:r>
      <w:r w:rsidRPr="004159CD">
        <w:rPr>
          <w:i/>
        </w:rPr>
        <w:t>(continued)</w:t>
      </w:r>
    </w:p>
    <w:p w:rsidR="002C39A3" w:rsidRDefault="002C39A3" w:rsidP="00361FA9">
      <w:pPr>
        <w:pStyle w:val="Tableheading"/>
      </w:pPr>
      <w:r>
        <w:t>(c)</w:t>
      </w:r>
      <w:r>
        <w:tab/>
      </w:r>
      <w:r w:rsidRPr="00485D0E">
        <w:t>Reconciliation of cash flows to balances held</w:t>
      </w:r>
    </w:p>
    <w:p w:rsidR="002C39A3" w:rsidRPr="00F944DD" w:rsidRDefault="002C39A3" w:rsidP="00361FA9">
      <w:pPr>
        <w:pStyle w:val="million"/>
        <w:rPr>
          <w:rFonts w:ascii="Garamond" w:hAnsi="Garamond"/>
          <w:b/>
          <w:bCs/>
          <w:sz w:val="22"/>
          <w:lang w:val="en-US"/>
        </w:rPr>
      </w:pPr>
      <w:r w:rsidRPr="006852A4">
        <w:t>($ million)</w:t>
      </w:r>
    </w:p>
    <w:tbl>
      <w:tblPr>
        <w:tblW w:w="7766" w:type="dxa"/>
        <w:tblInd w:w="45" w:type="dxa"/>
        <w:tblLayout w:type="fixed"/>
        <w:tblCellMar>
          <w:left w:w="45" w:type="dxa"/>
          <w:right w:w="45" w:type="dxa"/>
        </w:tblCellMar>
        <w:tblLook w:val="0000" w:firstRow="0" w:lastRow="0" w:firstColumn="0" w:lastColumn="0" w:noHBand="0" w:noVBand="0"/>
      </w:tblPr>
      <w:tblGrid>
        <w:gridCol w:w="4395"/>
        <w:gridCol w:w="425"/>
        <w:gridCol w:w="850"/>
        <w:gridCol w:w="993"/>
        <w:gridCol w:w="1103"/>
      </w:tblGrid>
      <w:tr w:rsidR="00251C6B" w:rsidRPr="00F944DD" w:rsidTr="00134493">
        <w:trPr>
          <w:trHeight w:val="696"/>
          <w:tblHeader/>
        </w:trPr>
        <w:tc>
          <w:tcPr>
            <w:tcW w:w="4395" w:type="dxa"/>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1275" w:type="dxa"/>
            <w:gridSpan w:val="2"/>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Balances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held at</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30 Jun 2015</w:t>
            </w:r>
          </w:p>
        </w:tc>
        <w:tc>
          <w:tcPr>
            <w:tcW w:w="993" w:type="dxa"/>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Mar</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movement</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YTD</w:t>
            </w:r>
          </w:p>
        </w:tc>
        <w:tc>
          <w:tcPr>
            <w:tcW w:w="1103" w:type="dxa"/>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Balances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held at</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31 Mar 2016</w:t>
            </w:r>
          </w:p>
        </w:tc>
      </w:tr>
      <w:tr w:rsidR="00251C6B" w:rsidRPr="00F944DD" w:rsidTr="009A6F93">
        <w:tc>
          <w:tcPr>
            <w:tcW w:w="7766" w:type="dxa"/>
            <w:gridSpan w:val="5"/>
            <w:tcBorders>
              <w:top w:val="nil"/>
              <w:left w:val="nil"/>
              <w:right w:val="nil"/>
            </w:tcBorders>
            <w:shd w:val="clear" w:color="auto" w:fill="FFFFFF"/>
          </w:tcPr>
          <w:p w:rsidR="00251C6B" w:rsidRPr="00F944DD" w:rsidRDefault="00251C6B" w:rsidP="00251C6B">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b/>
                <w:bCs/>
                <w:color w:val="000000"/>
                <w:sz w:val="19"/>
                <w:szCs w:val="19"/>
                <w:lang w:eastAsia="en-AU"/>
              </w:rPr>
              <w:t>Cash and deposits</w:t>
            </w:r>
          </w:p>
        </w:tc>
      </w:tr>
      <w:tr w:rsidR="002C39A3" w:rsidRPr="00F944DD" w:rsidTr="00361FA9">
        <w:tc>
          <w:tcPr>
            <w:tcW w:w="4820"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Cash balances outside the Public Account</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w:t>
            </w:r>
          </w:p>
        </w:tc>
        <w:tc>
          <w:tcPr>
            <w:tcW w:w="993"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w:t>
            </w:r>
          </w:p>
        </w:tc>
        <w:tc>
          <w:tcPr>
            <w:tcW w:w="1103"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w:t>
            </w:r>
          </w:p>
        </w:tc>
      </w:tr>
      <w:tr w:rsidR="002C39A3" w:rsidRPr="00F944DD" w:rsidTr="00361FA9">
        <w:tc>
          <w:tcPr>
            <w:tcW w:w="4820"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Deposits held with the Public Account – specific trusts</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806</w:t>
            </w:r>
          </w:p>
        </w:tc>
        <w:tc>
          <w:tcPr>
            <w:tcW w:w="993"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w:t>
            </w:r>
          </w:p>
        </w:tc>
        <w:tc>
          <w:tcPr>
            <w:tcW w:w="1103"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806</w:t>
            </w:r>
          </w:p>
        </w:tc>
      </w:tr>
      <w:tr w:rsidR="002C39A3" w:rsidRPr="00F944DD" w:rsidTr="00361FA9">
        <w:tc>
          <w:tcPr>
            <w:tcW w:w="4820" w:type="dxa"/>
            <w:gridSpan w:val="2"/>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Other balances held in the Public Account </w:t>
            </w:r>
          </w:p>
        </w:tc>
        <w:tc>
          <w:tcPr>
            <w:tcW w:w="850"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3 397</w:t>
            </w:r>
          </w:p>
        </w:tc>
        <w:tc>
          <w:tcPr>
            <w:tcW w:w="993"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(628)</w:t>
            </w:r>
          </w:p>
        </w:tc>
        <w:tc>
          <w:tcPr>
            <w:tcW w:w="1103"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2 769</w:t>
            </w:r>
          </w:p>
        </w:tc>
      </w:tr>
      <w:tr w:rsidR="002C39A3" w:rsidRPr="00F944DD" w:rsidTr="00361FA9">
        <w:tc>
          <w:tcPr>
            <w:tcW w:w="4820" w:type="dxa"/>
            <w:gridSpan w:val="2"/>
            <w:tcBorders>
              <w:top w:val="single" w:sz="6" w:space="0" w:color="auto"/>
              <w:left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Total cash and deposits </w:t>
            </w:r>
          </w:p>
        </w:tc>
        <w:tc>
          <w:tcPr>
            <w:tcW w:w="850" w:type="dxa"/>
            <w:tcBorders>
              <w:top w:val="single" w:sz="6" w:space="0" w:color="auto"/>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4 203</w:t>
            </w:r>
          </w:p>
        </w:tc>
        <w:tc>
          <w:tcPr>
            <w:tcW w:w="993" w:type="dxa"/>
            <w:tcBorders>
              <w:top w:val="single" w:sz="6" w:space="0" w:color="auto"/>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(629)</w:t>
            </w:r>
          </w:p>
        </w:tc>
        <w:tc>
          <w:tcPr>
            <w:tcW w:w="1103" w:type="dxa"/>
            <w:tcBorders>
              <w:top w:val="single" w:sz="6" w:space="0" w:color="auto"/>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3 575</w:t>
            </w:r>
          </w:p>
        </w:tc>
      </w:tr>
      <w:tr w:rsidR="00251C6B" w:rsidRPr="00F944DD" w:rsidTr="008177C2">
        <w:tc>
          <w:tcPr>
            <w:tcW w:w="7766" w:type="dxa"/>
            <w:gridSpan w:val="5"/>
            <w:tcBorders>
              <w:top w:val="nil"/>
              <w:left w:val="nil"/>
              <w:right w:val="nil"/>
            </w:tcBorders>
            <w:shd w:val="clear" w:color="auto" w:fill="FFFFFF"/>
          </w:tcPr>
          <w:p w:rsidR="00251C6B" w:rsidRPr="00F944DD" w:rsidRDefault="00251C6B" w:rsidP="00251C6B">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b/>
                <w:bCs/>
                <w:color w:val="000000"/>
                <w:sz w:val="19"/>
                <w:szCs w:val="19"/>
                <w:lang w:eastAsia="en-AU"/>
              </w:rPr>
              <w:t>Investments</w:t>
            </w:r>
          </w:p>
        </w:tc>
      </w:tr>
      <w:tr w:rsidR="002C39A3" w:rsidRPr="00F944DD" w:rsidTr="00361FA9">
        <w:tc>
          <w:tcPr>
            <w:tcW w:w="4820"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F944DD">
              <w:rPr>
                <w:rFonts w:ascii="Calibri" w:eastAsiaTheme="minorEastAsia" w:hAnsi="Calibri" w:cs="Calibri"/>
                <w:color w:val="000000"/>
                <w:sz w:val="19"/>
                <w:szCs w:val="19"/>
                <w:lang w:eastAsia="en-AU"/>
              </w:rPr>
              <w:t xml:space="preserve">Investments held with the Public Account – specific trusts </w:t>
            </w:r>
            <w:r w:rsidRPr="00F944DD">
              <w:rPr>
                <w:rFonts w:ascii="Calibri" w:eastAsiaTheme="minorEastAsia" w:hAnsi="Calibri" w:cs="Calibri"/>
                <w:color w:val="000000"/>
                <w:sz w:val="19"/>
                <w:szCs w:val="19"/>
                <w:vertAlign w:val="superscript"/>
                <w:lang w:eastAsia="en-AU"/>
              </w:rPr>
              <w:t xml:space="preserve">(a)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720</w:t>
            </w:r>
          </w:p>
        </w:tc>
        <w:tc>
          <w:tcPr>
            <w:tcW w:w="993"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144</w:t>
            </w:r>
          </w:p>
        </w:tc>
        <w:tc>
          <w:tcPr>
            <w:tcW w:w="1103"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864</w:t>
            </w:r>
          </w:p>
        </w:tc>
      </w:tr>
      <w:tr w:rsidR="002C39A3" w:rsidRPr="00F944DD" w:rsidTr="00361FA9">
        <w:tc>
          <w:tcPr>
            <w:tcW w:w="4820" w:type="dxa"/>
            <w:gridSpan w:val="2"/>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9"/>
                <w:szCs w:val="19"/>
                <w:vertAlign w:val="superscript"/>
                <w:lang w:eastAsia="en-AU"/>
              </w:rPr>
            </w:pPr>
            <w:r w:rsidRPr="00F944DD">
              <w:rPr>
                <w:rFonts w:ascii="Calibri" w:eastAsiaTheme="minorEastAsia" w:hAnsi="Calibri" w:cs="Calibri"/>
                <w:b/>
                <w:bCs/>
                <w:color w:val="000000"/>
                <w:sz w:val="19"/>
                <w:szCs w:val="19"/>
                <w:lang w:eastAsia="en-AU"/>
              </w:rPr>
              <w:t xml:space="preserve">Total investments </w:t>
            </w:r>
            <w:r w:rsidRPr="00F944DD">
              <w:rPr>
                <w:rFonts w:ascii="Calibri" w:eastAsiaTheme="minorEastAsia" w:hAnsi="Calibri" w:cs="Calibri"/>
                <w:b/>
                <w:bCs/>
                <w:color w:val="000000"/>
                <w:sz w:val="19"/>
                <w:szCs w:val="19"/>
                <w:vertAlign w:val="superscript"/>
                <w:lang w:eastAsia="en-AU"/>
              </w:rPr>
              <w:t>(a)</w:t>
            </w:r>
          </w:p>
        </w:tc>
        <w:tc>
          <w:tcPr>
            <w:tcW w:w="850"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720</w:t>
            </w:r>
          </w:p>
        </w:tc>
        <w:tc>
          <w:tcPr>
            <w:tcW w:w="993"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144</w:t>
            </w:r>
          </w:p>
        </w:tc>
        <w:tc>
          <w:tcPr>
            <w:tcW w:w="1103"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864</w:t>
            </w:r>
          </w:p>
        </w:tc>
      </w:tr>
      <w:tr w:rsidR="002C39A3" w:rsidRPr="00F944DD" w:rsidTr="00361FA9">
        <w:tc>
          <w:tcPr>
            <w:tcW w:w="4820" w:type="dxa"/>
            <w:gridSpan w:val="2"/>
            <w:tcBorders>
              <w:top w:val="single" w:sz="6" w:space="0" w:color="auto"/>
              <w:left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9"/>
                <w:szCs w:val="19"/>
                <w:vertAlign w:val="superscript"/>
                <w:lang w:eastAsia="en-AU"/>
              </w:rPr>
            </w:pPr>
            <w:r w:rsidRPr="00F944DD">
              <w:rPr>
                <w:rFonts w:ascii="Calibri" w:eastAsiaTheme="minorEastAsia" w:hAnsi="Calibri" w:cs="Calibri"/>
                <w:b/>
                <w:bCs/>
                <w:color w:val="000000"/>
                <w:sz w:val="19"/>
                <w:szCs w:val="19"/>
                <w:lang w:eastAsia="en-AU"/>
              </w:rPr>
              <w:t xml:space="preserve">Total fund balances </w:t>
            </w:r>
            <w:r w:rsidRPr="00F944DD">
              <w:rPr>
                <w:rFonts w:ascii="Calibri" w:eastAsiaTheme="minorEastAsia" w:hAnsi="Calibri" w:cs="Calibri"/>
                <w:b/>
                <w:bCs/>
                <w:color w:val="000000"/>
                <w:sz w:val="19"/>
                <w:szCs w:val="19"/>
                <w:vertAlign w:val="superscript"/>
                <w:lang w:eastAsia="en-AU"/>
              </w:rPr>
              <w:t>(a)</w:t>
            </w:r>
          </w:p>
        </w:tc>
        <w:tc>
          <w:tcPr>
            <w:tcW w:w="850" w:type="dxa"/>
            <w:tcBorders>
              <w:top w:val="single" w:sz="6" w:space="0" w:color="auto"/>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4 924</w:t>
            </w:r>
          </w:p>
        </w:tc>
        <w:tc>
          <w:tcPr>
            <w:tcW w:w="993" w:type="dxa"/>
            <w:tcBorders>
              <w:top w:val="single" w:sz="6" w:space="0" w:color="auto"/>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(485)</w:t>
            </w:r>
          </w:p>
        </w:tc>
        <w:tc>
          <w:tcPr>
            <w:tcW w:w="1103" w:type="dxa"/>
            <w:tcBorders>
              <w:top w:val="single" w:sz="6" w:space="0" w:color="auto"/>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4 439</w:t>
            </w:r>
          </w:p>
        </w:tc>
      </w:tr>
      <w:tr w:rsidR="00251C6B" w:rsidRPr="00F944DD" w:rsidTr="00B563FB">
        <w:tc>
          <w:tcPr>
            <w:tcW w:w="7766" w:type="dxa"/>
            <w:gridSpan w:val="5"/>
            <w:tcBorders>
              <w:top w:val="nil"/>
              <w:left w:val="nil"/>
              <w:right w:val="nil"/>
            </w:tcBorders>
            <w:shd w:val="clear" w:color="auto" w:fill="FFFFFF"/>
          </w:tcPr>
          <w:p w:rsidR="00251C6B" w:rsidRPr="00F944DD" w:rsidRDefault="00251C6B" w:rsidP="00251C6B">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b/>
                <w:bCs/>
                <w:color w:val="000000"/>
                <w:sz w:val="19"/>
                <w:szCs w:val="19"/>
                <w:lang w:eastAsia="en-AU"/>
              </w:rPr>
              <w:t>Less funds held outside the Public Account</w:t>
            </w:r>
          </w:p>
        </w:tc>
      </w:tr>
      <w:tr w:rsidR="002C39A3" w:rsidRPr="00F944DD" w:rsidTr="00361FA9">
        <w:tc>
          <w:tcPr>
            <w:tcW w:w="4820"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Cash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w:t>
            </w:r>
          </w:p>
        </w:tc>
        <w:tc>
          <w:tcPr>
            <w:tcW w:w="993"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w:t>
            </w:r>
          </w:p>
        </w:tc>
        <w:tc>
          <w:tcPr>
            <w:tcW w:w="1103"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w:t>
            </w:r>
          </w:p>
        </w:tc>
      </w:tr>
      <w:tr w:rsidR="002C39A3" w:rsidRPr="00F944DD" w:rsidTr="00361FA9">
        <w:tc>
          <w:tcPr>
            <w:tcW w:w="4820" w:type="dxa"/>
            <w:gridSpan w:val="2"/>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fund balances held outside the Public Account</w:t>
            </w:r>
          </w:p>
        </w:tc>
        <w:tc>
          <w:tcPr>
            <w:tcW w:w="850"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w:t>
            </w:r>
          </w:p>
        </w:tc>
        <w:tc>
          <w:tcPr>
            <w:tcW w:w="993"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w:t>
            </w:r>
          </w:p>
        </w:tc>
        <w:tc>
          <w:tcPr>
            <w:tcW w:w="1103"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w:t>
            </w:r>
          </w:p>
        </w:tc>
      </w:tr>
      <w:tr w:rsidR="002C39A3" w:rsidRPr="00F944DD" w:rsidTr="00361FA9">
        <w:tc>
          <w:tcPr>
            <w:tcW w:w="4820" w:type="dxa"/>
            <w:gridSpan w:val="2"/>
            <w:tcBorders>
              <w:top w:val="single" w:sz="6" w:space="0" w:color="auto"/>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9"/>
                <w:szCs w:val="19"/>
                <w:vertAlign w:val="superscript"/>
                <w:lang w:eastAsia="en-AU"/>
              </w:rPr>
            </w:pPr>
            <w:r w:rsidRPr="00F944DD">
              <w:rPr>
                <w:rFonts w:ascii="Calibri" w:eastAsiaTheme="minorEastAsia" w:hAnsi="Calibri" w:cs="Calibri"/>
                <w:b/>
                <w:bCs/>
                <w:color w:val="000000"/>
                <w:sz w:val="19"/>
                <w:szCs w:val="19"/>
                <w:lang w:eastAsia="en-AU"/>
              </w:rPr>
              <w:t xml:space="preserve">Total funds held in the Public Account </w:t>
            </w:r>
            <w:r w:rsidRPr="00F944DD">
              <w:rPr>
                <w:rFonts w:ascii="Calibri" w:eastAsiaTheme="minorEastAsia" w:hAnsi="Calibri" w:cs="Calibri"/>
                <w:b/>
                <w:bCs/>
                <w:color w:val="000000"/>
                <w:sz w:val="19"/>
                <w:szCs w:val="19"/>
                <w:vertAlign w:val="superscript"/>
                <w:lang w:eastAsia="en-AU"/>
              </w:rPr>
              <w:t>(a)(b)</w:t>
            </w:r>
          </w:p>
        </w:tc>
        <w:tc>
          <w:tcPr>
            <w:tcW w:w="850" w:type="dxa"/>
            <w:tcBorders>
              <w:top w:val="single" w:sz="6" w:space="0" w:color="auto"/>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4 923</w:t>
            </w:r>
          </w:p>
        </w:tc>
        <w:tc>
          <w:tcPr>
            <w:tcW w:w="993" w:type="dxa"/>
            <w:tcBorders>
              <w:top w:val="single" w:sz="6" w:space="0" w:color="auto"/>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(484)</w:t>
            </w:r>
          </w:p>
        </w:tc>
        <w:tc>
          <w:tcPr>
            <w:tcW w:w="1103" w:type="dxa"/>
            <w:tcBorders>
              <w:top w:val="single" w:sz="6" w:space="0" w:color="auto"/>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4 440</w:t>
            </w:r>
          </w:p>
        </w:tc>
      </w:tr>
    </w:tbl>
    <w:p w:rsidR="002C39A3" w:rsidRDefault="002C39A3" w:rsidP="00361FA9">
      <w:pPr>
        <w:pStyle w:val="Notes"/>
      </w:pPr>
      <w:r>
        <w:t>Notes:</w:t>
      </w:r>
    </w:p>
    <w:p w:rsidR="002C39A3" w:rsidRDefault="002C39A3" w:rsidP="00361FA9">
      <w:pPr>
        <w:pStyle w:val="Notes"/>
      </w:pPr>
      <w:r>
        <w:t>(a)</w:t>
      </w:r>
      <w:r>
        <w:tab/>
      </w:r>
      <w:r w:rsidRPr="00EC6482">
        <w:t>The 2014</w:t>
      </w:r>
      <w:r>
        <w:noBreakHyphen/>
      </w:r>
      <w:r w:rsidRPr="00EC6482">
        <w:t>15 comparative figures have been restated to reflect more current information.</w:t>
      </w:r>
    </w:p>
    <w:p w:rsidR="002C39A3" w:rsidRDefault="002C39A3" w:rsidP="00361FA9">
      <w:pPr>
        <w:pStyle w:val="Notes"/>
      </w:pPr>
      <w:r>
        <w:t>(b)</w:t>
      </w:r>
      <w:r>
        <w:tab/>
        <w:t>See Note 18</w:t>
      </w:r>
      <w:r w:rsidRPr="00EC6482">
        <w:t>(d) below for details of securities and investments including amounts held in the Public Account on behalf of trust accounts.</w:t>
      </w:r>
    </w:p>
    <w:p w:rsidR="002C39A3" w:rsidRDefault="002C39A3" w:rsidP="00361FA9">
      <w:pPr>
        <w:spacing w:after="0"/>
      </w:pPr>
    </w:p>
    <w:p w:rsidR="002C39A3" w:rsidRDefault="002C39A3" w:rsidP="00361FA9">
      <w:pPr>
        <w:pStyle w:val="Tableheading"/>
      </w:pPr>
      <w:r>
        <w:t xml:space="preserve">(d) </w:t>
      </w:r>
      <w:r>
        <w:tab/>
      </w:r>
      <w:r w:rsidRPr="00485D0E">
        <w:t>Details of securities held</w:t>
      </w:r>
    </w:p>
    <w:p w:rsidR="002C39A3" w:rsidRPr="00F944DD" w:rsidRDefault="002C39A3" w:rsidP="00361FA9">
      <w:pPr>
        <w:pStyle w:val="million"/>
      </w:pPr>
      <w:r w:rsidRPr="006852A4">
        <w:t>($ million</w:t>
      </w:r>
      <w:r>
        <w:t>)</w:t>
      </w:r>
    </w:p>
    <w:tbl>
      <w:tblPr>
        <w:tblW w:w="7767" w:type="dxa"/>
        <w:tblInd w:w="45" w:type="dxa"/>
        <w:tblLayout w:type="fixed"/>
        <w:tblCellMar>
          <w:left w:w="45" w:type="dxa"/>
          <w:right w:w="45" w:type="dxa"/>
        </w:tblCellMar>
        <w:tblLook w:val="0000" w:firstRow="0" w:lastRow="0" w:firstColumn="0" w:lastColumn="0" w:noHBand="0" w:noVBand="0"/>
      </w:tblPr>
      <w:tblGrid>
        <w:gridCol w:w="850"/>
        <w:gridCol w:w="5216"/>
        <w:gridCol w:w="850"/>
        <w:gridCol w:w="851"/>
      </w:tblGrid>
      <w:tr w:rsidR="00251C6B" w:rsidRPr="00F944DD" w:rsidTr="00E96ECD">
        <w:trPr>
          <w:tblHeader/>
        </w:trPr>
        <w:tc>
          <w:tcPr>
            <w:tcW w:w="850" w:type="dxa"/>
            <w:vMerge w:val="restart"/>
            <w:tcBorders>
              <w:top w:val="nil"/>
              <w:left w:val="nil"/>
              <w:right w:val="nil"/>
            </w:tcBorders>
            <w:shd w:val="solid" w:color="000000" w:fill="auto"/>
            <w:vAlign w:val="bottom"/>
          </w:tcPr>
          <w:p w:rsidR="00251C6B" w:rsidRPr="00F944DD" w:rsidRDefault="00251C6B" w:rsidP="00361FA9">
            <w:pPr>
              <w:pStyle w:val="Notes"/>
              <w:jc w:val="right"/>
              <w:rPr>
                <w:rFonts w:eastAsiaTheme="minorEastAsia" w:cs="Calibri"/>
                <w:iCs/>
                <w:color w:val="FFFFFF"/>
                <w:sz w:val="19"/>
                <w:szCs w:val="19"/>
                <w:lang w:eastAsia="en-AU"/>
              </w:rPr>
            </w:pPr>
            <w:r w:rsidRPr="00F944DD">
              <w:rPr>
                <w:rFonts w:eastAsiaTheme="minorEastAsia" w:cs="Calibri"/>
                <w:iCs/>
                <w:color w:val="FFFFFF"/>
                <w:sz w:val="19"/>
                <w:szCs w:val="19"/>
                <w:lang w:eastAsia="en-AU"/>
              </w:rPr>
              <w:t>2014-15</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Actual </w:t>
            </w:r>
          </w:p>
          <w:p w:rsidR="00251C6B" w:rsidRPr="00F944DD" w:rsidRDefault="00251C6B" w:rsidP="00361FA9">
            <w:pPr>
              <w:autoSpaceDE w:val="0"/>
              <w:autoSpaceDN w:val="0"/>
              <w:adjustRightInd w:val="0"/>
              <w:spacing w:after="0"/>
              <w:jc w:val="right"/>
              <w:rPr>
                <w:rFonts w:eastAsiaTheme="minorEastAsia" w:cs="Calibri"/>
                <w:iCs/>
                <w:color w:val="FFFFFF"/>
                <w:sz w:val="19"/>
                <w:szCs w:val="19"/>
                <w:lang w:eastAsia="en-AU"/>
              </w:rPr>
            </w:pPr>
            <w:r w:rsidRPr="00F944DD">
              <w:rPr>
                <w:rFonts w:ascii="Calibri" w:eastAsiaTheme="minorEastAsia" w:hAnsi="Calibri" w:cs="Calibri"/>
                <w:i/>
                <w:iCs/>
                <w:color w:val="FFFFFF"/>
                <w:sz w:val="19"/>
                <w:szCs w:val="19"/>
                <w:lang w:eastAsia="en-AU"/>
              </w:rPr>
              <w:t>to Mar</w:t>
            </w:r>
          </w:p>
        </w:tc>
        <w:tc>
          <w:tcPr>
            <w:tcW w:w="5216" w:type="dxa"/>
            <w:vMerge w:val="restart"/>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w:t>
            </w:r>
          </w:p>
        </w:tc>
        <w:tc>
          <w:tcPr>
            <w:tcW w:w="1701" w:type="dxa"/>
            <w:gridSpan w:val="2"/>
            <w:tcBorders>
              <w:top w:val="nil"/>
              <w:left w:val="nil"/>
              <w:bottom w:val="nil"/>
              <w:right w:val="nil"/>
            </w:tcBorders>
            <w:shd w:val="solid" w:color="000000" w:fill="auto"/>
            <w:vAlign w:val="bottom"/>
          </w:tcPr>
          <w:p w:rsidR="00251C6B" w:rsidRPr="00F944DD" w:rsidRDefault="00251C6B" w:rsidP="00251C6B">
            <w:pPr>
              <w:autoSpaceDE w:val="0"/>
              <w:autoSpaceDN w:val="0"/>
              <w:adjustRightInd w:val="0"/>
              <w:spacing w:after="0"/>
              <w:jc w:val="center"/>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2015-16</w:t>
            </w:r>
          </w:p>
        </w:tc>
      </w:tr>
      <w:tr w:rsidR="00251C6B" w:rsidRPr="00F944DD" w:rsidTr="00E60D03">
        <w:trPr>
          <w:trHeight w:val="464"/>
          <w:tblHeader/>
        </w:trPr>
        <w:tc>
          <w:tcPr>
            <w:tcW w:w="850" w:type="dxa"/>
            <w:vMerge/>
            <w:tcBorders>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p>
        </w:tc>
        <w:tc>
          <w:tcPr>
            <w:tcW w:w="5216" w:type="dxa"/>
            <w:vMerge/>
            <w:tcBorders>
              <w:left w:val="nil"/>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850" w:type="dxa"/>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Opening</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1 Jul</w:t>
            </w:r>
          </w:p>
        </w:tc>
        <w:tc>
          <w:tcPr>
            <w:tcW w:w="851" w:type="dxa"/>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 Actual </w:t>
            </w:r>
          </w:p>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31 Mar</w:t>
            </w:r>
          </w:p>
        </w:tc>
      </w:tr>
      <w:tr w:rsidR="002C39A3" w:rsidRPr="00F944DD" w:rsidTr="00251C6B">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1 568</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Amounts invested on behalf of specific trust accounts </w:t>
            </w:r>
            <w:r w:rsidRPr="00F944DD">
              <w:rPr>
                <w:rFonts w:ascii="Calibri" w:eastAsiaTheme="minorEastAsia" w:hAnsi="Calibri" w:cs="Calibri"/>
                <w:color w:val="000000"/>
                <w:sz w:val="19"/>
                <w:szCs w:val="19"/>
                <w:vertAlign w:val="superscript"/>
                <w:lang w:eastAsia="en-AU"/>
              </w:rPr>
              <w:t>(a)</w:t>
            </w:r>
            <w:r w:rsidRPr="00F944DD">
              <w:rPr>
                <w:rFonts w:ascii="Calibri" w:eastAsiaTheme="minorEastAsia" w:hAnsi="Calibri" w:cs="Calibri"/>
                <w:color w:val="000000"/>
                <w:sz w:val="19"/>
                <w:szCs w:val="19"/>
                <w:lang w:eastAsia="en-AU"/>
              </w:rPr>
              <w:t xml:space="preserve">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1 525</w:t>
            </w:r>
          </w:p>
        </w:tc>
        <w:tc>
          <w:tcPr>
            <w:tcW w:w="851"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1 671</w:t>
            </w:r>
          </w:p>
        </w:tc>
      </w:tr>
      <w:tr w:rsidR="002C39A3" w:rsidRPr="00F944DD" w:rsidTr="00251C6B">
        <w:tc>
          <w:tcPr>
            <w:tcW w:w="850"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1 561</w:t>
            </w:r>
          </w:p>
        </w:tc>
        <w:tc>
          <w:tcPr>
            <w:tcW w:w="5216"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General account balances</w:t>
            </w:r>
          </w:p>
        </w:tc>
        <w:tc>
          <w:tcPr>
            <w:tcW w:w="850"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3 397</w:t>
            </w:r>
          </w:p>
        </w:tc>
        <w:tc>
          <w:tcPr>
            <w:tcW w:w="851"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2 769</w:t>
            </w:r>
          </w:p>
        </w:tc>
      </w:tr>
      <w:tr w:rsidR="002C39A3" w:rsidRPr="00F944DD" w:rsidTr="00251C6B">
        <w:tc>
          <w:tcPr>
            <w:tcW w:w="850" w:type="dxa"/>
            <w:tcBorders>
              <w:top w:val="single" w:sz="6" w:space="0" w:color="auto"/>
              <w:left w:val="nil"/>
              <w:right w:val="nil"/>
            </w:tcBorders>
            <w:shd w:val="clear" w:color="000000"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3 129</w:t>
            </w:r>
          </w:p>
        </w:tc>
        <w:tc>
          <w:tcPr>
            <w:tcW w:w="5216" w:type="dxa"/>
            <w:tcBorders>
              <w:top w:val="single" w:sz="6" w:space="0" w:color="auto"/>
              <w:left w:val="nil"/>
              <w:right w:val="nil"/>
            </w:tcBorders>
            <w:shd w:val="clear" w:color="000000"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vertAlign w:val="superscript"/>
                <w:lang w:eastAsia="en-AU"/>
              </w:rPr>
            </w:pPr>
            <w:r w:rsidRPr="00F944DD">
              <w:rPr>
                <w:rFonts w:ascii="Calibri" w:eastAsiaTheme="minorEastAsia" w:hAnsi="Calibri" w:cs="Calibri"/>
                <w:b/>
                <w:bCs/>
                <w:color w:val="000000"/>
                <w:sz w:val="19"/>
                <w:szCs w:val="19"/>
                <w:lang w:eastAsia="en-AU"/>
              </w:rPr>
              <w:t xml:space="preserve">Total Public Account </w:t>
            </w:r>
            <w:r w:rsidRPr="00F944DD">
              <w:rPr>
                <w:rFonts w:ascii="Calibri" w:eastAsiaTheme="minorEastAsia" w:hAnsi="Calibri" w:cs="Calibri"/>
                <w:b/>
                <w:bCs/>
                <w:color w:val="000000"/>
                <w:sz w:val="19"/>
                <w:szCs w:val="19"/>
                <w:vertAlign w:val="superscript"/>
                <w:lang w:eastAsia="en-AU"/>
              </w:rPr>
              <w:t>(a)</w:t>
            </w:r>
          </w:p>
        </w:tc>
        <w:tc>
          <w:tcPr>
            <w:tcW w:w="850" w:type="dxa"/>
            <w:tcBorders>
              <w:top w:val="single" w:sz="6" w:space="0" w:color="auto"/>
              <w:left w:val="nil"/>
              <w:right w:val="nil"/>
            </w:tcBorders>
            <w:shd w:val="clear" w:color="000000"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4 923</w:t>
            </w:r>
          </w:p>
        </w:tc>
        <w:tc>
          <w:tcPr>
            <w:tcW w:w="851" w:type="dxa"/>
            <w:tcBorders>
              <w:top w:val="single" w:sz="6" w:space="0" w:color="auto"/>
              <w:left w:val="nil"/>
              <w:right w:val="nil"/>
            </w:tcBorders>
            <w:shd w:val="clear" w:color="000000"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4 440</w:t>
            </w:r>
          </w:p>
        </w:tc>
      </w:tr>
      <w:tr w:rsidR="002C39A3" w:rsidRPr="00F944DD" w:rsidTr="00251C6B">
        <w:tc>
          <w:tcPr>
            <w:tcW w:w="850" w:type="dxa"/>
            <w:tcBorders>
              <w:top w:val="nil"/>
              <w:left w:val="nil"/>
              <w:right w:val="nil"/>
            </w:tcBorders>
            <w:shd w:val="clear" w:color="000000"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 </w:t>
            </w:r>
          </w:p>
        </w:tc>
        <w:tc>
          <w:tcPr>
            <w:tcW w:w="5216" w:type="dxa"/>
            <w:tcBorders>
              <w:top w:val="nil"/>
              <w:left w:val="nil"/>
              <w:right w:val="nil"/>
            </w:tcBorders>
            <w:shd w:val="clear" w:color="000000"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Represented by:</w:t>
            </w:r>
          </w:p>
        </w:tc>
        <w:tc>
          <w:tcPr>
            <w:tcW w:w="850" w:type="dxa"/>
            <w:tcBorders>
              <w:top w:val="nil"/>
              <w:left w:val="nil"/>
              <w:right w:val="nil"/>
            </w:tcBorders>
            <w:shd w:val="clear" w:color="000000"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 </w:t>
            </w:r>
          </w:p>
        </w:tc>
        <w:tc>
          <w:tcPr>
            <w:tcW w:w="851" w:type="dxa"/>
            <w:tcBorders>
              <w:top w:val="nil"/>
              <w:left w:val="nil"/>
              <w:right w:val="nil"/>
            </w:tcBorders>
            <w:shd w:val="clear" w:color="000000"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 </w:t>
            </w:r>
          </w:p>
        </w:tc>
      </w:tr>
      <w:tr w:rsidR="002C39A3" w:rsidRPr="00F944DD" w:rsidTr="00251C6B">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1 568</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vertAlign w:val="superscript"/>
                <w:lang w:eastAsia="en-AU"/>
              </w:rPr>
            </w:pPr>
            <w:r w:rsidRPr="00F944DD">
              <w:rPr>
                <w:rFonts w:ascii="Calibri" w:eastAsiaTheme="minorEastAsia" w:hAnsi="Calibri" w:cs="Calibri"/>
                <w:color w:val="000000"/>
                <w:sz w:val="19"/>
                <w:szCs w:val="19"/>
                <w:lang w:eastAsia="en-AU"/>
              </w:rPr>
              <w:t xml:space="preserve">Stocks and securities </w:t>
            </w:r>
            <w:r w:rsidRPr="00F944DD">
              <w:rPr>
                <w:rFonts w:ascii="Calibri" w:eastAsiaTheme="minorEastAsia" w:hAnsi="Calibri" w:cs="Calibri"/>
                <w:color w:val="000000"/>
                <w:sz w:val="19"/>
                <w:szCs w:val="19"/>
                <w:vertAlign w:val="superscript"/>
                <w:lang w:eastAsia="en-AU"/>
              </w:rPr>
              <w:t>(a)</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1 525</w:t>
            </w:r>
          </w:p>
        </w:tc>
        <w:tc>
          <w:tcPr>
            <w:tcW w:w="851"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1 671</w:t>
            </w:r>
          </w:p>
        </w:tc>
      </w:tr>
      <w:tr w:rsidR="002C39A3" w:rsidRPr="00F944DD" w:rsidTr="00251C6B">
        <w:tc>
          <w:tcPr>
            <w:tcW w:w="850"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1 352</w:t>
            </w:r>
          </w:p>
        </w:tc>
        <w:tc>
          <w:tcPr>
            <w:tcW w:w="5216"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Cash and investments</w:t>
            </w:r>
          </w:p>
        </w:tc>
        <w:tc>
          <w:tcPr>
            <w:tcW w:w="850"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2 087</w:t>
            </w:r>
          </w:p>
        </w:tc>
        <w:tc>
          <w:tcPr>
            <w:tcW w:w="851"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1 489</w:t>
            </w:r>
          </w:p>
        </w:tc>
      </w:tr>
      <w:tr w:rsidR="002C39A3" w:rsidRPr="00F944DD" w:rsidTr="00251C6B">
        <w:tc>
          <w:tcPr>
            <w:tcW w:w="850" w:type="dxa"/>
            <w:tcBorders>
              <w:top w:val="single" w:sz="6" w:space="0" w:color="auto"/>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2 920</w:t>
            </w:r>
          </w:p>
        </w:tc>
        <w:tc>
          <w:tcPr>
            <w:tcW w:w="5216" w:type="dxa"/>
            <w:tcBorders>
              <w:top w:val="single" w:sz="6" w:space="0" w:color="auto"/>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vertAlign w:val="superscript"/>
                <w:lang w:eastAsia="en-AU"/>
              </w:rPr>
            </w:pPr>
            <w:r w:rsidRPr="00F944DD">
              <w:rPr>
                <w:rFonts w:ascii="Calibri" w:eastAsiaTheme="minorEastAsia" w:hAnsi="Calibri" w:cs="Calibri"/>
                <w:b/>
                <w:bCs/>
                <w:color w:val="000000"/>
                <w:sz w:val="19"/>
                <w:szCs w:val="19"/>
                <w:lang w:eastAsia="en-AU"/>
              </w:rPr>
              <w:t xml:space="preserve">Total stock, securities, cash and investments </w:t>
            </w:r>
            <w:r w:rsidRPr="00F944DD">
              <w:rPr>
                <w:rFonts w:ascii="Calibri" w:eastAsiaTheme="minorEastAsia" w:hAnsi="Calibri" w:cs="Calibri"/>
                <w:b/>
                <w:bCs/>
                <w:color w:val="000000"/>
                <w:sz w:val="19"/>
                <w:szCs w:val="19"/>
                <w:vertAlign w:val="superscript"/>
                <w:lang w:eastAsia="en-AU"/>
              </w:rPr>
              <w:t>(a)</w:t>
            </w:r>
          </w:p>
        </w:tc>
        <w:tc>
          <w:tcPr>
            <w:tcW w:w="850" w:type="dxa"/>
            <w:tcBorders>
              <w:top w:val="single" w:sz="6" w:space="0" w:color="auto"/>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3 613</w:t>
            </w:r>
          </w:p>
        </w:tc>
        <w:tc>
          <w:tcPr>
            <w:tcW w:w="851" w:type="dxa"/>
            <w:tcBorders>
              <w:top w:val="single" w:sz="6" w:space="0" w:color="auto"/>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3 160</w:t>
            </w:r>
          </w:p>
        </w:tc>
      </w:tr>
      <w:tr w:rsidR="002C39A3" w:rsidRPr="00F944DD" w:rsidTr="00251C6B">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 </w:t>
            </w:r>
          </w:p>
        </w:tc>
        <w:tc>
          <w:tcPr>
            <w:tcW w:w="5216"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Add cash advanced for:  </w:t>
            </w:r>
          </w:p>
        </w:tc>
        <w:tc>
          <w:tcPr>
            <w:tcW w:w="850"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 </w:t>
            </w:r>
          </w:p>
        </w:tc>
        <w:tc>
          <w:tcPr>
            <w:tcW w:w="851"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 </w:t>
            </w:r>
          </w:p>
        </w:tc>
      </w:tr>
      <w:tr w:rsidR="002C39A3" w:rsidRPr="00F944DD" w:rsidTr="00251C6B">
        <w:tc>
          <w:tcPr>
            <w:tcW w:w="850"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209</w:t>
            </w:r>
          </w:p>
        </w:tc>
        <w:tc>
          <w:tcPr>
            <w:tcW w:w="5216"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i/>
                <w:iCs/>
                <w:color w:val="000000"/>
                <w:sz w:val="19"/>
                <w:szCs w:val="19"/>
                <w:lang w:eastAsia="en-AU"/>
              </w:rPr>
            </w:pPr>
            <w:r w:rsidRPr="00F944DD">
              <w:rPr>
                <w:rFonts w:ascii="Calibri" w:eastAsiaTheme="minorEastAsia" w:hAnsi="Calibri" w:cs="Calibri"/>
                <w:color w:val="000000"/>
                <w:sz w:val="19"/>
                <w:szCs w:val="19"/>
                <w:lang w:eastAsia="en-AU"/>
              </w:rPr>
              <w:t xml:space="preserve">Advances pursuant to sections 36 and 37 of the </w:t>
            </w:r>
            <w:r w:rsidRPr="00F944DD">
              <w:rPr>
                <w:rFonts w:ascii="Calibri" w:eastAsiaTheme="minorEastAsia" w:hAnsi="Calibri" w:cs="Calibri"/>
                <w:i/>
                <w:iCs/>
                <w:color w:val="000000"/>
                <w:sz w:val="19"/>
                <w:szCs w:val="19"/>
                <w:lang w:eastAsia="en-AU"/>
              </w:rPr>
              <w:t>Financial Management Act 1994</w:t>
            </w:r>
          </w:p>
        </w:tc>
        <w:tc>
          <w:tcPr>
            <w:tcW w:w="850"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1 310</w:t>
            </w:r>
          </w:p>
        </w:tc>
        <w:tc>
          <w:tcPr>
            <w:tcW w:w="851" w:type="dxa"/>
            <w:tcBorders>
              <w:top w:val="nil"/>
              <w:left w:val="nil"/>
              <w:bottom w:val="single" w:sz="6"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1 280</w:t>
            </w:r>
          </w:p>
        </w:tc>
      </w:tr>
      <w:tr w:rsidR="002C39A3" w:rsidRPr="00F944DD" w:rsidTr="00251C6B">
        <w:tc>
          <w:tcPr>
            <w:tcW w:w="850" w:type="dxa"/>
            <w:tcBorders>
              <w:top w:val="single" w:sz="6" w:space="0" w:color="auto"/>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3 129</w:t>
            </w:r>
          </w:p>
        </w:tc>
        <w:tc>
          <w:tcPr>
            <w:tcW w:w="5216" w:type="dxa"/>
            <w:tcBorders>
              <w:top w:val="single" w:sz="6" w:space="0" w:color="auto"/>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340" w:hanging="227"/>
              <w:rPr>
                <w:rFonts w:ascii="Calibri" w:eastAsiaTheme="minorEastAsia" w:hAnsi="Calibri" w:cs="Calibri"/>
                <w:b/>
                <w:bCs/>
                <w:color w:val="000000"/>
                <w:sz w:val="19"/>
                <w:szCs w:val="19"/>
                <w:vertAlign w:val="superscript"/>
                <w:lang w:eastAsia="en-AU"/>
              </w:rPr>
            </w:pPr>
            <w:r w:rsidRPr="00F944DD">
              <w:rPr>
                <w:rFonts w:ascii="Calibri" w:eastAsiaTheme="minorEastAsia" w:hAnsi="Calibri" w:cs="Calibri"/>
                <w:b/>
                <w:bCs/>
                <w:color w:val="000000"/>
                <w:sz w:val="19"/>
                <w:szCs w:val="19"/>
                <w:lang w:eastAsia="en-AU"/>
              </w:rPr>
              <w:t xml:space="preserve">Total Public Account </w:t>
            </w:r>
            <w:r w:rsidRPr="00F944DD">
              <w:rPr>
                <w:rFonts w:ascii="Calibri" w:eastAsiaTheme="minorEastAsia" w:hAnsi="Calibri" w:cs="Calibri"/>
                <w:b/>
                <w:bCs/>
                <w:color w:val="000000"/>
                <w:sz w:val="19"/>
                <w:szCs w:val="19"/>
                <w:vertAlign w:val="superscript"/>
                <w:lang w:eastAsia="en-AU"/>
              </w:rPr>
              <w:t>(a)</w:t>
            </w:r>
          </w:p>
        </w:tc>
        <w:tc>
          <w:tcPr>
            <w:tcW w:w="850" w:type="dxa"/>
            <w:tcBorders>
              <w:top w:val="single" w:sz="6" w:space="0" w:color="auto"/>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4 923</w:t>
            </w:r>
          </w:p>
        </w:tc>
        <w:tc>
          <w:tcPr>
            <w:tcW w:w="851" w:type="dxa"/>
            <w:tcBorders>
              <w:top w:val="single" w:sz="6" w:space="0" w:color="auto"/>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4 440</w:t>
            </w:r>
          </w:p>
        </w:tc>
      </w:tr>
    </w:tbl>
    <w:p w:rsidR="002C39A3" w:rsidRDefault="002C39A3" w:rsidP="00361FA9">
      <w:pPr>
        <w:pStyle w:val="Notes"/>
      </w:pPr>
      <w:r>
        <w:t>Note:</w:t>
      </w:r>
    </w:p>
    <w:p w:rsidR="002C39A3" w:rsidRDefault="002C39A3" w:rsidP="00361FA9">
      <w:pPr>
        <w:pStyle w:val="Notes"/>
      </w:pPr>
      <w:r>
        <w:t>(a)</w:t>
      </w:r>
      <w:r>
        <w:tab/>
      </w:r>
      <w:r w:rsidRPr="003B5AE1">
        <w:t>The 2014</w:t>
      </w:r>
      <w:r>
        <w:noBreakHyphen/>
      </w:r>
      <w:r w:rsidRPr="003B5AE1">
        <w:t>15 comparative figures have been restated to reflect more current information.</w:t>
      </w:r>
    </w:p>
    <w:p w:rsidR="002C39A3" w:rsidRDefault="002C39A3" w:rsidP="00361FA9">
      <w:pPr>
        <w:spacing w:after="0"/>
      </w:pPr>
    </w:p>
    <w:p w:rsidR="002C39A3" w:rsidRDefault="002C39A3">
      <w:pPr>
        <w:spacing w:after="0"/>
        <w:rPr>
          <w:rFonts w:ascii="Calibri" w:hAnsi="Calibri"/>
          <w:i/>
          <w:sz w:val="18"/>
          <w:szCs w:val="18"/>
        </w:rPr>
      </w:pPr>
      <w:r>
        <w:br w:type="page"/>
      </w:r>
    </w:p>
    <w:p w:rsidR="002C39A3" w:rsidRDefault="002C39A3" w:rsidP="00361FA9">
      <w:pPr>
        <w:pStyle w:val="Heading1"/>
      </w:pPr>
      <w:bookmarkStart w:id="83" w:name="_Toc449116222"/>
      <w:r>
        <w:t>Results quarter by quarter – Victorian general government sector</w:t>
      </w:r>
      <w:bookmarkEnd w:id="83"/>
    </w:p>
    <w:p w:rsidR="002C39A3" w:rsidRDefault="002C39A3" w:rsidP="00361FA9">
      <w:pPr>
        <w:pStyle w:val="Tableheading"/>
      </w:pPr>
      <w:r>
        <w:t>Table B.5:</w:t>
      </w:r>
      <w:r>
        <w:tab/>
        <w:t>Operating statement for the past five quarters</w:t>
      </w:r>
    </w:p>
    <w:p w:rsidR="002C39A3" w:rsidRPr="00F944DD" w:rsidRDefault="002C39A3" w:rsidP="00361FA9">
      <w:pPr>
        <w:pStyle w:val="million"/>
        <w:rPr>
          <w:rFonts w:eastAsiaTheme="minorEastAsia"/>
          <w:b/>
          <w:bCs/>
          <w:lang w:val="en-US" w:eastAsia="en-AU"/>
        </w:rPr>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4252"/>
        <w:gridCol w:w="709"/>
        <w:gridCol w:w="709"/>
        <w:gridCol w:w="709"/>
        <w:gridCol w:w="709"/>
        <w:gridCol w:w="677"/>
      </w:tblGrid>
      <w:tr w:rsidR="00251C6B" w:rsidRPr="00F944DD" w:rsidTr="00D142AD">
        <w:trPr>
          <w:tblHeader/>
        </w:trPr>
        <w:tc>
          <w:tcPr>
            <w:tcW w:w="4252" w:type="dxa"/>
            <w:vMerge w:val="restart"/>
            <w:tcBorders>
              <w:right w:val="nil"/>
            </w:tcBorders>
            <w:shd w:val="solid" w:color="000000" w:fill="auto"/>
            <w:vAlign w:val="bottom"/>
          </w:tcPr>
          <w:p w:rsidR="00251C6B" w:rsidRPr="00F944DD" w:rsidRDefault="00251C6B" w:rsidP="00361FA9">
            <w:pPr>
              <w:autoSpaceDE w:val="0"/>
              <w:autoSpaceDN w:val="0"/>
              <w:adjustRightInd w:val="0"/>
              <w:spacing w:after="0"/>
              <w:rPr>
                <w:rFonts w:eastAsiaTheme="minorEastAsia" w:cs="Calibri"/>
                <w:iCs/>
                <w:color w:val="FFFFFF"/>
                <w:sz w:val="19"/>
                <w:szCs w:val="19"/>
                <w:lang w:eastAsia="en-AU"/>
              </w:rPr>
            </w:pPr>
          </w:p>
        </w:tc>
        <w:tc>
          <w:tcPr>
            <w:tcW w:w="1418" w:type="dxa"/>
            <w:gridSpan w:val="2"/>
            <w:tcBorders>
              <w:left w:val="nil"/>
              <w:bottom w:val="nil"/>
              <w:right w:val="nil"/>
            </w:tcBorders>
            <w:shd w:val="solid" w:color="000000" w:fill="auto"/>
            <w:vAlign w:val="bottom"/>
          </w:tcPr>
          <w:p w:rsidR="00251C6B" w:rsidRPr="00F944DD" w:rsidRDefault="00251C6B" w:rsidP="00251C6B">
            <w:pPr>
              <w:autoSpaceDE w:val="0"/>
              <w:autoSpaceDN w:val="0"/>
              <w:adjustRightInd w:val="0"/>
              <w:spacing w:after="0"/>
              <w:jc w:val="center"/>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2014-15</w:t>
            </w:r>
          </w:p>
        </w:tc>
        <w:tc>
          <w:tcPr>
            <w:tcW w:w="2095" w:type="dxa"/>
            <w:gridSpan w:val="3"/>
            <w:tcBorders>
              <w:left w:val="nil"/>
              <w:bottom w:val="nil"/>
            </w:tcBorders>
            <w:shd w:val="solid" w:color="000000" w:fill="auto"/>
            <w:vAlign w:val="bottom"/>
          </w:tcPr>
          <w:p w:rsidR="00251C6B" w:rsidRPr="00F944DD" w:rsidRDefault="00251C6B" w:rsidP="00251C6B">
            <w:pPr>
              <w:autoSpaceDE w:val="0"/>
              <w:autoSpaceDN w:val="0"/>
              <w:adjustRightInd w:val="0"/>
              <w:spacing w:after="0"/>
              <w:jc w:val="center"/>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2015-16</w:t>
            </w:r>
          </w:p>
        </w:tc>
      </w:tr>
      <w:tr w:rsidR="00251C6B" w:rsidRPr="00F944DD" w:rsidTr="00FB6E2D">
        <w:trPr>
          <w:tblHeader/>
        </w:trPr>
        <w:tc>
          <w:tcPr>
            <w:tcW w:w="4252" w:type="dxa"/>
            <w:vMerge/>
            <w:tcBorders>
              <w:right w:val="nil"/>
            </w:tcBorders>
            <w:shd w:val="solid" w:color="000000" w:fill="auto"/>
            <w:vAlign w:val="bottom"/>
          </w:tcPr>
          <w:p w:rsidR="00251C6B" w:rsidRPr="00F944DD" w:rsidRDefault="00251C6B"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709" w:type="dxa"/>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Mar</w:t>
            </w:r>
          </w:p>
        </w:tc>
        <w:tc>
          <w:tcPr>
            <w:tcW w:w="709" w:type="dxa"/>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Jun </w:t>
            </w:r>
          </w:p>
        </w:tc>
        <w:tc>
          <w:tcPr>
            <w:tcW w:w="709" w:type="dxa"/>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Sep</w:t>
            </w:r>
          </w:p>
        </w:tc>
        <w:tc>
          <w:tcPr>
            <w:tcW w:w="709" w:type="dxa"/>
            <w:tcBorders>
              <w:top w:val="nil"/>
              <w:left w:val="nil"/>
              <w:righ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Dec</w:t>
            </w:r>
          </w:p>
        </w:tc>
        <w:tc>
          <w:tcPr>
            <w:tcW w:w="677" w:type="dxa"/>
            <w:tcBorders>
              <w:top w:val="nil"/>
              <w:left w:val="nil"/>
            </w:tcBorders>
            <w:shd w:val="solid" w:color="000000" w:fill="auto"/>
            <w:vAlign w:val="bottom"/>
          </w:tcPr>
          <w:p w:rsidR="00251C6B" w:rsidRPr="00F944DD" w:rsidRDefault="00251C6B"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Mar</w:t>
            </w:r>
          </w:p>
        </w:tc>
      </w:tr>
      <w:tr w:rsidR="00251C6B" w:rsidRPr="00F944DD" w:rsidTr="00E71752">
        <w:tc>
          <w:tcPr>
            <w:tcW w:w="7765" w:type="dxa"/>
            <w:gridSpan w:val="6"/>
            <w:tcBorders>
              <w:top w:val="nil"/>
            </w:tcBorders>
            <w:shd w:val="clear" w:color="auto" w:fill="FFFFFF"/>
          </w:tcPr>
          <w:p w:rsidR="00251C6B" w:rsidRPr="00F944DD" w:rsidRDefault="00251C6B" w:rsidP="00251C6B">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Revenue from transactions</w:t>
            </w:r>
          </w:p>
        </w:tc>
      </w:tr>
      <w:tr w:rsidR="002C39A3" w:rsidRPr="00F944DD" w:rsidTr="00361FA9">
        <w:tc>
          <w:tcPr>
            <w:tcW w:w="4252"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Taxation revenue</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5 476</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4 098</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5 061</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4 615</w:t>
            </w:r>
          </w:p>
        </w:tc>
        <w:tc>
          <w:tcPr>
            <w:tcW w:w="67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5 866</w:t>
            </w:r>
          </w:p>
        </w:tc>
      </w:tr>
      <w:tr w:rsidR="002C39A3" w:rsidRPr="00F944DD" w:rsidTr="00361FA9">
        <w:tc>
          <w:tcPr>
            <w:tcW w:w="4252"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Interest revenue</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203</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219</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203</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190</w:t>
            </w:r>
          </w:p>
        </w:tc>
        <w:tc>
          <w:tcPr>
            <w:tcW w:w="67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186</w:t>
            </w:r>
          </w:p>
        </w:tc>
      </w:tr>
      <w:tr w:rsidR="002C39A3" w:rsidRPr="00F944DD" w:rsidTr="00361FA9">
        <w:tc>
          <w:tcPr>
            <w:tcW w:w="4252"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Dividends and</w:t>
            </w:r>
            <w:r w:rsidR="00251C6B">
              <w:rPr>
                <w:rFonts w:ascii="Calibri" w:eastAsiaTheme="minorEastAsia" w:hAnsi="Calibri" w:cs="Calibri"/>
                <w:color w:val="000000"/>
                <w:sz w:val="19"/>
                <w:szCs w:val="19"/>
                <w:lang w:eastAsia="en-AU"/>
              </w:rPr>
              <w:t xml:space="preserve"> income tax equivalent and rate </w:t>
            </w:r>
            <w:r w:rsidRPr="00F944DD">
              <w:rPr>
                <w:rFonts w:ascii="Calibri" w:eastAsiaTheme="minorEastAsia" w:hAnsi="Calibri" w:cs="Calibri"/>
                <w:color w:val="000000"/>
                <w:sz w:val="19"/>
                <w:szCs w:val="19"/>
                <w:lang w:eastAsia="en-AU"/>
              </w:rPr>
              <w:t>equivalent revenue</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63</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383</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59</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392</w:t>
            </w:r>
          </w:p>
        </w:tc>
        <w:tc>
          <w:tcPr>
            <w:tcW w:w="67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108</w:t>
            </w:r>
          </w:p>
        </w:tc>
      </w:tr>
      <w:tr w:rsidR="002C39A3" w:rsidRPr="00F944DD" w:rsidTr="00361FA9">
        <w:tc>
          <w:tcPr>
            <w:tcW w:w="4252"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Sales of goods and services</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1 711</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1 439</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1 661</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1 671</w:t>
            </w:r>
          </w:p>
        </w:tc>
        <w:tc>
          <w:tcPr>
            <w:tcW w:w="67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1 461</w:t>
            </w:r>
          </w:p>
        </w:tc>
      </w:tr>
      <w:tr w:rsidR="002C39A3" w:rsidRPr="00F944DD" w:rsidTr="00361FA9">
        <w:tc>
          <w:tcPr>
            <w:tcW w:w="4252"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Grant revenue</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6 742</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6 039</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6 010</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6 291</w:t>
            </w:r>
          </w:p>
        </w:tc>
        <w:tc>
          <w:tcPr>
            <w:tcW w:w="67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6 878</w:t>
            </w:r>
          </w:p>
        </w:tc>
      </w:tr>
      <w:tr w:rsidR="002C39A3" w:rsidRPr="00F944DD" w:rsidTr="00361FA9">
        <w:tc>
          <w:tcPr>
            <w:tcW w:w="4252"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Other revenue</w:t>
            </w:r>
          </w:p>
        </w:tc>
        <w:tc>
          <w:tcPr>
            <w:tcW w:w="709"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496</w:t>
            </w:r>
          </w:p>
        </w:tc>
        <w:tc>
          <w:tcPr>
            <w:tcW w:w="709"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857</w:t>
            </w:r>
          </w:p>
        </w:tc>
        <w:tc>
          <w:tcPr>
            <w:tcW w:w="709"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564</w:t>
            </w:r>
          </w:p>
        </w:tc>
        <w:tc>
          <w:tcPr>
            <w:tcW w:w="709"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1 162</w:t>
            </w:r>
          </w:p>
        </w:tc>
        <w:tc>
          <w:tcPr>
            <w:tcW w:w="677"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489</w:t>
            </w:r>
          </w:p>
        </w:tc>
      </w:tr>
      <w:tr w:rsidR="002C39A3" w:rsidRPr="00F944DD" w:rsidTr="00361FA9">
        <w:tc>
          <w:tcPr>
            <w:tcW w:w="4252"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revenue from transactions</w:t>
            </w:r>
          </w:p>
        </w:tc>
        <w:tc>
          <w:tcPr>
            <w:tcW w:w="709"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14 692</w:t>
            </w:r>
          </w:p>
        </w:tc>
        <w:tc>
          <w:tcPr>
            <w:tcW w:w="709"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13 035</w:t>
            </w:r>
          </w:p>
        </w:tc>
        <w:tc>
          <w:tcPr>
            <w:tcW w:w="709"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13 559</w:t>
            </w:r>
          </w:p>
        </w:tc>
        <w:tc>
          <w:tcPr>
            <w:tcW w:w="709"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14 321</w:t>
            </w:r>
          </w:p>
        </w:tc>
        <w:tc>
          <w:tcPr>
            <w:tcW w:w="677"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14 989</w:t>
            </w:r>
          </w:p>
        </w:tc>
      </w:tr>
      <w:tr w:rsidR="00251C6B" w:rsidRPr="00F944DD" w:rsidTr="004A7F88">
        <w:tc>
          <w:tcPr>
            <w:tcW w:w="7765" w:type="dxa"/>
            <w:gridSpan w:val="6"/>
            <w:tcBorders>
              <w:top w:val="nil"/>
            </w:tcBorders>
            <w:shd w:val="clear" w:color="auto" w:fill="FFFFFF"/>
          </w:tcPr>
          <w:p w:rsidR="00251C6B" w:rsidRPr="00F944DD" w:rsidRDefault="00251C6B" w:rsidP="00251C6B">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Expenses from transactions</w:t>
            </w:r>
          </w:p>
        </w:tc>
      </w:tr>
      <w:tr w:rsidR="002C39A3" w:rsidRPr="00F944DD" w:rsidTr="00361FA9">
        <w:tc>
          <w:tcPr>
            <w:tcW w:w="4252"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Employee expenses</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4 628</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4 887</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4 768</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4 997</w:t>
            </w:r>
          </w:p>
        </w:tc>
        <w:tc>
          <w:tcPr>
            <w:tcW w:w="67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4 870</w:t>
            </w:r>
          </w:p>
        </w:tc>
      </w:tr>
      <w:tr w:rsidR="002C39A3" w:rsidRPr="00F944DD" w:rsidTr="00361FA9">
        <w:tc>
          <w:tcPr>
            <w:tcW w:w="4252"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Net superannuation interest expense</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250</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276</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223</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218</w:t>
            </w:r>
          </w:p>
        </w:tc>
        <w:tc>
          <w:tcPr>
            <w:tcW w:w="67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218</w:t>
            </w:r>
          </w:p>
        </w:tc>
      </w:tr>
      <w:tr w:rsidR="002C39A3" w:rsidRPr="00F944DD" w:rsidTr="00361FA9">
        <w:tc>
          <w:tcPr>
            <w:tcW w:w="4252"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Other superannuation</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483</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461</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554</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606</w:t>
            </w:r>
          </w:p>
        </w:tc>
        <w:tc>
          <w:tcPr>
            <w:tcW w:w="67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475</w:t>
            </w:r>
          </w:p>
        </w:tc>
      </w:tr>
      <w:tr w:rsidR="002C39A3" w:rsidRPr="00F944DD" w:rsidTr="00361FA9">
        <w:tc>
          <w:tcPr>
            <w:tcW w:w="4252"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Depreciation</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612</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616</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605</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595</w:t>
            </w:r>
          </w:p>
        </w:tc>
        <w:tc>
          <w:tcPr>
            <w:tcW w:w="67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606</w:t>
            </w:r>
          </w:p>
        </w:tc>
      </w:tr>
      <w:tr w:rsidR="002C39A3" w:rsidRPr="00F944DD" w:rsidTr="00361FA9">
        <w:tc>
          <w:tcPr>
            <w:tcW w:w="4252"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Interest expense</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511</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543</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513</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521</w:t>
            </w:r>
          </w:p>
        </w:tc>
        <w:tc>
          <w:tcPr>
            <w:tcW w:w="67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520</w:t>
            </w:r>
          </w:p>
        </w:tc>
      </w:tr>
      <w:tr w:rsidR="002C39A3" w:rsidRPr="00F944DD" w:rsidTr="00361FA9">
        <w:tc>
          <w:tcPr>
            <w:tcW w:w="4252"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Grant expense</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2 646</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1 753</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2 172</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2 143</w:t>
            </w:r>
          </w:p>
        </w:tc>
        <w:tc>
          <w:tcPr>
            <w:tcW w:w="67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2 672</w:t>
            </w:r>
          </w:p>
        </w:tc>
      </w:tr>
      <w:tr w:rsidR="002C39A3" w:rsidRPr="00F944DD" w:rsidTr="00361FA9">
        <w:tc>
          <w:tcPr>
            <w:tcW w:w="4252"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Other operating expenses</w:t>
            </w:r>
          </w:p>
        </w:tc>
        <w:tc>
          <w:tcPr>
            <w:tcW w:w="709"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4 154</w:t>
            </w:r>
          </w:p>
        </w:tc>
        <w:tc>
          <w:tcPr>
            <w:tcW w:w="709"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5 157</w:t>
            </w:r>
          </w:p>
        </w:tc>
        <w:tc>
          <w:tcPr>
            <w:tcW w:w="709"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4 204</w:t>
            </w:r>
          </w:p>
        </w:tc>
        <w:tc>
          <w:tcPr>
            <w:tcW w:w="709"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4 253</w:t>
            </w:r>
          </w:p>
        </w:tc>
        <w:tc>
          <w:tcPr>
            <w:tcW w:w="677"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3 899</w:t>
            </w:r>
          </w:p>
        </w:tc>
      </w:tr>
      <w:tr w:rsidR="002C39A3" w:rsidRPr="00F944DD" w:rsidTr="00361FA9">
        <w:tc>
          <w:tcPr>
            <w:tcW w:w="4252" w:type="dxa"/>
            <w:tcBorders>
              <w:top w:val="single" w:sz="6" w:space="0" w:color="000000"/>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Total expenses from transactions</w:t>
            </w:r>
          </w:p>
        </w:tc>
        <w:tc>
          <w:tcPr>
            <w:tcW w:w="709"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13 283</w:t>
            </w:r>
          </w:p>
        </w:tc>
        <w:tc>
          <w:tcPr>
            <w:tcW w:w="709"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13 693</w:t>
            </w:r>
          </w:p>
        </w:tc>
        <w:tc>
          <w:tcPr>
            <w:tcW w:w="709"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13 040</w:t>
            </w:r>
          </w:p>
        </w:tc>
        <w:tc>
          <w:tcPr>
            <w:tcW w:w="709"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13 333</w:t>
            </w:r>
          </w:p>
        </w:tc>
        <w:tc>
          <w:tcPr>
            <w:tcW w:w="677" w:type="dxa"/>
            <w:tcBorders>
              <w:top w:val="single" w:sz="6" w:space="0" w:color="000000"/>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13 260</w:t>
            </w:r>
          </w:p>
        </w:tc>
      </w:tr>
      <w:tr w:rsidR="002C39A3" w:rsidRPr="00F944DD" w:rsidTr="00361FA9">
        <w:tc>
          <w:tcPr>
            <w:tcW w:w="4252" w:type="dxa"/>
            <w:tcBorders>
              <w:top w:val="single" w:sz="6" w:space="0" w:color="000000"/>
              <w:bottom w:val="single" w:sz="12" w:space="0" w:color="000000"/>
              <w:right w:val="nil"/>
            </w:tcBorders>
            <w:shd w:val="clear" w:color="auto" w:fill="FFFFFF"/>
          </w:tcPr>
          <w:p w:rsidR="002C39A3" w:rsidRPr="00F944DD" w:rsidRDefault="002C39A3" w:rsidP="00251C6B">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Net result from transactions </w:t>
            </w:r>
            <w:r w:rsidR="00251C6B">
              <w:rPr>
                <w:rFonts w:ascii="Calibri" w:eastAsiaTheme="minorEastAsia" w:hAnsi="Calibri" w:cs="Calibri"/>
                <w:b/>
                <w:bCs/>
                <w:color w:val="000000"/>
                <w:sz w:val="19"/>
                <w:szCs w:val="19"/>
                <w:lang w:eastAsia="en-AU"/>
              </w:rPr>
              <w:t>–</w:t>
            </w:r>
            <w:r w:rsidRPr="00F944DD">
              <w:rPr>
                <w:rFonts w:ascii="Calibri" w:eastAsiaTheme="minorEastAsia" w:hAnsi="Calibri" w:cs="Calibri"/>
                <w:b/>
                <w:bCs/>
                <w:color w:val="000000"/>
                <w:sz w:val="19"/>
                <w:szCs w:val="19"/>
                <w:lang w:eastAsia="en-AU"/>
              </w:rPr>
              <w:t xml:space="preserve"> net operating balance</w:t>
            </w:r>
          </w:p>
        </w:tc>
        <w:tc>
          <w:tcPr>
            <w:tcW w:w="709"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1 409</w:t>
            </w:r>
          </w:p>
        </w:tc>
        <w:tc>
          <w:tcPr>
            <w:tcW w:w="709"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(658)</w:t>
            </w:r>
          </w:p>
        </w:tc>
        <w:tc>
          <w:tcPr>
            <w:tcW w:w="709"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519</w:t>
            </w:r>
          </w:p>
        </w:tc>
        <w:tc>
          <w:tcPr>
            <w:tcW w:w="709"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988</w:t>
            </w:r>
          </w:p>
        </w:tc>
        <w:tc>
          <w:tcPr>
            <w:tcW w:w="677" w:type="dxa"/>
            <w:tcBorders>
              <w:top w:val="single" w:sz="6" w:space="0" w:color="000000"/>
              <w:left w:val="nil"/>
              <w:bottom w:val="single" w:sz="12"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1 729</w:t>
            </w:r>
          </w:p>
        </w:tc>
      </w:tr>
      <w:tr w:rsidR="00251C6B" w:rsidRPr="00F944DD" w:rsidTr="00471957">
        <w:tc>
          <w:tcPr>
            <w:tcW w:w="7765" w:type="dxa"/>
            <w:gridSpan w:val="6"/>
            <w:tcBorders>
              <w:top w:val="single" w:sz="12" w:space="0" w:color="000000"/>
            </w:tcBorders>
            <w:shd w:val="clear" w:color="auto" w:fill="FFFFFF"/>
          </w:tcPr>
          <w:p w:rsidR="00251C6B" w:rsidRPr="00F944DD" w:rsidRDefault="00251C6B" w:rsidP="00251C6B">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Other economic flows included in net result</w:t>
            </w:r>
          </w:p>
        </w:tc>
      </w:tr>
      <w:tr w:rsidR="002C39A3" w:rsidRPr="00F944DD" w:rsidTr="00361FA9">
        <w:tc>
          <w:tcPr>
            <w:tcW w:w="4252"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Net gain/(loss) on disposal of non-financial assets</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21</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(15)</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(13)</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24</w:t>
            </w:r>
          </w:p>
        </w:tc>
        <w:tc>
          <w:tcPr>
            <w:tcW w:w="67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(14)</w:t>
            </w:r>
          </w:p>
        </w:tc>
      </w:tr>
      <w:tr w:rsidR="002C39A3" w:rsidRPr="00F944DD" w:rsidTr="00361FA9">
        <w:tc>
          <w:tcPr>
            <w:tcW w:w="4252"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Net gain/(loss) on financia</w:t>
            </w:r>
            <w:r w:rsidR="00251C6B">
              <w:rPr>
                <w:rFonts w:ascii="Calibri" w:eastAsiaTheme="minorEastAsia" w:hAnsi="Calibri" w:cs="Calibri"/>
                <w:color w:val="000000"/>
                <w:sz w:val="19"/>
                <w:szCs w:val="19"/>
                <w:lang w:eastAsia="en-AU"/>
              </w:rPr>
              <w:t>l assets or liabilities at fair </w:t>
            </w:r>
            <w:r w:rsidRPr="00F944DD">
              <w:rPr>
                <w:rFonts w:ascii="Calibri" w:eastAsiaTheme="minorEastAsia" w:hAnsi="Calibri" w:cs="Calibri"/>
                <w:color w:val="000000"/>
                <w:sz w:val="19"/>
                <w:szCs w:val="19"/>
                <w:lang w:eastAsia="en-AU"/>
              </w:rPr>
              <w:t>value</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46</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(28)</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(29)</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9</w:t>
            </w:r>
          </w:p>
        </w:tc>
        <w:tc>
          <w:tcPr>
            <w:tcW w:w="67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(11)</w:t>
            </w:r>
          </w:p>
        </w:tc>
      </w:tr>
      <w:tr w:rsidR="002C39A3" w:rsidRPr="00F944DD" w:rsidTr="00361FA9">
        <w:tc>
          <w:tcPr>
            <w:tcW w:w="4252" w:type="dxa"/>
            <w:tcBorders>
              <w:top w:val="nil"/>
              <w:right w:val="nil"/>
            </w:tcBorders>
            <w:shd w:val="clear" w:color="auto" w:fill="FFFFFF"/>
          </w:tcPr>
          <w:p w:rsidR="002C39A3" w:rsidRPr="00F944DD" w:rsidRDefault="002C39A3" w:rsidP="002D387D">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Share of net profit/(loss) from associates/</w:t>
            </w:r>
            <w:r w:rsidR="002D387D">
              <w:rPr>
                <w:rFonts w:ascii="Calibri" w:eastAsiaTheme="minorEastAsia" w:hAnsi="Calibri" w:cs="Calibri"/>
                <w:color w:val="000000"/>
                <w:sz w:val="19"/>
                <w:szCs w:val="19"/>
                <w:lang w:eastAsia="en-AU"/>
              </w:rPr>
              <w:t xml:space="preserve"> </w:t>
            </w:r>
            <w:r w:rsidRPr="00F944DD">
              <w:rPr>
                <w:rFonts w:ascii="Calibri" w:eastAsiaTheme="minorEastAsia" w:hAnsi="Calibri" w:cs="Calibri"/>
                <w:color w:val="000000"/>
                <w:sz w:val="19"/>
                <w:szCs w:val="19"/>
                <w:lang w:eastAsia="en-AU"/>
              </w:rPr>
              <w:t>joint</w:t>
            </w:r>
            <w:r w:rsidR="002D387D">
              <w:rPr>
                <w:rFonts w:ascii="Calibri" w:eastAsiaTheme="minorEastAsia" w:hAnsi="Calibri" w:cs="Calibri"/>
                <w:color w:val="000000"/>
                <w:sz w:val="19"/>
                <w:szCs w:val="19"/>
                <w:lang w:eastAsia="en-AU"/>
              </w:rPr>
              <w:t> </w:t>
            </w:r>
            <w:r w:rsidRPr="00F944DD">
              <w:rPr>
                <w:rFonts w:ascii="Calibri" w:eastAsiaTheme="minorEastAsia" w:hAnsi="Calibri" w:cs="Calibri"/>
                <w:color w:val="000000"/>
                <w:sz w:val="19"/>
                <w:szCs w:val="19"/>
                <w:lang w:eastAsia="en-AU"/>
              </w:rPr>
              <w:t>venture entities</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w:t>
            </w:r>
          </w:p>
        </w:tc>
        <w:tc>
          <w:tcPr>
            <w:tcW w:w="67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w:t>
            </w:r>
          </w:p>
        </w:tc>
      </w:tr>
      <w:tr w:rsidR="002C39A3" w:rsidRPr="00F944DD" w:rsidTr="00361FA9">
        <w:tc>
          <w:tcPr>
            <w:tcW w:w="4252"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Other gains/(losses) from other economic flows</w:t>
            </w:r>
          </w:p>
        </w:tc>
        <w:tc>
          <w:tcPr>
            <w:tcW w:w="709"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(162)</w:t>
            </w:r>
          </w:p>
        </w:tc>
        <w:tc>
          <w:tcPr>
            <w:tcW w:w="709"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(53)</w:t>
            </w:r>
          </w:p>
        </w:tc>
        <w:tc>
          <w:tcPr>
            <w:tcW w:w="709"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(124)</w:t>
            </w:r>
          </w:p>
        </w:tc>
        <w:tc>
          <w:tcPr>
            <w:tcW w:w="709"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(136)</w:t>
            </w:r>
          </w:p>
        </w:tc>
        <w:tc>
          <w:tcPr>
            <w:tcW w:w="677"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(125)</w:t>
            </w:r>
          </w:p>
        </w:tc>
      </w:tr>
      <w:tr w:rsidR="002C39A3" w:rsidRPr="00F944DD" w:rsidTr="00361FA9">
        <w:tc>
          <w:tcPr>
            <w:tcW w:w="4252" w:type="dxa"/>
            <w:tcBorders>
              <w:top w:val="single" w:sz="6" w:space="0" w:color="000000"/>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Total other economic flows included in net result </w:t>
            </w:r>
          </w:p>
        </w:tc>
        <w:tc>
          <w:tcPr>
            <w:tcW w:w="709"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(94)</w:t>
            </w:r>
          </w:p>
        </w:tc>
        <w:tc>
          <w:tcPr>
            <w:tcW w:w="709"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(99)</w:t>
            </w:r>
          </w:p>
        </w:tc>
        <w:tc>
          <w:tcPr>
            <w:tcW w:w="709"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(166)</w:t>
            </w:r>
          </w:p>
        </w:tc>
        <w:tc>
          <w:tcPr>
            <w:tcW w:w="709"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(101)</w:t>
            </w:r>
          </w:p>
        </w:tc>
        <w:tc>
          <w:tcPr>
            <w:tcW w:w="677" w:type="dxa"/>
            <w:tcBorders>
              <w:top w:val="single" w:sz="6" w:space="0" w:color="000000"/>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(150)</w:t>
            </w:r>
          </w:p>
        </w:tc>
      </w:tr>
      <w:tr w:rsidR="002C39A3" w:rsidRPr="00F944DD" w:rsidTr="00361FA9">
        <w:tc>
          <w:tcPr>
            <w:tcW w:w="4252" w:type="dxa"/>
            <w:tcBorders>
              <w:top w:val="single" w:sz="6" w:space="0" w:color="000000"/>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Net result</w:t>
            </w:r>
          </w:p>
        </w:tc>
        <w:tc>
          <w:tcPr>
            <w:tcW w:w="709"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1 315</w:t>
            </w:r>
          </w:p>
        </w:tc>
        <w:tc>
          <w:tcPr>
            <w:tcW w:w="709"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(757)</w:t>
            </w:r>
          </w:p>
        </w:tc>
        <w:tc>
          <w:tcPr>
            <w:tcW w:w="709"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353</w:t>
            </w:r>
          </w:p>
        </w:tc>
        <w:tc>
          <w:tcPr>
            <w:tcW w:w="709"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887</w:t>
            </w:r>
          </w:p>
        </w:tc>
        <w:tc>
          <w:tcPr>
            <w:tcW w:w="677" w:type="dxa"/>
            <w:tcBorders>
              <w:top w:val="single" w:sz="6" w:space="0" w:color="000000"/>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1 579</w:t>
            </w:r>
          </w:p>
        </w:tc>
      </w:tr>
      <w:tr w:rsidR="00251C6B" w:rsidRPr="00F944DD" w:rsidTr="00923DE3">
        <w:tc>
          <w:tcPr>
            <w:tcW w:w="7765" w:type="dxa"/>
            <w:gridSpan w:val="6"/>
            <w:tcBorders>
              <w:top w:val="single" w:sz="6" w:space="0" w:color="000000"/>
            </w:tcBorders>
            <w:shd w:val="clear" w:color="auto" w:fill="FFFFFF"/>
          </w:tcPr>
          <w:p w:rsidR="00251C6B" w:rsidRPr="00F944DD" w:rsidRDefault="00251C6B" w:rsidP="00251C6B">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Other economic flows – other comprehensive income</w:t>
            </w:r>
          </w:p>
        </w:tc>
      </w:tr>
      <w:tr w:rsidR="00251C6B" w:rsidRPr="00F944DD" w:rsidTr="009B0EF0">
        <w:tc>
          <w:tcPr>
            <w:tcW w:w="7765" w:type="dxa"/>
            <w:gridSpan w:val="6"/>
            <w:tcBorders>
              <w:top w:val="nil"/>
            </w:tcBorders>
            <w:shd w:val="clear" w:color="auto" w:fill="FFFFFF"/>
          </w:tcPr>
          <w:p w:rsidR="00251C6B" w:rsidRPr="00F944DD" w:rsidRDefault="00251C6B" w:rsidP="00251C6B">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Items that will not be reclassified to net result </w:t>
            </w:r>
          </w:p>
        </w:tc>
      </w:tr>
      <w:tr w:rsidR="002C39A3" w:rsidRPr="00F944DD" w:rsidTr="00361FA9">
        <w:tc>
          <w:tcPr>
            <w:tcW w:w="4252"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Changes in non-financial assets revaluation surplus</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(135)</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2 601</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32</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(24)</w:t>
            </w:r>
          </w:p>
        </w:tc>
        <w:tc>
          <w:tcPr>
            <w:tcW w:w="67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(30)</w:t>
            </w:r>
          </w:p>
        </w:tc>
      </w:tr>
      <w:tr w:rsidR="002C39A3" w:rsidRPr="00F944DD" w:rsidTr="00361FA9">
        <w:tc>
          <w:tcPr>
            <w:tcW w:w="4252"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 xml:space="preserve">Remeasurement of </w:t>
            </w:r>
            <w:r w:rsidR="002D387D">
              <w:rPr>
                <w:rFonts w:ascii="Calibri" w:eastAsiaTheme="minorEastAsia" w:hAnsi="Calibri" w:cs="Calibri"/>
                <w:color w:val="000000"/>
                <w:sz w:val="19"/>
                <w:szCs w:val="19"/>
                <w:lang w:eastAsia="en-AU"/>
              </w:rPr>
              <w:t>superannuation defined benefits </w:t>
            </w:r>
            <w:r w:rsidRPr="00F944DD">
              <w:rPr>
                <w:rFonts w:ascii="Calibri" w:eastAsiaTheme="minorEastAsia" w:hAnsi="Calibri" w:cs="Calibri"/>
                <w:color w:val="000000"/>
                <w:sz w:val="19"/>
                <w:szCs w:val="19"/>
                <w:lang w:eastAsia="en-AU"/>
              </w:rPr>
              <w:t>plans</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(1 971)</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4 987</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(1 934)</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1 230</w:t>
            </w:r>
          </w:p>
        </w:tc>
        <w:tc>
          <w:tcPr>
            <w:tcW w:w="67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(1 274)</w:t>
            </w:r>
          </w:p>
        </w:tc>
      </w:tr>
      <w:tr w:rsidR="002C39A3" w:rsidRPr="00F944DD" w:rsidTr="00361FA9">
        <w:tc>
          <w:tcPr>
            <w:tcW w:w="4252"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Other movements in equity</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(622)</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456</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13</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(38)</w:t>
            </w:r>
          </w:p>
        </w:tc>
        <w:tc>
          <w:tcPr>
            <w:tcW w:w="67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34</w:t>
            </w:r>
          </w:p>
        </w:tc>
      </w:tr>
      <w:tr w:rsidR="00251C6B" w:rsidRPr="00F944DD" w:rsidTr="00CF0645">
        <w:tc>
          <w:tcPr>
            <w:tcW w:w="7765" w:type="dxa"/>
            <w:gridSpan w:val="6"/>
            <w:tcBorders>
              <w:top w:val="nil"/>
            </w:tcBorders>
            <w:shd w:val="clear" w:color="auto" w:fill="FFFFFF"/>
          </w:tcPr>
          <w:p w:rsidR="00251C6B" w:rsidRPr="00F944DD" w:rsidRDefault="00251C6B" w:rsidP="00251C6B">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Items that may be reclassified subsequently to net result</w:t>
            </w:r>
          </w:p>
        </w:tc>
      </w:tr>
      <w:tr w:rsidR="002C39A3" w:rsidRPr="00F944DD" w:rsidTr="00361FA9">
        <w:tc>
          <w:tcPr>
            <w:tcW w:w="4252"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Net gain/(loss) on financial assets at fair value</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(12)</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(23)</w:t>
            </w:r>
          </w:p>
        </w:tc>
        <w:tc>
          <w:tcPr>
            <w:tcW w:w="67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(27)</w:t>
            </w:r>
          </w:p>
        </w:tc>
      </w:tr>
      <w:tr w:rsidR="002C39A3" w:rsidRPr="00F944DD" w:rsidTr="00361FA9">
        <w:tc>
          <w:tcPr>
            <w:tcW w:w="4252"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Net gain/(loss) on equity investments in other sector entities at proportional share of the carrying amount of net assets</w:t>
            </w:r>
          </w:p>
        </w:tc>
        <w:tc>
          <w:tcPr>
            <w:tcW w:w="709"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w:t>
            </w:r>
          </w:p>
        </w:tc>
        <w:tc>
          <w:tcPr>
            <w:tcW w:w="709"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4 223</w:t>
            </w:r>
          </w:p>
        </w:tc>
        <w:tc>
          <w:tcPr>
            <w:tcW w:w="709"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w:t>
            </w:r>
          </w:p>
        </w:tc>
        <w:tc>
          <w:tcPr>
            <w:tcW w:w="709"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(246)</w:t>
            </w:r>
          </w:p>
        </w:tc>
        <w:tc>
          <w:tcPr>
            <w:tcW w:w="677"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w:t>
            </w:r>
          </w:p>
        </w:tc>
      </w:tr>
      <w:tr w:rsidR="002C39A3" w:rsidRPr="00F944DD" w:rsidTr="00361FA9">
        <w:tc>
          <w:tcPr>
            <w:tcW w:w="4252" w:type="dxa"/>
            <w:tcBorders>
              <w:top w:val="single" w:sz="6" w:space="0" w:color="000000"/>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 xml:space="preserve">Total other economic flows – </w:t>
            </w:r>
            <w:r w:rsidR="002D387D">
              <w:rPr>
                <w:rFonts w:ascii="Calibri" w:eastAsiaTheme="minorEastAsia" w:hAnsi="Calibri" w:cs="Calibri"/>
                <w:b/>
                <w:bCs/>
                <w:color w:val="000000"/>
                <w:sz w:val="19"/>
                <w:szCs w:val="19"/>
                <w:lang w:eastAsia="en-AU"/>
              </w:rPr>
              <w:br/>
            </w:r>
            <w:r w:rsidRPr="00F944DD">
              <w:rPr>
                <w:rFonts w:ascii="Calibri" w:eastAsiaTheme="minorEastAsia" w:hAnsi="Calibri" w:cs="Calibri"/>
                <w:b/>
                <w:bCs/>
                <w:color w:val="000000"/>
                <w:sz w:val="19"/>
                <w:szCs w:val="19"/>
                <w:lang w:eastAsia="en-AU"/>
              </w:rPr>
              <w:t>other comprehensive income</w:t>
            </w:r>
          </w:p>
        </w:tc>
        <w:tc>
          <w:tcPr>
            <w:tcW w:w="709"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(2 740)</w:t>
            </w:r>
          </w:p>
        </w:tc>
        <w:tc>
          <w:tcPr>
            <w:tcW w:w="709"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12 269</w:t>
            </w:r>
          </w:p>
        </w:tc>
        <w:tc>
          <w:tcPr>
            <w:tcW w:w="709"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(1 892)</w:t>
            </w:r>
          </w:p>
        </w:tc>
        <w:tc>
          <w:tcPr>
            <w:tcW w:w="709"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898</w:t>
            </w:r>
          </w:p>
        </w:tc>
        <w:tc>
          <w:tcPr>
            <w:tcW w:w="677" w:type="dxa"/>
            <w:tcBorders>
              <w:top w:val="single" w:sz="6" w:space="0" w:color="000000"/>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(1 297)</w:t>
            </w:r>
          </w:p>
        </w:tc>
      </w:tr>
      <w:tr w:rsidR="002C39A3" w:rsidRPr="00F944DD" w:rsidTr="00361FA9">
        <w:tc>
          <w:tcPr>
            <w:tcW w:w="4252" w:type="dxa"/>
            <w:tcBorders>
              <w:top w:val="single" w:sz="6" w:space="0" w:color="000000"/>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Comprehensive result – total change in net worth</w:t>
            </w:r>
          </w:p>
        </w:tc>
        <w:tc>
          <w:tcPr>
            <w:tcW w:w="709"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(1 426)</w:t>
            </w:r>
          </w:p>
        </w:tc>
        <w:tc>
          <w:tcPr>
            <w:tcW w:w="709"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11 512</w:t>
            </w:r>
          </w:p>
        </w:tc>
        <w:tc>
          <w:tcPr>
            <w:tcW w:w="709"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(1 539)</w:t>
            </w:r>
          </w:p>
        </w:tc>
        <w:tc>
          <w:tcPr>
            <w:tcW w:w="709"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1 785</w:t>
            </w:r>
          </w:p>
        </w:tc>
        <w:tc>
          <w:tcPr>
            <w:tcW w:w="677" w:type="dxa"/>
            <w:tcBorders>
              <w:top w:val="single" w:sz="6" w:space="0" w:color="000000"/>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282</w:t>
            </w:r>
          </w:p>
        </w:tc>
      </w:tr>
    </w:tbl>
    <w:p w:rsidR="002C39A3" w:rsidRDefault="002C39A3" w:rsidP="00361FA9">
      <w:pPr>
        <w:pStyle w:val="Tableheadingcontinued"/>
      </w:pPr>
      <w:r>
        <w:t>Table B.5:</w:t>
      </w:r>
      <w:r>
        <w:tab/>
        <w:t xml:space="preserve">Operating statement for the past five quarters </w:t>
      </w:r>
      <w:r w:rsidRPr="00D417D0">
        <w:rPr>
          <w:i/>
        </w:rPr>
        <w:t>(continued)</w:t>
      </w:r>
    </w:p>
    <w:p w:rsidR="002C39A3" w:rsidRDefault="002C39A3" w:rsidP="00361FA9">
      <w:pPr>
        <w:pStyle w:val="million"/>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4252"/>
        <w:gridCol w:w="709"/>
        <w:gridCol w:w="709"/>
        <w:gridCol w:w="709"/>
        <w:gridCol w:w="709"/>
        <w:gridCol w:w="677"/>
      </w:tblGrid>
      <w:tr w:rsidR="002D387D" w:rsidRPr="00F944DD" w:rsidTr="00713955">
        <w:trPr>
          <w:tblHeader/>
        </w:trPr>
        <w:tc>
          <w:tcPr>
            <w:tcW w:w="4252" w:type="dxa"/>
            <w:vMerge w:val="restart"/>
            <w:tcBorders>
              <w:right w:val="nil"/>
            </w:tcBorders>
            <w:shd w:val="solid" w:color="000000" w:fill="auto"/>
            <w:vAlign w:val="bottom"/>
          </w:tcPr>
          <w:p w:rsidR="002D387D" w:rsidRPr="00F944DD" w:rsidRDefault="002D387D" w:rsidP="00361FA9">
            <w:pPr>
              <w:autoSpaceDE w:val="0"/>
              <w:autoSpaceDN w:val="0"/>
              <w:adjustRightInd w:val="0"/>
              <w:spacing w:after="0"/>
              <w:rPr>
                <w:rFonts w:eastAsiaTheme="minorEastAsia" w:cs="Calibri"/>
                <w:iCs/>
                <w:color w:val="FFFFFF"/>
                <w:sz w:val="19"/>
                <w:szCs w:val="19"/>
                <w:lang w:eastAsia="en-AU"/>
              </w:rPr>
            </w:pPr>
          </w:p>
        </w:tc>
        <w:tc>
          <w:tcPr>
            <w:tcW w:w="1418" w:type="dxa"/>
            <w:gridSpan w:val="2"/>
            <w:tcBorders>
              <w:left w:val="nil"/>
              <w:bottom w:val="nil"/>
              <w:right w:val="nil"/>
            </w:tcBorders>
            <w:shd w:val="solid" w:color="000000" w:fill="auto"/>
            <w:vAlign w:val="bottom"/>
          </w:tcPr>
          <w:p w:rsidR="002D387D" w:rsidRPr="00F944DD" w:rsidRDefault="002D387D" w:rsidP="002D387D">
            <w:pPr>
              <w:autoSpaceDE w:val="0"/>
              <w:autoSpaceDN w:val="0"/>
              <w:adjustRightInd w:val="0"/>
              <w:spacing w:after="0"/>
              <w:jc w:val="center"/>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2014-15</w:t>
            </w:r>
          </w:p>
        </w:tc>
        <w:tc>
          <w:tcPr>
            <w:tcW w:w="2095" w:type="dxa"/>
            <w:gridSpan w:val="3"/>
            <w:tcBorders>
              <w:left w:val="nil"/>
              <w:bottom w:val="nil"/>
            </w:tcBorders>
            <w:shd w:val="solid" w:color="000000" w:fill="auto"/>
            <w:vAlign w:val="bottom"/>
          </w:tcPr>
          <w:p w:rsidR="002D387D" w:rsidRPr="00F944DD" w:rsidRDefault="002D387D" w:rsidP="002D387D">
            <w:pPr>
              <w:autoSpaceDE w:val="0"/>
              <w:autoSpaceDN w:val="0"/>
              <w:adjustRightInd w:val="0"/>
              <w:spacing w:after="0"/>
              <w:jc w:val="center"/>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2015-16</w:t>
            </w:r>
          </w:p>
        </w:tc>
      </w:tr>
      <w:tr w:rsidR="002D387D" w:rsidRPr="00F944DD" w:rsidTr="003A4367">
        <w:trPr>
          <w:tblHeader/>
        </w:trPr>
        <w:tc>
          <w:tcPr>
            <w:tcW w:w="4252" w:type="dxa"/>
            <w:vMerge/>
            <w:tcBorders>
              <w:right w:val="nil"/>
            </w:tcBorders>
            <w:shd w:val="solid" w:color="000000" w:fill="auto"/>
            <w:vAlign w:val="bottom"/>
          </w:tcPr>
          <w:p w:rsidR="002D387D" w:rsidRPr="00F944DD" w:rsidRDefault="002D387D" w:rsidP="00361FA9">
            <w:pPr>
              <w:autoSpaceDE w:val="0"/>
              <w:autoSpaceDN w:val="0"/>
              <w:adjustRightInd w:val="0"/>
              <w:spacing w:after="0"/>
              <w:rPr>
                <w:rFonts w:ascii="Calibri" w:eastAsiaTheme="minorEastAsia" w:hAnsi="Calibri" w:cs="Calibri"/>
                <w:i/>
                <w:iCs/>
                <w:color w:val="FFFFFF"/>
                <w:sz w:val="19"/>
                <w:szCs w:val="19"/>
                <w:lang w:eastAsia="en-AU"/>
              </w:rPr>
            </w:pPr>
          </w:p>
        </w:tc>
        <w:tc>
          <w:tcPr>
            <w:tcW w:w="709" w:type="dxa"/>
            <w:tcBorders>
              <w:top w:val="nil"/>
              <w:left w:val="nil"/>
              <w:right w:val="nil"/>
            </w:tcBorders>
            <w:shd w:val="solid" w:color="000000" w:fill="auto"/>
            <w:vAlign w:val="bottom"/>
          </w:tcPr>
          <w:p w:rsidR="002D387D" w:rsidRPr="00F944DD" w:rsidRDefault="002D387D"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Mar</w:t>
            </w:r>
          </w:p>
        </w:tc>
        <w:tc>
          <w:tcPr>
            <w:tcW w:w="709" w:type="dxa"/>
            <w:tcBorders>
              <w:top w:val="nil"/>
              <w:left w:val="nil"/>
              <w:right w:val="nil"/>
            </w:tcBorders>
            <w:shd w:val="solid" w:color="000000" w:fill="auto"/>
            <w:vAlign w:val="bottom"/>
          </w:tcPr>
          <w:p w:rsidR="002D387D" w:rsidRPr="00F944DD" w:rsidRDefault="002D387D"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 xml:space="preserve">Jun </w:t>
            </w:r>
          </w:p>
        </w:tc>
        <w:tc>
          <w:tcPr>
            <w:tcW w:w="709" w:type="dxa"/>
            <w:tcBorders>
              <w:top w:val="nil"/>
              <w:left w:val="nil"/>
              <w:right w:val="nil"/>
            </w:tcBorders>
            <w:shd w:val="solid" w:color="000000" w:fill="auto"/>
            <w:vAlign w:val="bottom"/>
          </w:tcPr>
          <w:p w:rsidR="002D387D" w:rsidRPr="00F944DD" w:rsidRDefault="002D387D"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Sep</w:t>
            </w:r>
          </w:p>
        </w:tc>
        <w:tc>
          <w:tcPr>
            <w:tcW w:w="709" w:type="dxa"/>
            <w:tcBorders>
              <w:top w:val="nil"/>
              <w:left w:val="nil"/>
              <w:right w:val="nil"/>
            </w:tcBorders>
            <w:shd w:val="solid" w:color="000000" w:fill="auto"/>
            <w:vAlign w:val="bottom"/>
          </w:tcPr>
          <w:p w:rsidR="002D387D" w:rsidRPr="00F944DD" w:rsidRDefault="002D387D"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Dec</w:t>
            </w:r>
          </w:p>
        </w:tc>
        <w:tc>
          <w:tcPr>
            <w:tcW w:w="677" w:type="dxa"/>
            <w:tcBorders>
              <w:top w:val="nil"/>
              <w:left w:val="nil"/>
            </w:tcBorders>
            <w:shd w:val="solid" w:color="000000" w:fill="auto"/>
            <w:vAlign w:val="bottom"/>
          </w:tcPr>
          <w:p w:rsidR="002D387D" w:rsidRPr="00F944DD" w:rsidRDefault="002D387D" w:rsidP="00361FA9">
            <w:pPr>
              <w:autoSpaceDE w:val="0"/>
              <w:autoSpaceDN w:val="0"/>
              <w:adjustRightInd w:val="0"/>
              <w:spacing w:after="0"/>
              <w:jc w:val="right"/>
              <w:rPr>
                <w:rFonts w:ascii="Calibri" w:eastAsiaTheme="minorEastAsia" w:hAnsi="Calibri" w:cs="Calibri"/>
                <w:i/>
                <w:iCs/>
                <w:color w:val="FFFFFF"/>
                <w:sz w:val="19"/>
                <w:szCs w:val="19"/>
                <w:lang w:eastAsia="en-AU"/>
              </w:rPr>
            </w:pPr>
            <w:r w:rsidRPr="00F944DD">
              <w:rPr>
                <w:rFonts w:ascii="Calibri" w:eastAsiaTheme="minorEastAsia" w:hAnsi="Calibri" w:cs="Calibri"/>
                <w:i/>
                <w:iCs/>
                <w:color w:val="FFFFFF"/>
                <w:sz w:val="19"/>
                <w:szCs w:val="19"/>
                <w:lang w:eastAsia="en-AU"/>
              </w:rPr>
              <w:t>Mar</w:t>
            </w:r>
          </w:p>
        </w:tc>
      </w:tr>
      <w:tr w:rsidR="002D387D" w:rsidRPr="00F944DD" w:rsidTr="008040F1">
        <w:tc>
          <w:tcPr>
            <w:tcW w:w="7765" w:type="dxa"/>
            <w:gridSpan w:val="6"/>
            <w:tcBorders>
              <w:top w:val="nil"/>
            </w:tcBorders>
            <w:shd w:val="clear" w:color="auto" w:fill="FFFFFF"/>
          </w:tcPr>
          <w:p w:rsidR="002D387D" w:rsidRPr="00F944DD" w:rsidRDefault="002D387D" w:rsidP="002D387D">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KEY FISCAL AGGREGATES</w:t>
            </w:r>
          </w:p>
        </w:tc>
      </w:tr>
      <w:tr w:rsidR="002C39A3" w:rsidRPr="00F944DD" w:rsidTr="00361FA9">
        <w:tc>
          <w:tcPr>
            <w:tcW w:w="4252"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Net operating balance</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1 409</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(658)</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519</w:t>
            </w:r>
          </w:p>
        </w:tc>
        <w:tc>
          <w:tcPr>
            <w:tcW w:w="709"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988</w:t>
            </w:r>
          </w:p>
        </w:tc>
        <w:tc>
          <w:tcPr>
            <w:tcW w:w="67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1 729</w:t>
            </w:r>
          </w:p>
        </w:tc>
      </w:tr>
      <w:tr w:rsidR="002C39A3" w:rsidRPr="00F944DD" w:rsidTr="00361FA9">
        <w:tc>
          <w:tcPr>
            <w:tcW w:w="4252"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9"/>
                <w:szCs w:val="19"/>
                <w:vertAlign w:val="superscript"/>
                <w:lang w:eastAsia="en-AU"/>
              </w:rPr>
            </w:pPr>
            <w:r w:rsidRPr="00F944DD">
              <w:rPr>
                <w:rFonts w:ascii="Calibri" w:eastAsiaTheme="minorEastAsia" w:hAnsi="Calibri" w:cs="Calibri"/>
                <w:color w:val="000000"/>
                <w:sz w:val="19"/>
                <w:szCs w:val="19"/>
                <w:lang w:eastAsia="en-AU"/>
              </w:rPr>
              <w:t xml:space="preserve">Less: Net acquisition of non-financial assets from transactions </w:t>
            </w:r>
            <w:r w:rsidRPr="00F944DD">
              <w:rPr>
                <w:rFonts w:ascii="Calibri" w:eastAsiaTheme="minorEastAsia" w:hAnsi="Calibri" w:cs="Calibri"/>
                <w:color w:val="000000"/>
                <w:sz w:val="19"/>
                <w:szCs w:val="19"/>
                <w:vertAlign w:val="superscript"/>
                <w:lang w:eastAsia="en-AU"/>
              </w:rPr>
              <w:t>(a)</w:t>
            </w:r>
          </w:p>
        </w:tc>
        <w:tc>
          <w:tcPr>
            <w:tcW w:w="709"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(513)</w:t>
            </w:r>
          </w:p>
        </w:tc>
        <w:tc>
          <w:tcPr>
            <w:tcW w:w="709"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339</w:t>
            </w:r>
          </w:p>
        </w:tc>
        <w:tc>
          <w:tcPr>
            <w:tcW w:w="709"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82</w:t>
            </w:r>
          </w:p>
        </w:tc>
        <w:tc>
          <w:tcPr>
            <w:tcW w:w="709"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280</w:t>
            </w:r>
          </w:p>
        </w:tc>
        <w:tc>
          <w:tcPr>
            <w:tcW w:w="677"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9"/>
                <w:szCs w:val="19"/>
                <w:lang w:eastAsia="en-AU"/>
              </w:rPr>
            </w:pPr>
            <w:r w:rsidRPr="00F944DD">
              <w:rPr>
                <w:rFonts w:ascii="Calibri" w:eastAsiaTheme="minorEastAsia" w:hAnsi="Calibri" w:cs="Calibri"/>
                <w:color w:val="000000"/>
                <w:sz w:val="19"/>
                <w:szCs w:val="19"/>
                <w:lang w:eastAsia="en-AU"/>
              </w:rPr>
              <w:t>189</w:t>
            </w:r>
          </w:p>
        </w:tc>
      </w:tr>
      <w:tr w:rsidR="002C39A3" w:rsidRPr="00F944DD" w:rsidTr="00361FA9">
        <w:tc>
          <w:tcPr>
            <w:tcW w:w="4252" w:type="dxa"/>
            <w:tcBorders>
              <w:top w:val="single" w:sz="6" w:space="0" w:color="000000"/>
              <w:bottom w:val="single" w:sz="12" w:space="0" w:color="auto"/>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9"/>
                <w:szCs w:val="19"/>
                <w:vertAlign w:val="superscript"/>
                <w:lang w:eastAsia="en-AU"/>
              </w:rPr>
            </w:pPr>
            <w:r w:rsidRPr="00F944DD">
              <w:rPr>
                <w:rFonts w:ascii="Calibri" w:eastAsiaTheme="minorEastAsia" w:hAnsi="Calibri" w:cs="Calibri"/>
                <w:b/>
                <w:bCs/>
                <w:color w:val="000000"/>
                <w:sz w:val="19"/>
                <w:szCs w:val="19"/>
                <w:lang w:eastAsia="en-AU"/>
              </w:rPr>
              <w:t xml:space="preserve">Net lending/(borrowing) </w:t>
            </w:r>
            <w:r w:rsidRPr="00F944DD">
              <w:rPr>
                <w:rFonts w:ascii="Calibri" w:eastAsiaTheme="minorEastAsia" w:hAnsi="Calibri" w:cs="Calibri"/>
                <w:b/>
                <w:bCs/>
                <w:color w:val="000000"/>
                <w:sz w:val="19"/>
                <w:szCs w:val="19"/>
                <w:vertAlign w:val="superscript"/>
                <w:lang w:eastAsia="en-AU"/>
              </w:rPr>
              <w:t>(a)</w:t>
            </w:r>
          </w:p>
        </w:tc>
        <w:tc>
          <w:tcPr>
            <w:tcW w:w="709"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1 922</w:t>
            </w:r>
          </w:p>
        </w:tc>
        <w:tc>
          <w:tcPr>
            <w:tcW w:w="709"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(997)</w:t>
            </w:r>
          </w:p>
        </w:tc>
        <w:tc>
          <w:tcPr>
            <w:tcW w:w="709"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437</w:t>
            </w:r>
          </w:p>
        </w:tc>
        <w:tc>
          <w:tcPr>
            <w:tcW w:w="709"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708</w:t>
            </w:r>
          </w:p>
        </w:tc>
        <w:tc>
          <w:tcPr>
            <w:tcW w:w="677" w:type="dxa"/>
            <w:tcBorders>
              <w:top w:val="single" w:sz="6" w:space="0" w:color="000000"/>
              <w:left w:val="nil"/>
              <w:bottom w:val="single" w:sz="12"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9"/>
                <w:szCs w:val="19"/>
                <w:lang w:eastAsia="en-AU"/>
              </w:rPr>
            </w:pPr>
            <w:r w:rsidRPr="00F944DD">
              <w:rPr>
                <w:rFonts w:ascii="Calibri" w:eastAsiaTheme="minorEastAsia" w:hAnsi="Calibri" w:cs="Calibri"/>
                <w:b/>
                <w:bCs/>
                <w:color w:val="000000"/>
                <w:sz w:val="19"/>
                <w:szCs w:val="19"/>
                <w:lang w:eastAsia="en-AU"/>
              </w:rPr>
              <w:t>1 540</w:t>
            </w:r>
          </w:p>
        </w:tc>
      </w:tr>
    </w:tbl>
    <w:p w:rsidR="002C39A3" w:rsidRDefault="002C39A3" w:rsidP="00361FA9">
      <w:pPr>
        <w:pStyle w:val="Notes"/>
      </w:pPr>
    </w:p>
    <w:p w:rsidR="002C39A3" w:rsidRDefault="002C39A3" w:rsidP="00361FA9">
      <w:pPr>
        <w:pStyle w:val="Notes"/>
      </w:pPr>
      <w:r>
        <w:t>Notes:</w:t>
      </w:r>
    </w:p>
    <w:p w:rsidR="002C39A3" w:rsidRDefault="002C39A3" w:rsidP="00361FA9">
      <w:pPr>
        <w:pStyle w:val="Notes"/>
      </w:pPr>
      <w:r>
        <w:t>(a)</w:t>
      </w:r>
      <w:r>
        <w:tab/>
        <w:t>The comparative figures have been restated to more current information.</w:t>
      </w:r>
    </w:p>
    <w:p w:rsidR="002C39A3" w:rsidRPr="00094D10" w:rsidRDefault="002C39A3" w:rsidP="00361FA9">
      <w:pPr>
        <w:pStyle w:val="million"/>
        <w:jc w:val="left"/>
        <w:rPr>
          <w:rFonts w:ascii="Garamond" w:hAnsi="Garamond"/>
          <w:i w:val="0"/>
          <w:sz w:val="22"/>
          <w:szCs w:val="22"/>
        </w:rPr>
      </w:pPr>
    </w:p>
    <w:p w:rsidR="002C39A3" w:rsidRDefault="002C39A3">
      <w:pPr>
        <w:spacing w:after="0"/>
        <w:rPr>
          <w:rFonts w:ascii="Calibri" w:hAnsi="Calibri"/>
          <w:b/>
        </w:rPr>
      </w:pPr>
      <w:r>
        <w:br w:type="page"/>
      </w:r>
    </w:p>
    <w:p w:rsidR="002C39A3" w:rsidRDefault="002C39A3" w:rsidP="00361FA9">
      <w:pPr>
        <w:pStyle w:val="Tableheading"/>
      </w:pPr>
      <w:r>
        <w:t>Table B.6:</w:t>
      </w:r>
      <w:r>
        <w:tab/>
        <w:t>Balance sheet as at the end of the quarter</w:t>
      </w:r>
    </w:p>
    <w:p w:rsidR="002C39A3" w:rsidRPr="00F944DD" w:rsidRDefault="002C39A3" w:rsidP="00361FA9">
      <w:pPr>
        <w:pStyle w:val="million"/>
        <w:rPr>
          <w:rFonts w:eastAsiaTheme="minorEastAsia"/>
          <w:b/>
          <w:bCs/>
          <w:lang w:val="en-US" w:eastAsia="en-AU"/>
        </w:rPr>
      </w:pPr>
      <w:r>
        <w:t>($ million)</w:t>
      </w:r>
    </w:p>
    <w:tbl>
      <w:tblPr>
        <w:tblW w:w="7767" w:type="dxa"/>
        <w:tblInd w:w="45" w:type="dxa"/>
        <w:tblLayout w:type="fixed"/>
        <w:tblCellMar>
          <w:left w:w="45" w:type="dxa"/>
          <w:right w:w="45" w:type="dxa"/>
        </w:tblCellMar>
        <w:tblLook w:val="0000" w:firstRow="0" w:lastRow="0" w:firstColumn="0" w:lastColumn="0" w:noHBand="0" w:noVBand="0"/>
      </w:tblPr>
      <w:tblGrid>
        <w:gridCol w:w="3827"/>
        <w:gridCol w:w="788"/>
        <w:gridCol w:w="771"/>
        <w:gridCol w:w="17"/>
        <w:gridCol w:w="788"/>
        <w:gridCol w:w="788"/>
        <w:gridCol w:w="782"/>
        <w:gridCol w:w="6"/>
      </w:tblGrid>
      <w:tr w:rsidR="002D387D" w:rsidRPr="00F944DD" w:rsidTr="00A7602D">
        <w:trPr>
          <w:gridAfter w:val="1"/>
          <w:wAfter w:w="6" w:type="dxa"/>
          <w:tblHeader/>
        </w:trPr>
        <w:tc>
          <w:tcPr>
            <w:tcW w:w="3827" w:type="dxa"/>
            <w:vMerge w:val="restart"/>
            <w:tcBorders>
              <w:top w:val="nil"/>
              <w:left w:val="nil"/>
              <w:right w:val="nil"/>
            </w:tcBorders>
            <w:shd w:val="solid" w:color="000000" w:fill="auto"/>
            <w:vAlign w:val="bottom"/>
          </w:tcPr>
          <w:p w:rsidR="002D387D" w:rsidRPr="00F944DD" w:rsidRDefault="002D387D" w:rsidP="002D387D">
            <w:pPr>
              <w:pStyle w:val="Notes"/>
              <w:rPr>
                <w:rFonts w:eastAsiaTheme="minorEastAsia" w:cs="Calibri"/>
                <w:iCs/>
                <w:color w:val="FFFFFF"/>
                <w:sz w:val="17"/>
                <w:szCs w:val="19"/>
                <w:lang w:eastAsia="en-AU"/>
              </w:rPr>
            </w:pPr>
          </w:p>
        </w:tc>
        <w:tc>
          <w:tcPr>
            <w:tcW w:w="1559" w:type="dxa"/>
            <w:gridSpan w:val="2"/>
            <w:tcBorders>
              <w:top w:val="nil"/>
              <w:left w:val="nil"/>
              <w:bottom w:val="nil"/>
              <w:right w:val="nil"/>
            </w:tcBorders>
            <w:shd w:val="solid" w:color="000000" w:fill="auto"/>
            <w:vAlign w:val="bottom"/>
          </w:tcPr>
          <w:p w:rsidR="002D387D" w:rsidRPr="00F944DD" w:rsidRDefault="002D387D" w:rsidP="002D387D">
            <w:pPr>
              <w:autoSpaceDE w:val="0"/>
              <w:autoSpaceDN w:val="0"/>
              <w:adjustRightInd w:val="0"/>
              <w:spacing w:after="0"/>
              <w:jc w:val="center"/>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2014-15</w:t>
            </w:r>
          </w:p>
        </w:tc>
        <w:tc>
          <w:tcPr>
            <w:tcW w:w="2375" w:type="dxa"/>
            <w:gridSpan w:val="4"/>
            <w:tcBorders>
              <w:top w:val="nil"/>
              <w:left w:val="nil"/>
              <w:bottom w:val="nil"/>
              <w:right w:val="nil"/>
            </w:tcBorders>
            <w:shd w:val="solid" w:color="000000" w:fill="auto"/>
            <w:vAlign w:val="bottom"/>
          </w:tcPr>
          <w:p w:rsidR="002D387D" w:rsidRPr="00F944DD" w:rsidRDefault="002D387D" w:rsidP="002D387D">
            <w:pPr>
              <w:autoSpaceDE w:val="0"/>
              <w:autoSpaceDN w:val="0"/>
              <w:adjustRightInd w:val="0"/>
              <w:spacing w:after="0"/>
              <w:jc w:val="center"/>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2015-16</w:t>
            </w:r>
          </w:p>
        </w:tc>
      </w:tr>
      <w:tr w:rsidR="002D387D" w:rsidRPr="00F944DD" w:rsidTr="00AA0737">
        <w:trPr>
          <w:tblHeader/>
        </w:trPr>
        <w:tc>
          <w:tcPr>
            <w:tcW w:w="3827" w:type="dxa"/>
            <w:vMerge/>
            <w:tcBorders>
              <w:left w:val="nil"/>
              <w:right w:val="nil"/>
            </w:tcBorders>
            <w:shd w:val="solid" w:color="000000" w:fill="auto"/>
            <w:vAlign w:val="bottom"/>
          </w:tcPr>
          <w:p w:rsidR="002D387D" w:rsidRPr="00F944DD" w:rsidRDefault="002D387D" w:rsidP="00361FA9">
            <w:pPr>
              <w:autoSpaceDE w:val="0"/>
              <w:autoSpaceDN w:val="0"/>
              <w:adjustRightInd w:val="0"/>
              <w:spacing w:after="0"/>
              <w:rPr>
                <w:rFonts w:ascii="Calibri" w:eastAsiaTheme="minorEastAsia" w:hAnsi="Calibri" w:cs="Calibri"/>
                <w:i/>
                <w:iCs/>
                <w:color w:val="FFFFFF"/>
                <w:sz w:val="17"/>
                <w:szCs w:val="19"/>
                <w:lang w:eastAsia="en-AU"/>
              </w:rPr>
            </w:pPr>
          </w:p>
        </w:tc>
        <w:tc>
          <w:tcPr>
            <w:tcW w:w="788" w:type="dxa"/>
            <w:tcBorders>
              <w:top w:val="nil"/>
              <w:left w:val="nil"/>
              <w:right w:val="nil"/>
            </w:tcBorders>
            <w:shd w:val="solid" w:color="000000" w:fill="auto"/>
            <w:vAlign w:val="bottom"/>
          </w:tcPr>
          <w:p w:rsidR="002D387D" w:rsidRPr="00F944DD" w:rsidRDefault="002D387D"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Mar</w:t>
            </w:r>
          </w:p>
        </w:tc>
        <w:tc>
          <w:tcPr>
            <w:tcW w:w="788" w:type="dxa"/>
            <w:gridSpan w:val="2"/>
            <w:tcBorders>
              <w:top w:val="nil"/>
              <w:left w:val="nil"/>
              <w:right w:val="nil"/>
            </w:tcBorders>
            <w:shd w:val="solid" w:color="000000" w:fill="auto"/>
            <w:vAlign w:val="bottom"/>
          </w:tcPr>
          <w:p w:rsidR="002D387D" w:rsidRPr="00F944DD" w:rsidRDefault="002D387D"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Jun</w:t>
            </w:r>
          </w:p>
        </w:tc>
        <w:tc>
          <w:tcPr>
            <w:tcW w:w="788" w:type="dxa"/>
            <w:tcBorders>
              <w:top w:val="nil"/>
              <w:left w:val="nil"/>
              <w:right w:val="nil"/>
            </w:tcBorders>
            <w:shd w:val="solid" w:color="000000" w:fill="auto"/>
            <w:vAlign w:val="bottom"/>
          </w:tcPr>
          <w:p w:rsidR="002D387D" w:rsidRPr="00F944DD" w:rsidRDefault="002D387D"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Sep</w:t>
            </w:r>
          </w:p>
        </w:tc>
        <w:tc>
          <w:tcPr>
            <w:tcW w:w="788" w:type="dxa"/>
            <w:tcBorders>
              <w:top w:val="nil"/>
              <w:left w:val="nil"/>
              <w:right w:val="nil"/>
            </w:tcBorders>
            <w:shd w:val="solid" w:color="000000" w:fill="auto"/>
            <w:vAlign w:val="bottom"/>
          </w:tcPr>
          <w:p w:rsidR="002D387D" w:rsidRPr="00F944DD" w:rsidRDefault="002D387D"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Dec</w:t>
            </w:r>
          </w:p>
        </w:tc>
        <w:tc>
          <w:tcPr>
            <w:tcW w:w="788" w:type="dxa"/>
            <w:gridSpan w:val="2"/>
            <w:tcBorders>
              <w:top w:val="nil"/>
              <w:left w:val="nil"/>
              <w:right w:val="nil"/>
            </w:tcBorders>
            <w:shd w:val="solid" w:color="000000" w:fill="auto"/>
            <w:vAlign w:val="bottom"/>
          </w:tcPr>
          <w:p w:rsidR="002D387D" w:rsidRPr="00F944DD" w:rsidRDefault="002D387D"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Mar</w:t>
            </w:r>
          </w:p>
        </w:tc>
      </w:tr>
      <w:tr w:rsidR="002D387D" w:rsidRPr="00F944DD" w:rsidTr="00567B77">
        <w:tc>
          <w:tcPr>
            <w:tcW w:w="7767" w:type="dxa"/>
            <w:gridSpan w:val="8"/>
            <w:tcBorders>
              <w:top w:val="nil"/>
              <w:left w:val="nil"/>
              <w:right w:val="nil"/>
            </w:tcBorders>
            <w:shd w:val="clear" w:color="auto" w:fill="FFFFFF"/>
          </w:tcPr>
          <w:p w:rsidR="002D387D" w:rsidRPr="00F944DD" w:rsidRDefault="002D387D" w:rsidP="002D387D">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Assets</w:t>
            </w:r>
          </w:p>
        </w:tc>
      </w:tr>
      <w:tr w:rsidR="002D387D" w:rsidRPr="00F944DD" w:rsidTr="008A4970">
        <w:tc>
          <w:tcPr>
            <w:tcW w:w="7767" w:type="dxa"/>
            <w:gridSpan w:val="8"/>
            <w:tcBorders>
              <w:top w:val="nil"/>
              <w:left w:val="nil"/>
              <w:right w:val="nil"/>
            </w:tcBorders>
            <w:shd w:val="clear" w:color="auto" w:fill="FFFFFF"/>
          </w:tcPr>
          <w:p w:rsidR="002D387D" w:rsidRPr="00F944DD" w:rsidRDefault="002D387D" w:rsidP="002D387D">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Financial assets </w:t>
            </w:r>
          </w:p>
        </w:tc>
      </w:tr>
      <w:tr w:rsidR="002C39A3" w:rsidRPr="00F944DD" w:rsidTr="00361FA9">
        <w:tc>
          <w:tcPr>
            <w:tcW w:w="3827"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Cash and deposits</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4 609</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4 282</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4 061</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4 112</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4 415</w:t>
            </w:r>
          </w:p>
        </w:tc>
      </w:tr>
      <w:tr w:rsidR="002C39A3" w:rsidRPr="00F944DD" w:rsidTr="00361FA9">
        <w:tc>
          <w:tcPr>
            <w:tcW w:w="3827"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Advances paid</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4 573</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4 572</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4 567</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4 550</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4 539</w:t>
            </w:r>
          </w:p>
        </w:tc>
      </w:tr>
      <w:tr w:rsidR="002C39A3" w:rsidRPr="00F944DD" w:rsidTr="00361FA9">
        <w:tc>
          <w:tcPr>
            <w:tcW w:w="3827"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Receivables</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6 727</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5 555</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5 897</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5 907</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6 450</w:t>
            </w:r>
          </w:p>
        </w:tc>
      </w:tr>
      <w:tr w:rsidR="002C39A3" w:rsidRPr="00F944DD" w:rsidTr="00361FA9">
        <w:tc>
          <w:tcPr>
            <w:tcW w:w="3827"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Investments, loans and placements</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3 397</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3 406</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3 440</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3 389</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3 745</w:t>
            </w:r>
          </w:p>
        </w:tc>
      </w:tr>
      <w:tr w:rsidR="002C39A3" w:rsidRPr="00F944DD" w:rsidTr="00361FA9">
        <w:tc>
          <w:tcPr>
            <w:tcW w:w="3827"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Investments accounted for using the equity method</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47</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45</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44</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44</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44</w:t>
            </w:r>
          </w:p>
        </w:tc>
      </w:tr>
      <w:tr w:rsidR="002C39A3" w:rsidRPr="00F944DD" w:rsidTr="00361FA9">
        <w:tc>
          <w:tcPr>
            <w:tcW w:w="382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Investments in other sector entities</w:t>
            </w:r>
          </w:p>
        </w:tc>
        <w:tc>
          <w:tcPr>
            <w:tcW w:w="78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76 357</w:t>
            </w:r>
          </w:p>
        </w:tc>
        <w:tc>
          <w:tcPr>
            <w:tcW w:w="788" w:type="dxa"/>
            <w:gridSpan w:val="2"/>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82 181</w:t>
            </w:r>
          </w:p>
        </w:tc>
        <w:tc>
          <w:tcPr>
            <w:tcW w:w="78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82 467</w:t>
            </w:r>
          </w:p>
        </w:tc>
        <w:tc>
          <w:tcPr>
            <w:tcW w:w="78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82 563</w:t>
            </w:r>
          </w:p>
        </w:tc>
        <w:tc>
          <w:tcPr>
            <w:tcW w:w="788" w:type="dxa"/>
            <w:gridSpan w:val="2"/>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82 818</w:t>
            </w:r>
          </w:p>
        </w:tc>
      </w:tr>
      <w:tr w:rsidR="002C39A3" w:rsidRPr="00F944DD" w:rsidTr="00361FA9">
        <w:tc>
          <w:tcPr>
            <w:tcW w:w="3827"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Total financial assets</w:t>
            </w:r>
          </w:p>
        </w:tc>
        <w:tc>
          <w:tcPr>
            <w:tcW w:w="788"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95 711</w:t>
            </w:r>
          </w:p>
        </w:tc>
        <w:tc>
          <w:tcPr>
            <w:tcW w:w="788" w:type="dxa"/>
            <w:gridSpan w:val="2"/>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100 040</w:t>
            </w:r>
          </w:p>
        </w:tc>
        <w:tc>
          <w:tcPr>
            <w:tcW w:w="788"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100 477</w:t>
            </w:r>
          </w:p>
        </w:tc>
        <w:tc>
          <w:tcPr>
            <w:tcW w:w="788"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100 566</w:t>
            </w:r>
          </w:p>
        </w:tc>
        <w:tc>
          <w:tcPr>
            <w:tcW w:w="788" w:type="dxa"/>
            <w:gridSpan w:val="2"/>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102 011</w:t>
            </w:r>
          </w:p>
        </w:tc>
      </w:tr>
      <w:tr w:rsidR="002D387D" w:rsidRPr="00F944DD" w:rsidTr="00221164">
        <w:tc>
          <w:tcPr>
            <w:tcW w:w="7767" w:type="dxa"/>
            <w:gridSpan w:val="8"/>
            <w:tcBorders>
              <w:top w:val="single" w:sz="6" w:space="0" w:color="000000"/>
              <w:left w:val="nil"/>
              <w:right w:val="nil"/>
            </w:tcBorders>
            <w:shd w:val="clear" w:color="auto" w:fill="FFFFFF"/>
          </w:tcPr>
          <w:p w:rsidR="002D387D" w:rsidRPr="00F944DD" w:rsidRDefault="002D387D" w:rsidP="002D387D">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Non-financial assets</w:t>
            </w:r>
          </w:p>
        </w:tc>
      </w:tr>
      <w:tr w:rsidR="002C39A3" w:rsidRPr="00F944DD" w:rsidTr="00361FA9">
        <w:tc>
          <w:tcPr>
            <w:tcW w:w="3827"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Inventories</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147</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144</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146</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154</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175</w:t>
            </w:r>
          </w:p>
        </w:tc>
      </w:tr>
      <w:tr w:rsidR="002C39A3" w:rsidRPr="00F944DD" w:rsidTr="00361FA9">
        <w:tc>
          <w:tcPr>
            <w:tcW w:w="3827"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Non-financial assets held for sale</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130</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175</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169</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165</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165</w:t>
            </w:r>
          </w:p>
        </w:tc>
      </w:tr>
      <w:tr w:rsidR="002C39A3" w:rsidRPr="00F944DD" w:rsidTr="00361FA9">
        <w:tc>
          <w:tcPr>
            <w:tcW w:w="3827"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Land, buildings, infrastructure, plant and equipment</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104 682</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107 562</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107 503</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107 750</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107 948</w:t>
            </w:r>
          </w:p>
        </w:tc>
      </w:tr>
      <w:tr w:rsidR="002C39A3" w:rsidRPr="00F944DD" w:rsidTr="00361FA9">
        <w:tc>
          <w:tcPr>
            <w:tcW w:w="382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Other non-financial assets</w:t>
            </w:r>
          </w:p>
        </w:tc>
        <w:tc>
          <w:tcPr>
            <w:tcW w:w="78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1 325</w:t>
            </w:r>
          </w:p>
        </w:tc>
        <w:tc>
          <w:tcPr>
            <w:tcW w:w="788" w:type="dxa"/>
            <w:gridSpan w:val="2"/>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1 038</w:t>
            </w:r>
          </w:p>
        </w:tc>
        <w:tc>
          <w:tcPr>
            <w:tcW w:w="78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1 215</w:t>
            </w:r>
          </w:p>
        </w:tc>
        <w:tc>
          <w:tcPr>
            <w:tcW w:w="78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1 195</w:t>
            </w:r>
          </w:p>
        </w:tc>
        <w:tc>
          <w:tcPr>
            <w:tcW w:w="788" w:type="dxa"/>
            <w:gridSpan w:val="2"/>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1 068</w:t>
            </w:r>
          </w:p>
        </w:tc>
      </w:tr>
      <w:tr w:rsidR="002C39A3" w:rsidRPr="00F944DD" w:rsidTr="00361FA9">
        <w:tc>
          <w:tcPr>
            <w:tcW w:w="3827"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Total non-financial assets</w:t>
            </w:r>
          </w:p>
        </w:tc>
        <w:tc>
          <w:tcPr>
            <w:tcW w:w="788"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106 284</w:t>
            </w:r>
          </w:p>
        </w:tc>
        <w:tc>
          <w:tcPr>
            <w:tcW w:w="788" w:type="dxa"/>
            <w:gridSpan w:val="2"/>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108 920</w:t>
            </w:r>
          </w:p>
        </w:tc>
        <w:tc>
          <w:tcPr>
            <w:tcW w:w="788"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109 033</w:t>
            </w:r>
          </w:p>
        </w:tc>
        <w:tc>
          <w:tcPr>
            <w:tcW w:w="788"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109 265</w:t>
            </w:r>
          </w:p>
        </w:tc>
        <w:tc>
          <w:tcPr>
            <w:tcW w:w="788" w:type="dxa"/>
            <w:gridSpan w:val="2"/>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109 356</w:t>
            </w:r>
          </w:p>
        </w:tc>
      </w:tr>
      <w:tr w:rsidR="002C39A3" w:rsidRPr="00F944DD" w:rsidTr="00361FA9">
        <w:tc>
          <w:tcPr>
            <w:tcW w:w="382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Total assets</w:t>
            </w:r>
          </w:p>
        </w:tc>
        <w:tc>
          <w:tcPr>
            <w:tcW w:w="788"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201 994</w:t>
            </w:r>
          </w:p>
        </w:tc>
        <w:tc>
          <w:tcPr>
            <w:tcW w:w="788" w:type="dxa"/>
            <w:gridSpan w:val="2"/>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208 960</w:t>
            </w:r>
          </w:p>
        </w:tc>
        <w:tc>
          <w:tcPr>
            <w:tcW w:w="788"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209 509</w:t>
            </w:r>
          </w:p>
        </w:tc>
        <w:tc>
          <w:tcPr>
            <w:tcW w:w="788"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209 830</w:t>
            </w:r>
          </w:p>
        </w:tc>
        <w:tc>
          <w:tcPr>
            <w:tcW w:w="788" w:type="dxa"/>
            <w:gridSpan w:val="2"/>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211 368</w:t>
            </w:r>
          </w:p>
        </w:tc>
      </w:tr>
      <w:tr w:rsidR="002D387D" w:rsidRPr="00F944DD" w:rsidTr="008C130F">
        <w:tc>
          <w:tcPr>
            <w:tcW w:w="7767" w:type="dxa"/>
            <w:gridSpan w:val="8"/>
            <w:tcBorders>
              <w:top w:val="nil"/>
              <w:left w:val="nil"/>
              <w:right w:val="nil"/>
            </w:tcBorders>
            <w:shd w:val="clear" w:color="auto" w:fill="FFFFFF"/>
          </w:tcPr>
          <w:p w:rsidR="002D387D" w:rsidRPr="00F944DD" w:rsidRDefault="002D387D" w:rsidP="002D387D">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Liabilities</w:t>
            </w:r>
          </w:p>
        </w:tc>
      </w:tr>
      <w:tr w:rsidR="002C39A3" w:rsidRPr="00F944DD" w:rsidTr="00361FA9">
        <w:tc>
          <w:tcPr>
            <w:tcW w:w="3827"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 xml:space="preserve">Deposits held and advances received </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529</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518</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471</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485</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529</w:t>
            </w:r>
          </w:p>
        </w:tc>
      </w:tr>
      <w:tr w:rsidR="002C39A3" w:rsidRPr="00F944DD" w:rsidTr="00361FA9">
        <w:tc>
          <w:tcPr>
            <w:tcW w:w="3827"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Payables</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6 182</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5 704</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5 355</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5 188</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5 413</w:t>
            </w:r>
          </w:p>
        </w:tc>
      </w:tr>
      <w:tr w:rsidR="002C39A3" w:rsidRPr="00F944DD" w:rsidTr="00361FA9">
        <w:tc>
          <w:tcPr>
            <w:tcW w:w="3827"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 xml:space="preserve">Borrowings </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33 286</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34 069</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34 597</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34 301</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34 078</w:t>
            </w:r>
          </w:p>
        </w:tc>
      </w:tr>
      <w:tr w:rsidR="002C39A3" w:rsidRPr="00F944DD" w:rsidTr="00361FA9">
        <w:tc>
          <w:tcPr>
            <w:tcW w:w="3827"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Employee benefits</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5 601</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5 605</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5 675</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5 769</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5 676</w:t>
            </w:r>
          </w:p>
        </w:tc>
      </w:tr>
      <w:tr w:rsidR="002C39A3" w:rsidRPr="00F944DD" w:rsidTr="00361FA9">
        <w:tc>
          <w:tcPr>
            <w:tcW w:w="3827"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Superannuation</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30 881</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25 947</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27 885</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26 722</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28 032</w:t>
            </w:r>
          </w:p>
        </w:tc>
      </w:tr>
      <w:tr w:rsidR="002C39A3" w:rsidRPr="00F944DD" w:rsidTr="00361FA9">
        <w:tc>
          <w:tcPr>
            <w:tcW w:w="382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Other provisions</w:t>
            </w:r>
          </w:p>
        </w:tc>
        <w:tc>
          <w:tcPr>
            <w:tcW w:w="78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717</w:t>
            </w:r>
          </w:p>
        </w:tc>
        <w:tc>
          <w:tcPr>
            <w:tcW w:w="788" w:type="dxa"/>
            <w:gridSpan w:val="2"/>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807</w:t>
            </w:r>
          </w:p>
        </w:tc>
        <w:tc>
          <w:tcPr>
            <w:tcW w:w="78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754</w:t>
            </w:r>
          </w:p>
        </w:tc>
        <w:tc>
          <w:tcPr>
            <w:tcW w:w="78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809</w:t>
            </w:r>
          </w:p>
        </w:tc>
        <w:tc>
          <w:tcPr>
            <w:tcW w:w="788" w:type="dxa"/>
            <w:gridSpan w:val="2"/>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802</w:t>
            </w:r>
          </w:p>
        </w:tc>
      </w:tr>
      <w:tr w:rsidR="002C39A3" w:rsidRPr="00F944DD" w:rsidTr="00361FA9">
        <w:tc>
          <w:tcPr>
            <w:tcW w:w="3827"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Total liabilities</w:t>
            </w:r>
          </w:p>
        </w:tc>
        <w:tc>
          <w:tcPr>
            <w:tcW w:w="788"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77 196</w:t>
            </w:r>
          </w:p>
        </w:tc>
        <w:tc>
          <w:tcPr>
            <w:tcW w:w="788" w:type="dxa"/>
            <w:gridSpan w:val="2"/>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72 650</w:t>
            </w:r>
          </w:p>
        </w:tc>
        <w:tc>
          <w:tcPr>
            <w:tcW w:w="788"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74 738</w:t>
            </w:r>
          </w:p>
        </w:tc>
        <w:tc>
          <w:tcPr>
            <w:tcW w:w="788"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73 274</w:t>
            </w:r>
          </w:p>
        </w:tc>
        <w:tc>
          <w:tcPr>
            <w:tcW w:w="788" w:type="dxa"/>
            <w:gridSpan w:val="2"/>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74 529</w:t>
            </w:r>
          </w:p>
        </w:tc>
      </w:tr>
      <w:tr w:rsidR="002C39A3" w:rsidRPr="00F944DD" w:rsidTr="00361FA9">
        <w:tc>
          <w:tcPr>
            <w:tcW w:w="3827"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Net assets</w:t>
            </w:r>
          </w:p>
        </w:tc>
        <w:tc>
          <w:tcPr>
            <w:tcW w:w="788"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124 798</w:t>
            </w:r>
          </w:p>
        </w:tc>
        <w:tc>
          <w:tcPr>
            <w:tcW w:w="788" w:type="dxa"/>
            <w:gridSpan w:val="2"/>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136 310</w:t>
            </w:r>
          </w:p>
        </w:tc>
        <w:tc>
          <w:tcPr>
            <w:tcW w:w="788"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134 772</w:t>
            </w:r>
          </w:p>
        </w:tc>
        <w:tc>
          <w:tcPr>
            <w:tcW w:w="788"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136 556</w:t>
            </w:r>
          </w:p>
        </w:tc>
        <w:tc>
          <w:tcPr>
            <w:tcW w:w="788" w:type="dxa"/>
            <w:gridSpan w:val="2"/>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136 838</w:t>
            </w:r>
          </w:p>
        </w:tc>
      </w:tr>
      <w:tr w:rsidR="002C39A3" w:rsidRPr="00F944DD" w:rsidTr="00361FA9">
        <w:tc>
          <w:tcPr>
            <w:tcW w:w="3827"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Accumulated surplus/(deficit)</w:t>
            </w:r>
          </w:p>
        </w:tc>
        <w:tc>
          <w:tcPr>
            <w:tcW w:w="788"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41 078</w:t>
            </w:r>
          </w:p>
        </w:tc>
        <w:tc>
          <w:tcPr>
            <w:tcW w:w="788" w:type="dxa"/>
            <w:gridSpan w:val="2"/>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45 764</w:t>
            </w:r>
          </w:p>
        </w:tc>
        <w:tc>
          <w:tcPr>
            <w:tcW w:w="788"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44 213</w:t>
            </w:r>
          </w:p>
        </w:tc>
        <w:tc>
          <w:tcPr>
            <w:tcW w:w="788" w:type="dxa"/>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46 304</w:t>
            </w:r>
          </w:p>
        </w:tc>
        <w:tc>
          <w:tcPr>
            <w:tcW w:w="788" w:type="dxa"/>
            <w:gridSpan w:val="2"/>
            <w:tcBorders>
              <w:top w:val="single" w:sz="12"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46 586</w:t>
            </w:r>
          </w:p>
        </w:tc>
      </w:tr>
      <w:tr w:rsidR="002C39A3" w:rsidRPr="00F944DD" w:rsidTr="00361FA9">
        <w:tc>
          <w:tcPr>
            <w:tcW w:w="3827"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Reserves</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83 670</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90 496</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90 509</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90 203</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90 203</w:t>
            </w:r>
          </w:p>
        </w:tc>
      </w:tr>
      <w:tr w:rsidR="002C39A3" w:rsidRPr="00F944DD" w:rsidTr="00361FA9">
        <w:tc>
          <w:tcPr>
            <w:tcW w:w="382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Non-controlling interest</w:t>
            </w:r>
          </w:p>
        </w:tc>
        <w:tc>
          <w:tcPr>
            <w:tcW w:w="78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50</w:t>
            </w:r>
          </w:p>
        </w:tc>
        <w:tc>
          <w:tcPr>
            <w:tcW w:w="788" w:type="dxa"/>
            <w:gridSpan w:val="2"/>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50</w:t>
            </w:r>
          </w:p>
        </w:tc>
        <w:tc>
          <w:tcPr>
            <w:tcW w:w="78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50</w:t>
            </w:r>
          </w:p>
        </w:tc>
        <w:tc>
          <w:tcPr>
            <w:tcW w:w="788"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50</w:t>
            </w:r>
          </w:p>
        </w:tc>
        <w:tc>
          <w:tcPr>
            <w:tcW w:w="788" w:type="dxa"/>
            <w:gridSpan w:val="2"/>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50</w:t>
            </w:r>
          </w:p>
        </w:tc>
      </w:tr>
      <w:tr w:rsidR="002C39A3" w:rsidRPr="00F944DD" w:rsidTr="00361FA9">
        <w:tc>
          <w:tcPr>
            <w:tcW w:w="3827"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Net worth</w:t>
            </w:r>
          </w:p>
        </w:tc>
        <w:tc>
          <w:tcPr>
            <w:tcW w:w="788"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124 798</w:t>
            </w:r>
          </w:p>
        </w:tc>
        <w:tc>
          <w:tcPr>
            <w:tcW w:w="788" w:type="dxa"/>
            <w:gridSpan w:val="2"/>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136 310</w:t>
            </w:r>
          </w:p>
        </w:tc>
        <w:tc>
          <w:tcPr>
            <w:tcW w:w="788"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134 772</w:t>
            </w:r>
          </w:p>
        </w:tc>
        <w:tc>
          <w:tcPr>
            <w:tcW w:w="788"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136 556</w:t>
            </w:r>
          </w:p>
        </w:tc>
        <w:tc>
          <w:tcPr>
            <w:tcW w:w="788" w:type="dxa"/>
            <w:gridSpan w:val="2"/>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136 838</w:t>
            </w:r>
          </w:p>
        </w:tc>
      </w:tr>
      <w:tr w:rsidR="002D387D" w:rsidRPr="00F944DD" w:rsidTr="00D36AED">
        <w:trPr>
          <w:trHeight w:hRule="exact" w:val="120"/>
        </w:trPr>
        <w:tc>
          <w:tcPr>
            <w:tcW w:w="7767" w:type="dxa"/>
            <w:gridSpan w:val="8"/>
            <w:tcBorders>
              <w:top w:val="single" w:sz="12" w:space="0" w:color="000000"/>
              <w:left w:val="nil"/>
              <w:right w:val="nil"/>
            </w:tcBorders>
            <w:shd w:val="clear" w:color="auto" w:fill="FFFFFF"/>
          </w:tcPr>
          <w:p w:rsidR="002D387D" w:rsidRPr="00F944DD" w:rsidRDefault="002D387D" w:rsidP="00361FA9">
            <w:pPr>
              <w:autoSpaceDE w:val="0"/>
              <w:autoSpaceDN w:val="0"/>
              <w:adjustRightInd w:val="0"/>
              <w:spacing w:after="0"/>
              <w:jc w:val="right"/>
              <w:rPr>
                <w:rFonts w:ascii="Calibri" w:eastAsiaTheme="minorEastAsia" w:hAnsi="Calibri" w:cs="Calibri"/>
                <w:color w:val="000000"/>
                <w:sz w:val="17"/>
                <w:szCs w:val="19"/>
                <w:lang w:eastAsia="en-AU"/>
              </w:rPr>
            </w:pPr>
          </w:p>
        </w:tc>
      </w:tr>
      <w:tr w:rsidR="002D387D" w:rsidRPr="00F944DD" w:rsidTr="00015586">
        <w:tc>
          <w:tcPr>
            <w:tcW w:w="7767" w:type="dxa"/>
            <w:gridSpan w:val="8"/>
            <w:tcBorders>
              <w:top w:val="nil"/>
              <w:left w:val="nil"/>
              <w:right w:val="nil"/>
            </w:tcBorders>
            <w:shd w:val="clear" w:color="auto" w:fill="FFFFFF"/>
          </w:tcPr>
          <w:p w:rsidR="002D387D" w:rsidRPr="00F944DD" w:rsidRDefault="002D387D" w:rsidP="002D387D">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FISCAL AGGREGATES </w:t>
            </w:r>
          </w:p>
        </w:tc>
      </w:tr>
      <w:tr w:rsidR="002C39A3" w:rsidRPr="00F944DD" w:rsidTr="00361FA9">
        <w:tc>
          <w:tcPr>
            <w:tcW w:w="3827"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Net financial worth</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18 514</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27 390</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25 739</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27 292</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27 482</w:t>
            </w:r>
          </w:p>
        </w:tc>
      </w:tr>
      <w:tr w:rsidR="002C39A3" w:rsidRPr="00F944DD" w:rsidTr="00361FA9">
        <w:tc>
          <w:tcPr>
            <w:tcW w:w="3827" w:type="dxa"/>
            <w:tcBorders>
              <w:top w:val="nil"/>
              <w:left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Net financial liabilities</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57 843</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54 791</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56 728</w:t>
            </w:r>
          </w:p>
        </w:tc>
        <w:tc>
          <w:tcPr>
            <w:tcW w:w="788"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55 271</w:t>
            </w:r>
          </w:p>
        </w:tc>
        <w:tc>
          <w:tcPr>
            <w:tcW w:w="788"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55 336</w:t>
            </w:r>
          </w:p>
        </w:tc>
      </w:tr>
      <w:tr w:rsidR="002C39A3" w:rsidRPr="00F944DD" w:rsidTr="00361FA9">
        <w:tc>
          <w:tcPr>
            <w:tcW w:w="3827" w:type="dxa"/>
            <w:tcBorders>
              <w:top w:val="nil"/>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Net debt</w:t>
            </w:r>
          </w:p>
        </w:tc>
        <w:tc>
          <w:tcPr>
            <w:tcW w:w="788" w:type="dxa"/>
            <w:tcBorders>
              <w:top w:val="nil"/>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21 236</w:t>
            </w:r>
          </w:p>
        </w:tc>
        <w:tc>
          <w:tcPr>
            <w:tcW w:w="788" w:type="dxa"/>
            <w:gridSpan w:val="2"/>
            <w:tcBorders>
              <w:top w:val="nil"/>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22 327</w:t>
            </w:r>
          </w:p>
        </w:tc>
        <w:tc>
          <w:tcPr>
            <w:tcW w:w="788" w:type="dxa"/>
            <w:tcBorders>
              <w:top w:val="nil"/>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23 000</w:t>
            </w:r>
          </w:p>
        </w:tc>
        <w:tc>
          <w:tcPr>
            <w:tcW w:w="788" w:type="dxa"/>
            <w:tcBorders>
              <w:top w:val="nil"/>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22 735</w:t>
            </w:r>
          </w:p>
        </w:tc>
        <w:tc>
          <w:tcPr>
            <w:tcW w:w="788" w:type="dxa"/>
            <w:gridSpan w:val="2"/>
            <w:tcBorders>
              <w:top w:val="nil"/>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21 908</w:t>
            </w:r>
          </w:p>
        </w:tc>
      </w:tr>
    </w:tbl>
    <w:p w:rsidR="002C39A3" w:rsidRDefault="002C39A3" w:rsidP="00361FA9">
      <w:pPr>
        <w:pStyle w:val="Notes"/>
      </w:pPr>
    </w:p>
    <w:p w:rsidR="002C39A3" w:rsidRPr="00094D10" w:rsidRDefault="002C39A3" w:rsidP="00361FA9">
      <w:pPr>
        <w:pStyle w:val="million"/>
        <w:jc w:val="left"/>
        <w:rPr>
          <w:rFonts w:ascii="Garamond" w:hAnsi="Garamond"/>
          <w:i w:val="0"/>
          <w:sz w:val="22"/>
          <w:szCs w:val="22"/>
        </w:rPr>
      </w:pPr>
    </w:p>
    <w:p w:rsidR="002C39A3" w:rsidRDefault="002C39A3">
      <w:pPr>
        <w:spacing w:after="0"/>
        <w:rPr>
          <w:rFonts w:ascii="Calibri" w:hAnsi="Calibri"/>
          <w:b/>
        </w:rPr>
      </w:pPr>
      <w:r>
        <w:br w:type="page"/>
      </w:r>
    </w:p>
    <w:p w:rsidR="002C39A3" w:rsidRDefault="002C39A3" w:rsidP="00361FA9">
      <w:pPr>
        <w:pStyle w:val="Tableheading"/>
      </w:pPr>
      <w:r>
        <w:t>Table B.7:</w:t>
      </w:r>
      <w:r>
        <w:tab/>
        <w:t>Statement of cash flows for the past five quarters</w:t>
      </w:r>
    </w:p>
    <w:p w:rsidR="002C39A3" w:rsidRPr="00F944DD" w:rsidRDefault="002C39A3" w:rsidP="00361FA9">
      <w:pPr>
        <w:pStyle w:val="million"/>
        <w:rPr>
          <w:b/>
          <w:bCs/>
          <w:lang w:val="en-US"/>
        </w:rPr>
      </w:pPr>
      <w:r>
        <w:t>($ million)</w:t>
      </w:r>
    </w:p>
    <w:tbl>
      <w:tblPr>
        <w:tblW w:w="7763" w:type="dxa"/>
        <w:tblInd w:w="45" w:type="dxa"/>
        <w:tblLayout w:type="fixed"/>
        <w:tblCellMar>
          <w:left w:w="45" w:type="dxa"/>
          <w:right w:w="45" w:type="dxa"/>
        </w:tblCellMar>
        <w:tblLook w:val="0000" w:firstRow="0" w:lastRow="0" w:firstColumn="0" w:lastColumn="0" w:noHBand="0" w:noVBand="0"/>
      </w:tblPr>
      <w:tblGrid>
        <w:gridCol w:w="3828"/>
        <w:gridCol w:w="787"/>
        <w:gridCol w:w="772"/>
        <w:gridCol w:w="15"/>
        <w:gridCol w:w="787"/>
        <w:gridCol w:w="787"/>
        <w:gridCol w:w="787"/>
      </w:tblGrid>
      <w:tr w:rsidR="002D387D" w:rsidRPr="00F944DD" w:rsidTr="00DB3C5A">
        <w:trPr>
          <w:tblHeader/>
        </w:trPr>
        <w:tc>
          <w:tcPr>
            <w:tcW w:w="3828" w:type="dxa"/>
            <w:vMerge w:val="restart"/>
            <w:tcBorders>
              <w:right w:val="nil"/>
            </w:tcBorders>
            <w:shd w:val="solid" w:color="000000" w:fill="auto"/>
            <w:vAlign w:val="bottom"/>
          </w:tcPr>
          <w:p w:rsidR="002D387D" w:rsidRPr="00F944DD" w:rsidRDefault="002D387D" w:rsidP="00361FA9">
            <w:pPr>
              <w:autoSpaceDE w:val="0"/>
              <w:autoSpaceDN w:val="0"/>
              <w:adjustRightInd w:val="0"/>
              <w:spacing w:after="0"/>
              <w:rPr>
                <w:rFonts w:ascii="Calibri" w:eastAsiaTheme="minorEastAsia" w:hAnsi="Calibri" w:cs="Calibri"/>
                <w:i/>
                <w:iCs/>
                <w:color w:val="FFFFFF"/>
                <w:sz w:val="17"/>
                <w:szCs w:val="19"/>
                <w:lang w:eastAsia="en-AU"/>
              </w:rPr>
            </w:pPr>
          </w:p>
        </w:tc>
        <w:tc>
          <w:tcPr>
            <w:tcW w:w="1559" w:type="dxa"/>
            <w:gridSpan w:val="2"/>
            <w:tcBorders>
              <w:left w:val="nil"/>
              <w:bottom w:val="nil"/>
              <w:right w:val="nil"/>
            </w:tcBorders>
            <w:shd w:val="solid" w:color="000000" w:fill="auto"/>
            <w:vAlign w:val="bottom"/>
          </w:tcPr>
          <w:p w:rsidR="002D387D" w:rsidRPr="00F944DD" w:rsidRDefault="002D387D" w:rsidP="002D387D">
            <w:pPr>
              <w:autoSpaceDE w:val="0"/>
              <w:autoSpaceDN w:val="0"/>
              <w:adjustRightInd w:val="0"/>
              <w:spacing w:after="0"/>
              <w:jc w:val="center"/>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2014-15</w:t>
            </w:r>
          </w:p>
        </w:tc>
        <w:tc>
          <w:tcPr>
            <w:tcW w:w="2376" w:type="dxa"/>
            <w:gridSpan w:val="4"/>
            <w:tcBorders>
              <w:left w:val="nil"/>
              <w:bottom w:val="nil"/>
            </w:tcBorders>
            <w:shd w:val="solid" w:color="000000" w:fill="auto"/>
            <w:vAlign w:val="bottom"/>
          </w:tcPr>
          <w:p w:rsidR="002D387D" w:rsidRPr="00F944DD" w:rsidRDefault="002D387D" w:rsidP="002D387D">
            <w:pPr>
              <w:autoSpaceDE w:val="0"/>
              <w:autoSpaceDN w:val="0"/>
              <w:adjustRightInd w:val="0"/>
              <w:spacing w:after="0"/>
              <w:jc w:val="center"/>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 xml:space="preserve">2015-16 </w:t>
            </w:r>
          </w:p>
        </w:tc>
      </w:tr>
      <w:tr w:rsidR="002D387D" w:rsidRPr="00F944DD" w:rsidTr="00C309AA">
        <w:trPr>
          <w:tblHeader/>
        </w:trPr>
        <w:tc>
          <w:tcPr>
            <w:tcW w:w="3828" w:type="dxa"/>
            <w:vMerge/>
            <w:tcBorders>
              <w:right w:val="nil"/>
            </w:tcBorders>
            <w:shd w:val="solid" w:color="000000" w:fill="auto"/>
            <w:vAlign w:val="bottom"/>
          </w:tcPr>
          <w:p w:rsidR="002D387D" w:rsidRPr="00F944DD" w:rsidRDefault="002D387D" w:rsidP="00361FA9">
            <w:pPr>
              <w:autoSpaceDE w:val="0"/>
              <w:autoSpaceDN w:val="0"/>
              <w:adjustRightInd w:val="0"/>
              <w:spacing w:after="0"/>
              <w:rPr>
                <w:rFonts w:ascii="Calibri" w:eastAsiaTheme="minorEastAsia" w:hAnsi="Calibri" w:cs="Calibri"/>
                <w:i/>
                <w:iCs/>
                <w:color w:val="FFFFFF"/>
                <w:sz w:val="17"/>
                <w:szCs w:val="19"/>
                <w:lang w:eastAsia="en-AU"/>
              </w:rPr>
            </w:pPr>
          </w:p>
        </w:tc>
        <w:tc>
          <w:tcPr>
            <w:tcW w:w="787" w:type="dxa"/>
            <w:tcBorders>
              <w:top w:val="nil"/>
              <w:left w:val="nil"/>
              <w:right w:val="nil"/>
            </w:tcBorders>
            <w:shd w:val="solid" w:color="000000" w:fill="auto"/>
            <w:vAlign w:val="bottom"/>
          </w:tcPr>
          <w:p w:rsidR="002D387D" w:rsidRPr="00F944DD" w:rsidRDefault="002D387D" w:rsidP="00361FA9">
            <w:pPr>
              <w:autoSpaceDE w:val="0"/>
              <w:autoSpaceDN w:val="0"/>
              <w:adjustRightInd w:val="0"/>
              <w:spacing w:after="0"/>
              <w:jc w:val="right"/>
              <w:rPr>
                <w:rFonts w:ascii="Calibri" w:eastAsiaTheme="minorEastAsia" w:hAnsi="Calibri" w:cs="Calibri"/>
                <w:i/>
                <w:iCs/>
                <w:color w:val="FFFFFF"/>
                <w:sz w:val="17"/>
                <w:szCs w:val="19"/>
                <w:vertAlign w:val="superscript"/>
                <w:lang w:eastAsia="en-AU"/>
              </w:rPr>
            </w:pPr>
            <w:r w:rsidRPr="00F944DD">
              <w:rPr>
                <w:rFonts w:ascii="Calibri" w:eastAsiaTheme="minorEastAsia" w:hAnsi="Calibri" w:cs="Calibri"/>
                <w:i/>
                <w:iCs/>
                <w:color w:val="FFFFFF"/>
                <w:sz w:val="17"/>
                <w:szCs w:val="19"/>
                <w:lang w:eastAsia="en-AU"/>
              </w:rPr>
              <w:t xml:space="preserve">Mar </w:t>
            </w:r>
            <w:r w:rsidRPr="00F944DD">
              <w:rPr>
                <w:rFonts w:ascii="Calibri" w:eastAsiaTheme="minorEastAsia" w:hAnsi="Calibri" w:cs="Calibri"/>
                <w:i/>
                <w:iCs/>
                <w:color w:val="FFFFFF"/>
                <w:sz w:val="17"/>
                <w:szCs w:val="19"/>
                <w:vertAlign w:val="superscript"/>
                <w:lang w:eastAsia="en-AU"/>
              </w:rPr>
              <w:t>(a)</w:t>
            </w:r>
          </w:p>
        </w:tc>
        <w:tc>
          <w:tcPr>
            <w:tcW w:w="787" w:type="dxa"/>
            <w:gridSpan w:val="2"/>
            <w:tcBorders>
              <w:top w:val="nil"/>
              <w:left w:val="nil"/>
              <w:right w:val="nil"/>
            </w:tcBorders>
            <w:shd w:val="solid" w:color="000000" w:fill="auto"/>
            <w:vAlign w:val="bottom"/>
          </w:tcPr>
          <w:p w:rsidR="002D387D" w:rsidRPr="00F944DD" w:rsidRDefault="002D387D" w:rsidP="00361FA9">
            <w:pPr>
              <w:autoSpaceDE w:val="0"/>
              <w:autoSpaceDN w:val="0"/>
              <w:adjustRightInd w:val="0"/>
              <w:spacing w:after="0"/>
              <w:jc w:val="right"/>
              <w:rPr>
                <w:rFonts w:ascii="Calibri" w:eastAsiaTheme="minorEastAsia" w:hAnsi="Calibri" w:cs="Calibri"/>
                <w:i/>
                <w:iCs/>
                <w:color w:val="FFFFFF"/>
                <w:sz w:val="17"/>
                <w:szCs w:val="19"/>
                <w:vertAlign w:val="superscript"/>
                <w:lang w:eastAsia="en-AU"/>
              </w:rPr>
            </w:pPr>
            <w:r w:rsidRPr="00F944DD">
              <w:rPr>
                <w:rFonts w:ascii="Calibri" w:eastAsiaTheme="minorEastAsia" w:hAnsi="Calibri" w:cs="Calibri"/>
                <w:i/>
                <w:iCs/>
                <w:color w:val="FFFFFF"/>
                <w:sz w:val="17"/>
                <w:szCs w:val="19"/>
                <w:lang w:eastAsia="en-AU"/>
              </w:rPr>
              <w:t xml:space="preserve">Jun </w:t>
            </w:r>
            <w:r w:rsidRPr="00E83F19">
              <w:rPr>
                <w:rFonts w:ascii="Calibri" w:eastAsiaTheme="minorEastAsia" w:hAnsi="Calibri" w:cs="Calibri"/>
                <w:i/>
                <w:iCs/>
                <w:color w:val="FFFFFF"/>
                <w:sz w:val="17"/>
                <w:szCs w:val="19"/>
                <w:vertAlign w:val="superscript"/>
                <w:lang w:eastAsia="en-AU"/>
              </w:rPr>
              <w:t>(</w:t>
            </w:r>
            <w:r w:rsidRPr="00F944DD">
              <w:rPr>
                <w:rFonts w:ascii="Calibri" w:eastAsiaTheme="minorEastAsia" w:hAnsi="Calibri" w:cs="Calibri"/>
                <w:i/>
                <w:iCs/>
                <w:color w:val="FFFFFF"/>
                <w:sz w:val="17"/>
                <w:szCs w:val="19"/>
                <w:vertAlign w:val="superscript"/>
                <w:lang w:eastAsia="en-AU"/>
              </w:rPr>
              <w:t>a)</w:t>
            </w:r>
          </w:p>
        </w:tc>
        <w:tc>
          <w:tcPr>
            <w:tcW w:w="787" w:type="dxa"/>
            <w:tcBorders>
              <w:top w:val="nil"/>
              <w:left w:val="nil"/>
              <w:right w:val="nil"/>
            </w:tcBorders>
            <w:shd w:val="solid" w:color="000000" w:fill="auto"/>
            <w:vAlign w:val="bottom"/>
          </w:tcPr>
          <w:p w:rsidR="002D387D" w:rsidRPr="00F944DD" w:rsidRDefault="002D387D"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Sep</w:t>
            </w:r>
          </w:p>
        </w:tc>
        <w:tc>
          <w:tcPr>
            <w:tcW w:w="787" w:type="dxa"/>
            <w:tcBorders>
              <w:top w:val="nil"/>
              <w:left w:val="nil"/>
              <w:right w:val="nil"/>
            </w:tcBorders>
            <w:shd w:val="solid" w:color="000000" w:fill="auto"/>
            <w:vAlign w:val="bottom"/>
          </w:tcPr>
          <w:p w:rsidR="002D387D" w:rsidRPr="00F944DD" w:rsidRDefault="002D387D"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Dec</w:t>
            </w:r>
          </w:p>
        </w:tc>
        <w:tc>
          <w:tcPr>
            <w:tcW w:w="787" w:type="dxa"/>
            <w:tcBorders>
              <w:top w:val="nil"/>
              <w:left w:val="nil"/>
            </w:tcBorders>
            <w:shd w:val="solid" w:color="000000" w:fill="auto"/>
            <w:vAlign w:val="bottom"/>
          </w:tcPr>
          <w:p w:rsidR="002D387D" w:rsidRPr="00F944DD" w:rsidRDefault="002D387D" w:rsidP="00361FA9">
            <w:pPr>
              <w:autoSpaceDE w:val="0"/>
              <w:autoSpaceDN w:val="0"/>
              <w:adjustRightInd w:val="0"/>
              <w:spacing w:after="0"/>
              <w:jc w:val="right"/>
              <w:rPr>
                <w:rFonts w:ascii="Calibri" w:eastAsiaTheme="minorEastAsia" w:hAnsi="Calibri" w:cs="Calibri"/>
                <w:i/>
                <w:iCs/>
                <w:color w:val="FFFFFF"/>
                <w:sz w:val="17"/>
                <w:szCs w:val="19"/>
                <w:lang w:eastAsia="en-AU"/>
              </w:rPr>
            </w:pPr>
            <w:r w:rsidRPr="00F944DD">
              <w:rPr>
                <w:rFonts w:ascii="Calibri" w:eastAsiaTheme="minorEastAsia" w:hAnsi="Calibri" w:cs="Calibri"/>
                <w:i/>
                <w:iCs/>
                <w:color w:val="FFFFFF"/>
                <w:sz w:val="17"/>
                <w:szCs w:val="19"/>
                <w:lang w:eastAsia="en-AU"/>
              </w:rPr>
              <w:t>Mar</w:t>
            </w:r>
          </w:p>
        </w:tc>
      </w:tr>
      <w:tr w:rsidR="002D387D" w:rsidRPr="00F944DD" w:rsidTr="009F3507">
        <w:tc>
          <w:tcPr>
            <w:tcW w:w="7763" w:type="dxa"/>
            <w:gridSpan w:val="7"/>
            <w:tcBorders>
              <w:top w:val="nil"/>
            </w:tcBorders>
            <w:shd w:val="clear" w:color="auto" w:fill="FFFFFF"/>
          </w:tcPr>
          <w:p w:rsidR="002D387D" w:rsidRPr="00F944DD" w:rsidRDefault="002D387D" w:rsidP="002D387D">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Cash flows from operating activities </w:t>
            </w:r>
          </w:p>
        </w:tc>
      </w:tr>
      <w:tr w:rsidR="002D387D" w:rsidRPr="00F944DD" w:rsidTr="003A762F">
        <w:tc>
          <w:tcPr>
            <w:tcW w:w="7763" w:type="dxa"/>
            <w:gridSpan w:val="7"/>
            <w:tcBorders>
              <w:top w:val="nil"/>
            </w:tcBorders>
            <w:shd w:val="clear" w:color="auto" w:fill="FFFFFF"/>
          </w:tcPr>
          <w:p w:rsidR="002D387D" w:rsidRPr="00F944DD" w:rsidRDefault="002D387D" w:rsidP="002D387D">
            <w:pPr>
              <w:autoSpaceDE w:val="0"/>
              <w:autoSpaceDN w:val="0"/>
              <w:adjustRightInd w:val="0"/>
              <w:spacing w:after="0"/>
              <w:ind w:left="227" w:hanging="227"/>
              <w:rPr>
                <w:rFonts w:ascii="Calibri" w:eastAsiaTheme="minorEastAsia" w:hAnsi="Calibri" w:cs="Calibri"/>
                <w:b/>
                <w:bCs/>
                <w:color w:val="000000"/>
                <w:sz w:val="17"/>
                <w:szCs w:val="19"/>
                <w:lang w:eastAsia="en-AU"/>
              </w:rPr>
            </w:pPr>
            <w:r>
              <w:rPr>
                <w:rFonts w:ascii="Calibri" w:eastAsiaTheme="minorEastAsia" w:hAnsi="Calibri" w:cs="Calibri"/>
                <w:b/>
                <w:bCs/>
                <w:color w:val="000000"/>
                <w:sz w:val="17"/>
                <w:szCs w:val="19"/>
                <w:lang w:eastAsia="en-AU"/>
              </w:rPr>
              <w:t>Receipts</w:t>
            </w:r>
          </w:p>
        </w:tc>
      </w:tr>
      <w:tr w:rsidR="002C39A3" w:rsidRPr="00F944DD" w:rsidTr="00361FA9">
        <w:tc>
          <w:tcPr>
            <w:tcW w:w="3828"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Taxes received</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4 277</w:t>
            </w:r>
          </w:p>
        </w:tc>
        <w:tc>
          <w:tcPr>
            <w:tcW w:w="787"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4 773</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4 887</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5 048</w:t>
            </w:r>
          </w:p>
        </w:tc>
        <w:tc>
          <w:tcPr>
            <w:tcW w:w="78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4 748</w:t>
            </w:r>
          </w:p>
        </w:tc>
      </w:tr>
      <w:tr w:rsidR="002C39A3" w:rsidRPr="00F944DD" w:rsidTr="00361FA9">
        <w:tc>
          <w:tcPr>
            <w:tcW w:w="3828"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Grants</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6 698</w:t>
            </w:r>
          </w:p>
        </w:tc>
        <w:tc>
          <w:tcPr>
            <w:tcW w:w="787"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6 082</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6 008</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6 292</w:t>
            </w:r>
          </w:p>
        </w:tc>
        <w:tc>
          <w:tcPr>
            <w:tcW w:w="78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6 875</w:t>
            </w:r>
          </w:p>
        </w:tc>
      </w:tr>
      <w:tr w:rsidR="002C39A3" w:rsidRPr="00F944DD" w:rsidTr="00361FA9">
        <w:tc>
          <w:tcPr>
            <w:tcW w:w="3828"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vertAlign w:val="superscript"/>
                <w:lang w:eastAsia="en-AU"/>
              </w:rPr>
            </w:pPr>
            <w:r w:rsidRPr="00F944DD">
              <w:rPr>
                <w:rFonts w:ascii="Calibri" w:eastAsiaTheme="minorEastAsia" w:hAnsi="Calibri" w:cs="Calibri"/>
                <w:color w:val="000000"/>
                <w:sz w:val="17"/>
                <w:szCs w:val="19"/>
                <w:lang w:eastAsia="en-AU"/>
              </w:rPr>
              <w:t xml:space="preserve">Sales of goods and services </w:t>
            </w:r>
            <w:r w:rsidRPr="00F944DD">
              <w:rPr>
                <w:rFonts w:ascii="Calibri" w:eastAsiaTheme="minorEastAsia" w:hAnsi="Calibri" w:cs="Calibri"/>
                <w:color w:val="000000"/>
                <w:sz w:val="17"/>
                <w:szCs w:val="19"/>
                <w:vertAlign w:val="superscript"/>
                <w:lang w:eastAsia="en-AU"/>
              </w:rPr>
              <w:t>(b)</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1 922</w:t>
            </w:r>
          </w:p>
        </w:tc>
        <w:tc>
          <w:tcPr>
            <w:tcW w:w="787"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1 591</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1 782</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1 745</w:t>
            </w:r>
          </w:p>
        </w:tc>
        <w:tc>
          <w:tcPr>
            <w:tcW w:w="78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1 667</w:t>
            </w:r>
          </w:p>
        </w:tc>
      </w:tr>
      <w:tr w:rsidR="002C39A3" w:rsidRPr="00F944DD" w:rsidTr="00361FA9">
        <w:tc>
          <w:tcPr>
            <w:tcW w:w="3828"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 xml:space="preserve">Interest received </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193</w:t>
            </w:r>
          </w:p>
        </w:tc>
        <w:tc>
          <w:tcPr>
            <w:tcW w:w="787"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235</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193</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179</w:t>
            </w:r>
          </w:p>
        </w:tc>
        <w:tc>
          <w:tcPr>
            <w:tcW w:w="78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183</w:t>
            </w:r>
          </w:p>
        </w:tc>
      </w:tr>
      <w:tr w:rsidR="002C39A3" w:rsidRPr="00F944DD" w:rsidTr="00361FA9">
        <w:tc>
          <w:tcPr>
            <w:tcW w:w="3828"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Dividends and</w:t>
            </w:r>
            <w:r w:rsidR="002D387D">
              <w:rPr>
                <w:rFonts w:ascii="Calibri" w:eastAsiaTheme="minorEastAsia" w:hAnsi="Calibri" w:cs="Calibri"/>
                <w:color w:val="000000"/>
                <w:sz w:val="17"/>
                <w:szCs w:val="19"/>
                <w:lang w:eastAsia="en-AU"/>
              </w:rPr>
              <w:t xml:space="preserve"> income tax equivalent and rate </w:t>
            </w:r>
            <w:r w:rsidRPr="00F944DD">
              <w:rPr>
                <w:rFonts w:ascii="Calibri" w:eastAsiaTheme="minorEastAsia" w:hAnsi="Calibri" w:cs="Calibri"/>
                <w:color w:val="000000"/>
                <w:sz w:val="17"/>
                <w:szCs w:val="19"/>
                <w:lang w:eastAsia="en-AU"/>
              </w:rPr>
              <w:t>equivalent receipts</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71</w:t>
            </w:r>
          </w:p>
        </w:tc>
        <w:tc>
          <w:tcPr>
            <w:tcW w:w="787"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268</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49</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556</w:t>
            </w:r>
          </w:p>
        </w:tc>
        <w:tc>
          <w:tcPr>
            <w:tcW w:w="78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108</w:t>
            </w:r>
          </w:p>
        </w:tc>
      </w:tr>
      <w:tr w:rsidR="002C39A3" w:rsidRPr="00F944DD" w:rsidTr="00361FA9">
        <w:tc>
          <w:tcPr>
            <w:tcW w:w="3828"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Other receipts</w:t>
            </w:r>
          </w:p>
        </w:tc>
        <w:tc>
          <w:tcPr>
            <w:tcW w:w="78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164</w:t>
            </w:r>
          </w:p>
        </w:tc>
        <w:tc>
          <w:tcPr>
            <w:tcW w:w="787" w:type="dxa"/>
            <w:gridSpan w:val="2"/>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816</w:t>
            </w:r>
          </w:p>
        </w:tc>
        <w:tc>
          <w:tcPr>
            <w:tcW w:w="78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439</w:t>
            </w:r>
          </w:p>
        </w:tc>
        <w:tc>
          <w:tcPr>
            <w:tcW w:w="78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499</w:t>
            </w:r>
          </w:p>
        </w:tc>
        <w:tc>
          <w:tcPr>
            <w:tcW w:w="787"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942</w:t>
            </w:r>
          </w:p>
        </w:tc>
      </w:tr>
      <w:tr w:rsidR="002C39A3" w:rsidRPr="00F944DD" w:rsidTr="00361FA9">
        <w:tc>
          <w:tcPr>
            <w:tcW w:w="3828"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Total receipts</w:t>
            </w:r>
          </w:p>
        </w:tc>
        <w:tc>
          <w:tcPr>
            <w:tcW w:w="78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13 323</w:t>
            </w:r>
          </w:p>
        </w:tc>
        <w:tc>
          <w:tcPr>
            <w:tcW w:w="787" w:type="dxa"/>
            <w:gridSpan w:val="2"/>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13 764</w:t>
            </w:r>
          </w:p>
        </w:tc>
        <w:tc>
          <w:tcPr>
            <w:tcW w:w="78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13 359</w:t>
            </w:r>
          </w:p>
        </w:tc>
        <w:tc>
          <w:tcPr>
            <w:tcW w:w="78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14 319</w:t>
            </w:r>
          </w:p>
        </w:tc>
        <w:tc>
          <w:tcPr>
            <w:tcW w:w="787"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14 523</w:t>
            </w:r>
          </w:p>
        </w:tc>
      </w:tr>
      <w:tr w:rsidR="002D387D" w:rsidRPr="00F944DD" w:rsidTr="00977A4F">
        <w:tc>
          <w:tcPr>
            <w:tcW w:w="7763" w:type="dxa"/>
            <w:gridSpan w:val="7"/>
            <w:tcBorders>
              <w:top w:val="nil"/>
            </w:tcBorders>
            <w:shd w:val="clear" w:color="auto" w:fill="FFFFFF"/>
          </w:tcPr>
          <w:p w:rsidR="002D387D" w:rsidRPr="00F944DD" w:rsidRDefault="002D387D" w:rsidP="002D387D">
            <w:pPr>
              <w:autoSpaceDE w:val="0"/>
              <w:autoSpaceDN w:val="0"/>
              <w:adjustRightInd w:val="0"/>
              <w:spacing w:after="0"/>
              <w:ind w:left="227" w:hanging="227"/>
              <w:rPr>
                <w:rFonts w:ascii="Calibri" w:eastAsiaTheme="minorEastAsia" w:hAnsi="Calibri" w:cs="Calibri"/>
                <w:b/>
                <w:bCs/>
                <w:color w:val="000000"/>
                <w:sz w:val="17"/>
                <w:szCs w:val="19"/>
                <w:lang w:eastAsia="en-AU"/>
              </w:rPr>
            </w:pPr>
            <w:r>
              <w:rPr>
                <w:rFonts w:ascii="Calibri" w:eastAsiaTheme="minorEastAsia" w:hAnsi="Calibri" w:cs="Calibri"/>
                <w:b/>
                <w:bCs/>
                <w:color w:val="000000"/>
                <w:sz w:val="17"/>
                <w:szCs w:val="19"/>
                <w:lang w:eastAsia="en-AU"/>
              </w:rPr>
              <w:t>Payments</w:t>
            </w:r>
          </w:p>
        </w:tc>
      </w:tr>
      <w:tr w:rsidR="002C39A3" w:rsidRPr="00F944DD" w:rsidTr="00361FA9">
        <w:tc>
          <w:tcPr>
            <w:tcW w:w="3828"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Payments for employees</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(4 482)</w:t>
            </w:r>
          </w:p>
        </w:tc>
        <w:tc>
          <w:tcPr>
            <w:tcW w:w="787"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(4 908)</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(4 730)</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(4 892)</w:t>
            </w:r>
          </w:p>
        </w:tc>
        <w:tc>
          <w:tcPr>
            <w:tcW w:w="78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(4 972)</w:t>
            </w:r>
          </w:p>
        </w:tc>
      </w:tr>
      <w:tr w:rsidR="002C39A3" w:rsidRPr="00F944DD" w:rsidTr="00361FA9">
        <w:tc>
          <w:tcPr>
            <w:tcW w:w="3828"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Superannuation</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(667)</w:t>
            </w:r>
          </w:p>
        </w:tc>
        <w:tc>
          <w:tcPr>
            <w:tcW w:w="787"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(684)</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(773)</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(757)</w:t>
            </w:r>
          </w:p>
        </w:tc>
        <w:tc>
          <w:tcPr>
            <w:tcW w:w="78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(658)</w:t>
            </w:r>
          </w:p>
        </w:tc>
      </w:tr>
      <w:tr w:rsidR="002C39A3" w:rsidRPr="00F944DD" w:rsidTr="00361FA9">
        <w:tc>
          <w:tcPr>
            <w:tcW w:w="3828"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Interest paid</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(513)</w:t>
            </w:r>
          </w:p>
        </w:tc>
        <w:tc>
          <w:tcPr>
            <w:tcW w:w="787"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(529)</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(531)</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(500)</w:t>
            </w:r>
          </w:p>
        </w:tc>
        <w:tc>
          <w:tcPr>
            <w:tcW w:w="78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(519)</w:t>
            </w:r>
          </w:p>
        </w:tc>
      </w:tr>
      <w:tr w:rsidR="002C39A3" w:rsidRPr="00F944DD" w:rsidTr="00361FA9">
        <w:tc>
          <w:tcPr>
            <w:tcW w:w="3828"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Grants and subsidies</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(2 617)</w:t>
            </w:r>
          </w:p>
        </w:tc>
        <w:tc>
          <w:tcPr>
            <w:tcW w:w="787"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(1 614)</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(2 185)</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(2 151)</w:t>
            </w:r>
          </w:p>
        </w:tc>
        <w:tc>
          <w:tcPr>
            <w:tcW w:w="78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(2 693)</w:t>
            </w:r>
          </w:p>
        </w:tc>
      </w:tr>
      <w:tr w:rsidR="002C39A3" w:rsidRPr="00F944DD" w:rsidTr="00361FA9">
        <w:tc>
          <w:tcPr>
            <w:tcW w:w="3828"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vertAlign w:val="superscript"/>
                <w:lang w:eastAsia="en-AU"/>
              </w:rPr>
            </w:pPr>
            <w:r w:rsidRPr="00F944DD">
              <w:rPr>
                <w:rFonts w:ascii="Calibri" w:eastAsiaTheme="minorEastAsia" w:hAnsi="Calibri" w:cs="Calibri"/>
                <w:color w:val="000000"/>
                <w:sz w:val="17"/>
                <w:szCs w:val="19"/>
                <w:lang w:eastAsia="en-AU"/>
              </w:rPr>
              <w:t xml:space="preserve">Goods and services </w:t>
            </w:r>
            <w:r w:rsidRPr="00F944DD">
              <w:rPr>
                <w:rFonts w:ascii="Calibri" w:eastAsiaTheme="minorEastAsia" w:hAnsi="Calibri" w:cs="Calibri"/>
                <w:color w:val="000000"/>
                <w:sz w:val="17"/>
                <w:szCs w:val="19"/>
                <w:vertAlign w:val="superscript"/>
                <w:lang w:eastAsia="en-AU"/>
              </w:rPr>
              <w:t>(b)</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(3 499)</w:t>
            </w:r>
          </w:p>
        </w:tc>
        <w:tc>
          <w:tcPr>
            <w:tcW w:w="787"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(4 370)</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(4 666)</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(4 301)</w:t>
            </w:r>
          </w:p>
        </w:tc>
        <w:tc>
          <w:tcPr>
            <w:tcW w:w="78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(3 644)</w:t>
            </w:r>
          </w:p>
        </w:tc>
      </w:tr>
      <w:tr w:rsidR="002C39A3" w:rsidRPr="00F944DD" w:rsidTr="00361FA9">
        <w:tc>
          <w:tcPr>
            <w:tcW w:w="3828"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Other payments</w:t>
            </w:r>
          </w:p>
        </w:tc>
        <w:tc>
          <w:tcPr>
            <w:tcW w:w="78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(138)</w:t>
            </w:r>
          </w:p>
        </w:tc>
        <w:tc>
          <w:tcPr>
            <w:tcW w:w="787" w:type="dxa"/>
            <w:gridSpan w:val="2"/>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(581)</w:t>
            </w:r>
          </w:p>
        </w:tc>
        <w:tc>
          <w:tcPr>
            <w:tcW w:w="78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(194)</w:t>
            </w:r>
          </w:p>
        </w:tc>
        <w:tc>
          <w:tcPr>
            <w:tcW w:w="78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(176)</w:t>
            </w:r>
          </w:p>
        </w:tc>
        <w:tc>
          <w:tcPr>
            <w:tcW w:w="787"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(161)</w:t>
            </w:r>
          </w:p>
        </w:tc>
      </w:tr>
      <w:tr w:rsidR="002C39A3" w:rsidRPr="00F944DD" w:rsidTr="00361FA9">
        <w:tc>
          <w:tcPr>
            <w:tcW w:w="3828" w:type="dxa"/>
            <w:tcBorders>
              <w:top w:val="single" w:sz="6" w:space="0" w:color="000000"/>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Total payments</w:t>
            </w:r>
          </w:p>
        </w:tc>
        <w:tc>
          <w:tcPr>
            <w:tcW w:w="787"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(11 915)</w:t>
            </w:r>
          </w:p>
        </w:tc>
        <w:tc>
          <w:tcPr>
            <w:tcW w:w="787" w:type="dxa"/>
            <w:gridSpan w:val="2"/>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(12 686)</w:t>
            </w:r>
          </w:p>
        </w:tc>
        <w:tc>
          <w:tcPr>
            <w:tcW w:w="787"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(13 078)</w:t>
            </w:r>
          </w:p>
        </w:tc>
        <w:tc>
          <w:tcPr>
            <w:tcW w:w="787" w:type="dxa"/>
            <w:tcBorders>
              <w:top w:val="single" w:sz="6" w:space="0" w:color="000000"/>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(12 778)</w:t>
            </w:r>
          </w:p>
        </w:tc>
        <w:tc>
          <w:tcPr>
            <w:tcW w:w="787" w:type="dxa"/>
            <w:tcBorders>
              <w:top w:val="single" w:sz="6" w:space="0" w:color="000000"/>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(12 647)</w:t>
            </w:r>
          </w:p>
        </w:tc>
      </w:tr>
      <w:tr w:rsidR="002C39A3" w:rsidRPr="00F944DD" w:rsidTr="00361FA9">
        <w:tc>
          <w:tcPr>
            <w:tcW w:w="3828"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Net cash flows from operating activities</w:t>
            </w:r>
          </w:p>
        </w:tc>
        <w:tc>
          <w:tcPr>
            <w:tcW w:w="78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1 408</w:t>
            </w:r>
          </w:p>
        </w:tc>
        <w:tc>
          <w:tcPr>
            <w:tcW w:w="787" w:type="dxa"/>
            <w:gridSpan w:val="2"/>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1 078</w:t>
            </w:r>
          </w:p>
        </w:tc>
        <w:tc>
          <w:tcPr>
            <w:tcW w:w="78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280</w:t>
            </w:r>
          </w:p>
        </w:tc>
        <w:tc>
          <w:tcPr>
            <w:tcW w:w="78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1 541</w:t>
            </w:r>
          </w:p>
        </w:tc>
        <w:tc>
          <w:tcPr>
            <w:tcW w:w="787"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1 877</w:t>
            </w:r>
          </w:p>
        </w:tc>
      </w:tr>
      <w:tr w:rsidR="002D387D" w:rsidRPr="00F944DD" w:rsidTr="00A35355">
        <w:tc>
          <w:tcPr>
            <w:tcW w:w="7763" w:type="dxa"/>
            <w:gridSpan w:val="7"/>
            <w:tcBorders>
              <w:top w:val="nil"/>
            </w:tcBorders>
            <w:shd w:val="clear" w:color="auto" w:fill="FFFFFF"/>
          </w:tcPr>
          <w:p w:rsidR="002D387D" w:rsidRPr="00F944DD" w:rsidRDefault="002D387D" w:rsidP="002D387D">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Cash flows from investing activities</w:t>
            </w:r>
          </w:p>
        </w:tc>
      </w:tr>
      <w:tr w:rsidR="002C39A3" w:rsidRPr="00F944DD" w:rsidTr="00361FA9">
        <w:tc>
          <w:tcPr>
            <w:tcW w:w="3828"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Purchases of non-financial assets</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(269)</w:t>
            </w:r>
          </w:p>
        </w:tc>
        <w:tc>
          <w:tcPr>
            <w:tcW w:w="787"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(1 982)</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(960)</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(1 077)</w:t>
            </w:r>
          </w:p>
        </w:tc>
        <w:tc>
          <w:tcPr>
            <w:tcW w:w="78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(954)</w:t>
            </w:r>
          </w:p>
        </w:tc>
      </w:tr>
      <w:tr w:rsidR="002C39A3" w:rsidRPr="00F944DD" w:rsidTr="00361FA9">
        <w:tc>
          <w:tcPr>
            <w:tcW w:w="3828"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Sales of non-financial assets</w:t>
            </w:r>
          </w:p>
        </w:tc>
        <w:tc>
          <w:tcPr>
            <w:tcW w:w="78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63</w:t>
            </w:r>
          </w:p>
        </w:tc>
        <w:tc>
          <w:tcPr>
            <w:tcW w:w="787" w:type="dxa"/>
            <w:gridSpan w:val="2"/>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213</w:t>
            </w:r>
          </w:p>
        </w:tc>
        <w:tc>
          <w:tcPr>
            <w:tcW w:w="78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22</w:t>
            </w:r>
          </w:p>
        </w:tc>
        <w:tc>
          <w:tcPr>
            <w:tcW w:w="78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51</w:t>
            </w:r>
          </w:p>
        </w:tc>
        <w:tc>
          <w:tcPr>
            <w:tcW w:w="787"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30</w:t>
            </w:r>
          </w:p>
        </w:tc>
      </w:tr>
      <w:tr w:rsidR="002C39A3" w:rsidRPr="00F944DD" w:rsidTr="00361FA9">
        <w:tc>
          <w:tcPr>
            <w:tcW w:w="3828"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Net cash flows from investments in non-financial assets</w:t>
            </w:r>
          </w:p>
        </w:tc>
        <w:tc>
          <w:tcPr>
            <w:tcW w:w="78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(206)</w:t>
            </w:r>
          </w:p>
        </w:tc>
        <w:tc>
          <w:tcPr>
            <w:tcW w:w="787" w:type="dxa"/>
            <w:gridSpan w:val="2"/>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(1 769)</w:t>
            </w:r>
          </w:p>
        </w:tc>
        <w:tc>
          <w:tcPr>
            <w:tcW w:w="78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(938)</w:t>
            </w:r>
          </w:p>
        </w:tc>
        <w:tc>
          <w:tcPr>
            <w:tcW w:w="78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(1 026)</w:t>
            </w:r>
          </w:p>
        </w:tc>
        <w:tc>
          <w:tcPr>
            <w:tcW w:w="787"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(925)</w:t>
            </w:r>
          </w:p>
        </w:tc>
      </w:tr>
      <w:tr w:rsidR="002C39A3" w:rsidRPr="00F944DD" w:rsidTr="00361FA9">
        <w:tc>
          <w:tcPr>
            <w:tcW w:w="3828"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Net cash flows from investments in financial assets for policy purposes</w:t>
            </w:r>
          </w:p>
        </w:tc>
        <w:tc>
          <w:tcPr>
            <w:tcW w:w="78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(657)</w:t>
            </w:r>
          </w:p>
        </w:tc>
        <w:tc>
          <w:tcPr>
            <w:tcW w:w="787" w:type="dxa"/>
            <w:gridSpan w:val="2"/>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(270)</w:t>
            </w:r>
          </w:p>
        </w:tc>
        <w:tc>
          <w:tcPr>
            <w:tcW w:w="78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30</w:t>
            </w:r>
          </w:p>
        </w:tc>
        <w:tc>
          <w:tcPr>
            <w:tcW w:w="78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(220)</w:t>
            </w:r>
          </w:p>
        </w:tc>
        <w:tc>
          <w:tcPr>
            <w:tcW w:w="787"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(77)</w:t>
            </w:r>
          </w:p>
        </w:tc>
      </w:tr>
      <w:tr w:rsidR="002C39A3" w:rsidRPr="00F944DD" w:rsidTr="00361FA9">
        <w:tc>
          <w:tcPr>
            <w:tcW w:w="3828"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Sub-total</w:t>
            </w:r>
          </w:p>
        </w:tc>
        <w:tc>
          <w:tcPr>
            <w:tcW w:w="78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(864)</w:t>
            </w:r>
          </w:p>
        </w:tc>
        <w:tc>
          <w:tcPr>
            <w:tcW w:w="787" w:type="dxa"/>
            <w:gridSpan w:val="2"/>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(2 039)</w:t>
            </w:r>
          </w:p>
        </w:tc>
        <w:tc>
          <w:tcPr>
            <w:tcW w:w="78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(908)</w:t>
            </w:r>
          </w:p>
        </w:tc>
        <w:tc>
          <w:tcPr>
            <w:tcW w:w="78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(1 245)</w:t>
            </w:r>
          </w:p>
        </w:tc>
        <w:tc>
          <w:tcPr>
            <w:tcW w:w="787"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(1 001)</w:t>
            </w:r>
          </w:p>
        </w:tc>
      </w:tr>
      <w:tr w:rsidR="002C39A3" w:rsidRPr="00F944DD" w:rsidTr="00361FA9">
        <w:tc>
          <w:tcPr>
            <w:tcW w:w="3828"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Net cash flows from investments in financial assets for liquidity management purposes</w:t>
            </w:r>
          </w:p>
        </w:tc>
        <w:tc>
          <w:tcPr>
            <w:tcW w:w="78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(15)</w:t>
            </w:r>
          </w:p>
        </w:tc>
        <w:tc>
          <w:tcPr>
            <w:tcW w:w="787" w:type="dxa"/>
            <w:gridSpan w:val="2"/>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(39)</w:t>
            </w:r>
          </w:p>
        </w:tc>
        <w:tc>
          <w:tcPr>
            <w:tcW w:w="78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(74)</w:t>
            </w:r>
          </w:p>
        </w:tc>
        <w:tc>
          <w:tcPr>
            <w:tcW w:w="78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40</w:t>
            </w:r>
          </w:p>
        </w:tc>
        <w:tc>
          <w:tcPr>
            <w:tcW w:w="787"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(392)</w:t>
            </w:r>
          </w:p>
        </w:tc>
      </w:tr>
      <w:tr w:rsidR="002C39A3" w:rsidRPr="00F944DD" w:rsidTr="00361FA9">
        <w:tc>
          <w:tcPr>
            <w:tcW w:w="3828"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Net cash flows from investment activities</w:t>
            </w:r>
          </w:p>
        </w:tc>
        <w:tc>
          <w:tcPr>
            <w:tcW w:w="78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(879)</w:t>
            </w:r>
          </w:p>
        </w:tc>
        <w:tc>
          <w:tcPr>
            <w:tcW w:w="787" w:type="dxa"/>
            <w:gridSpan w:val="2"/>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(2 078)</w:t>
            </w:r>
          </w:p>
        </w:tc>
        <w:tc>
          <w:tcPr>
            <w:tcW w:w="78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(982)</w:t>
            </w:r>
          </w:p>
        </w:tc>
        <w:tc>
          <w:tcPr>
            <w:tcW w:w="78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(1 205)</w:t>
            </w:r>
          </w:p>
        </w:tc>
        <w:tc>
          <w:tcPr>
            <w:tcW w:w="787"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(1 393)</w:t>
            </w:r>
          </w:p>
        </w:tc>
      </w:tr>
      <w:tr w:rsidR="002D387D" w:rsidRPr="00F944DD" w:rsidTr="00D36B11">
        <w:tc>
          <w:tcPr>
            <w:tcW w:w="7763" w:type="dxa"/>
            <w:gridSpan w:val="7"/>
            <w:tcBorders>
              <w:top w:val="nil"/>
            </w:tcBorders>
            <w:shd w:val="clear" w:color="auto" w:fill="FFFFFF"/>
          </w:tcPr>
          <w:p w:rsidR="002D387D" w:rsidRPr="00F944DD" w:rsidRDefault="002D387D" w:rsidP="002D387D">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Cash flows from financing activities</w:t>
            </w:r>
          </w:p>
        </w:tc>
      </w:tr>
      <w:tr w:rsidR="002C39A3" w:rsidRPr="00F944DD" w:rsidTr="00361FA9">
        <w:tc>
          <w:tcPr>
            <w:tcW w:w="3828"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Advances received (net)</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w:t>
            </w:r>
          </w:p>
        </w:tc>
        <w:tc>
          <w:tcPr>
            <w:tcW w:w="787"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w:t>
            </w:r>
          </w:p>
        </w:tc>
        <w:tc>
          <w:tcPr>
            <w:tcW w:w="78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w:t>
            </w:r>
          </w:p>
        </w:tc>
      </w:tr>
      <w:tr w:rsidR="002C39A3" w:rsidRPr="00F944DD" w:rsidTr="00361FA9">
        <w:tc>
          <w:tcPr>
            <w:tcW w:w="3828"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Net borrowings</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267</w:t>
            </w:r>
          </w:p>
        </w:tc>
        <w:tc>
          <w:tcPr>
            <w:tcW w:w="787"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684</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528</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(299)</w:t>
            </w:r>
          </w:p>
        </w:tc>
        <w:tc>
          <w:tcPr>
            <w:tcW w:w="78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(225)</w:t>
            </w:r>
          </w:p>
        </w:tc>
      </w:tr>
      <w:tr w:rsidR="002C39A3" w:rsidRPr="00F944DD" w:rsidTr="00361FA9">
        <w:tc>
          <w:tcPr>
            <w:tcW w:w="3828" w:type="dxa"/>
            <w:tcBorders>
              <w:top w:val="nil"/>
              <w:bottom w:val="single" w:sz="4" w:space="0" w:color="auto"/>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Deposits received (net)</w:t>
            </w:r>
          </w:p>
        </w:tc>
        <w:tc>
          <w:tcPr>
            <w:tcW w:w="787" w:type="dxa"/>
            <w:tcBorders>
              <w:top w:val="nil"/>
              <w:left w:val="nil"/>
              <w:bottom w:val="single" w:sz="4"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105</w:t>
            </w:r>
          </w:p>
        </w:tc>
        <w:tc>
          <w:tcPr>
            <w:tcW w:w="787" w:type="dxa"/>
            <w:gridSpan w:val="2"/>
            <w:tcBorders>
              <w:top w:val="nil"/>
              <w:left w:val="nil"/>
              <w:bottom w:val="single" w:sz="4"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(10)</w:t>
            </w:r>
          </w:p>
        </w:tc>
        <w:tc>
          <w:tcPr>
            <w:tcW w:w="787" w:type="dxa"/>
            <w:tcBorders>
              <w:top w:val="nil"/>
              <w:left w:val="nil"/>
              <w:bottom w:val="single" w:sz="4"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(47)</w:t>
            </w:r>
          </w:p>
        </w:tc>
        <w:tc>
          <w:tcPr>
            <w:tcW w:w="787" w:type="dxa"/>
            <w:tcBorders>
              <w:top w:val="nil"/>
              <w:left w:val="nil"/>
              <w:bottom w:val="single" w:sz="4"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14</w:t>
            </w:r>
          </w:p>
        </w:tc>
        <w:tc>
          <w:tcPr>
            <w:tcW w:w="787" w:type="dxa"/>
            <w:tcBorders>
              <w:top w:val="nil"/>
              <w:left w:val="nil"/>
              <w:bottom w:val="single" w:sz="4"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43</w:t>
            </w:r>
          </w:p>
        </w:tc>
      </w:tr>
      <w:tr w:rsidR="002C39A3" w:rsidRPr="00F944DD" w:rsidTr="00361FA9">
        <w:tc>
          <w:tcPr>
            <w:tcW w:w="3828" w:type="dxa"/>
            <w:tcBorders>
              <w:top w:val="single" w:sz="4" w:space="0" w:color="auto"/>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Net cash flows from financing activities</w:t>
            </w:r>
          </w:p>
        </w:tc>
        <w:tc>
          <w:tcPr>
            <w:tcW w:w="787" w:type="dxa"/>
            <w:tcBorders>
              <w:top w:val="single" w:sz="4" w:space="0" w:color="auto"/>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372</w:t>
            </w:r>
          </w:p>
        </w:tc>
        <w:tc>
          <w:tcPr>
            <w:tcW w:w="787" w:type="dxa"/>
            <w:gridSpan w:val="2"/>
            <w:tcBorders>
              <w:top w:val="single" w:sz="4" w:space="0" w:color="auto"/>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673</w:t>
            </w:r>
          </w:p>
        </w:tc>
        <w:tc>
          <w:tcPr>
            <w:tcW w:w="787" w:type="dxa"/>
            <w:tcBorders>
              <w:top w:val="single" w:sz="4" w:space="0" w:color="auto"/>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481</w:t>
            </w:r>
          </w:p>
        </w:tc>
        <w:tc>
          <w:tcPr>
            <w:tcW w:w="787" w:type="dxa"/>
            <w:tcBorders>
              <w:top w:val="single" w:sz="4" w:space="0" w:color="auto"/>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(285)</w:t>
            </w:r>
          </w:p>
        </w:tc>
        <w:tc>
          <w:tcPr>
            <w:tcW w:w="787" w:type="dxa"/>
            <w:tcBorders>
              <w:top w:val="single" w:sz="4" w:space="0" w:color="auto"/>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(181)</w:t>
            </w:r>
          </w:p>
        </w:tc>
      </w:tr>
      <w:tr w:rsidR="002C39A3" w:rsidRPr="00F944DD" w:rsidTr="00361FA9">
        <w:tc>
          <w:tcPr>
            <w:tcW w:w="3828" w:type="dxa"/>
            <w:tcBorders>
              <w:top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 xml:space="preserve">Net increase/(decrease) in cash and cash equivalents </w:t>
            </w:r>
          </w:p>
        </w:tc>
        <w:tc>
          <w:tcPr>
            <w:tcW w:w="78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902</w:t>
            </w:r>
          </w:p>
        </w:tc>
        <w:tc>
          <w:tcPr>
            <w:tcW w:w="787" w:type="dxa"/>
            <w:gridSpan w:val="2"/>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(327)</w:t>
            </w:r>
          </w:p>
        </w:tc>
        <w:tc>
          <w:tcPr>
            <w:tcW w:w="78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(220)</w:t>
            </w:r>
          </w:p>
        </w:tc>
        <w:tc>
          <w:tcPr>
            <w:tcW w:w="787" w:type="dxa"/>
            <w:tcBorders>
              <w:top w:val="single" w:sz="6" w:space="0" w:color="000000"/>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51</w:t>
            </w:r>
          </w:p>
        </w:tc>
        <w:tc>
          <w:tcPr>
            <w:tcW w:w="787" w:type="dxa"/>
            <w:tcBorders>
              <w:top w:val="single" w:sz="6" w:space="0" w:color="000000"/>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303</w:t>
            </w:r>
          </w:p>
        </w:tc>
      </w:tr>
      <w:tr w:rsidR="002C39A3" w:rsidRPr="00F944DD" w:rsidTr="00361FA9">
        <w:tc>
          <w:tcPr>
            <w:tcW w:w="3828" w:type="dxa"/>
            <w:tcBorders>
              <w:top w:val="nil"/>
              <w:bottom w:val="single" w:sz="6"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Cash and cash equiva</w:t>
            </w:r>
            <w:r w:rsidR="002D387D">
              <w:rPr>
                <w:rFonts w:ascii="Calibri" w:eastAsiaTheme="minorEastAsia" w:hAnsi="Calibri" w:cs="Calibri"/>
                <w:color w:val="000000"/>
                <w:sz w:val="17"/>
                <w:szCs w:val="19"/>
                <w:lang w:eastAsia="en-AU"/>
              </w:rPr>
              <w:t>lents at beginning of reporting </w:t>
            </w:r>
            <w:r w:rsidRPr="00F944DD">
              <w:rPr>
                <w:rFonts w:ascii="Calibri" w:eastAsiaTheme="minorEastAsia" w:hAnsi="Calibri" w:cs="Calibri"/>
                <w:color w:val="000000"/>
                <w:sz w:val="17"/>
                <w:szCs w:val="19"/>
                <w:lang w:eastAsia="en-AU"/>
              </w:rPr>
              <w:t>period</w:t>
            </w:r>
          </w:p>
        </w:tc>
        <w:tc>
          <w:tcPr>
            <w:tcW w:w="78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3 707</w:t>
            </w:r>
          </w:p>
        </w:tc>
        <w:tc>
          <w:tcPr>
            <w:tcW w:w="787" w:type="dxa"/>
            <w:gridSpan w:val="2"/>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4 609</w:t>
            </w:r>
          </w:p>
        </w:tc>
        <w:tc>
          <w:tcPr>
            <w:tcW w:w="78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4 282</w:t>
            </w:r>
          </w:p>
        </w:tc>
        <w:tc>
          <w:tcPr>
            <w:tcW w:w="78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4 061</w:t>
            </w:r>
          </w:p>
        </w:tc>
        <w:tc>
          <w:tcPr>
            <w:tcW w:w="787"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4 112</w:t>
            </w:r>
          </w:p>
        </w:tc>
      </w:tr>
      <w:tr w:rsidR="002C39A3" w:rsidRPr="00F944DD" w:rsidTr="00361FA9">
        <w:tc>
          <w:tcPr>
            <w:tcW w:w="3828" w:type="dxa"/>
            <w:tcBorders>
              <w:top w:val="single" w:sz="6" w:space="0" w:color="000000"/>
              <w:bottom w:val="single" w:sz="12" w:space="0" w:color="000000"/>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Cash and cash equi</w:t>
            </w:r>
            <w:r w:rsidR="002D387D">
              <w:rPr>
                <w:rFonts w:ascii="Calibri" w:eastAsiaTheme="minorEastAsia" w:hAnsi="Calibri" w:cs="Calibri"/>
                <w:b/>
                <w:bCs/>
                <w:color w:val="000000"/>
                <w:sz w:val="17"/>
                <w:szCs w:val="19"/>
                <w:lang w:eastAsia="en-AU"/>
              </w:rPr>
              <w:t>valents at end of the reporting </w:t>
            </w:r>
            <w:r w:rsidRPr="00F944DD">
              <w:rPr>
                <w:rFonts w:ascii="Calibri" w:eastAsiaTheme="minorEastAsia" w:hAnsi="Calibri" w:cs="Calibri"/>
                <w:b/>
                <w:bCs/>
                <w:color w:val="000000"/>
                <w:sz w:val="17"/>
                <w:szCs w:val="19"/>
                <w:lang w:eastAsia="en-AU"/>
              </w:rPr>
              <w:t>period</w:t>
            </w:r>
          </w:p>
        </w:tc>
        <w:tc>
          <w:tcPr>
            <w:tcW w:w="787"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4 609</w:t>
            </w:r>
          </w:p>
        </w:tc>
        <w:tc>
          <w:tcPr>
            <w:tcW w:w="787" w:type="dxa"/>
            <w:gridSpan w:val="2"/>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4 282</w:t>
            </w:r>
          </w:p>
        </w:tc>
        <w:tc>
          <w:tcPr>
            <w:tcW w:w="787"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4 061</w:t>
            </w:r>
          </w:p>
        </w:tc>
        <w:tc>
          <w:tcPr>
            <w:tcW w:w="787" w:type="dxa"/>
            <w:tcBorders>
              <w:top w:val="single" w:sz="6" w:space="0" w:color="000000"/>
              <w:left w:val="nil"/>
              <w:bottom w:val="single" w:sz="12"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4 112</w:t>
            </w:r>
          </w:p>
        </w:tc>
        <w:tc>
          <w:tcPr>
            <w:tcW w:w="787" w:type="dxa"/>
            <w:tcBorders>
              <w:top w:val="single" w:sz="6" w:space="0" w:color="000000"/>
              <w:left w:val="nil"/>
              <w:bottom w:val="single" w:sz="12"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4 415</w:t>
            </w:r>
          </w:p>
        </w:tc>
      </w:tr>
      <w:tr w:rsidR="002D387D" w:rsidRPr="00F944DD" w:rsidTr="009E3D82">
        <w:trPr>
          <w:trHeight w:hRule="exact" w:val="120"/>
        </w:trPr>
        <w:tc>
          <w:tcPr>
            <w:tcW w:w="7763" w:type="dxa"/>
            <w:gridSpan w:val="7"/>
            <w:tcBorders>
              <w:top w:val="single" w:sz="12" w:space="0" w:color="000000"/>
            </w:tcBorders>
            <w:shd w:val="clear" w:color="auto" w:fill="FFFFFF"/>
          </w:tcPr>
          <w:p w:rsidR="002D387D" w:rsidRPr="00F944DD" w:rsidRDefault="002D387D" w:rsidP="00361FA9">
            <w:pPr>
              <w:autoSpaceDE w:val="0"/>
              <w:autoSpaceDN w:val="0"/>
              <w:adjustRightInd w:val="0"/>
              <w:spacing w:after="0"/>
              <w:jc w:val="right"/>
              <w:rPr>
                <w:rFonts w:ascii="Calibri" w:eastAsiaTheme="minorEastAsia" w:hAnsi="Calibri" w:cs="Calibri"/>
                <w:color w:val="000000"/>
                <w:sz w:val="17"/>
                <w:szCs w:val="19"/>
                <w:lang w:eastAsia="en-AU"/>
              </w:rPr>
            </w:pPr>
          </w:p>
        </w:tc>
      </w:tr>
      <w:tr w:rsidR="002D387D" w:rsidRPr="00F944DD" w:rsidTr="00DB5D6E">
        <w:tc>
          <w:tcPr>
            <w:tcW w:w="7763" w:type="dxa"/>
            <w:gridSpan w:val="7"/>
            <w:tcBorders>
              <w:top w:val="nil"/>
            </w:tcBorders>
            <w:shd w:val="clear" w:color="auto" w:fill="FFFFFF"/>
          </w:tcPr>
          <w:p w:rsidR="002D387D" w:rsidRPr="00F944DD" w:rsidRDefault="002D387D" w:rsidP="002D387D">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FISCAL AGGREGATES</w:t>
            </w:r>
          </w:p>
        </w:tc>
      </w:tr>
      <w:tr w:rsidR="002C39A3" w:rsidRPr="00F944DD" w:rsidTr="00361FA9">
        <w:tc>
          <w:tcPr>
            <w:tcW w:w="3828" w:type="dxa"/>
            <w:tcBorders>
              <w:top w:val="nil"/>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Net cash flows from operating activities</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1 408</w:t>
            </w:r>
          </w:p>
        </w:tc>
        <w:tc>
          <w:tcPr>
            <w:tcW w:w="787" w:type="dxa"/>
            <w:gridSpan w:val="2"/>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1 078</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280</w:t>
            </w:r>
          </w:p>
        </w:tc>
        <w:tc>
          <w:tcPr>
            <w:tcW w:w="787" w:type="dxa"/>
            <w:tcBorders>
              <w:top w:val="nil"/>
              <w:left w:val="nil"/>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1 541</w:t>
            </w:r>
          </w:p>
        </w:tc>
        <w:tc>
          <w:tcPr>
            <w:tcW w:w="787" w:type="dxa"/>
            <w:tcBorders>
              <w:top w:val="nil"/>
              <w:lef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1 877</w:t>
            </w:r>
          </w:p>
        </w:tc>
      </w:tr>
      <w:tr w:rsidR="002C39A3" w:rsidRPr="00F944DD" w:rsidTr="00361FA9">
        <w:tc>
          <w:tcPr>
            <w:tcW w:w="3828" w:type="dxa"/>
            <w:tcBorders>
              <w:top w:val="nil"/>
              <w:bottom w:val="single" w:sz="6" w:space="0" w:color="000000"/>
              <w:right w:val="nil"/>
            </w:tcBorders>
            <w:shd w:val="clear" w:color="auto" w:fill="FFFFFF"/>
          </w:tcPr>
          <w:p w:rsidR="002C39A3" w:rsidRPr="00F944DD" w:rsidRDefault="002C39A3" w:rsidP="002D387D">
            <w:pPr>
              <w:autoSpaceDE w:val="0"/>
              <w:autoSpaceDN w:val="0"/>
              <w:adjustRightInd w:val="0"/>
              <w:spacing w:after="0"/>
              <w:ind w:left="227" w:hanging="227"/>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 xml:space="preserve">Net cash flows from investments in </w:t>
            </w:r>
            <w:r w:rsidR="002D387D">
              <w:rPr>
                <w:rFonts w:ascii="Calibri" w:eastAsiaTheme="minorEastAsia" w:hAnsi="Calibri" w:cs="Calibri"/>
                <w:color w:val="000000"/>
                <w:sz w:val="17"/>
                <w:szCs w:val="19"/>
                <w:lang w:eastAsia="en-AU"/>
              </w:rPr>
              <w:t>n</w:t>
            </w:r>
            <w:r w:rsidRPr="00F944DD">
              <w:rPr>
                <w:rFonts w:ascii="Calibri" w:eastAsiaTheme="minorEastAsia" w:hAnsi="Calibri" w:cs="Calibri"/>
                <w:color w:val="000000"/>
                <w:sz w:val="17"/>
                <w:szCs w:val="19"/>
                <w:lang w:eastAsia="en-AU"/>
              </w:rPr>
              <w:t>on</w:t>
            </w:r>
            <w:r w:rsidR="002D387D">
              <w:rPr>
                <w:rFonts w:ascii="Calibri" w:eastAsiaTheme="minorEastAsia" w:hAnsi="Calibri" w:cs="Calibri"/>
                <w:color w:val="000000"/>
                <w:sz w:val="17"/>
                <w:szCs w:val="19"/>
                <w:lang w:eastAsia="en-AU"/>
              </w:rPr>
              <w:noBreakHyphen/>
            </w:r>
            <w:r w:rsidRPr="00F944DD">
              <w:rPr>
                <w:rFonts w:ascii="Calibri" w:eastAsiaTheme="minorEastAsia" w:hAnsi="Calibri" w:cs="Calibri"/>
                <w:color w:val="000000"/>
                <w:sz w:val="17"/>
                <w:szCs w:val="19"/>
                <w:lang w:eastAsia="en-AU"/>
              </w:rPr>
              <w:t>financial</w:t>
            </w:r>
            <w:r w:rsidR="002D387D">
              <w:rPr>
                <w:rFonts w:ascii="Calibri" w:eastAsiaTheme="minorEastAsia" w:hAnsi="Calibri" w:cs="Calibri"/>
                <w:color w:val="000000"/>
                <w:sz w:val="17"/>
                <w:szCs w:val="19"/>
                <w:lang w:eastAsia="en-AU"/>
              </w:rPr>
              <w:t xml:space="preserve"> </w:t>
            </w:r>
            <w:r w:rsidRPr="00F944DD">
              <w:rPr>
                <w:rFonts w:ascii="Calibri" w:eastAsiaTheme="minorEastAsia" w:hAnsi="Calibri" w:cs="Calibri"/>
                <w:color w:val="000000"/>
                <w:sz w:val="17"/>
                <w:szCs w:val="19"/>
                <w:lang w:eastAsia="en-AU"/>
              </w:rPr>
              <w:t>assets</w:t>
            </w:r>
          </w:p>
        </w:tc>
        <w:tc>
          <w:tcPr>
            <w:tcW w:w="78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(206)</w:t>
            </w:r>
          </w:p>
        </w:tc>
        <w:tc>
          <w:tcPr>
            <w:tcW w:w="787" w:type="dxa"/>
            <w:gridSpan w:val="2"/>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(1 769)</w:t>
            </w:r>
          </w:p>
        </w:tc>
        <w:tc>
          <w:tcPr>
            <w:tcW w:w="78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(938)</w:t>
            </w:r>
          </w:p>
        </w:tc>
        <w:tc>
          <w:tcPr>
            <w:tcW w:w="787" w:type="dxa"/>
            <w:tcBorders>
              <w:top w:val="nil"/>
              <w:left w:val="nil"/>
              <w:bottom w:val="single" w:sz="6" w:space="0" w:color="000000"/>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(1 026)</w:t>
            </w:r>
          </w:p>
        </w:tc>
        <w:tc>
          <w:tcPr>
            <w:tcW w:w="787" w:type="dxa"/>
            <w:tcBorders>
              <w:top w:val="nil"/>
              <w:left w:val="nil"/>
              <w:bottom w:val="single" w:sz="6" w:space="0" w:color="000000"/>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color w:val="000000"/>
                <w:sz w:val="17"/>
                <w:szCs w:val="19"/>
                <w:lang w:eastAsia="en-AU"/>
              </w:rPr>
            </w:pPr>
            <w:r w:rsidRPr="00F944DD">
              <w:rPr>
                <w:rFonts w:ascii="Calibri" w:eastAsiaTheme="minorEastAsia" w:hAnsi="Calibri" w:cs="Calibri"/>
                <w:color w:val="000000"/>
                <w:sz w:val="17"/>
                <w:szCs w:val="19"/>
                <w:lang w:eastAsia="en-AU"/>
              </w:rPr>
              <w:t>(925)</w:t>
            </w:r>
          </w:p>
        </w:tc>
      </w:tr>
      <w:tr w:rsidR="002C39A3" w:rsidRPr="00F944DD" w:rsidTr="00361FA9">
        <w:tc>
          <w:tcPr>
            <w:tcW w:w="3828" w:type="dxa"/>
            <w:tcBorders>
              <w:top w:val="single" w:sz="6" w:space="0" w:color="000000"/>
              <w:bottom w:val="single" w:sz="12" w:space="0" w:color="auto"/>
              <w:right w:val="nil"/>
            </w:tcBorders>
            <w:shd w:val="clear" w:color="auto" w:fill="FFFFFF"/>
          </w:tcPr>
          <w:p w:rsidR="002C39A3" w:rsidRPr="00F944DD" w:rsidRDefault="002C39A3" w:rsidP="00361FA9">
            <w:pPr>
              <w:autoSpaceDE w:val="0"/>
              <w:autoSpaceDN w:val="0"/>
              <w:adjustRightInd w:val="0"/>
              <w:spacing w:after="0"/>
              <w:ind w:left="227" w:hanging="227"/>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Cash surplus/(deficit)</w:t>
            </w:r>
          </w:p>
        </w:tc>
        <w:tc>
          <w:tcPr>
            <w:tcW w:w="787"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1 202</w:t>
            </w:r>
          </w:p>
        </w:tc>
        <w:tc>
          <w:tcPr>
            <w:tcW w:w="787" w:type="dxa"/>
            <w:gridSpan w:val="2"/>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(691)</w:t>
            </w:r>
          </w:p>
        </w:tc>
        <w:tc>
          <w:tcPr>
            <w:tcW w:w="787"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(658)</w:t>
            </w:r>
          </w:p>
        </w:tc>
        <w:tc>
          <w:tcPr>
            <w:tcW w:w="787" w:type="dxa"/>
            <w:tcBorders>
              <w:top w:val="single" w:sz="6" w:space="0" w:color="000000"/>
              <w:left w:val="nil"/>
              <w:bottom w:val="single" w:sz="12" w:space="0" w:color="auto"/>
              <w:right w:val="nil"/>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515</w:t>
            </w:r>
          </w:p>
        </w:tc>
        <w:tc>
          <w:tcPr>
            <w:tcW w:w="787" w:type="dxa"/>
            <w:tcBorders>
              <w:top w:val="single" w:sz="6" w:space="0" w:color="000000"/>
              <w:left w:val="nil"/>
              <w:bottom w:val="single" w:sz="12" w:space="0" w:color="auto"/>
            </w:tcBorders>
            <w:shd w:val="clear" w:color="auto" w:fill="FFFFFF"/>
          </w:tcPr>
          <w:p w:rsidR="002C39A3" w:rsidRPr="00F944DD" w:rsidRDefault="002C39A3" w:rsidP="00361FA9">
            <w:pPr>
              <w:autoSpaceDE w:val="0"/>
              <w:autoSpaceDN w:val="0"/>
              <w:adjustRightInd w:val="0"/>
              <w:spacing w:after="0"/>
              <w:jc w:val="right"/>
              <w:rPr>
                <w:rFonts w:ascii="Calibri" w:eastAsiaTheme="minorEastAsia" w:hAnsi="Calibri" w:cs="Calibri"/>
                <w:b/>
                <w:bCs/>
                <w:color w:val="000000"/>
                <w:sz w:val="17"/>
                <w:szCs w:val="19"/>
                <w:lang w:eastAsia="en-AU"/>
              </w:rPr>
            </w:pPr>
            <w:r w:rsidRPr="00F944DD">
              <w:rPr>
                <w:rFonts w:ascii="Calibri" w:eastAsiaTheme="minorEastAsia" w:hAnsi="Calibri" w:cs="Calibri"/>
                <w:b/>
                <w:bCs/>
                <w:color w:val="000000"/>
                <w:sz w:val="17"/>
                <w:szCs w:val="19"/>
                <w:lang w:eastAsia="en-AU"/>
              </w:rPr>
              <w:t>952</w:t>
            </w:r>
          </w:p>
        </w:tc>
      </w:tr>
    </w:tbl>
    <w:p w:rsidR="002C39A3" w:rsidRDefault="002C39A3" w:rsidP="00361FA9">
      <w:pPr>
        <w:pStyle w:val="Notes"/>
      </w:pPr>
      <w:r>
        <w:t>Notes:</w:t>
      </w:r>
    </w:p>
    <w:p w:rsidR="002C39A3" w:rsidRDefault="002C39A3" w:rsidP="00361FA9">
      <w:pPr>
        <w:pStyle w:val="Notes"/>
      </w:pPr>
      <w:r>
        <w:t>(a)</w:t>
      </w:r>
      <w:r>
        <w:tab/>
        <w:t>The comparative figures have been restated to more current information.</w:t>
      </w:r>
    </w:p>
    <w:p w:rsidR="002C39A3" w:rsidRDefault="002C39A3" w:rsidP="00361FA9">
      <w:pPr>
        <w:pStyle w:val="Notes"/>
      </w:pPr>
      <w:r>
        <w:t>(b)</w:t>
      </w:r>
      <w:r>
        <w:tab/>
        <w:t>Inclusive of goods and services tax.</w:t>
      </w:r>
    </w:p>
    <w:p w:rsidR="002C39A3" w:rsidRDefault="002C39A3">
      <w:pPr>
        <w:spacing w:after="0"/>
        <w:rPr>
          <w:rFonts w:ascii="Calibri" w:hAnsi="Calibri"/>
          <w:i/>
          <w:sz w:val="15"/>
        </w:rPr>
      </w:pPr>
      <w:r>
        <w:br w:type="page"/>
      </w:r>
    </w:p>
    <w:p w:rsidR="002C39A3" w:rsidRPr="00094D10" w:rsidRDefault="002C39A3" w:rsidP="00361FA9">
      <w:pPr>
        <w:pStyle w:val="Notes"/>
      </w:pPr>
    </w:p>
    <w:p w:rsidR="002C39A3" w:rsidRDefault="002C39A3" w:rsidP="00273B20">
      <w:pPr>
        <w:rPr>
          <w:rFonts w:eastAsiaTheme="minorHAnsi"/>
        </w:rPr>
        <w:sectPr w:rsidR="002C39A3" w:rsidSect="00F302FC">
          <w:footerReference w:type="even" r:id="rId68"/>
          <w:footerReference w:type="default" r:id="rId69"/>
          <w:type w:val="oddPage"/>
          <w:pgSz w:w="9979" w:h="14181" w:code="138"/>
          <w:pgMar w:top="1138" w:right="1138" w:bottom="1138" w:left="1138" w:header="720" w:footer="432" w:gutter="0"/>
          <w:cols w:space="708"/>
          <w:docGrid w:linePitch="360"/>
        </w:sectPr>
      </w:pPr>
    </w:p>
    <w:p w:rsidR="002C39A3" w:rsidRDefault="002C39A3" w:rsidP="00361FA9">
      <w:pPr>
        <w:pStyle w:val="ChapterHeading"/>
        <w:ind w:right="-127"/>
        <w:rPr>
          <w:i/>
        </w:rPr>
      </w:pPr>
      <w:bookmarkStart w:id="84" w:name="_Toc449116223"/>
      <w:r>
        <w:t xml:space="preserve">Appendix C – Compliance index – Requirements of the </w:t>
      </w:r>
      <w:r>
        <w:rPr>
          <w:i/>
        </w:rPr>
        <w:t>Financial Management Act 1994</w:t>
      </w:r>
      <w:bookmarkEnd w:id="84"/>
    </w:p>
    <w:p w:rsidR="002C39A3" w:rsidRPr="00FD166C" w:rsidRDefault="002C39A3" w:rsidP="00361FA9">
      <w:r w:rsidRPr="00FD166C">
        <w:t xml:space="preserve">The provisions of the </w:t>
      </w:r>
      <w:r w:rsidRPr="00FD166C">
        <w:rPr>
          <w:i/>
        </w:rPr>
        <w:t>Financial Management Act 1994</w:t>
      </w:r>
      <w:r w:rsidRPr="00FD166C">
        <w:t xml:space="preserve"> have been complied with in these budget papers. Table C1 details these requirements together with appropriate references in the document.</w:t>
      </w:r>
    </w:p>
    <w:p w:rsidR="002C39A3" w:rsidRPr="00FD166C" w:rsidRDefault="002C39A3" w:rsidP="00361FA9">
      <w:pPr>
        <w:keepNext/>
        <w:tabs>
          <w:tab w:val="left" w:pos="567"/>
        </w:tabs>
        <w:spacing w:before="240"/>
        <w:ind w:left="1151" w:hanging="1151"/>
        <w:rPr>
          <w:rFonts w:ascii="Calibri" w:hAnsi="Calibri"/>
          <w:b/>
        </w:rPr>
      </w:pPr>
      <w:r w:rsidRPr="00FD166C">
        <w:rPr>
          <w:rFonts w:ascii="Calibri" w:hAnsi="Calibri"/>
          <w:b/>
        </w:rPr>
        <w:t>Table C1:</w:t>
      </w:r>
      <w:r w:rsidRPr="00FD166C">
        <w:rPr>
          <w:rFonts w:ascii="Calibri" w:hAnsi="Calibri"/>
          <w:b/>
        </w:rPr>
        <w:tab/>
        <w:t xml:space="preserve">Statements required by the </w:t>
      </w:r>
      <w:r w:rsidRPr="00FD166C">
        <w:rPr>
          <w:rFonts w:ascii="Calibri" w:hAnsi="Calibri"/>
          <w:b/>
          <w:i/>
        </w:rPr>
        <w:t>Financial Management Act 1994</w:t>
      </w:r>
      <w:r w:rsidRPr="00FD166C">
        <w:rPr>
          <w:rFonts w:ascii="Calibri" w:hAnsi="Calibri"/>
          <w:b/>
        </w:rPr>
        <w:t xml:space="preserve"> and their location in the </w:t>
      </w:r>
      <w:r w:rsidRPr="00FD166C">
        <w:rPr>
          <w:rFonts w:ascii="Calibri" w:hAnsi="Calibri"/>
          <w:b/>
          <w:i/>
        </w:rPr>
        <w:t>201</w:t>
      </w:r>
      <w:r>
        <w:rPr>
          <w:rFonts w:ascii="Calibri" w:hAnsi="Calibri"/>
          <w:b/>
          <w:i/>
        </w:rPr>
        <w:t>6</w:t>
      </w:r>
      <w:r w:rsidRPr="00FD166C">
        <w:rPr>
          <w:rFonts w:ascii="Calibri" w:hAnsi="Calibri"/>
          <w:b/>
          <w:i/>
        </w:rPr>
        <w:noBreakHyphen/>
      </w:r>
      <w:r>
        <w:rPr>
          <w:rFonts w:ascii="Calibri" w:hAnsi="Calibri"/>
          <w:b/>
          <w:i/>
        </w:rPr>
        <w:t>17</w:t>
      </w:r>
      <w:r w:rsidRPr="00FD166C">
        <w:rPr>
          <w:rFonts w:ascii="Calibri" w:hAnsi="Calibri"/>
          <w:b/>
          <w:i/>
        </w:rPr>
        <w:t> Budget</w:t>
      </w:r>
    </w:p>
    <w:tbl>
      <w:tblPr>
        <w:tblW w:w="7768" w:type="dxa"/>
        <w:tblInd w:w="29" w:type="dxa"/>
        <w:tblCellMar>
          <w:left w:w="43" w:type="dxa"/>
          <w:right w:w="43" w:type="dxa"/>
        </w:tblCellMar>
        <w:tblLook w:val="01E0" w:firstRow="1" w:lastRow="1" w:firstColumn="1" w:lastColumn="1" w:noHBand="0" w:noVBand="0"/>
      </w:tblPr>
      <w:tblGrid>
        <w:gridCol w:w="4414"/>
        <w:gridCol w:w="106"/>
        <w:gridCol w:w="3248"/>
      </w:tblGrid>
      <w:tr w:rsidR="002C39A3" w:rsidRPr="00FD166C" w:rsidTr="00361FA9">
        <w:trPr>
          <w:cantSplit/>
          <w:tblHeader/>
        </w:trPr>
        <w:tc>
          <w:tcPr>
            <w:tcW w:w="4414" w:type="dxa"/>
            <w:tcBorders>
              <w:top w:val="single" w:sz="4" w:space="0" w:color="auto"/>
              <w:left w:val="single" w:sz="4" w:space="0" w:color="auto"/>
              <w:bottom w:val="single" w:sz="4" w:space="0" w:color="auto"/>
              <w:right w:val="single" w:sz="4" w:space="0" w:color="auto"/>
            </w:tcBorders>
            <w:shd w:val="clear" w:color="auto" w:fill="000000"/>
            <w:hideMark/>
          </w:tcPr>
          <w:p w:rsidR="002C39A3" w:rsidRPr="00FD166C" w:rsidRDefault="002C39A3" w:rsidP="00361FA9">
            <w:pPr>
              <w:spacing w:after="0"/>
              <w:rPr>
                <w:rFonts w:ascii="Calibri" w:hAnsi="Calibri"/>
                <w:i/>
                <w:sz w:val="19"/>
                <w:szCs w:val="18"/>
              </w:rPr>
            </w:pPr>
            <w:r w:rsidRPr="00FD166C">
              <w:rPr>
                <w:rFonts w:ascii="Calibri" w:hAnsi="Calibri"/>
                <w:i/>
                <w:sz w:val="19"/>
                <w:szCs w:val="18"/>
              </w:rPr>
              <w:t>Relevant section of the Act and</w:t>
            </w:r>
            <w:r w:rsidRPr="00FD166C">
              <w:rPr>
                <w:rFonts w:ascii="Calibri" w:hAnsi="Calibri"/>
                <w:i/>
                <w:sz w:val="19"/>
                <w:szCs w:val="18"/>
              </w:rPr>
              <w:br/>
              <w:t xml:space="preserve"> corresponding requirement</w:t>
            </w:r>
          </w:p>
        </w:tc>
        <w:tc>
          <w:tcPr>
            <w:tcW w:w="106" w:type="dxa"/>
            <w:tcBorders>
              <w:top w:val="single" w:sz="4" w:space="0" w:color="auto"/>
              <w:left w:val="single" w:sz="4" w:space="0" w:color="auto"/>
              <w:bottom w:val="single" w:sz="4" w:space="0" w:color="auto"/>
              <w:right w:val="single" w:sz="4" w:space="0" w:color="auto"/>
            </w:tcBorders>
            <w:shd w:val="clear" w:color="auto" w:fill="000000"/>
          </w:tcPr>
          <w:p w:rsidR="002C39A3" w:rsidRPr="00FD166C" w:rsidRDefault="002C39A3" w:rsidP="00361FA9">
            <w:pPr>
              <w:spacing w:after="0"/>
              <w:rPr>
                <w:rFonts w:ascii="Calibri" w:hAnsi="Calibri"/>
                <w:i/>
                <w:sz w:val="19"/>
                <w:szCs w:val="18"/>
              </w:rPr>
            </w:pPr>
          </w:p>
        </w:tc>
        <w:tc>
          <w:tcPr>
            <w:tcW w:w="3248" w:type="dxa"/>
            <w:tcBorders>
              <w:top w:val="single" w:sz="4" w:space="0" w:color="auto"/>
              <w:left w:val="single" w:sz="4" w:space="0" w:color="auto"/>
              <w:bottom w:val="single" w:sz="4" w:space="0" w:color="auto"/>
              <w:right w:val="single" w:sz="4" w:space="0" w:color="auto"/>
            </w:tcBorders>
            <w:shd w:val="clear" w:color="auto" w:fill="000000"/>
            <w:vAlign w:val="bottom"/>
            <w:hideMark/>
          </w:tcPr>
          <w:p w:rsidR="002C39A3" w:rsidRPr="00FD166C" w:rsidRDefault="002C39A3" w:rsidP="00361FA9">
            <w:pPr>
              <w:spacing w:after="0"/>
              <w:rPr>
                <w:rFonts w:ascii="Calibri" w:hAnsi="Calibri"/>
                <w:i/>
                <w:sz w:val="19"/>
                <w:szCs w:val="18"/>
              </w:rPr>
            </w:pPr>
            <w:r w:rsidRPr="00FD166C">
              <w:rPr>
                <w:rFonts w:ascii="Calibri" w:hAnsi="Calibri"/>
                <w:i/>
                <w:sz w:val="19"/>
                <w:szCs w:val="18"/>
              </w:rPr>
              <w:t>Location</w:t>
            </w:r>
          </w:p>
        </w:tc>
      </w:tr>
      <w:tr w:rsidR="002C39A3" w:rsidRPr="00FD166C" w:rsidTr="00361FA9">
        <w:trPr>
          <w:cantSplit/>
        </w:trPr>
        <w:tc>
          <w:tcPr>
            <w:tcW w:w="4414" w:type="dxa"/>
            <w:tcBorders>
              <w:top w:val="single" w:sz="4" w:space="0" w:color="auto"/>
              <w:left w:val="nil"/>
              <w:bottom w:val="nil"/>
              <w:right w:val="nil"/>
            </w:tcBorders>
            <w:hideMark/>
          </w:tcPr>
          <w:p w:rsidR="002C39A3" w:rsidRPr="00FD166C" w:rsidRDefault="002C39A3" w:rsidP="00361FA9">
            <w:pPr>
              <w:spacing w:after="0"/>
              <w:rPr>
                <w:rFonts w:ascii="Calibri" w:hAnsi="Calibri"/>
                <w:sz w:val="19"/>
                <w:szCs w:val="18"/>
              </w:rPr>
            </w:pPr>
            <w:r w:rsidRPr="00FD166C">
              <w:rPr>
                <w:rFonts w:ascii="Calibri" w:hAnsi="Calibri"/>
                <w:sz w:val="19"/>
                <w:szCs w:val="18"/>
              </w:rPr>
              <w:t>Sections 23E</w:t>
            </w:r>
            <w:r w:rsidRPr="00FD166C">
              <w:rPr>
                <w:rFonts w:ascii="Calibri" w:hAnsi="Calibri"/>
                <w:sz w:val="19"/>
                <w:szCs w:val="18"/>
              </w:rPr>
              <w:noBreakHyphen/>
              <w:t xml:space="preserve">G of the </w:t>
            </w:r>
            <w:r w:rsidRPr="00FD166C">
              <w:rPr>
                <w:rFonts w:ascii="Calibri" w:hAnsi="Calibri"/>
                <w:i/>
                <w:sz w:val="19"/>
                <w:szCs w:val="18"/>
              </w:rPr>
              <w:t>Financial Management Act 1994</w:t>
            </w:r>
          </w:p>
        </w:tc>
        <w:tc>
          <w:tcPr>
            <w:tcW w:w="106" w:type="dxa"/>
            <w:tcBorders>
              <w:top w:val="single" w:sz="4" w:space="0" w:color="auto"/>
              <w:left w:val="nil"/>
              <w:bottom w:val="nil"/>
              <w:right w:val="nil"/>
            </w:tcBorders>
          </w:tcPr>
          <w:p w:rsidR="002C39A3" w:rsidRPr="00FD166C" w:rsidRDefault="002C39A3" w:rsidP="00361FA9">
            <w:pPr>
              <w:spacing w:after="0"/>
              <w:ind w:left="180" w:hanging="180"/>
              <w:rPr>
                <w:rFonts w:ascii="Calibri" w:hAnsi="Calibri"/>
                <w:sz w:val="19"/>
                <w:szCs w:val="18"/>
              </w:rPr>
            </w:pPr>
          </w:p>
        </w:tc>
        <w:tc>
          <w:tcPr>
            <w:tcW w:w="3248" w:type="dxa"/>
            <w:tcBorders>
              <w:top w:val="single" w:sz="4" w:space="0" w:color="auto"/>
              <w:left w:val="nil"/>
              <w:bottom w:val="nil"/>
              <w:right w:val="nil"/>
            </w:tcBorders>
          </w:tcPr>
          <w:p w:rsidR="002C39A3" w:rsidRPr="00FD166C" w:rsidRDefault="002C39A3" w:rsidP="00361FA9">
            <w:pPr>
              <w:spacing w:after="0"/>
              <w:ind w:left="180" w:hanging="180"/>
              <w:rPr>
                <w:rFonts w:ascii="Calibri" w:hAnsi="Calibri"/>
                <w:sz w:val="19"/>
                <w:szCs w:val="18"/>
              </w:rPr>
            </w:pPr>
          </w:p>
        </w:tc>
      </w:tr>
      <w:tr w:rsidR="002C39A3" w:rsidRPr="00FD166C" w:rsidTr="00361FA9">
        <w:trPr>
          <w:cantSplit/>
        </w:trPr>
        <w:tc>
          <w:tcPr>
            <w:tcW w:w="4414" w:type="dxa"/>
            <w:tcBorders>
              <w:top w:val="nil"/>
              <w:left w:val="nil"/>
              <w:bottom w:val="single" w:sz="6" w:space="0" w:color="C0C0C0"/>
              <w:right w:val="nil"/>
            </w:tcBorders>
            <w:hideMark/>
          </w:tcPr>
          <w:p w:rsidR="002C39A3" w:rsidRPr="00FD166C" w:rsidRDefault="002C39A3" w:rsidP="00361FA9">
            <w:pPr>
              <w:spacing w:after="0"/>
              <w:rPr>
                <w:rFonts w:ascii="Calibri" w:hAnsi="Calibri"/>
                <w:sz w:val="19"/>
                <w:szCs w:val="18"/>
              </w:rPr>
            </w:pPr>
            <w:r w:rsidRPr="00FD166C">
              <w:rPr>
                <w:rFonts w:ascii="Calibri" w:hAnsi="Calibri"/>
                <w:sz w:val="19"/>
                <w:szCs w:val="18"/>
              </w:rPr>
              <w:t>Statement of financial policy objectives and strategies for the year.</w:t>
            </w:r>
          </w:p>
        </w:tc>
        <w:tc>
          <w:tcPr>
            <w:tcW w:w="106" w:type="dxa"/>
            <w:tcBorders>
              <w:top w:val="nil"/>
              <w:left w:val="nil"/>
              <w:bottom w:val="single" w:sz="6" w:space="0" w:color="C0C0C0"/>
              <w:right w:val="nil"/>
            </w:tcBorders>
          </w:tcPr>
          <w:p w:rsidR="002C39A3" w:rsidRPr="00FD166C" w:rsidRDefault="002C39A3" w:rsidP="00361FA9">
            <w:pPr>
              <w:spacing w:after="0"/>
              <w:rPr>
                <w:rFonts w:ascii="Calibri" w:hAnsi="Calibri"/>
                <w:sz w:val="19"/>
                <w:szCs w:val="18"/>
              </w:rPr>
            </w:pPr>
          </w:p>
        </w:tc>
        <w:tc>
          <w:tcPr>
            <w:tcW w:w="3248" w:type="dxa"/>
            <w:tcBorders>
              <w:top w:val="nil"/>
              <w:left w:val="nil"/>
              <w:bottom w:val="single" w:sz="6" w:space="0" w:color="C0C0C0"/>
              <w:right w:val="nil"/>
            </w:tcBorders>
            <w:hideMark/>
          </w:tcPr>
          <w:p w:rsidR="002C39A3" w:rsidRPr="00833F92" w:rsidRDefault="002C39A3" w:rsidP="00361FA9">
            <w:pPr>
              <w:spacing w:after="0"/>
              <w:rPr>
                <w:rFonts w:ascii="Calibri" w:hAnsi="Calibri"/>
                <w:sz w:val="19"/>
                <w:szCs w:val="18"/>
              </w:rPr>
            </w:pPr>
            <w:r w:rsidRPr="00FD166C">
              <w:rPr>
                <w:rFonts w:ascii="Calibri" w:hAnsi="Calibri"/>
                <w:sz w:val="19"/>
                <w:szCs w:val="18"/>
              </w:rPr>
              <w:t xml:space="preserve">Budget Paper No. 2, </w:t>
            </w:r>
            <w:r w:rsidRPr="00833F92">
              <w:rPr>
                <w:rFonts w:ascii="Calibri" w:hAnsi="Calibri"/>
                <w:sz w:val="19"/>
                <w:szCs w:val="18"/>
              </w:rPr>
              <w:t xml:space="preserve">Chapter 1 </w:t>
            </w:r>
            <w:r w:rsidRPr="00833F92">
              <w:rPr>
                <w:rFonts w:ascii="Calibri" w:hAnsi="Calibri"/>
                <w:i/>
                <w:sz w:val="19"/>
                <w:szCs w:val="18"/>
              </w:rPr>
              <w:t>Economic and fiscal overview</w:t>
            </w:r>
          </w:p>
          <w:p w:rsidR="002C39A3" w:rsidRPr="00FD166C" w:rsidRDefault="002C39A3" w:rsidP="00361FA9">
            <w:pPr>
              <w:rPr>
                <w:rFonts w:ascii="Calibri" w:hAnsi="Calibri"/>
                <w:i/>
                <w:sz w:val="19"/>
                <w:szCs w:val="18"/>
              </w:rPr>
            </w:pPr>
            <w:r w:rsidRPr="00833F92">
              <w:rPr>
                <w:rFonts w:ascii="Calibri" w:hAnsi="Calibri"/>
                <w:sz w:val="19"/>
                <w:szCs w:val="18"/>
              </w:rPr>
              <w:t>Budget Paper No. 5, Chapter 1</w:t>
            </w:r>
            <w:r w:rsidRPr="0023065F">
              <w:rPr>
                <w:rFonts w:ascii="Calibri" w:hAnsi="Calibri"/>
                <w:sz w:val="19"/>
                <w:szCs w:val="18"/>
              </w:rPr>
              <w:t xml:space="preserve"> </w:t>
            </w:r>
            <w:r w:rsidRPr="0023065F">
              <w:rPr>
                <w:rFonts w:ascii="Calibri" w:hAnsi="Calibri"/>
                <w:i/>
                <w:sz w:val="19"/>
                <w:szCs w:val="18"/>
              </w:rPr>
              <w:t xml:space="preserve">Estimated Financial Statements for the general government sector </w:t>
            </w:r>
            <w:r w:rsidRPr="0023065F">
              <w:rPr>
                <w:rFonts w:ascii="Calibri" w:hAnsi="Calibri"/>
                <w:sz w:val="19"/>
                <w:szCs w:val="18"/>
              </w:rPr>
              <w:t>and notes</w:t>
            </w:r>
          </w:p>
        </w:tc>
      </w:tr>
      <w:tr w:rsidR="002C39A3" w:rsidRPr="00FD166C" w:rsidTr="00361FA9">
        <w:trPr>
          <w:cantSplit/>
        </w:trPr>
        <w:tc>
          <w:tcPr>
            <w:tcW w:w="4414" w:type="dxa"/>
            <w:tcBorders>
              <w:top w:val="single" w:sz="6" w:space="0" w:color="C0C0C0"/>
              <w:left w:val="nil"/>
              <w:bottom w:val="nil"/>
              <w:right w:val="nil"/>
            </w:tcBorders>
            <w:hideMark/>
          </w:tcPr>
          <w:p w:rsidR="002C39A3" w:rsidRPr="00FD166C" w:rsidRDefault="002C39A3" w:rsidP="00361FA9">
            <w:pPr>
              <w:spacing w:after="0"/>
              <w:rPr>
                <w:rFonts w:ascii="Calibri" w:hAnsi="Calibri"/>
                <w:i/>
                <w:sz w:val="19"/>
                <w:szCs w:val="18"/>
              </w:rPr>
            </w:pPr>
            <w:r w:rsidRPr="00FD166C">
              <w:rPr>
                <w:rFonts w:ascii="Calibri" w:hAnsi="Calibri"/>
                <w:sz w:val="19"/>
                <w:szCs w:val="18"/>
              </w:rPr>
              <w:t>Sections 23H</w:t>
            </w:r>
            <w:r w:rsidRPr="00FD166C">
              <w:rPr>
                <w:rFonts w:ascii="Calibri" w:hAnsi="Calibri"/>
                <w:sz w:val="19"/>
                <w:szCs w:val="18"/>
              </w:rPr>
              <w:noBreakHyphen/>
              <w:t xml:space="preserve">J of the </w:t>
            </w:r>
            <w:r w:rsidRPr="00FD166C">
              <w:rPr>
                <w:rFonts w:ascii="Calibri" w:hAnsi="Calibri"/>
                <w:i/>
                <w:sz w:val="19"/>
                <w:szCs w:val="18"/>
              </w:rPr>
              <w:t>Financial Management Act 1994</w:t>
            </w:r>
          </w:p>
        </w:tc>
        <w:tc>
          <w:tcPr>
            <w:tcW w:w="106" w:type="dxa"/>
            <w:tcBorders>
              <w:top w:val="single" w:sz="6" w:space="0" w:color="C0C0C0"/>
              <w:left w:val="nil"/>
              <w:bottom w:val="nil"/>
              <w:right w:val="nil"/>
            </w:tcBorders>
          </w:tcPr>
          <w:p w:rsidR="002C39A3" w:rsidRPr="00FD166C" w:rsidRDefault="002C39A3" w:rsidP="00361FA9">
            <w:pPr>
              <w:spacing w:after="0"/>
              <w:ind w:left="180" w:hanging="180"/>
              <w:rPr>
                <w:rFonts w:ascii="Calibri" w:hAnsi="Calibri"/>
                <w:sz w:val="19"/>
                <w:szCs w:val="18"/>
              </w:rPr>
            </w:pPr>
          </w:p>
        </w:tc>
        <w:tc>
          <w:tcPr>
            <w:tcW w:w="3248" w:type="dxa"/>
            <w:tcBorders>
              <w:top w:val="single" w:sz="6" w:space="0" w:color="C0C0C0"/>
              <w:left w:val="nil"/>
              <w:bottom w:val="nil"/>
              <w:right w:val="nil"/>
            </w:tcBorders>
          </w:tcPr>
          <w:p w:rsidR="002C39A3" w:rsidRPr="00FD166C" w:rsidRDefault="002C39A3" w:rsidP="00361FA9">
            <w:pPr>
              <w:spacing w:after="0"/>
              <w:ind w:left="180" w:hanging="180"/>
              <w:rPr>
                <w:rFonts w:ascii="Calibri" w:hAnsi="Calibri"/>
                <w:sz w:val="19"/>
                <w:szCs w:val="18"/>
              </w:rPr>
            </w:pPr>
          </w:p>
        </w:tc>
      </w:tr>
      <w:tr w:rsidR="002C39A3" w:rsidRPr="00FD166C" w:rsidTr="00361FA9">
        <w:trPr>
          <w:cantSplit/>
          <w:trHeight w:val="1595"/>
        </w:trPr>
        <w:tc>
          <w:tcPr>
            <w:tcW w:w="4414" w:type="dxa"/>
            <w:tcBorders>
              <w:top w:val="nil"/>
              <w:left w:val="nil"/>
              <w:bottom w:val="single" w:sz="4" w:space="0" w:color="C0C0C0"/>
              <w:right w:val="nil"/>
            </w:tcBorders>
            <w:hideMark/>
          </w:tcPr>
          <w:p w:rsidR="002C39A3" w:rsidRPr="00FD166C" w:rsidRDefault="002C39A3" w:rsidP="00361FA9">
            <w:pPr>
              <w:spacing w:after="0"/>
              <w:rPr>
                <w:rFonts w:ascii="Calibri" w:hAnsi="Calibri"/>
                <w:sz w:val="19"/>
                <w:szCs w:val="18"/>
              </w:rPr>
            </w:pPr>
            <w:r w:rsidRPr="00FD166C">
              <w:rPr>
                <w:rFonts w:ascii="Calibri" w:hAnsi="Calibri"/>
                <w:sz w:val="19"/>
                <w:szCs w:val="18"/>
              </w:rPr>
              <w:t>Estimated financial statements for the year comprising:</w:t>
            </w:r>
          </w:p>
          <w:p w:rsidR="002C39A3" w:rsidRPr="00FD166C" w:rsidRDefault="002C39A3" w:rsidP="00361FA9">
            <w:pPr>
              <w:spacing w:after="0"/>
              <w:ind w:left="178" w:hanging="178"/>
              <w:rPr>
                <w:rFonts w:ascii="Calibri" w:hAnsi="Calibri"/>
                <w:sz w:val="19"/>
                <w:szCs w:val="18"/>
              </w:rPr>
            </w:pPr>
            <w:r w:rsidRPr="00FD166C">
              <w:rPr>
                <w:rFonts w:ascii="Calibri" w:hAnsi="Calibri"/>
                <w:sz w:val="19"/>
                <w:szCs w:val="18"/>
              </w:rPr>
              <w:t>–</w:t>
            </w:r>
            <w:r w:rsidRPr="00FD166C">
              <w:rPr>
                <w:rFonts w:ascii="Calibri" w:hAnsi="Calibri"/>
                <w:sz w:val="19"/>
                <w:szCs w:val="18"/>
              </w:rPr>
              <w:tab/>
              <w:t>an estimated statement of financial performance;</w:t>
            </w:r>
          </w:p>
          <w:p w:rsidR="002C39A3" w:rsidRPr="00FD166C" w:rsidRDefault="002C39A3" w:rsidP="00361FA9">
            <w:pPr>
              <w:spacing w:after="0"/>
              <w:ind w:left="178" w:hanging="178"/>
              <w:rPr>
                <w:rFonts w:ascii="Calibri" w:hAnsi="Calibri"/>
                <w:sz w:val="19"/>
                <w:szCs w:val="18"/>
              </w:rPr>
            </w:pPr>
            <w:r w:rsidRPr="00FD166C">
              <w:rPr>
                <w:rFonts w:ascii="Calibri" w:hAnsi="Calibri"/>
                <w:sz w:val="19"/>
                <w:szCs w:val="18"/>
              </w:rPr>
              <w:t>–</w:t>
            </w:r>
            <w:r w:rsidRPr="00FD166C">
              <w:rPr>
                <w:rFonts w:ascii="Calibri" w:hAnsi="Calibri"/>
                <w:sz w:val="19"/>
                <w:szCs w:val="18"/>
              </w:rPr>
              <w:tab/>
              <w:t>an estimated statement of financial position at the end of the year;</w:t>
            </w:r>
          </w:p>
          <w:p w:rsidR="002C39A3" w:rsidRPr="00FD166C" w:rsidRDefault="002C39A3" w:rsidP="00361FA9">
            <w:pPr>
              <w:spacing w:after="0"/>
              <w:ind w:left="178" w:hanging="178"/>
              <w:rPr>
                <w:rFonts w:ascii="Calibri" w:hAnsi="Calibri"/>
                <w:sz w:val="19"/>
                <w:szCs w:val="18"/>
              </w:rPr>
            </w:pPr>
            <w:r w:rsidRPr="00FD166C">
              <w:rPr>
                <w:rFonts w:ascii="Calibri" w:hAnsi="Calibri"/>
                <w:sz w:val="19"/>
                <w:szCs w:val="18"/>
              </w:rPr>
              <w:t>–</w:t>
            </w:r>
            <w:r w:rsidRPr="00FD166C">
              <w:rPr>
                <w:rFonts w:ascii="Calibri" w:hAnsi="Calibri"/>
                <w:sz w:val="19"/>
                <w:szCs w:val="18"/>
              </w:rPr>
              <w:tab/>
              <w:t>an estimated statement of cash flows for the year; and</w:t>
            </w:r>
          </w:p>
          <w:p w:rsidR="002C39A3" w:rsidRPr="00FD166C" w:rsidRDefault="002C39A3" w:rsidP="00361FA9">
            <w:pPr>
              <w:ind w:left="176" w:hanging="176"/>
              <w:rPr>
                <w:rFonts w:ascii="Calibri" w:hAnsi="Calibri"/>
                <w:sz w:val="19"/>
                <w:szCs w:val="18"/>
              </w:rPr>
            </w:pPr>
            <w:r w:rsidRPr="00FD166C">
              <w:rPr>
                <w:rFonts w:ascii="Calibri" w:hAnsi="Calibri"/>
                <w:sz w:val="19"/>
                <w:szCs w:val="18"/>
              </w:rPr>
              <w:t>–</w:t>
            </w:r>
            <w:r w:rsidRPr="00FD166C">
              <w:rPr>
                <w:rFonts w:ascii="Calibri" w:hAnsi="Calibri"/>
                <w:sz w:val="19"/>
                <w:szCs w:val="18"/>
              </w:rPr>
              <w:tab/>
              <w:t>a statement of the accounting policies on which these statements are based and explanatory notes.</w:t>
            </w:r>
          </w:p>
        </w:tc>
        <w:tc>
          <w:tcPr>
            <w:tcW w:w="106" w:type="dxa"/>
            <w:tcBorders>
              <w:top w:val="nil"/>
              <w:left w:val="nil"/>
              <w:bottom w:val="single" w:sz="4" w:space="0" w:color="C0C0C0"/>
              <w:right w:val="nil"/>
            </w:tcBorders>
          </w:tcPr>
          <w:p w:rsidR="002C39A3" w:rsidRPr="00FD166C" w:rsidRDefault="002C39A3" w:rsidP="00361FA9">
            <w:pPr>
              <w:spacing w:after="0"/>
              <w:rPr>
                <w:rFonts w:ascii="Calibri" w:hAnsi="Calibri"/>
                <w:sz w:val="19"/>
                <w:szCs w:val="18"/>
              </w:rPr>
            </w:pPr>
          </w:p>
        </w:tc>
        <w:tc>
          <w:tcPr>
            <w:tcW w:w="3248" w:type="dxa"/>
            <w:tcBorders>
              <w:top w:val="nil"/>
              <w:left w:val="nil"/>
              <w:bottom w:val="single" w:sz="4" w:space="0" w:color="C0C0C0"/>
              <w:right w:val="nil"/>
            </w:tcBorders>
            <w:hideMark/>
          </w:tcPr>
          <w:p w:rsidR="002C39A3" w:rsidRPr="00FD166C" w:rsidRDefault="002C39A3" w:rsidP="00361FA9">
            <w:pPr>
              <w:spacing w:after="0"/>
              <w:rPr>
                <w:rFonts w:ascii="Calibri" w:hAnsi="Calibri"/>
                <w:sz w:val="19"/>
                <w:szCs w:val="18"/>
              </w:rPr>
            </w:pPr>
            <w:r w:rsidRPr="00FD166C">
              <w:rPr>
                <w:rFonts w:ascii="Calibri" w:hAnsi="Calibri"/>
                <w:sz w:val="19"/>
                <w:szCs w:val="18"/>
              </w:rPr>
              <w:t>Budget Paper No</w:t>
            </w:r>
            <w:r w:rsidRPr="0023065F">
              <w:rPr>
                <w:rFonts w:ascii="Calibri" w:hAnsi="Calibri"/>
                <w:sz w:val="19"/>
                <w:szCs w:val="18"/>
              </w:rPr>
              <w:t xml:space="preserve">. 5, Chapter 1 </w:t>
            </w:r>
            <w:r w:rsidRPr="0023065F">
              <w:rPr>
                <w:rFonts w:ascii="Calibri" w:hAnsi="Calibri"/>
                <w:i/>
                <w:sz w:val="19"/>
                <w:szCs w:val="18"/>
              </w:rPr>
              <w:t xml:space="preserve">Estimated Financial Statements for the general government sector </w:t>
            </w:r>
            <w:r w:rsidRPr="0023065F">
              <w:rPr>
                <w:rFonts w:ascii="Calibri" w:hAnsi="Calibri"/>
                <w:sz w:val="19"/>
                <w:szCs w:val="18"/>
              </w:rPr>
              <w:t>and notes</w:t>
            </w:r>
          </w:p>
        </w:tc>
      </w:tr>
      <w:tr w:rsidR="002C39A3" w:rsidRPr="00FD166C" w:rsidTr="00361FA9">
        <w:trPr>
          <w:cantSplit/>
        </w:trPr>
        <w:tc>
          <w:tcPr>
            <w:tcW w:w="4414" w:type="dxa"/>
            <w:tcBorders>
              <w:top w:val="single" w:sz="4" w:space="0" w:color="C0C0C0"/>
              <w:left w:val="nil"/>
              <w:bottom w:val="nil"/>
              <w:right w:val="nil"/>
            </w:tcBorders>
            <w:hideMark/>
          </w:tcPr>
          <w:p w:rsidR="002C39A3" w:rsidRPr="00FD166C" w:rsidRDefault="002C39A3" w:rsidP="00361FA9">
            <w:pPr>
              <w:spacing w:after="0"/>
              <w:rPr>
                <w:rFonts w:ascii="Calibri" w:hAnsi="Calibri"/>
                <w:sz w:val="19"/>
                <w:szCs w:val="18"/>
              </w:rPr>
            </w:pPr>
            <w:r w:rsidRPr="00FD166C">
              <w:rPr>
                <w:rFonts w:ascii="Calibri" w:hAnsi="Calibri"/>
                <w:sz w:val="19"/>
                <w:szCs w:val="18"/>
              </w:rPr>
              <w:t xml:space="preserve">Section 23K of the </w:t>
            </w:r>
            <w:r w:rsidRPr="00FD166C">
              <w:rPr>
                <w:rFonts w:ascii="Calibri" w:hAnsi="Calibri"/>
                <w:i/>
                <w:sz w:val="19"/>
                <w:szCs w:val="18"/>
              </w:rPr>
              <w:t>Financial Management Act 1994</w:t>
            </w:r>
          </w:p>
          <w:p w:rsidR="002C39A3" w:rsidRPr="00FD166C" w:rsidRDefault="002C39A3" w:rsidP="00361FA9">
            <w:pPr>
              <w:pageBreakBefore/>
              <w:spacing w:after="0"/>
              <w:rPr>
                <w:rFonts w:ascii="Calibri" w:hAnsi="Calibri"/>
                <w:sz w:val="19"/>
                <w:szCs w:val="18"/>
              </w:rPr>
            </w:pPr>
            <w:r w:rsidRPr="00FD166C">
              <w:rPr>
                <w:rFonts w:ascii="Calibri" w:hAnsi="Calibri"/>
                <w:sz w:val="19"/>
                <w:szCs w:val="18"/>
              </w:rPr>
              <w:t>Accompanying statements in association with each set of estimated financial statements comprising:</w:t>
            </w:r>
          </w:p>
        </w:tc>
        <w:tc>
          <w:tcPr>
            <w:tcW w:w="106" w:type="dxa"/>
            <w:tcBorders>
              <w:top w:val="single" w:sz="4" w:space="0" w:color="C0C0C0"/>
              <w:left w:val="nil"/>
              <w:bottom w:val="nil"/>
              <w:right w:val="nil"/>
            </w:tcBorders>
          </w:tcPr>
          <w:p w:rsidR="002C39A3" w:rsidRPr="00FD166C" w:rsidRDefault="002C39A3" w:rsidP="00361FA9">
            <w:pPr>
              <w:spacing w:after="0"/>
              <w:ind w:left="180" w:hanging="180"/>
              <w:rPr>
                <w:rFonts w:ascii="Calibri" w:hAnsi="Calibri"/>
                <w:sz w:val="19"/>
                <w:szCs w:val="18"/>
              </w:rPr>
            </w:pPr>
          </w:p>
        </w:tc>
        <w:tc>
          <w:tcPr>
            <w:tcW w:w="3248" w:type="dxa"/>
            <w:tcBorders>
              <w:top w:val="single" w:sz="4" w:space="0" w:color="C0C0C0"/>
              <w:left w:val="nil"/>
              <w:bottom w:val="nil"/>
              <w:right w:val="nil"/>
            </w:tcBorders>
          </w:tcPr>
          <w:p w:rsidR="002C39A3" w:rsidRPr="00FD166C" w:rsidRDefault="002C39A3" w:rsidP="00361FA9">
            <w:pPr>
              <w:spacing w:after="0"/>
              <w:ind w:left="180" w:hanging="180"/>
              <w:rPr>
                <w:rFonts w:ascii="Calibri" w:hAnsi="Calibri"/>
                <w:sz w:val="19"/>
                <w:szCs w:val="18"/>
              </w:rPr>
            </w:pPr>
          </w:p>
        </w:tc>
      </w:tr>
      <w:tr w:rsidR="002C39A3" w:rsidRPr="00FD166C" w:rsidTr="00361FA9">
        <w:trPr>
          <w:cantSplit/>
        </w:trPr>
        <w:tc>
          <w:tcPr>
            <w:tcW w:w="4414" w:type="dxa"/>
            <w:hideMark/>
          </w:tcPr>
          <w:p w:rsidR="002C39A3" w:rsidRPr="00FD166C" w:rsidRDefault="002C39A3" w:rsidP="00361FA9">
            <w:pPr>
              <w:spacing w:after="0"/>
              <w:ind w:left="178" w:hanging="178"/>
              <w:rPr>
                <w:rFonts w:ascii="Calibri" w:hAnsi="Calibri"/>
                <w:sz w:val="19"/>
                <w:szCs w:val="18"/>
              </w:rPr>
            </w:pPr>
            <w:r w:rsidRPr="00FD166C">
              <w:rPr>
                <w:rFonts w:ascii="Calibri" w:hAnsi="Calibri"/>
                <w:sz w:val="19"/>
                <w:szCs w:val="18"/>
              </w:rPr>
              <w:t>–</w:t>
            </w:r>
            <w:r w:rsidRPr="00FD166C">
              <w:rPr>
                <w:rFonts w:ascii="Calibri" w:hAnsi="Calibri"/>
                <w:sz w:val="19"/>
                <w:szCs w:val="18"/>
              </w:rPr>
              <w:tab/>
              <w:t>a statement of the material economic and other assumptions that have been used in preparing the estimated financial statements;</w:t>
            </w:r>
          </w:p>
        </w:tc>
        <w:tc>
          <w:tcPr>
            <w:tcW w:w="106" w:type="dxa"/>
          </w:tcPr>
          <w:p w:rsidR="002C39A3" w:rsidRPr="00FD166C" w:rsidRDefault="002C39A3" w:rsidP="00361FA9">
            <w:pPr>
              <w:spacing w:after="0"/>
              <w:rPr>
                <w:rFonts w:ascii="Calibri" w:hAnsi="Calibri"/>
                <w:sz w:val="19"/>
                <w:szCs w:val="18"/>
              </w:rPr>
            </w:pPr>
          </w:p>
        </w:tc>
        <w:tc>
          <w:tcPr>
            <w:tcW w:w="3248" w:type="dxa"/>
            <w:hideMark/>
          </w:tcPr>
          <w:p w:rsidR="002C39A3" w:rsidRPr="00FD166C" w:rsidRDefault="002C39A3" w:rsidP="00361FA9">
            <w:pPr>
              <w:spacing w:after="0"/>
              <w:rPr>
                <w:rFonts w:ascii="Calibri" w:hAnsi="Calibri"/>
                <w:sz w:val="19"/>
                <w:szCs w:val="18"/>
              </w:rPr>
            </w:pPr>
            <w:r w:rsidRPr="00FD166C">
              <w:rPr>
                <w:rFonts w:ascii="Calibri" w:hAnsi="Calibri"/>
                <w:sz w:val="19"/>
                <w:szCs w:val="18"/>
              </w:rPr>
              <w:t xml:space="preserve">Budget Paper No. 2, </w:t>
            </w:r>
            <w:r w:rsidRPr="00833F92">
              <w:rPr>
                <w:rFonts w:ascii="Calibri" w:hAnsi="Calibri"/>
                <w:sz w:val="19"/>
                <w:szCs w:val="18"/>
              </w:rPr>
              <w:t xml:space="preserve">Chapter 2 </w:t>
            </w:r>
            <w:r w:rsidRPr="00833F92">
              <w:rPr>
                <w:rFonts w:ascii="Calibri" w:hAnsi="Calibri"/>
                <w:i/>
                <w:sz w:val="19"/>
                <w:szCs w:val="18"/>
              </w:rPr>
              <w:t>Economic context</w:t>
            </w:r>
          </w:p>
          <w:p w:rsidR="002C39A3" w:rsidRPr="00FD166C" w:rsidRDefault="002C39A3" w:rsidP="00361FA9">
            <w:pPr>
              <w:spacing w:after="0"/>
              <w:rPr>
                <w:rFonts w:ascii="Calibri" w:hAnsi="Calibri"/>
                <w:i/>
                <w:sz w:val="19"/>
                <w:szCs w:val="18"/>
              </w:rPr>
            </w:pPr>
            <w:r w:rsidRPr="00FD166C">
              <w:rPr>
                <w:rFonts w:ascii="Calibri" w:hAnsi="Calibri"/>
                <w:sz w:val="19"/>
                <w:szCs w:val="18"/>
              </w:rPr>
              <w:t xml:space="preserve">Budget Paper No. 2, </w:t>
            </w:r>
            <w:r w:rsidRPr="00833F92">
              <w:rPr>
                <w:rFonts w:ascii="Calibri" w:hAnsi="Calibri"/>
                <w:sz w:val="19"/>
                <w:szCs w:val="18"/>
              </w:rPr>
              <w:t xml:space="preserve">Chapter 4 </w:t>
            </w:r>
            <w:r w:rsidRPr="00833F92">
              <w:rPr>
                <w:rFonts w:ascii="Calibri" w:hAnsi="Calibri"/>
                <w:i/>
                <w:sz w:val="19"/>
                <w:szCs w:val="18"/>
              </w:rPr>
              <w:t>Budget position and outlook</w:t>
            </w:r>
          </w:p>
          <w:p w:rsidR="002C39A3" w:rsidRPr="00FD166C" w:rsidRDefault="002C39A3" w:rsidP="00361FA9">
            <w:pPr>
              <w:spacing w:after="0"/>
              <w:rPr>
                <w:rFonts w:ascii="Calibri" w:hAnsi="Calibri"/>
                <w:sz w:val="19"/>
                <w:szCs w:val="18"/>
              </w:rPr>
            </w:pPr>
            <w:r w:rsidRPr="00FD166C">
              <w:rPr>
                <w:rFonts w:ascii="Calibri" w:hAnsi="Calibri"/>
                <w:sz w:val="19"/>
                <w:szCs w:val="18"/>
              </w:rPr>
              <w:t xml:space="preserve">Budget Paper No. 5, </w:t>
            </w:r>
            <w:r w:rsidRPr="0023065F">
              <w:rPr>
                <w:rFonts w:ascii="Calibri" w:hAnsi="Calibri"/>
                <w:sz w:val="19"/>
                <w:szCs w:val="18"/>
              </w:rPr>
              <w:t xml:space="preserve">Chapter 1 </w:t>
            </w:r>
            <w:r w:rsidRPr="0023065F">
              <w:rPr>
                <w:rFonts w:ascii="Calibri" w:hAnsi="Calibri"/>
                <w:i/>
                <w:sz w:val="19"/>
                <w:szCs w:val="18"/>
              </w:rPr>
              <w:t xml:space="preserve">Estimated Financial Statements for the general government sector </w:t>
            </w:r>
            <w:r w:rsidRPr="0023065F">
              <w:rPr>
                <w:rFonts w:ascii="Calibri" w:hAnsi="Calibri"/>
                <w:sz w:val="19"/>
                <w:szCs w:val="18"/>
              </w:rPr>
              <w:t>and notes</w:t>
            </w:r>
          </w:p>
        </w:tc>
      </w:tr>
    </w:tbl>
    <w:p w:rsidR="002C39A3" w:rsidRPr="00FD166C" w:rsidRDefault="002C39A3" w:rsidP="00361FA9">
      <w:pPr>
        <w:keepNext/>
        <w:tabs>
          <w:tab w:val="left" w:pos="567"/>
        </w:tabs>
        <w:spacing w:before="240"/>
        <w:ind w:left="1151" w:hanging="1151"/>
        <w:rPr>
          <w:rFonts w:ascii="Calibri" w:hAnsi="Calibri"/>
          <w:b/>
        </w:rPr>
      </w:pPr>
      <w:r w:rsidRPr="00FD166C">
        <w:rPr>
          <w:rFonts w:ascii="Calibri" w:hAnsi="Calibri"/>
        </w:rPr>
        <w:br w:type="page"/>
      </w:r>
      <w:r w:rsidRPr="00FD166C">
        <w:rPr>
          <w:rFonts w:ascii="Calibri" w:hAnsi="Calibri"/>
          <w:b/>
        </w:rPr>
        <w:t>Table C1:</w:t>
      </w:r>
      <w:r w:rsidRPr="00FD166C">
        <w:rPr>
          <w:rFonts w:ascii="Calibri" w:hAnsi="Calibri"/>
          <w:b/>
        </w:rPr>
        <w:tab/>
        <w:t xml:space="preserve">Statements required by the </w:t>
      </w:r>
      <w:r w:rsidRPr="00FD166C">
        <w:rPr>
          <w:rFonts w:ascii="Calibri" w:hAnsi="Calibri"/>
          <w:b/>
          <w:i/>
        </w:rPr>
        <w:t>Financial Management Act 1994</w:t>
      </w:r>
      <w:r w:rsidRPr="00FD166C">
        <w:rPr>
          <w:rFonts w:ascii="Calibri" w:hAnsi="Calibri"/>
          <w:b/>
        </w:rPr>
        <w:t xml:space="preserve"> and their location in the </w:t>
      </w:r>
      <w:r>
        <w:rPr>
          <w:rFonts w:ascii="Calibri" w:hAnsi="Calibri"/>
          <w:b/>
          <w:i/>
        </w:rPr>
        <w:t>2016</w:t>
      </w:r>
      <w:r>
        <w:rPr>
          <w:rFonts w:ascii="Calibri" w:hAnsi="Calibri"/>
          <w:b/>
          <w:i/>
        </w:rPr>
        <w:noBreakHyphen/>
        <w:t>17</w:t>
      </w:r>
      <w:r w:rsidRPr="00FD166C">
        <w:rPr>
          <w:rFonts w:ascii="Calibri" w:hAnsi="Calibri"/>
          <w:b/>
          <w:i/>
        </w:rPr>
        <w:t> Budget</w:t>
      </w:r>
      <w:r w:rsidRPr="00FD166C">
        <w:rPr>
          <w:rFonts w:ascii="Calibri" w:hAnsi="Calibri"/>
          <w:b/>
        </w:rPr>
        <w:t xml:space="preserve"> </w:t>
      </w:r>
      <w:r w:rsidRPr="00FD166C">
        <w:rPr>
          <w:rFonts w:ascii="Calibri" w:hAnsi="Calibri"/>
          <w:b/>
          <w:i/>
        </w:rPr>
        <w:t>(continued)</w:t>
      </w:r>
    </w:p>
    <w:tbl>
      <w:tblPr>
        <w:tblW w:w="7768" w:type="dxa"/>
        <w:tblInd w:w="29" w:type="dxa"/>
        <w:tblCellMar>
          <w:left w:w="43" w:type="dxa"/>
          <w:right w:w="43" w:type="dxa"/>
        </w:tblCellMar>
        <w:tblLook w:val="01E0" w:firstRow="1" w:lastRow="1" w:firstColumn="1" w:lastColumn="1" w:noHBand="0" w:noVBand="0"/>
      </w:tblPr>
      <w:tblGrid>
        <w:gridCol w:w="4409"/>
        <w:gridCol w:w="141"/>
        <w:gridCol w:w="3218"/>
      </w:tblGrid>
      <w:tr w:rsidR="002C39A3" w:rsidRPr="00FD166C" w:rsidTr="00361FA9">
        <w:trPr>
          <w:cantSplit/>
          <w:trHeight w:val="462"/>
          <w:tblHeader/>
        </w:trPr>
        <w:tc>
          <w:tcPr>
            <w:tcW w:w="4409" w:type="dxa"/>
            <w:tcBorders>
              <w:top w:val="single" w:sz="4" w:space="0" w:color="auto"/>
              <w:left w:val="single" w:sz="4" w:space="0" w:color="auto"/>
              <w:bottom w:val="single" w:sz="4" w:space="0" w:color="auto"/>
              <w:right w:val="single" w:sz="4" w:space="0" w:color="auto"/>
            </w:tcBorders>
            <w:shd w:val="clear" w:color="auto" w:fill="000000"/>
            <w:hideMark/>
          </w:tcPr>
          <w:p w:rsidR="002C39A3" w:rsidRPr="00FD166C" w:rsidRDefault="002C39A3" w:rsidP="00361FA9">
            <w:pPr>
              <w:spacing w:after="0"/>
              <w:rPr>
                <w:rFonts w:ascii="Calibri" w:hAnsi="Calibri"/>
                <w:i/>
                <w:sz w:val="19"/>
                <w:szCs w:val="18"/>
              </w:rPr>
            </w:pPr>
            <w:r w:rsidRPr="00FD166C">
              <w:rPr>
                <w:rFonts w:ascii="Calibri" w:hAnsi="Calibri"/>
                <w:i/>
                <w:sz w:val="19"/>
                <w:szCs w:val="18"/>
              </w:rPr>
              <w:t>Relevant section of the Act and</w:t>
            </w:r>
            <w:r w:rsidRPr="00FD166C">
              <w:rPr>
                <w:rFonts w:ascii="Calibri" w:hAnsi="Calibri"/>
                <w:i/>
                <w:sz w:val="19"/>
                <w:szCs w:val="18"/>
              </w:rPr>
              <w:br/>
              <w:t xml:space="preserve"> corresponding requirement</w:t>
            </w:r>
          </w:p>
        </w:tc>
        <w:tc>
          <w:tcPr>
            <w:tcW w:w="141" w:type="dxa"/>
            <w:tcBorders>
              <w:top w:val="single" w:sz="4" w:space="0" w:color="auto"/>
              <w:left w:val="single" w:sz="4" w:space="0" w:color="auto"/>
              <w:bottom w:val="single" w:sz="4" w:space="0" w:color="auto"/>
              <w:right w:val="single" w:sz="4" w:space="0" w:color="auto"/>
            </w:tcBorders>
            <w:shd w:val="clear" w:color="auto" w:fill="000000"/>
          </w:tcPr>
          <w:p w:rsidR="002C39A3" w:rsidRPr="00FD166C" w:rsidRDefault="002C39A3" w:rsidP="00361FA9">
            <w:pPr>
              <w:spacing w:after="0"/>
              <w:rPr>
                <w:rFonts w:ascii="Calibri" w:hAnsi="Calibri"/>
                <w:i/>
                <w:sz w:val="19"/>
                <w:szCs w:val="18"/>
              </w:rPr>
            </w:pPr>
          </w:p>
        </w:tc>
        <w:tc>
          <w:tcPr>
            <w:tcW w:w="3218" w:type="dxa"/>
            <w:tcBorders>
              <w:top w:val="single" w:sz="4" w:space="0" w:color="auto"/>
              <w:left w:val="single" w:sz="4" w:space="0" w:color="auto"/>
              <w:bottom w:val="single" w:sz="4" w:space="0" w:color="auto"/>
              <w:right w:val="single" w:sz="4" w:space="0" w:color="auto"/>
            </w:tcBorders>
            <w:shd w:val="clear" w:color="auto" w:fill="000000"/>
            <w:vAlign w:val="bottom"/>
            <w:hideMark/>
          </w:tcPr>
          <w:p w:rsidR="002C39A3" w:rsidRPr="00FD166C" w:rsidRDefault="002C39A3" w:rsidP="00361FA9">
            <w:pPr>
              <w:spacing w:after="0"/>
              <w:rPr>
                <w:rFonts w:ascii="Calibri" w:hAnsi="Calibri"/>
                <w:i/>
                <w:sz w:val="19"/>
                <w:szCs w:val="18"/>
              </w:rPr>
            </w:pPr>
            <w:r w:rsidRPr="00FD166C">
              <w:rPr>
                <w:rFonts w:ascii="Calibri" w:hAnsi="Calibri"/>
                <w:i/>
                <w:sz w:val="19"/>
                <w:szCs w:val="18"/>
              </w:rPr>
              <w:t>Location</w:t>
            </w:r>
          </w:p>
        </w:tc>
      </w:tr>
      <w:tr w:rsidR="002C39A3" w:rsidRPr="00FD166C" w:rsidTr="00361FA9">
        <w:trPr>
          <w:cantSplit/>
          <w:trHeight w:val="693"/>
        </w:trPr>
        <w:tc>
          <w:tcPr>
            <w:tcW w:w="4409" w:type="dxa"/>
            <w:hideMark/>
          </w:tcPr>
          <w:p w:rsidR="002C39A3" w:rsidRPr="00FD166C" w:rsidRDefault="002C39A3" w:rsidP="00361FA9">
            <w:pPr>
              <w:spacing w:after="0"/>
              <w:ind w:left="178" w:hanging="178"/>
              <w:rPr>
                <w:rFonts w:ascii="Calibri" w:hAnsi="Calibri"/>
                <w:sz w:val="19"/>
                <w:szCs w:val="18"/>
              </w:rPr>
            </w:pPr>
            <w:r w:rsidRPr="00FD166C">
              <w:rPr>
                <w:rFonts w:ascii="Calibri" w:hAnsi="Calibri"/>
                <w:sz w:val="19"/>
                <w:szCs w:val="18"/>
              </w:rPr>
              <w:t>–</w:t>
            </w:r>
            <w:r w:rsidRPr="00FD166C">
              <w:rPr>
                <w:rFonts w:ascii="Calibri" w:hAnsi="Calibri"/>
                <w:sz w:val="19"/>
                <w:szCs w:val="18"/>
              </w:rPr>
              <w:tab/>
              <w:t>a discussion of the sensitivity of the estimated financial statements to changes in those economic and other assumptions;</w:t>
            </w:r>
          </w:p>
        </w:tc>
        <w:tc>
          <w:tcPr>
            <w:tcW w:w="141" w:type="dxa"/>
          </w:tcPr>
          <w:p w:rsidR="002C39A3" w:rsidRPr="00FD166C" w:rsidRDefault="002C39A3" w:rsidP="00361FA9">
            <w:pPr>
              <w:spacing w:after="0"/>
              <w:rPr>
                <w:rFonts w:ascii="Calibri" w:hAnsi="Calibri"/>
                <w:sz w:val="19"/>
                <w:szCs w:val="18"/>
              </w:rPr>
            </w:pPr>
          </w:p>
        </w:tc>
        <w:tc>
          <w:tcPr>
            <w:tcW w:w="3218" w:type="dxa"/>
            <w:hideMark/>
          </w:tcPr>
          <w:p w:rsidR="002C39A3" w:rsidRPr="00FD166C" w:rsidRDefault="002C39A3" w:rsidP="00361FA9">
            <w:pPr>
              <w:spacing w:after="0"/>
              <w:rPr>
                <w:rFonts w:ascii="Calibri" w:hAnsi="Calibri"/>
                <w:sz w:val="19"/>
                <w:szCs w:val="18"/>
              </w:rPr>
            </w:pPr>
            <w:r w:rsidRPr="00FD166C">
              <w:rPr>
                <w:rFonts w:ascii="Calibri" w:hAnsi="Calibri"/>
                <w:sz w:val="19"/>
                <w:szCs w:val="18"/>
              </w:rPr>
              <w:t xml:space="preserve">Budget Paper No. 2, </w:t>
            </w:r>
            <w:r w:rsidRPr="00833F92">
              <w:rPr>
                <w:rFonts w:ascii="Calibri" w:hAnsi="Calibri"/>
                <w:sz w:val="19"/>
                <w:szCs w:val="18"/>
              </w:rPr>
              <w:t xml:space="preserve">Appendix A </w:t>
            </w:r>
            <w:r w:rsidRPr="00833F92">
              <w:rPr>
                <w:rFonts w:ascii="Calibri" w:hAnsi="Calibri"/>
                <w:i/>
                <w:sz w:val="19"/>
                <w:szCs w:val="18"/>
              </w:rPr>
              <w:t>Sensitivity analysis</w:t>
            </w:r>
            <w:r w:rsidRPr="00FD166C">
              <w:rPr>
                <w:rFonts w:ascii="Calibri" w:hAnsi="Calibri"/>
                <w:i/>
                <w:sz w:val="19"/>
                <w:szCs w:val="18"/>
              </w:rPr>
              <w:t xml:space="preserve"> </w:t>
            </w:r>
          </w:p>
        </w:tc>
      </w:tr>
      <w:tr w:rsidR="002C39A3" w:rsidRPr="00FD166C" w:rsidTr="00361FA9">
        <w:trPr>
          <w:cantSplit/>
          <w:trHeight w:val="693"/>
        </w:trPr>
        <w:tc>
          <w:tcPr>
            <w:tcW w:w="4409" w:type="dxa"/>
            <w:hideMark/>
          </w:tcPr>
          <w:p w:rsidR="002C39A3" w:rsidRPr="00FD166C" w:rsidRDefault="002C39A3" w:rsidP="00361FA9">
            <w:pPr>
              <w:spacing w:after="0"/>
              <w:ind w:left="180" w:hanging="180"/>
              <w:rPr>
                <w:rFonts w:ascii="Calibri" w:hAnsi="Calibri"/>
                <w:sz w:val="19"/>
                <w:szCs w:val="18"/>
              </w:rPr>
            </w:pPr>
            <w:r w:rsidRPr="00FD166C">
              <w:rPr>
                <w:rFonts w:ascii="Calibri" w:hAnsi="Calibri"/>
                <w:sz w:val="19"/>
                <w:szCs w:val="18"/>
              </w:rPr>
              <w:br w:type="page"/>
              <w:t>–</w:t>
            </w:r>
            <w:r w:rsidRPr="00FD166C">
              <w:rPr>
                <w:rFonts w:ascii="Calibri" w:hAnsi="Calibri"/>
                <w:sz w:val="19"/>
                <w:szCs w:val="18"/>
              </w:rPr>
              <w:tab/>
              <w:t>an overview of the estimated tax expenditures for the financial years covered by the estimated financial statements; and</w:t>
            </w:r>
          </w:p>
        </w:tc>
        <w:tc>
          <w:tcPr>
            <w:tcW w:w="141" w:type="dxa"/>
          </w:tcPr>
          <w:p w:rsidR="002C39A3" w:rsidRPr="00FD166C" w:rsidRDefault="002C39A3" w:rsidP="00361FA9">
            <w:pPr>
              <w:spacing w:after="0"/>
              <w:ind w:left="180" w:hanging="180"/>
              <w:rPr>
                <w:rFonts w:ascii="Calibri" w:hAnsi="Calibri"/>
                <w:sz w:val="19"/>
                <w:szCs w:val="18"/>
              </w:rPr>
            </w:pPr>
          </w:p>
        </w:tc>
        <w:tc>
          <w:tcPr>
            <w:tcW w:w="3218" w:type="dxa"/>
            <w:hideMark/>
          </w:tcPr>
          <w:p w:rsidR="002C39A3" w:rsidRPr="00FD166C" w:rsidRDefault="002C39A3" w:rsidP="00361FA9">
            <w:pPr>
              <w:spacing w:after="0"/>
              <w:rPr>
                <w:rFonts w:ascii="Calibri" w:hAnsi="Calibri"/>
                <w:sz w:val="19"/>
                <w:szCs w:val="18"/>
              </w:rPr>
            </w:pPr>
            <w:r w:rsidRPr="00FD166C">
              <w:rPr>
                <w:rFonts w:ascii="Calibri" w:hAnsi="Calibri"/>
                <w:sz w:val="19"/>
                <w:szCs w:val="18"/>
              </w:rPr>
              <w:t>Budget Paper No. 5</w:t>
            </w:r>
            <w:r w:rsidRPr="0023065F">
              <w:rPr>
                <w:rFonts w:ascii="Calibri" w:hAnsi="Calibri"/>
                <w:sz w:val="19"/>
                <w:szCs w:val="18"/>
              </w:rPr>
              <w:t xml:space="preserve">, Chapter 5 </w:t>
            </w:r>
            <w:r w:rsidRPr="0023065F">
              <w:rPr>
                <w:rFonts w:ascii="Calibri" w:hAnsi="Calibri"/>
                <w:i/>
                <w:sz w:val="19"/>
                <w:szCs w:val="18"/>
              </w:rPr>
              <w:t>Tax expenditures and concessions</w:t>
            </w:r>
          </w:p>
        </w:tc>
      </w:tr>
      <w:tr w:rsidR="002C39A3" w:rsidRPr="00FD166C" w:rsidTr="00361FA9">
        <w:trPr>
          <w:cantSplit/>
          <w:trHeight w:val="1739"/>
        </w:trPr>
        <w:tc>
          <w:tcPr>
            <w:tcW w:w="4409" w:type="dxa"/>
            <w:tcBorders>
              <w:top w:val="nil"/>
              <w:left w:val="nil"/>
              <w:bottom w:val="single" w:sz="4" w:space="0" w:color="BFBFBF"/>
              <w:right w:val="nil"/>
            </w:tcBorders>
            <w:hideMark/>
          </w:tcPr>
          <w:p w:rsidR="002C39A3" w:rsidRPr="00FD166C" w:rsidRDefault="002C39A3" w:rsidP="00361FA9">
            <w:pPr>
              <w:spacing w:after="0"/>
              <w:ind w:left="178" w:hanging="178"/>
              <w:rPr>
                <w:rFonts w:ascii="Calibri" w:hAnsi="Calibri"/>
                <w:sz w:val="19"/>
                <w:szCs w:val="18"/>
              </w:rPr>
            </w:pPr>
            <w:r w:rsidRPr="00FD166C">
              <w:rPr>
                <w:rFonts w:ascii="Calibri" w:hAnsi="Calibri"/>
                <w:sz w:val="19"/>
                <w:szCs w:val="18"/>
              </w:rPr>
              <w:t>–</w:t>
            </w:r>
            <w:r w:rsidRPr="00FD166C">
              <w:rPr>
                <w:rFonts w:ascii="Calibri" w:hAnsi="Calibri"/>
                <w:sz w:val="19"/>
                <w:szCs w:val="18"/>
              </w:rPr>
              <w:tab/>
              <w:t>a statement of risks that may have a material effect on the estimated financial statements.</w:t>
            </w:r>
          </w:p>
        </w:tc>
        <w:tc>
          <w:tcPr>
            <w:tcW w:w="141" w:type="dxa"/>
            <w:tcBorders>
              <w:top w:val="nil"/>
              <w:left w:val="nil"/>
              <w:bottom w:val="single" w:sz="4" w:space="0" w:color="BFBFBF"/>
              <w:right w:val="nil"/>
            </w:tcBorders>
          </w:tcPr>
          <w:p w:rsidR="002C39A3" w:rsidRPr="00FD166C" w:rsidRDefault="002C39A3" w:rsidP="00361FA9">
            <w:pPr>
              <w:spacing w:after="0"/>
              <w:ind w:left="178" w:hanging="178"/>
              <w:rPr>
                <w:rFonts w:ascii="Calibri" w:hAnsi="Calibri"/>
                <w:sz w:val="19"/>
                <w:szCs w:val="18"/>
              </w:rPr>
            </w:pPr>
          </w:p>
        </w:tc>
        <w:tc>
          <w:tcPr>
            <w:tcW w:w="3218" w:type="dxa"/>
            <w:tcBorders>
              <w:top w:val="nil"/>
              <w:left w:val="nil"/>
              <w:bottom w:val="single" w:sz="4" w:space="0" w:color="BFBFBF"/>
              <w:right w:val="nil"/>
            </w:tcBorders>
            <w:hideMark/>
          </w:tcPr>
          <w:p w:rsidR="002C39A3" w:rsidRPr="00FD166C" w:rsidRDefault="002C39A3" w:rsidP="00361FA9">
            <w:pPr>
              <w:spacing w:after="0"/>
              <w:rPr>
                <w:rFonts w:ascii="Calibri" w:hAnsi="Calibri"/>
                <w:i/>
                <w:sz w:val="19"/>
                <w:szCs w:val="18"/>
              </w:rPr>
            </w:pPr>
            <w:r w:rsidRPr="00FD166C">
              <w:rPr>
                <w:rFonts w:ascii="Calibri" w:hAnsi="Calibri"/>
                <w:sz w:val="19"/>
                <w:szCs w:val="18"/>
              </w:rPr>
              <w:t xml:space="preserve">Budget Paper No. 2, </w:t>
            </w:r>
            <w:r w:rsidRPr="00833F92">
              <w:rPr>
                <w:rFonts w:ascii="Calibri" w:hAnsi="Calibri"/>
                <w:sz w:val="19"/>
                <w:szCs w:val="18"/>
              </w:rPr>
              <w:t xml:space="preserve">Chapter 2 </w:t>
            </w:r>
            <w:r w:rsidRPr="00833F92">
              <w:rPr>
                <w:rFonts w:ascii="Calibri" w:hAnsi="Calibri"/>
                <w:i/>
                <w:sz w:val="19"/>
                <w:szCs w:val="18"/>
              </w:rPr>
              <w:t>Economic context</w:t>
            </w:r>
          </w:p>
          <w:p w:rsidR="002C39A3" w:rsidRPr="00FD166C" w:rsidRDefault="002C39A3" w:rsidP="00361FA9">
            <w:pPr>
              <w:spacing w:after="0"/>
              <w:rPr>
                <w:rFonts w:ascii="Calibri" w:hAnsi="Calibri"/>
                <w:sz w:val="19"/>
                <w:szCs w:val="18"/>
              </w:rPr>
            </w:pPr>
            <w:r w:rsidRPr="00FD166C">
              <w:rPr>
                <w:rFonts w:ascii="Calibri" w:hAnsi="Calibri"/>
                <w:sz w:val="19"/>
                <w:szCs w:val="18"/>
              </w:rPr>
              <w:t xml:space="preserve">Budget Paper No. 2, </w:t>
            </w:r>
            <w:r w:rsidRPr="00833F92">
              <w:rPr>
                <w:rFonts w:ascii="Calibri" w:hAnsi="Calibri"/>
                <w:sz w:val="19"/>
                <w:szCs w:val="18"/>
              </w:rPr>
              <w:t>Chapter 4</w:t>
            </w:r>
            <w:r w:rsidRPr="00833F92">
              <w:rPr>
                <w:rFonts w:ascii="Calibri" w:hAnsi="Calibri"/>
                <w:i/>
                <w:sz w:val="19"/>
                <w:szCs w:val="18"/>
              </w:rPr>
              <w:t xml:space="preserve"> Budget position and outlook</w:t>
            </w:r>
          </w:p>
          <w:p w:rsidR="002C39A3" w:rsidRPr="00FD166C" w:rsidRDefault="002C39A3" w:rsidP="00361FA9">
            <w:pPr>
              <w:rPr>
                <w:rFonts w:ascii="Calibri" w:hAnsi="Calibri"/>
                <w:i/>
                <w:sz w:val="19"/>
                <w:szCs w:val="18"/>
              </w:rPr>
            </w:pPr>
            <w:r w:rsidRPr="00FD166C">
              <w:rPr>
                <w:rFonts w:ascii="Calibri" w:hAnsi="Calibri"/>
                <w:sz w:val="19"/>
                <w:szCs w:val="18"/>
              </w:rPr>
              <w:t xml:space="preserve">Budget Paper No. 5, Chapter 6 </w:t>
            </w:r>
            <w:r w:rsidRPr="00FD166C">
              <w:rPr>
                <w:rFonts w:ascii="Calibri" w:hAnsi="Calibri"/>
                <w:i/>
                <w:sz w:val="19"/>
                <w:szCs w:val="18"/>
              </w:rPr>
              <w:t>Contingent assets and contingent liabilities</w:t>
            </w:r>
          </w:p>
        </w:tc>
      </w:tr>
      <w:tr w:rsidR="002C39A3" w:rsidRPr="00FD166C" w:rsidTr="00361FA9">
        <w:trPr>
          <w:cantSplit/>
          <w:trHeight w:val="231"/>
        </w:trPr>
        <w:tc>
          <w:tcPr>
            <w:tcW w:w="4409" w:type="dxa"/>
            <w:tcBorders>
              <w:top w:val="single" w:sz="4" w:space="0" w:color="BFBFBF"/>
              <w:left w:val="nil"/>
              <w:bottom w:val="nil"/>
              <w:right w:val="nil"/>
            </w:tcBorders>
            <w:hideMark/>
          </w:tcPr>
          <w:p w:rsidR="002C39A3" w:rsidRPr="00FD166C" w:rsidRDefault="002C39A3" w:rsidP="00361FA9">
            <w:pPr>
              <w:spacing w:after="0"/>
              <w:rPr>
                <w:rFonts w:ascii="Calibri" w:hAnsi="Calibri"/>
                <w:sz w:val="19"/>
                <w:szCs w:val="18"/>
              </w:rPr>
            </w:pPr>
            <w:r w:rsidRPr="00FD166C">
              <w:rPr>
                <w:rFonts w:ascii="Calibri" w:hAnsi="Calibri"/>
                <w:sz w:val="19"/>
                <w:szCs w:val="18"/>
              </w:rPr>
              <w:t xml:space="preserve">Section 26(1) of the </w:t>
            </w:r>
            <w:r w:rsidRPr="00FD166C">
              <w:rPr>
                <w:rFonts w:ascii="Calibri" w:hAnsi="Calibri"/>
                <w:i/>
                <w:sz w:val="19"/>
                <w:szCs w:val="18"/>
              </w:rPr>
              <w:t>Financial Management Act 1994</w:t>
            </w:r>
          </w:p>
        </w:tc>
        <w:tc>
          <w:tcPr>
            <w:tcW w:w="141" w:type="dxa"/>
            <w:tcBorders>
              <w:top w:val="single" w:sz="4" w:space="0" w:color="BFBFBF"/>
              <w:left w:val="nil"/>
              <w:bottom w:val="nil"/>
              <w:right w:val="nil"/>
            </w:tcBorders>
          </w:tcPr>
          <w:p w:rsidR="002C39A3" w:rsidRPr="00FD166C" w:rsidRDefault="002C39A3" w:rsidP="00361FA9">
            <w:pPr>
              <w:spacing w:after="0"/>
              <w:ind w:left="180" w:hanging="180"/>
              <w:rPr>
                <w:rFonts w:ascii="Calibri" w:hAnsi="Calibri"/>
                <w:i/>
                <w:sz w:val="19"/>
                <w:szCs w:val="18"/>
              </w:rPr>
            </w:pPr>
          </w:p>
        </w:tc>
        <w:tc>
          <w:tcPr>
            <w:tcW w:w="3218" w:type="dxa"/>
            <w:tcBorders>
              <w:top w:val="single" w:sz="4" w:space="0" w:color="BFBFBF"/>
              <w:left w:val="nil"/>
              <w:bottom w:val="nil"/>
              <w:right w:val="nil"/>
            </w:tcBorders>
          </w:tcPr>
          <w:p w:rsidR="002C39A3" w:rsidRPr="00FD166C" w:rsidRDefault="002C39A3" w:rsidP="00361FA9">
            <w:pPr>
              <w:spacing w:after="0"/>
              <w:ind w:left="180" w:hanging="180"/>
              <w:rPr>
                <w:rFonts w:ascii="Calibri" w:hAnsi="Calibri"/>
                <w:i/>
                <w:sz w:val="19"/>
                <w:szCs w:val="18"/>
              </w:rPr>
            </w:pPr>
          </w:p>
        </w:tc>
      </w:tr>
      <w:tr w:rsidR="002C39A3" w:rsidRPr="00FD166C" w:rsidTr="00361FA9">
        <w:trPr>
          <w:cantSplit/>
          <w:trHeight w:val="627"/>
        </w:trPr>
        <w:tc>
          <w:tcPr>
            <w:tcW w:w="4409" w:type="dxa"/>
            <w:tcBorders>
              <w:top w:val="nil"/>
              <w:left w:val="nil"/>
              <w:bottom w:val="single" w:sz="6" w:space="0" w:color="BFBFBF"/>
              <w:right w:val="nil"/>
            </w:tcBorders>
            <w:hideMark/>
          </w:tcPr>
          <w:p w:rsidR="002C39A3" w:rsidRPr="00FD166C" w:rsidRDefault="002C39A3" w:rsidP="00361FA9">
            <w:pPr>
              <w:spacing w:after="0"/>
              <w:rPr>
                <w:rFonts w:ascii="Calibri" w:hAnsi="Calibri"/>
                <w:sz w:val="19"/>
                <w:szCs w:val="18"/>
              </w:rPr>
            </w:pPr>
            <w:r w:rsidRPr="00FD166C">
              <w:rPr>
                <w:rFonts w:ascii="Calibri" w:hAnsi="Calibri"/>
                <w:sz w:val="19"/>
                <w:szCs w:val="18"/>
              </w:rPr>
              <w:t>A quarterly financial report for each quarter of each financial year.</w:t>
            </w:r>
          </w:p>
        </w:tc>
        <w:tc>
          <w:tcPr>
            <w:tcW w:w="141" w:type="dxa"/>
            <w:tcBorders>
              <w:top w:val="nil"/>
              <w:left w:val="nil"/>
              <w:bottom w:val="single" w:sz="6" w:space="0" w:color="BFBFBF"/>
              <w:right w:val="nil"/>
            </w:tcBorders>
          </w:tcPr>
          <w:p w:rsidR="002C39A3" w:rsidRPr="00FD166C" w:rsidRDefault="002C39A3" w:rsidP="00361FA9">
            <w:pPr>
              <w:spacing w:after="0"/>
              <w:rPr>
                <w:rFonts w:ascii="Calibri" w:hAnsi="Calibri"/>
                <w:sz w:val="19"/>
                <w:szCs w:val="18"/>
              </w:rPr>
            </w:pPr>
          </w:p>
        </w:tc>
        <w:tc>
          <w:tcPr>
            <w:tcW w:w="3218" w:type="dxa"/>
            <w:tcBorders>
              <w:top w:val="nil"/>
              <w:left w:val="nil"/>
              <w:bottom w:val="single" w:sz="6" w:space="0" w:color="BFBFBF"/>
              <w:right w:val="nil"/>
            </w:tcBorders>
            <w:hideMark/>
          </w:tcPr>
          <w:p w:rsidR="002C39A3" w:rsidRPr="00FD166C" w:rsidRDefault="002C39A3" w:rsidP="00361FA9">
            <w:pPr>
              <w:rPr>
                <w:rFonts w:ascii="Calibri" w:hAnsi="Calibri"/>
                <w:i/>
                <w:sz w:val="19"/>
                <w:szCs w:val="18"/>
              </w:rPr>
            </w:pPr>
            <w:r w:rsidRPr="00FD166C">
              <w:rPr>
                <w:rFonts w:ascii="Calibri" w:hAnsi="Calibri"/>
                <w:sz w:val="19"/>
                <w:szCs w:val="18"/>
              </w:rPr>
              <w:t xml:space="preserve">Budget Paper No. 5, </w:t>
            </w:r>
            <w:r w:rsidRPr="0023065F">
              <w:rPr>
                <w:rFonts w:ascii="Calibri" w:hAnsi="Calibri"/>
                <w:sz w:val="19"/>
                <w:szCs w:val="18"/>
              </w:rPr>
              <w:t>Appendix B</w:t>
            </w:r>
            <w:r w:rsidRPr="0023065F">
              <w:rPr>
                <w:rFonts w:ascii="Calibri" w:hAnsi="Calibri"/>
                <w:sz w:val="19"/>
                <w:szCs w:val="18"/>
              </w:rPr>
              <w:br/>
            </w:r>
            <w:r w:rsidRPr="00916568">
              <w:rPr>
                <w:rFonts w:ascii="Calibri" w:hAnsi="Calibri"/>
                <w:i/>
                <w:sz w:val="19"/>
                <w:szCs w:val="18"/>
              </w:rPr>
              <w:t>2015-16</w:t>
            </w:r>
            <w:r w:rsidRPr="0023065F">
              <w:rPr>
                <w:rFonts w:ascii="Calibri" w:hAnsi="Calibri"/>
                <w:sz w:val="19"/>
                <w:szCs w:val="18"/>
              </w:rPr>
              <w:t xml:space="preserve"> </w:t>
            </w:r>
            <w:r w:rsidRPr="0023065F">
              <w:rPr>
                <w:rFonts w:ascii="Calibri" w:hAnsi="Calibri"/>
                <w:i/>
                <w:sz w:val="19"/>
                <w:szCs w:val="18"/>
              </w:rPr>
              <w:t>Budget outcome incorporating the financial report for the March quarter 2016</w:t>
            </w:r>
            <w:r w:rsidRPr="00FD166C">
              <w:rPr>
                <w:rFonts w:ascii="Calibri" w:hAnsi="Calibri"/>
                <w:i/>
                <w:sz w:val="19"/>
                <w:szCs w:val="18"/>
              </w:rPr>
              <w:t xml:space="preserve"> </w:t>
            </w:r>
          </w:p>
        </w:tc>
      </w:tr>
      <w:tr w:rsidR="002C39A3" w:rsidRPr="00FD166C" w:rsidTr="00361FA9">
        <w:trPr>
          <w:cantSplit/>
          <w:trHeight w:val="1630"/>
        </w:trPr>
        <w:tc>
          <w:tcPr>
            <w:tcW w:w="4409" w:type="dxa"/>
            <w:tcBorders>
              <w:top w:val="single" w:sz="6" w:space="0" w:color="BFBFBF"/>
              <w:left w:val="nil"/>
              <w:bottom w:val="nil"/>
              <w:right w:val="nil"/>
            </w:tcBorders>
            <w:hideMark/>
          </w:tcPr>
          <w:p w:rsidR="002C39A3" w:rsidRPr="00FD166C" w:rsidRDefault="002C39A3" w:rsidP="00361FA9">
            <w:pPr>
              <w:spacing w:after="0"/>
              <w:rPr>
                <w:rFonts w:ascii="Calibri" w:hAnsi="Calibri"/>
                <w:i/>
                <w:sz w:val="19"/>
                <w:szCs w:val="18"/>
              </w:rPr>
            </w:pPr>
            <w:r w:rsidRPr="00FD166C">
              <w:rPr>
                <w:rFonts w:ascii="Calibri" w:hAnsi="Calibri"/>
                <w:sz w:val="19"/>
                <w:szCs w:val="18"/>
              </w:rPr>
              <w:t xml:space="preserve">Section 40 of the </w:t>
            </w:r>
            <w:r w:rsidRPr="00FD166C">
              <w:rPr>
                <w:rFonts w:ascii="Calibri" w:hAnsi="Calibri"/>
                <w:i/>
                <w:sz w:val="19"/>
                <w:szCs w:val="18"/>
              </w:rPr>
              <w:t>Financial Management Act 1994</w:t>
            </w:r>
          </w:p>
          <w:p w:rsidR="002C39A3" w:rsidRPr="00FD166C" w:rsidRDefault="002C39A3" w:rsidP="00361FA9">
            <w:pPr>
              <w:spacing w:after="0"/>
              <w:rPr>
                <w:rFonts w:ascii="Calibri" w:hAnsi="Calibri"/>
                <w:sz w:val="19"/>
                <w:szCs w:val="18"/>
              </w:rPr>
            </w:pPr>
            <w:r w:rsidRPr="00FD166C">
              <w:rPr>
                <w:rFonts w:ascii="Calibri" w:hAnsi="Calibri"/>
                <w:sz w:val="19"/>
                <w:szCs w:val="18"/>
              </w:rPr>
              <w:t>A statement of information under departmental headings setting out:</w:t>
            </w:r>
          </w:p>
          <w:p w:rsidR="002C39A3" w:rsidRPr="00FD166C" w:rsidRDefault="002C39A3" w:rsidP="00361FA9">
            <w:pPr>
              <w:spacing w:after="0"/>
              <w:ind w:left="178" w:hanging="178"/>
              <w:rPr>
                <w:rFonts w:ascii="Calibri" w:hAnsi="Calibri"/>
                <w:sz w:val="19"/>
                <w:szCs w:val="18"/>
              </w:rPr>
            </w:pPr>
            <w:r w:rsidRPr="00FD166C">
              <w:rPr>
                <w:rFonts w:ascii="Calibri" w:hAnsi="Calibri"/>
                <w:sz w:val="19"/>
                <w:szCs w:val="18"/>
              </w:rPr>
              <w:t>– a description of the goods and services to be produced or provided by each department during the perio</w:t>
            </w:r>
            <w:r>
              <w:rPr>
                <w:rFonts w:ascii="Calibri" w:hAnsi="Calibri"/>
                <w:sz w:val="19"/>
                <w:szCs w:val="18"/>
              </w:rPr>
              <w:t>d to which the statement relates</w:t>
            </w:r>
            <w:r w:rsidRPr="00FD166C">
              <w:rPr>
                <w:rFonts w:ascii="Calibri" w:hAnsi="Calibri"/>
                <w:sz w:val="19"/>
                <w:szCs w:val="18"/>
              </w:rPr>
              <w:t>, together with comparative information for the preceding financial year;</w:t>
            </w:r>
          </w:p>
        </w:tc>
        <w:tc>
          <w:tcPr>
            <w:tcW w:w="141" w:type="dxa"/>
            <w:tcBorders>
              <w:top w:val="single" w:sz="6" w:space="0" w:color="BFBFBF"/>
              <w:left w:val="nil"/>
              <w:bottom w:val="nil"/>
              <w:right w:val="nil"/>
            </w:tcBorders>
          </w:tcPr>
          <w:p w:rsidR="002C39A3" w:rsidRPr="00FD166C" w:rsidRDefault="002C39A3" w:rsidP="00361FA9">
            <w:pPr>
              <w:spacing w:after="0"/>
              <w:ind w:left="180" w:hanging="180"/>
              <w:rPr>
                <w:rFonts w:ascii="Calibri" w:hAnsi="Calibri"/>
                <w:sz w:val="19"/>
                <w:szCs w:val="18"/>
              </w:rPr>
            </w:pPr>
          </w:p>
        </w:tc>
        <w:tc>
          <w:tcPr>
            <w:tcW w:w="3218" w:type="dxa"/>
            <w:tcBorders>
              <w:top w:val="single" w:sz="6" w:space="0" w:color="BFBFBF"/>
              <w:left w:val="nil"/>
              <w:bottom w:val="nil"/>
              <w:right w:val="nil"/>
            </w:tcBorders>
          </w:tcPr>
          <w:p w:rsidR="002C39A3" w:rsidRPr="00FD166C" w:rsidRDefault="002C39A3" w:rsidP="00361FA9">
            <w:pPr>
              <w:spacing w:after="0"/>
              <w:rPr>
                <w:rFonts w:ascii="Calibri" w:hAnsi="Calibri"/>
                <w:sz w:val="19"/>
                <w:szCs w:val="18"/>
              </w:rPr>
            </w:pPr>
          </w:p>
          <w:p w:rsidR="002C39A3" w:rsidRPr="00FD166C" w:rsidRDefault="002C39A3" w:rsidP="00361FA9">
            <w:pPr>
              <w:spacing w:after="0"/>
              <w:rPr>
                <w:rFonts w:ascii="Calibri" w:hAnsi="Calibri"/>
                <w:sz w:val="19"/>
                <w:szCs w:val="18"/>
              </w:rPr>
            </w:pPr>
            <w:r w:rsidRPr="00FD166C">
              <w:rPr>
                <w:rFonts w:ascii="Calibri" w:hAnsi="Calibri"/>
                <w:sz w:val="19"/>
                <w:szCs w:val="18"/>
              </w:rPr>
              <w:br/>
            </w:r>
          </w:p>
          <w:p w:rsidR="002C39A3" w:rsidRPr="00FD166C" w:rsidRDefault="002C39A3" w:rsidP="00361FA9">
            <w:pPr>
              <w:spacing w:after="0"/>
              <w:rPr>
                <w:rFonts w:ascii="Calibri" w:hAnsi="Calibri"/>
                <w:sz w:val="19"/>
                <w:szCs w:val="18"/>
              </w:rPr>
            </w:pPr>
            <w:r w:rsidRPr="00FD166C">
              <w:rPr>
                <w:rFonts w:ascii="Calibri" w:hAnsi="Calibri"/>
                <w:sz w:val="19"/>
                <w:szCs w:val="18"/>
              </w:rPr>
              <w:t xml:space="preserve">Budget Paper No. 3, </w:t>
            </w:r>
            <w:r w:rsidRPr="0023065F">
              <w:rPr>
                <w:rFonts w:ascii="Calibri" w:hAnsi="Calibri"/>
                <w:sz w:val="19"/>
                <w:szCs w:val="18"/>
              </w:rPr>
              <w:t xml:space="preserve">Chapter 2 </w:t>
            </w:r>
            <w:r w:rsidRPr="0023065F">
              <w:rPr>
                <w:rFonts w:ascii="Calibri" w:hAnsi="Calibri"/>
                <w:i/>
                <w:sz w:val="19"/>
                <w:szCs w:val="18"/>
              </w:rPr>
              <w:t>Departmental performance statements</w:t>
            </w:r>
          </w:p>
        </w:tc>
      </w:tr>
      <w:tr w:rsidR="002C39A3" w:rsidRPr="00FD166C" w:rsidTr="00361FA9">
        <w:trPr>
          <w:cantSplit/>
          <w:trHeight w:val="1913"/>
        </w:trPr>
        <w:tc>
          <w:tcPr>
            <w:tcW w:w="4409" w:type="dxa"/>
            <w:tcBorders>
              <w:top w:val="nil"/>
              <w:left w:val="nil"/>
              <w:bottom w:val="single" w:sz="6" w:space="0" w:color="C0C0C0"/>
              <w:right w:val="nil"/>
            </w:tcBorders>
            <w:hideMark/>
          </w:tcPr>
          <w:p w:rsidR="002C39A3" w:rsidRPr="00FD166C" w:rsidRDefault="002C39A3" w:rsidP="00361FA9">
            <w:pPr>
              <w:spacing w:after="0"/>
              <w:ind w:left="180" w:hanging="180"/>
              <w:rPr>
                <w:rFonts w:ascii="Calibri" w:hAnsi="Calibri"/>
                <w:sz w:val="19"/>
                <w:szCs w:val="19"/>
              </w:rPr>
            </w:pPr>
            <w:r w:rsidRPr="00FD166C">
              <w:rPr>
                <w:rFonts w:ascii="Calibri" w:hAnsi="Calibri"/>
                <w:sz w:val="19"/>
                <w:szCs w:val="19"/>
              </w:rPr>
              <w:t xml:space="preserve">– </w:t>
            </w:r>
            <w:r w:rsidRPr="00FD166C">
              <w:rPr>
                <w:rFonts w:ascii="Calibri" w:hAnsi="Calibri"/>
                <w:sz w:val="19"/>
                <w:szCs w:val="19"/>
              </w:rPr>
              <w:tab/>
              <w:t>a description of the amount available or to be available to each department during the period to which the statement relates, whether appropriated by the Parliament for that purpose or otherwise received or to be received by the department, together with comparative figures for the preceding financial year; and</w:t>
            </w:r>
          </w:p>
          <w:p w:rsidR="002C39A3" w:rsidRPr="00FD166C" w:rsidRDefault="002C39A3" w:rsidP="00361FA9">
            <w:pPr>
              <w:spacing w:after="0"/>
              <w:ind w:left="180" w:hanging="180"/>
              <w:rPr>
                <w:rFonts w:ascii="Calibri" w:hAnsi="Calibri"/>
                <w:sz w:val="20"/>
                <w:szCs w:val="18"/>
              </w:rPr>
            </w:pPr>
            <w:r w:rsidRPr="00FD166C">
              <w:rPr>
                <w:rFonts w:ascii="Calibri" w:hAnsi="Calibri"/>
                <w:sz w:val="19"/>
                <w:szCs w:val="19"/>
              </w:rPr>
              <w:t xml:space="preserve">– </w:t>
            </w:r>
            <w:r w:rsidRPr="00FD166C">
              <w:rPr>
                <w:rFonts w:ascii="Calibri" w:hAnsi="Calibri"/>
                <w:sz w:val="19"/>
                <w:szCs w:val="19"/>
              </w:rPr>
              <w:tab/>
              <w:t>the estimated amount of the receipts and receivables of each department during the period to which the statement relates, together with comparative figures for the preceding financial year.</w:t>
            </w:r>
          </w:p>
        </w:tc>
        <w:tc>
          <w:tcPr>
            <w:tcW w:w="141" w:type="dxa"/>
            <w:tcBorders>
              <w:top w:val="nil"/>
              <w:left w:val="nil"/>
              <w:bottom w:val="single" w:sz="6" w:space="0" w:color="C0C0C0"/>
              <w:right w:val="nil"/>
            </w:tcBorders>
          </w:tcPr>
          <w:p w:rsidR="002C39A3" w:rsidRPr="00FD166C" w:rsidRDefault="002C39A3" w:rsidP="00361FA9">
            <w:pPr>
              <w:spacing w:after="0"/>
              <w:rPr>
                <w:rFonts w:ascii="Calibri" w:hAnsi="Calibri"/>
                <w:sz w:val="19"/>
                <w:szCs w:val="18"/>
              </w:rPr>
            </w:pPr>
          </w:p>
        </w:tc>
        <w:tc>
          <w:tcPr>
            <w:tcW w:w="3218" w:type="dxa"/>
            <w:tcBorders>
              <w:top w:val="nil"/>
              <w:left w:val="nil"/>
              <w:bottom w:val="single" w:sz="6" w:space="0" w:color="C0C0C0"/>
              <w:right w:val="nil"/>
            </w:tcBorders>
            <w:hideMark/>
          </w:tcPr>
          <w:p w:rsidR="002C39A3" w:rsidRPr="0023065F" w:rsidRDefault="002C39A3" w:rsidP="00361FA9">
            <w:pPr>
              <w:spacing w:after="0"/>
              <w:rPr>
                <w:rFonts w:ascii="Calibri" w:hAnsi="Calibri"/>
                <w:sz w:val="19"/>
                <w:szCs w:val="18"/>
              </w:rPr>
            </w:pPr>
            <w:r w:rsidRPr="00FD166C">
              <w:rPr>
                <w:rFonts w:ascii="Calibri" w:hAnsi="Calibri"/>
                <w:sz w:val="19"/>
                <w:szCs w:val="18"/>
              </w:rPr>
              <w:t>Budget Paper No. </w:t>
            </w:r>
            <w:r w:rsidRPr="0023065F">
              <w:rPr>
                <w:rFonts w:ascii="Calibri" w:hAnsi="Calibri"/>
                <w:sz w:val="19"/>
                <w:szCs w:val="18"/>
              </w:rPr>
              <w:t xml:space="preserve">5, Chapter 3 </w:t>
            </w:r>
            <w:r w:rsidRPr="0023065F">
              <w:rPr>
                <w:rFonts w:ascii="Calibri" w:hAnsi="Calibri"/>
                <w:i/>
                <w:sz w:val="19"/>
                <w:szCs w:val="18"/>
              </w:rPr>
              <w:t>Departmental financial statements</w:t>
            </w:r>
            <w:r w:rsidRPr="0023065F">
              <w:rPr>
                <w:rFonts w:ascii="Calibri" w:hAnsi="Calibri"/>
                <w:i/>
                <w:sz w:val="19"/>
                <w:szCs w:val="18"/>
              </w:rPr>
              <w:br/>
            </w:r>
            <w:r w:rsidRPr="0023065F">
              <w:rPr>
                <w:rFonts w:ascii="Calibri" w:hAnsi="Calibri"/>
                <w:i/>
                <w:sz w:val="19"/>
                <w:szCs w:val="18"/>
              </w:rPr>
              <w:br/>
            </w:r>
            <w:r w:rsidRPr="0023065F">
              <w:rPr>
                <w:rFonts w:ascii="Calibri" w:hAnsi="Calibri"/>
                <w:i/>
                <w:sz w:val="19"/>
                <w:szCs w:val="18"/>
              </w:rPr>
              <w:br/>
            </w:r>
            <w:r w:rsidRPr="0023065F">
              <w:rPr>
                <w:rFonts w:ascii="Calibri" w:hAnsi="Calibri"/>
                <w:i/>
                <w:sz w:val="19"/>
                <w:szCs w:val="18"/>
              </w:rPr>
              <w:br/>
            </w:r>
            <w:r w:rsidRPr="0023065F">
              <w:rPr>
                <w:rFonts w:ascii="Calibri" w:hAnsi="Calibri"/>
                <w:i/>
                <w:sz w:val="19"/>
                <w:szCs w:val="18"/>
              </w:rPr>
              <w:br/>
            </w:r>
          </w:p>
          <w:p w:rsidR="002C39A3" w:rsidRPr="00FD166C" w:rsidRDefault="002C39A3" w:rsidP="00361FA9">
            <w:pPr>
              <w:spacing w:after="0"/>
              <w:rPr>
                <w:rFonts w:ascii="Calibri" w:hAnsi="Calibri"/>
                <w:i/>
                <w:sz w:val="19"/>
                <w:szCs w:val="18"/>
              </w:rPr>
            </w:pPr>
            <w:r w:rsidRPr="0023065F">
              <w:rPr>
                <w:rFonts w:ascii="Calibri" w:hAnsi="Calibri"/>
                <w:sz w:val="19"/>
                <w:szCs w:val="18"/>
              </w:rPr>
              <w:t xml:space="preserve">Budget Paper No. 3, Chapter 2 </w:t>
            </w:r>
            <w:r w:rsidRPr="0023065F">
              <w:rPr>
                <w:rFonts w:ascii="Calibri" w:hAnsi="Calibri"/>
                <w:i/>
                <w:sz w:val="19"/>
                <w:szCs w:val="18"/>
              </w:rPr>
              <w:t>Departmental performance statements</w:t>
            </w:r>
          </w:p>
        </w:tc>
      </w:tr>
      <w:tr w:rsidR="002C39A3" w:rsidRPr="00FD166C" w:rsidTr="00361FA9">
        <w:trPr>
          <w:cantSplit/>
          <w:trHeight w:val="231"/>
        </w:trPr>
        <w:tc>
          <w:tcPr>
            <w:tcW w:w="4409" w:type="dxa"/>
            <w:tcBorders>
              <w:top w:val="single" w:sz="6" w:space="0" w:color="C0C0C0"/>
              <w:left w:val="nil"/>
              <w:bottom w:val="nil"/>
              <w:right w:val="nil"/>
            </w:tcBorders>
            <w:hideMark/>
          </w:tcPr>
          <w:p w:rsidR="002C39A3" w:rsidRPr="00FD166C" w:rsidRDefault="002C39A3" w:rsidP="00361FA9">
            <w:pPr>
              <w:spacing w:after="0"/>
              <w:rPr>
                <w:rFonts w:ascii="Calibri" w:hAnsi="Calibri"/>
                <w:sz w:val="19"/>
                <w:szCs w:val="18"/>
              </w:rPr>
            </w:pPr>
            <w:r w:rsidRPr="00FD166C">
              <w:rPr>
                <w:rFonts w:ascii="Calibri" w:hAnsi="Calibri"/>
                <w:sz w:val="19"/>
                <w:szCs w:val="18"/>
              </w:rPr>
              <w:t xml:space="preserve">Section 16B of the </w:t>
            </w:r>
            <w:r w:rsidRPr="00FD166C">
              <w:rPr>
                <w:rFonts w:ascii="Calibri" w:hAnsi="Calibri"/>
                <w:i/>
                <w:sz w:val="19"/>
                <w:szCs w:val="18"/>
              </w:rPr>
              <w:t>Audit Act 1994</w:t>
            </w:r>
          </w:p>
        </w:tc>
        <w:tc>
          <w:tcPr>
            <w:tcW w:w="141" w:type="dxa"/>
            <w:tcBorders>
              <w:top w:val="single" w:sz="6" w:space="0" w:color="C0C0C0"/>
              <w:left w:val="nil"/>
              <w:bottom w:val="nil"/>
              <w:right w:val="nil"/>
            </w:tcBorders>
          </w:tcPr>
          <w:p w:rsidR="002C39A3" w:rsidRPr="00FD166C" w:rsidRDefault="002C39A3" w:rsidP="00361FA9">
            <w:pPr>
              <w:spacing w:after="0"/>
              <w:ind w:left="180" w:hanging="180"/>
              <w:rPr>
                <w:rFonts w:ascii="Calibri" w:hAnsi="Calibri"/>
                <w:sz w:val="19"/>
                <w:szCs w:val="18"/>
              </w:rPr>
            </w:pPr>
          </w:p>
        </w:tc>
        <w:tc>
          <w:tcPr>
            <w:tcW w:w="3218" w:type="dxa"/>
            <w:tcBorders>
              <w:top w:val="single" w:sz="6" w:space="0" w:color="C0C0C0"/>
              <w:left w:val="nil"/>
              <w:bottom w:val="nil"/>
              <w:right w:val="nil"/>
            </w:tcBorders>
          </w:tcPr>
          <w:p w:rsidR="002C39A3" w:rsidRPr="00FD166C" w:rsidRDefault="002C39A3" w:rsidP="00361FA9">
            <w:pPr>
              <w:spacing w:after="0"/>
              <w:ind w:left="180" w:hanging="180"/>
              <w:rPr>
                <w:rFonts w:ascii="Calibri" w:hAnsi="Calibri"/>
                <w:sz w:val="19"/>
                <w:szCs w:val="18"/>
              </w:rPr>
            </w:pPr>
          </w:p>
        </w:tc>
      </w:tr>
      <w:tr w:rsidR="002C39A3" w:rsidRPr="0023065F" w:rsidTr="00361FA9">
        <w:trPr>
          <w:cantSplit/>
          <w:trHeight w:val="937"/>
        </w:trPr>
        <w:tc>
          <w:tcPr>
            <w:tcW w:w="4409" w:type="dxa"/>
            <w:tcBorders>
              <w:top w:val="nil"/>
              <w:left w:val="nil"/>
              <w:bottom w:val="single" w:sz="12" w:space="0" w:color="auto"/>
              <w:right w:val="nil"/>
            </w:tcBorders>
            <w:hideMark/>
          </w:tcPr>
          <w:p w:rsidR="002C39A3" w:rsidRPr="00FD166C" w:rsidRDefault="002C39A3" w:rsidP="00361FA9">
            <w:pPr>
              <w:spacing w:after="0"/>
              <w:rPr>
                <w:rFonts w:ascii="Calibri" w:hAnsi="Calibri"/>
                <w:sz w:val="19"/>
                <w:szCs w:val="18"/>
              </w:rPr>
            </w:pPr>
            <w:r w:rsidRPr="00FD166C">
              <w:rPr>
                <w:rFonts w:ascii="Calibri" w:hAnsi="Calibri"/>
                <w:sz w:val="19"/>
                <w:szCs w:val="18"/>
              </w:rPr>
              <w:t>The Auditor</w:t>
            </w:r>
            <w:r w:rsidRPr="00FD166C">
              <w:rPr>
                <w:rFonts w:ascii="Calibri" w:hAnsi="Calibri"/>
                <w:sz w:val="19"/>
                <w:szCs w:val="18"/>
              </w:rPr>
              <w:noBreakHyphen/>
              <w:t>General reviews and reports on the estimated financial statements to ensure they are consistent with accounting convention and that the methodologies and assumptions used are reasonable.</w:t>
            </w:r>
          </w:p>
        </w:tc>
        <w:tc>
          <w:tcPr>
            <w:tcW w:w="141" w:type="dxa"/>
            <w:tcBorders>
              <w:top w:val="nil"/>
              <w:left w:val="nil"/>
              <w:bottom w:val="single" w:sz="12" w:space="0" w:color="auto"/>
              <w:right w:val="nil"/>
            </w:tcBorders>
          </w:tcPr>
          <w:p w:rsidR="002C39A3" w:rsidRPr="00FD166C" w:rsidRDefault="002C39A3" w:rsidP="00361FA9">
            <w:pPr>
              <w:spacing w:after="0"/>
              <w:rPr>
                <w:rFonts w:ascii="Calibri" w:hAnsi="Calibri"/>
                <w:sz w:val="19"/>
                <w:szCs w:val="18"/>
                <w:highlight w:val="yellow"/>
              </w:rPr>
            </w:pPr>
          </w:p>
        </w:tc>
        <w:tc>
          <w:tcPr>
            <w:tcW w:w="3218" w:type="dxa"/>
            <w:tcBorders>
              <w:top w:val="nil"/>
              <w:left w:val="nil"/>
              <w:bottom w:val="single" w:sz="12" w:space="0" w:color="auto"/>
              <w:right w:val="nil"/>
            </w:tcBorders>
            <w:hideMark/>
          </w:tcPr>
          <w:p w:rsidR="002C39A3" w:rsidRPr="0023065F" w:rsidRDefault="002C39A3" w:rsidP="00361FA9">
            <w:pPr>
              <w:spacing w:after="0"/>
              <w:rPr>
                <w:rFonts w:ascii="Calibri" w:hAnsi="Calibri"/>
                <w:sz w:val="19"/>
                <w:szCs w:val="18"/>
              </w:rPr>
            </w:pPr>
            <w:r w:rsidRPr="0023065F">
              <w:rPr>
                <w:rFonts w:ascii="Calibri" w:hAnsi="Calibri"/>
                <w:sz w:val="19"/>
                <w:szCs w:val="18"/>
              </w:rPr>
              <w:t xml:space="preserve">Budget Paper No. 5, Chapter 1 </w:t>
            </w:r>
            <w:r w:rsidRPr="0023065F">
              <w:rPr>
                <w:rFonts w:ascii="Calibri" w:hAnsi="Calibri"/>
                <w:i/>
                <w:sz w:val="19"/>
                <w:szCs w:val="18"/>
              </w:rPr>
              <w:t xml:space="preserve">Estimated Financial Statements for the general government sector </w:t>
            </w:r>
            <w:r w:rsidRPr="0023065F">
              <w:rPr>
                <w:rFonts w:ascii="Calibri" w:hAnsi="Calibri"/>
                <w:sz w:val="19"/>
                <w:szCs w:val="18"/>
              </w:rPr>
              <w:t>and notes</w:t>
            </w:r>
          </w:p>
        </w:tc>
      </w:tr>
    </w:tbl>
    <w:p w:rsidR="002C39A3" w:rsidRPr="002326D9" w:rsidRDefault="002C39A3" w:rsidP="00361FA9"/>
    <w:p w:rsidR="002C39A3" w:rsidRDefault="002C39A3" w:rsidP="00273B20">
      <w:pPr>
        <w:rPr>
          <w:rFonts w:eastAsiaTheme="minorHAnsi"/>
        </w:rPr>
        <w:sectPr w:rsidR="002C39A3" w:rsidSect="00273B20">
          <w:footerReference w:type="even" r:id="rId70"/>
          <w:footerReference w:type="default" r:id="rId71"/>
          <w:type w:val="oddPage"/>
          <w:pgSz w:w="9979" w:h="14181" w:code="138"/>
          <w:pgMar w:top="1138" w:right="1138" w:bottom="1138" w:left="1138" w:header="720" w:footer="432" w:gutter="0"/>
          <w:cols w:space="708"/>
          <w:docGrid w:linePitch="360"/>
        </w:sectPr>
      </w:pPr>
    </w:p>
    <w:p w:rsidR="002C39A3" w:rsidRDefault="002C39A3" w:rsidP="00361FA9">
      <w:pPr>
        <w:pStyle w:val="ChapterHeading"/>
        <w:rPr>
          <w:rFonts w:eastAsiaTheme="minorHAnsi"/>
        </w:rPr>
      </w:pPr>
      <w:bookmarkStart w:id="85" w:name="_Toc449116224"/>
      <w:r>
        <w:rPr>
          <w:rFonts w:eastAsiaTheme="minorHAnsi"/>
        </w:rPr>
        <w:t>Style conventions</w:t>
      </w:r>
      <w:bookmarkEnd w:id="85"/>
    </w:p>
    <w:p w:rsidR="002C39A3" w:rsidRDefault="002C39A3" w:rsidP="00FB6856">
      <w:pPr>
        <w:rPr>
          <w:lang w:eastAsia="en-AU"/>
        </w:rPr>
      </w:pPr>
      <w:r>
        <w:rPr>
          <w:lang w:eastAsia="en-AU"/>
        </w:rPr>
        <w:t>Figures in the tables and in the text have been rounded. Discrepancies in tables between totals and sums of components reflect rounding. Percentage changes in all tables are based on the underlying unrounded amounts.</w:t>
      </w:r>
    </w:p>
    <w:p w:rsidR="002C39A3" w:rsidRDefault="002C39A3" w:rsidP="00FB6856">
      <w:r>
        <w:t>The notation used in the tables and charts is as follows:</w:t>
      </w:r>
    </w:p>
    <w:p w:rsidR="002C39A3" w:rsidRDefault="002C39A3" w:rsidP="00FB6856">
      <w:pPr>
        <w:ind w:left="2520" w:hanging="1800"/>
      </w:pPr>
      <w:r>
        <w:t>n.a.</w:t>
      </w:r>
      <w:r>
        <w:tab/>
        <w:t>not available or not applicable</w:t>
      </w:r>
    </w:p>
    <w:p w:rsidR="002C39A3" w:rsidRDefault="002C39A3" w:rsidP="00FB6856">
      <w:pPr>
        <w:ind w:left="2520" w:hanging="1800"/>
      </w:pPr>
      <w:r>
        <w:t>Cat. No.</w:t>
      </w:r>
      <w:r>
        <w:tab/>
        <w:t>catalogue number</w:t>
      </w:r>
    </w:p>
    <w:p w:rsidR="002C39A3" w:rsidRDefault="002C39A3" w:rsidP="00FB6856">
      <w:pPr>
        <w:ind w:left="2520" w:hanging="1800"/>
      </w:pPr>
      <w:r>
        <w:t>1 billion</w:t>
      </w:r>
      <w:r>
        <w:tab/>
        <w:t>1 000 million</w:t>
      </w:r>
    </w:p>
    <w:p w:rsidR="002C39A3" w:rsidRDefault="002C39A3" w:rsidP="00FB6856">
      <w:pPr>
        <w:ind w:left="2520" w:hanging="1800"/>
      </w:pPr>
      <w:r>
        <w:t>1 basis point</w:t>
      </w:r>
      <w:r>
        <w:tab/>
        <w:t>0.01 per cent</w:t>
      </w:r>
    </w:p>
    <w:p w:rsidR="002C39A3" w:rsidRDefault="002C39A3" w:rsidP="00FB6856">
      <w:pPr>
        <w:ind w:left="2520" w:hanging="1800"/>
      </w:pPr>
      <w:r>
        <w:t>..</w:t>
      </w:r>
      <w:r>
        <w:tab/>
        <w:t>zero, or rounded to zero</w:t>
      </w:r>
    </w:p>
    <w:p w:rsidR="002C39A3" w:rsidRPr="00AB0AE7" w:rsidRDefault="002C39A3" w:rsidP="00FB6856">
      <w:pPr>
        <w:ind w:left="2520" w:hanging="1800"/>
      </w:pPr>
      <w:r w:rsidRPr="00AB0AE7">
        <w:t>tbc</w:t>
      </w:r>
      <w:r w:rsidRPr="00AB0AE7">
        <w:tab/>
        <w:t>to be confirmed</w:t>
      </w:r>
    </w:p>
    <w:p w:rsidR="002C39A3" w:rsidRPr="00AB0AE7" w:rsidRDefault="002C39A3" w:rsidP="00FB6856">
      <w:pPr>
        <w:ind w:left="2520" w:hanging="1800"/>
      </w:pPr>
      <w:r w:rsidRPr="00AB0AE7">
        <w:t>ongoing</w:t>
      </w:r>
      <w:r w:rsidRPr="00AB0AE7">
        <w:tab/>
        <w:t>continuing output, program, project etc.</w:t>
      </w:r>
    </w:p>
    <w:p w:rsidR="002C39A3" w:rsidRPr="00AB0AE7" w:rsidRDefault="002C39A3" w:rsidP="00FB6856">
      <w:pPr>
        <w:ind w:left="2517" w:hanging="1797"/>
      </w:pPr>
      <w:r w:rsidRPr="00AB0AE7">
        <w:t>(xxx.x)</w:t>
      </w:r>
      <w:r w:rsidRPr="00AB0AE7">
        <w:tab/>
        <w:t>negative numbers</w:t>
      </w:r>
    </w:p>
    <w:p w:rsidR="002C39A3" w:rsidRPr="00AB0AE7" w:rsidRDefault="002C39A3" w:rsidP="00FB6856">
      <w:pPr>
        <w:ind w:left="2517" w:hanging="1797"/>
      </w:pPr>
      <w:r w:rsidRPr="00AB0AE7">
        <w:t>xxxx.0</w:t>
      </w:r>
      <w:r w:rsidRPr="00AB0AE7">
        <w:tab/>
        <w:t>rounded amount</w:t>
      </w:r>
    </w:p>
    <w:p w:rsidR="002C39A3" w:rsidRDefault="002C39A3" w:rsidP="00FB6856">
      <w:pPr>
        <w:ind w:left="2517" w:hanging="1797"/>
      </w:pPr>
      <w:r w:rsidRPr="00AB0AE7">
        <w:t>ytd</w:t>
      </w:r>
      <w:r w:rsidRPr="00AB0AE7">
        <w:tab/>
        <w:t>year to date</w:t>
      </w:r>
    </w:p>
    <w:p w:rsidR="002C39A3" w:rsidRDefault="002C39A3" w:rsidP="00FB6856">
      <w:pPr>
        <w:spacing w:after="0"/>
      </w:pPr>
    </w:p>
    <w:p w:rsidR="002C39A3" w:rsidRDefault="002C39A3" w:rsidP="00361FA9">
      <w:pPr>
        <w:rPr>
          <w:rFonts w:eastAsiaTheme="minorHAnsi"/>
        </w:rPr>
      </w:pPr>
    </w:p>
    <w:p w:rsidR="002C39A3" w:rsidRPr="00C47FE8" w:rsidRDefault="002C39A3" w:rsidP="00361FA9">
      <w:pPr>
        <w:rPr>
          <w:rFonts w:eastAsiaTheme="minorHAnsi"/>
          <w:color w:val="000000" w:themeColor="text1"/>
        </w:rPr>
      </w:pPr>
      <w:r w:rsidRPr="00C47FE8">
        <w:rPr>
          <w:rFonts w:eastAsiaTheme="minorHAnsi"/>
          <w:color w:val="000000" w:themeColor="text1"/>
        </w:rPr>
        <w:t xml:space="preserve">Please refer to the </w:t>
      </w:r>
      <w:r w:rsidRPr="00C47FE8">
        <w:rPr>
          <w:rFonts w:eastAsiaTheme="minorHAnsi"/>
          <w:b/>
          <w:color w:val="000000" w:themeColor="text1"/>
        </w:rPr>
        <w:t xml:space="preserve">Treasury and Finance glossary for budget and financial reports </w:t>
      </w:r>
      <w:r w:rsidRPr="00C47FE8">
        <w:rPr>
          <w:rFonts w:eastAsiaTheme="minorHAnsi"/>
          <w:b/>
          <w:color w:val="000000" w:themeColor="text1"/>
        </w:rPr>
        <w:br/>
      </w:r>
      <w:r w:rsidRPr="00C47FE8">
        <w:rPr>
          <w:rFonts w:eastAsiaTheme="minorHAnsi"/>
          <w:color w:val="000000" w:themeColor="text1"/>
        </w:rPr>
        <w:t xml:space="preserve">at </w:t>
      </w:r>
      <w:hyperlink r:id="rId72" w:history="1">
        <w:r w:rsidRPr="00C47FE8">
          <w:rPr>
            <w:rStyle w:val="Hyperlink"/>
            <w:rFonts w:eastAsiaTheme="minorHAnsi"/>
            <w:color w:val="000000" w:themeColor="text1"/>
          </w:rPr>
          <w:t>dtf.vic.gov.au</w:t>
        </w:r>
      </w:hyperlink>
      <w:r w:rsidRPr="00C47FE8">
        <w:rPr>
          <w:rFonts w:eastAsiaTheme="minorHAnsi"/>
          <w:color w:val="000000" w:themeColor="text1"/>
        </w:rPr>
        <w:t xml:space="preserve"> for additional terms and references.</w:t>
      </w:r>
    </w:p>
    <w:p w:rsidR="002C39A3" w:rsidRDefault="002C39A3" w:rsidP="00FB6856">
      <w:pPr>
        <w:spacing w:after="0"/>
      </w:pPr>
    </w:p>
    <w:p w:rsidR="002C39A3" w:rsidRDefault="002C39A3">
      <w:pPr>
        <w:spacing w:after="0"/>
        <w:rPr>
          <w:rFonts w:eastAsiaTheme="minorHAnsi"/>
        </w:rPr>
      </w:pPr>
      <w:r>
        <w:rPr>
          <w:rFonts w:eastAsiaTheme="minorHAnsi"/>
        </w:rPr>
        <w:br w:type="page"/>
      </w:r>
    </w:p>
    <w:p w:rsidR="002C39A3" w:rsidRDefault="002C39A3">
      <w:pPr>
        <w:spacing w:after="0"/>
        <w:rPr>
          <w:rFonts w:eastAsiaTheme="minorHAnsi"/>
        </w:rPr>
      </w:pPr>
    </w:p>
    <w:p w:rsidR="002C39A3" w:rsidRDefault="002C39A3">
      <w:pPr>
        <w:spacing w:after="0"/>
        <w:rPr>
          <w:rFonts w:eastAsiaTheme="minorHAnsi"/>
        </w:rPr>
      </w:pPr>
    </w:p>
    <w:p w:rsidR="002C39A3" w:rsidRDefault="002C39A3">
      <w:pPr>
        <w:spacing w:after="0"/>
        <w:rPr>
          <w:rFonts w:eastAsiaTheme="minorHAnsi"/>
        </w:rPr>
      </w:pPr>
    </w:p>
    <w:p w:rsidR="002C39A3" w:rsidRDefault="002C39A3">
      <w:pPr>
        <w:spacing w:after="0"/>
        <w:rPr>
          <w:rFonts w:eastAsiaTheme="minorHAnsi"/>
        </w:rPr>
      </w:pPr>
    </w:p>
    <w:p w:rsidR="002C39A3" w:rsidRDefault="002C39A3" w:rsidP="00361FA9">
      <w:pPr>
        <w:spacing w:after="0"/>
        <w:rPr>
          <w:rFonts w:eastAsiaTheme="minorHAnsi"/>
        </w:rPr>
        <w:sectPr w:rsidR="002C39A3" w:rsidSect="00361FA9">
          <w:footerReference w:type="even" r:id="rId73"/>
          <w:footerReference w:type="default" r:id="rId74"/>
          <w:type w:val="continuous"/>
          <w:pgSz w:w="9979" w:h="14181" w:code="138"/>
          <w:pgMar w:top="1140" w:right="1140" w:bottom="1140" w:left="1140" w:header="720" w:footer="431" w:gutter="0"/>
          <w:cols w:space="708"/>
          <w:docGrid w:linePitch="360"/>
        </w:sectPr>
      </w:pPr>
    </w:p>
    <w:p w:rsidR="002C39A3" w:rsidRDefault="002C39A3" w:rsidP="00B37EF1">
      <w:pPr>
        <w:rPr>
          <w:rFonts w:eastAsiaTheme="minorHAnsi"/>
        </w:rPr>
      </w:pPr>
    </w:p>
    <w:sectPr w:rsidR="002C39A3" w:rsidSect="00273B20">
      <w:footerReference w:type="even" r:id="rId75"/>
      <w:footerReference w:type="default" r:id="rId76"/>
      <w:type w:val="continuous"/>
      <w:pgSz w:w="9979" w:h="14181" w:code="138"/>
      <w:pgMar w:top="1138" w:right="1138" w:bottom="1138" w:left="1138" w:header="720"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DE1" w:rsidRDefault="00BF3DE1" w:rsidP="00BF3DE1">
      <w:pPr>
        <w:spacing w:after="0"/>
      </w:pPr>
      <w:r>
        <w:separator/>
      </w:r>
    </w:p>
  </w:endnote>
  <w:endnote w:type="continuationSeparator" w:id="0">
    <w:p w:rsidR="00BF3DE1" w:rsidRDefault="00BF3DE1" w:rsidP="00BF3D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IC-Light">
    <w:panose1 w:val="00000000000000000000"/>
    <w:charset w:val="00"/>
    <w:family w:val="swiss"/>
    <w:notTrueType/>
    <w:pitch w:val="default"/>
    <w:sig w:usb0="00000003" w:usb1="00000000" w:usb2="00000000" w:usb3="00000000" w:csb0="00000001" w:csb1="00000000"/>
  </w:font>
  <w:font w:name="Garamond-Italic">
    <w:panose1 w:val="00000000000000000000"/>
    <w:charset w:val="00"/>
    <w:family w:val="roman"/>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0C0" w:rsidRPr="002C3C9F" w:rsidRDefault="000E20C0" w:rsidP="002C3C9F">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74</w:t>
    </w:r>
    <w:r>
      <w:rPr>
        <w:rStyle w:val="PageNumber"/>
      </w:rPr>
      <w:fldChar w:fldCharType="end"/>
    </w:r>
    <w:r>
      <w:tab/>
      <w:t>Chapter 2</w:t>
    </w:r>
    <w:r>
      <w:tab/>
      <w:t>2016</w:t>
    </w:r>
    <w:r>
      <w:rPr>
        <w:rStyle w:val="PageNumber"/>
      </w:rPr>
      <w:t>-17</w:t>
    </w:r>
    <w:r>
      <w:t xml:space="preserve"> Statement of Finances</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5103"/>
        <w:tab w:val="right" w:pos="7655"/>
      </w:tabs>
      <w:spacing w:after="0"/>
      <w:rPr>
        <w:rStyle w:val="PageNumber"/>
      </w:rPr>
    </w:pPr>
    <w:r>
      <w:rPr>
        <w:rStyle w:val="PageNumber"/>
      </w:rPr>
      <w:t>2016-17</w:t>
    </w:r>
    <w:r>
      <w:t xml:space="preserve"> Statement of Finances</w:t>
    </w:r>
    <w:r>
      <w:tab/>
      <w:t>Chapter 2</w:t>
    </w:r>
    <w:r>
      <w:tab/>
    </w: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73</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76</w:t>
    </w:r>
    <w:r>
      <w:rPr>
        <w:rStyle w:val="PageNumber"/>
      </w:rPr>
      <w:fldChar w:fldCharType="end"/>
    </w:r>
    <w:r>
      <w:tab/>
      <w:t>Chapter 3</w:t>
    </w:r>
    <w:r>
      <w:tab/>
      <w:t>2016</w:t>
    </w:r>
    <w:r>
      <w:rPr>
        <w:rStyle w:val="PageNumber"/>
      </w:rPr>
      <w:noBreakHyphen/>
      <w:t>17</w:t>
    </w:r>
    <w:r>
      <w:t xml:space="preserve"> Statement of Finances</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5103"/>
        <w:tab w:val="right" w:pos="7655"/>
      </w:tabs>
      <w:spacing w:after="0"/>
      <w:rPr>
        <w:rStyle w:val="PageNumber"/>
      </w:rPr>
    </w:pPr>
    <w:r>
      <w:rPr>
        <w:rStyle w:val="PageNumber"/>
      </w:rPr>
      <w:t>2016</w:t>
    </w:r>
    <w:r>
      <w:rPr>
        <w:rStyle w:val="PageNumber"/>
      </w:rPr>
      <w:noBreakHyphen/>
      <w:t>17</w:t>
    </w:r>
    <w:r>
      <w:t xml:space="preserve"> Statement of Finances</w:t>
    </w:r>
    <w:r>
      <w:tab/>
      <w:t>Chapter 3</w:t>
    </w:r>
    <w:r>
      <w:tab/>
    </w: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75</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2694"/>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84</w:t>
    </w:r>
    <w:r>
      <w:rPr>
        <w:rStyle w:val="PageNumber"/>
      </w:rPr>
      <w:fldChar w:fldCharType="end"/>
    </w:r>
    <w:r>
      <w:tab/>
    </w:r>
    <w:r w:rsidRPr="00BF295F">
      <w:t>Economic Development, Jobs, Transport and Resources</w:t>
    </w:r>
    <w:r>
      <w:tab/>
      <w:t>2016</w:t>
    </w:r>
    <w:r>
      <w:rPr>
        <w:rStyle w:val="PageNumber"/>
      </w:rPr>
      <w:noBreakHyphen/>
      <w:t>17</w:t>
    </w:r>
    <w:r>
      <w:t xml:space="preserve"> Statement of Finances</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5103"/>
        <w:tab w:val="right" w:pos="7655"/>
      </w:tabs>
      <w:spacing w:after="0"/>
      <w:rPr>
        <w:rStyle w:val="PageNumber"/>
      </w:rPr>
    </w:pPr>
    <w:r>
      <w:rPr>
        <w:rStyle w:val="PageNumber"/>
      </w:rPr>
      <w:t>2016</w:t>
    </w:r>
    <w:r>
      <w:rPr>
        <w:rStyle w:val="PageNumber"/>
      </w:rPr>
      <w:noBreakHyphen/>
      <w:t>17</w:t>
    </w:r>
    <w:r>
      <w:t xml:space="preserve"> Statement of Finances</w:t>
    </w:r>
    <w:r>
      <w:tab/>
    </w:r>
    <w:r w:rsidRPr="00BF295F">
      <w:t>Economic Development, Jobs, Transport and Resources</w:t>
    </w:r>
    <w:r>
      <w:tab/>
    </w: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83</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90</w:t>
    </w:r>
    <w:r>
      <w:rPr>
        <w:rStyle w:val="PageNumber"/>
      </w:rPr>
      <w:fldChar w:fldCharType="end"/>
    </w:r>
    <w:r>
      <w:tab/>
    </w:r>
    <w:r w:rsidRPr="00D1297F">
      <w:t>Education and Training</w:t>
    </w:r>
    <w:r>
      <w:tab/>
      <w:t>2016</w:t>
    </w:r>
    <w:r>
      <w:rPr>
        <w:rStyle w:val="PageNumber"/>
      </w:rPr>
      <w:noBreakHyphen/>
      <w:t>17</w:t>
    </w:r>
    <w:r>
      <w:t xml:space="preserve"> Statement of Finances</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5103"/>
        <w:tab w:val="right" w:pos="7655"/>
      </w:tabs>
      <w:spacing w:after="0"/>
      <w:rPr>
        <w:rStyle w:val="PageNumber"/>
      </w:rPr>
    </w:pPr>
    <w:r>
      <w:rPr>
        <w:rStyle w:val="PageNumber"/>
      </w:rPr>
      <w:t>2016</w:t>
    </w:r>
    <w:r>
      <w:rPr>
        <w:rStyle w:val="PageNumber"/>
      </w:rPr>
      <w:noBreakHyphen/>
      <w:t>17</w:t>
    </w:r>
    <w:r>
      <w:t xml:space="preserve"> Statement of Finances</w:t>
    </w:r>
    <w:r>
      <w:tab/>
    </w:r>
    <w:r w:rsidRPr="00D1297F">
      <w:t>Education and Training</w:t>
    </w:r>
    <w:r>
      <w:tab/>
    </w: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91</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98</w:t>
    </w:r>
    <w:r>
      <w:rPr>
        <w:rStyle w:val="PageNumber"/>
      </w:rPr>
      <w:fldChar w:fldCharType="end"/>
    </w:r>
    <w:r>
      <w:tab/>
    </w:r>
    <w:r w:rsidRPr="00872E1A">
      <w:t>Environment, Land, Water and Planning</w:t>
    </w:r>
    <w:r>
      <w:tab/>
      <w:t>2016</w:t>
    </w:r>
    <w:r>
      <w:rPr>
        <w:rStyle w:val="PageNumber"/>
      </w:rPr>
      <w:noBreakHyphen/>
      <w:t>17</w:t>
    </w:r>
    <w:r>
      <w:t xml:space="preserve"> Statement of Finances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0C0" w:rsidRDefault="000E20C0" w:rsidP="002C3C9F">
    <w:pPr>
      <w:pStyle w:val="Footer"/>
      <w:pBdr>
        <w:top w:val="none" w:sz="0" w:space="0" w:color="auto"/>
      </w:pBd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5103"/>
        <w:tab w:val="right" w:pos="7655"/>
      </w:tabs>
      <w:spacing w:after="0"/>
      <w:rPr>
        <w:rStyle w:val="PageNumber"/>
      </w:rPr>
    </w:pPr>
    <w:r>
      <w:rPr>
        <w:rStyle w:val="PageNumber"/>
      </w:rPr>
      <w:t>2016</w:t>
    </w:r>
    <w:r>
      <w:rPr>
        <w:rStyle w:val="PageNumber"/>
      </w:rPr>
      <w:noBreakHyphen/>
      <w:t>17</w:t>
    </w:r>
    <w:r>
      <w:t xml:space="preserve"> Statement of Finances</w:t>
    </w:r>
    <w:r>
      <w:tab/>
    </w:r>
    <w:r w:rsidRPr="00872E1A">
      <w:t>Environment, Land, Water and Planning</w:t>
    </w:r>
    <w:r>
      <w:tab/>
    </w: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99</w:t>
    </w:r>
    <w:r>
      <w:rPr>
        <w:rStyle w:val="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106</w:t>
    </w:r>
    <w:r>
      <w:rPr>
        <w:rStyle w:val="PageNumber"/>
      </w:rPr>
      <w:fldChar w:fldCharType="end"/>
    </w:r>
    <w:r>
      <w:tab/>
    </w:r>
    <w:r w:rsidRPr="0090745E">
      <w:t>Health and Human Services</w:t>
    </w:r>
    <w:r>
      <w:tab/>
      <w:t>2016</w:t>
    </w:r>
    <w:r>
      <w:rPr>
        <w:rStyle w:val="PageNumber"/>
      </w:rPr>
      <w:noBreakHyphen/>
      <w:t>17</w:t>
    </w:r>
    <w:r>
      <w:t xml:space="preserve"> Statement of Finances</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5103"/>
        <w:tab w:val="right" w:pos="7655"/>
      </w:tabs>
      <w:spacing w:after="0"/>
      <w:rPr>
        <w:rStyle w:val="PageNumber"/>
      </w:rPr>
    </w:pPr>
    <w:r>
      <w:rPr>
        <w:rStyle w:val="PageNumber"/>
      </w:rPr>
      <w:t>2016</w:t>
    </w:r>
    <w:r>
      <w:rPr>
        <w:rStyle w:val="PageNumber"/>
      </w:rPr>
      <w:noBreakHyphen/>
      <w:t>17</w:t>
    </w:r>
    <w:r>
      <w:t xml:space="preserve"> Statement of Finances</w:t>
    </w:r>
    <w:r>
      <w:tab/>
    </w:r>
    <w:r w:rsidRPr="0090745E">
      <w:t>Health and Human Services</w:t>
    </w:r>
    <w:r>
      <w:tab/>
    </w: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105</w:t>
    </w:r>
    <w:r>
      <w:rPr>
        <w:rStyle w:val="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114</w:t>
    </w:r>
    <w:r>
      <w:rPr>
        <w:rStyle w:val="PageNumber"/>
      </w:rPr>
      <w:fldChar w:fldCharType="end"/>
    </w:r>
    <w:r>
      <w:tab/>
    </w:r>
    <w:r w:rsidRPr="00292D49">
      <w:t>Justice and Regulation</w:t>
    </w:r>
    <w:r>
      <w:tab/>
      <w:t>2016</w:t>
    </w:r>
    <w:r>
      <w:rPr>
        <w:rStyle w:val="PageNumber"/>
      </w:rPr>
      <w:noBreakHyphen/>
      <w:t>17</w:t>
    </w:r>
    <w:r>
      <w:t xml:space="preserve"> Statement of Finances</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5103"/>
        <w:tab w:val="right" w:pos="7655"/>
      </w:tabs>
      <w:spacing w:after="0"/>
      <w:rPr>
        <w:rStyle w:val="PageNumber"/>
      </w:rPr>
    </w:pPr>
    <w:r>
      <w:rPr>
        <w:rStyle w:val="PageNumber"/>
      </w:rPr>
      <w:t>2016</w:t>
    </w:r>
    <w:r>
      <w:rPr>
        <w:rStyle w:val="PageNumber"/>
      </w:rPr>
      <w:noBreakHyphen/>
      <w:t>17</w:t>
    </w:r>
    <w:r>
      <w:t xml:space="preserve"> Statement of Finances</w:t>
    </w:r>
    <w:r>
      <w:tab/>
    </w:r>
    <w:r w:rsidRPr="00292D49">
      <w:t>Justice and Regulation</w:t>
    </w:r>
    <w:r>
      <w:tab/>
    </w: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113</w:t>
    </w:r>
    <w:r>
      <w:rPr>
        <w:rStyle w:val="PageNumber"/>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120</w:t>
    </w:r>
    <w:r>
      <w:rPr>
        <w:rStyle w:val="PageNumber"/>
      </w:rPr>
      <w:fldChar w:fldCharType="end"/>
    </w:r>
    <w:r>
      <w:tab/>
    </w:r>
    <w:r w:rsidRPr="0002306B">
      <w:t>Premier and Cabinet</w:t>
    </w:r>
    <w:r>
      <w:tab/>
      <w:t>2016</w:t>
    </w:r>
    <w:r>
      <w:rPr>
        <w:rStyle w:val="PageNumber"/>
      </w:rPr>
      <w:noBreakHyphen/>
      <w:t>17</w:t>
    </w:r>
    <w:r>
      <w:t xml:space="preserve"> Statement of Finances</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5103"/>
        <w:tab w:val="right" w:pos="7655"/>
      </w:tabs>
      <w:spacing w:after="0"/>
      <w:rPr>
        <w:rStyle w:val="PageNumber"/>
      </w:rPr>
    </w:pPr>
    <w:r>
      <w:rPr>
        <w:rStyle w:val="PageNumber"/>
      </w:rPr>
      <w:t>2016</w:t>
    </w:r>
    <w:r>
      <w:rPr>
        <w:rStyle w:val="PageNumber"/>
      </w:rPr>
      <w:noBreakHyphen/>
      <w:t>17</w:t>
    </w:r>
    <w:r>
      <w:t xml:space="preserve"> Statement of Finances</w:t>
    </w:r>
    <w:r>
      <w:tab/>
    </w:r>
    <w:r w:rsidRPr="0002306B">
      <w:t>Premier and Cabinet</w:t>
    </w:r>
    <w:r>
      <w:tab/>
    </w: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119</w:t>
    </w:r>
    <w:r>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128</w:t>
    </w:r>
    <w:r>
      <w:rPr>
        <w:rStyle w:val="PageNumber"/>
      </w:rPr>
      <w:fldChar w:fldCharType="end"/>
    </w:r>
    <w:r>
      <w:tab/>
    </w:r>
    <w:r w:rsidRPr="00B50A2C">
      <w:t>Treasury and Finance</w:t>
    </w:r>
    <w:r>
      <w:tab/>
      <w:t>2016</w:t>
    </w:r>
    <w:r>
      <w:rPr>
        <w:rStyle w:val="PageNumber"/>
      </w:rPr>
      <w:noBreakHyphen/>
      <w:t>17</w:t>
    </w:r>
    <w:r>
      <w:t xml:space="preserve"> Statement of Finances</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5103"/>
        <w:tab w:val="right" w:pos="7655"/>
      </w:tabs>
      <w:spacing w:after="0"/>
      <w:rPr>
        <w:rStyle w:val="PageNumber"/>
      </w:rPr>
    </w:pPr>
    <w:r>
      <w:rPr>
        <w:rStyle w:val="PageNumber"/>
      </w:rPr>
      <w:t>2016</w:t>
    </w:r>
    <w:r>
      <w:rPr>
        <w:rStyle w:val="PageNumber"/>
      </w:rPr>
      <w:noBreakHyphen/>
      <w:t>17</w:t>
    </w:r>
    <w:r>
      <w:t xml:space="preserve"> Statement of Finances</w:t>
    </w:r>
    <w:r>
      <w:tab/>
    </w:r>
    <w:r w:rsidRPr="00B50A2C">
      <w:t>Treasury and Finance</w:t>
    </w:r>
    <w:r>
      <w:tab/>
    </w: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127</w:t>
    </w:r>
    <w:r>
      <w:rPr>
        <w:rStyle w:val="PageNumber"/>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134</w:t>
    </w:r>
    <w:r>
      <w:rPr>
        <w:rStyle w:val="PageNumber"/>
      </w:rPr>
      <w:fldChar w:fldCharType="end"/>
    </w:r>
    <w:r>
      <w:tab/>
    </w:r>
    <w:r w:rsidRPr="00931A76">
      <w:t>Parliament</w:t>
    </w:r>
    <w:r>
      <w:tab/>
      <w:t>2016</w:t>
    </w:r>
    <w:r>
      <w:rPr>
        <w:rStyle w:val="PageNumber"/>
      </w:rPr>
      <w:noBreakHyphen/>
      <w:t>17</w:t>
    </w:r>
    <w:r>
      <w:t xml:space="preserve"> Statement of Finances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FB6856">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A854D5">
      <w:rPr>
        <w:rStyle w:val="PageNumber"/>
        <w:noProof/>
      </w:rPr>
      <w:t>ii</w:t>
    </w:r>
    <w:r>
      <w:rPr>
        <w:rStyle w:val="PageNumber"/>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5103"/>
        <w:tab w:val="right" w:pos="7655"/>
      </w:tabs>
      <w:spacing w:after="0"/>
      <w:rPr>
        <w:rStyle w:val="PageNumber"/>
      </w:rPr>
    </w:pPr>
    <w:r>
      <w:rPr>
        <w:rStyle w:val="PageNumber"/>
      </w:rPr>
      <w:t>2016</w:t>
    </w:r>
    <w:r>
      <w:rPr>
        <w:rStyle w:val="PageNumber"/>
      </w:rPr>
      <w:noBreakHyphen/>
      <w:t>17</w:t>
    </w:r>
    <w:r>
      <w:t xml:space="preserve"> Statement of Finances</w:t>
    </w:r>
    <w:r>
      <w:tab/>
    </w:r>
    <w:r w:rsidRPr="00931A76">
      <w:t>Parliament</w:t>
    </w:r>
    <w:r>
      <w:tab/>
    </w: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133</w:t>
    </w:r>
    <w:r>
      <w:rPr>
        <w:rStyle w:val="PageNumber"/>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140</w:t>
    </w:r>
    <w:r>
      <w:rPr>
        <w:rStyle w:val="PageNumber"/>
      </w:rPr>
      <w:fldChar w:fldCharType="end"/>
    </w:r>
    <w:r>
      <w:tab/>
      <w:t>Courts</w:t>
    </w:r>
    <w:r>
      <w:tab/>
      <w:t>2016</w:t>
    </w:r>
    <w:r>
      <w:rPr>
        <w:rStyle w:val="PageNumber"/>
      </w:rPr>
      <w:t>-17</w:t>
    </w:r>
    <w:r>
      <w:t xml:space="preserve"> Statement of Finances</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5103"/>
        <w:tab w:val="right" w:pos="7655"/>
      </w:tabs>
      <w:spacing w:after="0"/>
      <w:rPr>
        <w:rStyle w:val="PageNumber"/>
      </w:rPr>
    </w:pPr>
    <w:r>
      <w:rPr>
        <w:rStyle w:val="PageNumber"/>
      </w:rPr>
      <w:t>2016-17</w:t>
    </w:r>
    <w:r>
      <w:t xml:space="preserve"> Statement of Finances</w:t>
    </w:r>
    <w:r>
      <w:tab/>
      <w:t>Courts</w:t>
    </w:r>
    <w:r>
      <w:tab/>
    </w: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141</w:t>
    </w:r>
    <w:r>
      <w:rPr>
        <w:rStyle w:val="PageNumber"/>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142</w:t>
    </w:r>
    <w:r>
      <w:rPr>
        <w:rStyle w:val="PageNumber"/>
      </w:rPr>
      <w:fldChar w:fldCharType="end"/>
    </w:r>
    <w:r>
      <w:tab/>
      <w:t>Courts</w:t>
    </w:r>
    <w:r>
      <w:tab/>
      <w:t>2016</w:t>
    </w:r>
    <w:r>
      <w:rPr>
        <w:rStyle w:val="PageNumber"/>
      </w:rPr>
      <w:t>-17</w:t>
    </w:r>
    <w:r>
      <w:t xml:space="preserve"> Statement of Finances</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5103"/>
        <w:tab w:val="right" w:pos="7655"/>
      </w:tabs>
      <w:spacing w:after="0"/>
      <w:rPr>
        <w:rStyle w:val="PageNumber"/>
      </w:rPr>
    </w:pPr>
    <w:r>
      <w:rPr>
        <w:rStyle w:val="PageNumber"/>
      </w:rPr>
      <w:t>2016-17</w:t>
    </w:r>
    <w:r>
      <w:t xml:space="preserve"> Statement of Finances</w:t>
    </w:r>
    <w:r>
      <w:tab/>
      <w:t>Courts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143</w:t>
    </w:r>
    <w:r>
      <w:rPr>
        <w:rStyle w:val="PageNumber"/>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164</w:t>
    </w:r>
    <w:r>
      <w:rPr>
        <w:rStyle w:val="PageNumber"/>
      </w:rPr>
      <w:fldChar w:fldCharType="end"/>
    </w:r>
    <w:r>
      <w:tab/>
      <w:t>Chapter 4</w:t>
    </w:r>
    <w:r>
      <w:tab/>
      <w:t>2016</w:t>
    </w:r>
    <w:r>
      <w:rPr>
        <w:rStyle w:val="PageNumber"/>
      </w:rPr>
      <w:t>-17</w:t>
    </w:r>
    <w:r>
      <w:t xml:space="preserve"> Statement of Finances</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5103"/>
        <w:tab w:val="right" w:pos="7655"/>
      </w:tabs>
      <w:spacing w:after="0"/>
      <w:rPr>
        <w:rStyle w:val="PageNumber"/>
      </w:rPr>
    </w:pPr>
    <w:r>
      <w:rPr>
        <w:rStyle w:val="PageNumber"/>
      </w:rPr>
      <w:t>2016-17</w:t>
    </w:r>
    <w:r>
      <w:t xml:space="preserve"> Statement of Finances</w:t>
    </w:r>
    <w:r>
      <w:tab/>
      <w:t>Chapter 4</w:t>
    </w:r>
    <w:r>
      <w:tab/>
    </w: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163</w:t>
    </w:r>
    <w:r>
      <w:rPr>
        <w:rStyle w:val="PageNumber"/>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174</w:t>
    </w:r>
    <w:r>
      <w:rPr>
        <w:rStyle w:val="PageNumber"/>
      </w:rPr>
      <w:fldChar w:fldCharType="end"/>
    </w:r>
    <w:r>
      <w:tab/>
      <w:t>Chapter 5</w:t>
    </w:r>
    <w:r>
      <w:tab/>
      <w:t>2016</w:t>
    </w:r>
    <w:r>
      <w:rPr>
        <w:rStyle w:val="PageNumber"/>
      </w:rPr>
      <w:t>-17</w:t>
    </w:r>
    <w:r>
      <w:t xml:space="preserve"> Statement of Finances</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5103"/>
        <w:tab w:val="right" w:pos="7655"/>
      </w:tabs>
      <w:spacing w:after="0"/>
      <w:rPr>
        <w:rStyle w:val="PageNumber"/>
      </w:rPr>
    </w:pPr>
    <w:r>
      <w:rPr>
        <w:rStyle w:val="PageNumber"/>
      </w:rPr>
      <w:t>2016-17</w:t>
    </w:r>
    <w:r>
      <w:t xml:space="preserve"> Statement of Finances</w:t>
    </w:r>
    <w:r>
      <w:tab/>
      <w:t>Chapter 5</w:t>
    </w:r>
    <w:r>
      <w:tab/>
    </w: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173</w:t>
    </w:r>
    <w:r>
      <w:rPr>
        <w:rStyle w:val="PageNumber"/>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182</w:t>
    </w:r>
    <w:r>
      <w:rPr>
        <w:rStyle w:val="PageNumber"/>
      </w:rPr>
      <w:fldChar w:fldCharType="end"/>
    </w:r>
    <w:r>
      <w:tab/>
      <w:t>Chapter 6</w:t>
    </w:r>
    <w:r>
      <w:tab/>
      <w:t>2016</w:t>
    </w:r>
    <w:r>
      <w:rPr>
        <w:rStyle w:val="PageNumber"/>
      </w:rPr>
      <w:t>-17</w:t>
    </w:r>
    <w:r>
      <w:t xml:space="preserve"> Statement of Finances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FB6856">
    <w:pPr>
      <w:pStyle w:val="Footer"/>
      <w:tabs>
        <w:tab w:val="clear" w:pos="7085"/>
        <w:tab w:val="center" w:pos="5103"/>
        <w:tab w:val="right" w:pos="7655"/>
      </w:tabs>
      <w:spacing w:after="0"/>
      <w:rPr>
        <w:rStyle w:val="PageNumber"/>
      </w:rPr>
    </w:pP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A854D5">
      <w:rPr>
        <w:rStyle w:val="PageNumber"/>
        <w:noProof/>
      </w:rPr>
      <w:t>i</w:t>
    </w:r>
    <w:r>
      <w:rPr>
        <w:rStyle w:val="PageNumber"/>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5103"/>
        <w:tab w:val="right" w:pos="7655"/>
      </w:tabs>
      <w:spacing w:after="0"/>
      <w:rPr>
        <w:rStyle w:val="PageNumber"/>
      </w:rPr>
    </w:pPr>
    <w:r>
      <w:rPr>
        <w:rStyle w:val="PageNumber"/>
      </w:rPr>
      <w:t>2016-17</w:t>
    </w:r>
    <w:r>
      <w:t xml:space="preserve"> Statement of Finances</w:t>
    </w:r>
    <w:r>
      <w:tab/>
      <w:t>Chapter 6</w:t>
    </w:r>
    <w:r>
      <w:tab/>
    </w: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181</w:t>
    </w:r>
    <w:r>
      <w:rPr>
        <w:rStyle w:val="PageNumber"/>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194</w:t>
    </w:r>
    <w:r>
      <w:rPr>
        <w:rStyle w:val="PageNumber"/>
      </w:rPr>
      <w:fldChar w:fldCharType="end"/>
    </w:r>
    <w:r>
      <w:tab/>
      <w:t>Appendix A</w:t>
    </w:r>
    <w:r>
      <w:tab/>
      <w:t>2016</w:t>
    </w:r>
    <w:r>
      <w:rPr>
        <w:rStyle w:val="PageNumber"/>
      </w:rPr>
      <w:t>-17</w:t>
    </w:r>
    <w:r>
      <w:t xml:space="preserve"> Statement of Finances</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5103"/>
        <w:tab w:val="right" w:pos="7655"/>
      </w:tabs>
      <w:spacing w:after="0"/>
      <w:rPr>
        <w:rStyle w:val="PageNumber"/>
      </w:rPr>
    </w:pPr>
    <w:r>
      <w:rPr>
        <w:rStyle w:val="PageNumber"/>
      </w:rPr>
      <w:t>2016-17</w:t>
    </w:r>
    <w:r>
      <w:t xml:space="preserve"> Statement of Finances</w:t>
    </w:r>
    <w:r>
      <w:tab/>
      <w:t>Appendix A</w:t>
    </w:r>
    <w:r>
      <w:tab/>
    </w: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193</w:t>
    </w:r>
    <w:r>
      <w:rPr>
        <w:rStyle w:val="PageNumber"/>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228</w:t>
    </w:r>
    <w:r>
      <w:rPr>
        <w:rStyle w:val="PageNumber"/>
      </w:rPr>
      <w:fldChar w:fldCharType="end"/>
    </w:r>
    <w:r>
      <w:tab/>
      <w:t>Appendix B</w:t>
    </w:r>
    <w:r>
      <w:tab/>
      <w:t>2016</w:t>
    </w:r>
    <w:r>
      <w:rPr>
        <w:rStyle w:val="PageNumber"/>
      </w:rPr>
      <w:noBreakHyphen/>
      <w:t>17</w:t>
    </w:r>
    <w:r>
      <w:t xml:space="preserve"> Statement of Finances</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5103"/>
        <w:tab w:val="right" w:pos="7655"/>
      </w:tabs>
      <w:spacing w:after="0"/>
      <w:rPr>
        <w:rStyle w:val="PageNumber"/>
      </w:rPr>
    </w:pPr>
    <w:r>
      <w:rPr>
        <w:rStyle w:val="PageNumber"/>
      </w:rPr>
      <w:t>2016</w:t>
    </w:r>
    <w:r>
      <w:rPr>
        <w:rStyle w:val="PageNumber"/>
      </w:rPr>
      <w:noBreakHyphen/>
      <w:t>17</w:t>
    </w:r>
    <w:r>
      <w:t xml:space="preserve"> Statement of Finances</w:t>
    </w:r>
    <w:r>
      <w:tab/>
      <w:t>Appendix B</w:t>
    </w:r>
    <w:r>
      <w:tab/>
    </w: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227</w:t>
    </w:r>
    <w:r>
      <w:rPr>
        <w:rStyle w:val="PageNumber"/>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230</w:t>
    </w:r>
    <w:r>
      <w:rPr>
        <w:rStyle w:val="PageNumber"/>
      </w:rPr>
      <w:fldChar w:fldCharType="end"/>
    </w:r>
    <w:r>
      <w:tab/>
      <w:t>Appendix C</w:t>
    </w:r>
    <w:r>
      <w:tab/>
      <w:t>2016</w:t>
    </w:r>
    <w:r>
      <w:rPr>
        <w:rStyle w:val="PageNumber"/>
      </w:rPr>
      <w:t>-17</w:t>
    </w:r>
    <w:r>
      <w:t xml:space="preserve"> Statement of Finances</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5103"/>
        <w:tab w:val="right" w:pos="7655"/>
      </w:tabs>
      <w:spacing w:after="0"/>
      <w:rPr>
        <w:rStyle w:val="PageNumber"/>
      </w:rPr>
    </w:pPr>
    <w:r>
      <w:rPr>
        <w:rStyle w:val="PageNumber"/>
      </w:rPr>
      <w:t>2016-17</w:t>
    </w:r>
    <w:r>
      <w:t xml:space="preserve"> Statement of Finances</w:t>
    </w:r>
    <w:r>
      <w:tab/>
      <w:t>Appendix C</w:t>
    </w:r>
    <w:r>
      <w:tab/>
    </w: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229</w:t>
    </w:r>
    <w:r>
      <w:rPr>
        <w:rStyle w:val="PageNumber"/>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232</w:t>
    </w:r>
    <w:r>
      <w:rPr>
        <w:rStyle w:val="PageNumber"/>
      </w:rPr>
      <w:fldChar w:fldCharType="end"/>
    </w:r>
    <w:r>
      <w:tab/>
      <w:t>Style conventions</w:t>
    </w:r>
    <w:r>
      <w:tab/>
      <w:t>2016</w:t>
    </w:r>
    <w:r>
      <w:rPr>
        <w:rStyle w:val="PageNumber"/>
      </w:rPr>
      <w:t>-17</w:t>
    </w:r>
    <w:r>
      <w:t xml:space="preserve"> Statement of Finances</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5103"/>
        <w:tab w:val="right" w:pos="7655"/>
      </w:tabs>
      <w:spacing w:after="0"/>
      <w:rPr>
        <w:rStyle w:val="PageNumber"/>
      </w:rPr>
    </w:pPr>
    <w:r>
      <w:rPr>
        <w:rStyle w:val="PageNumber"/>
      </w:rPr>
      <w:t>2016-17</w:t>
    </w:r>
    <w:r>
      <w:t xml:space="preserve"> Statement of Finances</w:t>
    </w:r>
    <w:r>
      <w:tab/>
      <w:t>Style conventions</w:t>
    </w:r>
    <w:r>
      <w:tab/>
    </w:r>
    <w:r>
      <w:rPr>
        <w:rStyle w:val="PageNumber"/>
      </w:rPr>
      <w:fldChar w:fldCharType="begin"/>
    </w:r>
    <w:r>
      <w:rPr>
        <w:rStyle w:val="PageNumber"/>
      </w:rPr>
      <w:instrText xml:space="preserve"> PAGE </w:instrText>
    </w:r>
    <w:r>
      <w:rPr>
        <w:rStyle w:val="PageNumber"/>
      </w:rPr>
      <w:fldChar w:fldCharType="separate"/>
    </w:r>
    <w:r w:rsidR="000E20C0">
      <w:rPr>
        <w:rStyle w:val="PageNumber"/>
        <w:noProof/>
      </w:rPr>
      <w:t>231</w:t>
    </w:r>
    <w:r>
      <w:rPr>
        <w:rStyle w:val="PageNumber"/>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t>Style conventions</w:t>
    </w:r>
    <w:r>
      <w:tab/>
      <w:t>2016</w:t>
    </w:r>
    <w:r>
      <w:rPr>
        <w:rStyle w:val="PageNumber"/>
      </w:rPr>
      <w:t>-17</w:t>
    </w:r>
    <w:r>
      <w:t xml:space="preserve"> Statement of Finances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sidR="00A854D5">
      <w:rPr>
        <w:rStyle w:val="PageNumber"/>
        <w:noProof/>
      </w:rPr>
      <w:t>6</w:t>
    </w:r>
    <w:r>
      <w:rPr>
        <w:rStyle w:val="PageNumber"/>
      </w:rPr>
      <w:fldChar w:fldCharType="end"/>
    </w:r>
    <w:r>
      <w:tab/>
      <w:t>Chapter 1</w:t>
    </w:r>
    <w:r>
      <w:tab/>
      <w:t>2016</w:t>
    </w:r>
    <w:r>
      <w:rPr>
        <w:rStyle w:val="PageNumber"/>
      </w:rPr>
      <w:t>-17</w:t>
    </w:r>
    <w:r>
      <w:t xml:space="preserve"> Statement of Finances</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5103"/>
        <w:tab w:val="right" w:pos="7655"/>
      </w:tabs>
      <w:spacing w:after="0"/>
      <w:rPr>
        <w:rStyle w:val="PageNumber"/>
      </w:rPr>
    </w:pPr>
    <w:r>
      <w:rPr>
        <w:rStyle w:val="PageNumber"/>
      </w:rPr>
      <w:t>2016-17</w:t>
    </w:r>
    <w:r>
      <w:t xml:space="preserve"> Statement of Finances</w:t>
    </w:r>
    <w:r>
      <w:tab/>
      <w:t>Style conventions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241</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5103"/>
        <w:tab w:val="right" w:pos="7655"/>
      </w:tabs>
      <w:spacing w:after="0"/>
      <w:rPr>
        <w:rStyle w:val="PageNumber"/>
      </w:rPr>
    </w:pPr>
    <w:r>
      <w:rPr>
        <w:rStyle w:val="PageNumber"/>
      </w:rPr>
      <w:t>2016-17</w:t>
    </w:r>
    <w:r>
      <w:t xml:space="preserve"> Statement of Finances</w:t>
    </w:r>
    <w:r>
      <w:tab/>
      <w:t>Chapter 1</w:t>
    </w:r>
    <w:r>
      <w:tab/>
    </w:r>
    <w:r>
      <w:rPr>
        <w:rStyle w:val="PageNumber"/>
      </w:rPr>
      <w:fldChar w:fldCharType="begin"/>
    </w:r>
    <w:r>
      <w:rPr>
        <w:rStyle w:val="PageNumber"/>
      </w:rPr>
      <w:instrText xml:space="preserve"> PAGE </w:instrText>
    </w:r>
    <w:r>
      <w:rPr>
        <w:rStyle w:val="PageNumber"/>
      </w:rPr>
      <w:fldChar w:fldCharType="separate"/>
    </w:r>
    <w:r w:rsidR="00A854D5">
      <w:rPr>
        <w:rStyle w:val="PageNumber"/>
        <w:noProof/>
      </w:rPr>
      <w:t>5</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2835"/>
        <w:tab w:val="right" w:pos="7655"/>
      </w:tabs>
      <w:spacing w:after="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r>
      <w:tab/>
      <w:t>Chapter 1</w:t>
    </w:r>
    <w:r>
      <w:tab/>
      <w:t>2016</w:t>
    </w:r>
    <w:r>
      <w:rPr>
        <w:rStyle w:val="PageNumber"/>
      </w:rPr>
      <w:t>-17</w:t>
    </w:r>
    <w:r>
      <w:t xml:space="preserve"> Statement of Finances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rsidP="00361FA9">
    <w:pPr>
      <w:pStyle w:val="Footer"/>
      <w:tabs>
        <w:tab w:val="clear" w:pos="7085"/>
        <w:tab w:val="center" w:pos="5103"/>
        <w:tab w:val="right" w:pos="7655"/>
      </w:tabs>
      <w:spacing w:after="0"/>
      <w:rPr>
        <w:rStyle w:val="PageNumber"/>
      </w:rPr>
    </w:pPr>
    <w:r>
      <w:rPr>
        <w:rStyle w:val="PageNumber"/>
      </w:rPr>
      <w:t>2016-17</w:t>
    </w:r>
    <w:r>
      <w:t xml:space="preserve"> Statement of Finances</w:t>
    </w:r>
    <w:r>
      <w:tab/>
      <w:t>Chapter 1</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DE1" w:rsidRDefault="00BF3DE1" w:rsidP="00BF3DE1">
      <w:pPr>
        <w:spacing w:after="0"/>
      </w:pPr>
      <w:r>
        <w:separator/>
      </w:r>
    </w:p>
  </w:footnote>
  <w:footnote w:type="continuationSeparator" w:id="0">
    <w:p w:rsidR="00BF3DE1" w:rsidRDefault="00BF3DE1" w:rsidP="00BF3DE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FAF" w:rsidRDefault="00502F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EA0D4FE"/>
    <w:lvl w:ilvl="0">
      <w:start w:val="1"/>
      <w:numFmt w:val="bullet"/>
      <w:lvlText w:val=""/>
      <w:lvlJc w:val="left"/>
      <w:pPr>
        <w:tabs>
          <w:tab w:val="num" w:pos="360"/>
        </w:tabs>
        <w:ind w:left="360" w:hanging="360"/>
      </w:pPr>
      <w:rPr>
        <w:rFonts w:ascii="Symbol" w:hAnsi="Symbol" w:hint="default"/>
      </w:rPr>
    </w:lvl>
  </w:abstractNum>
  <w:abstractNum w:abstractNumId="1">
    <w:nsid w:val="03CA09F2"/>
    <w:multiLevelType w:val="singleLevel"/>
    <w:tmpl w:val="3AE00BBA"/>
    <w:lvl w:ilvl="0">
      <w:start w:val="1"/>
      <w:numFmt w:val="bullet"/>
      <w:pStyle w:val="OGBullet"/>
      <w:lvlText w:val=""/>
      <w:lvlJc w:val="left"/>
      <w:pPr>
        <w:tabs>
          <w:tab w:val="num" w:pos="360"/>
        </w:tabs>
        <w:ind w:left="360" w:hanging="360"/>
      </w:pPr>
      <w:rPr>
        <w:rFonts w:ascii="Symbol" w:hAnsi="Symbol" w:hint="default"/>
        <w:sz w:val="16"/>
      </w:rPr>
    </w:lvl>
  </w:abstractNum>
  <w:abstractNum w:abstractNumId="2">
    <w:nsid w:val="077841F7"/>
    <w:multiLevelType w:val="hybridMultilevel"/>
    <w:tmpl w:val="D924D316"/>
    <w:lvl w:ilvl="0" w:tplc="883E3516">
      <w:start w:val="1"/>
      <w:numFmt w:val="bullet"/>
      <w:pStyle w:val="ControlledEntities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83B293C"/>
    <w:multiLevelType w:val="hybridMultilevel"/>
    <w:tmpl w:val="B540C8D6"/>
    <w:lvl w:ilvl="0" w:tplc="BF24713E">
      <w:start w:val="1"/>
      <w:numFmt w:val="bullet"/>
      <w:pStyle w:val="VAGOBullet"/>
      <w:lvlText w:val=""/>
      <w:lvlJc w:val="left"/>
      <w:pPr>
        <w:tabs>
          <w:tab w:val="num" w:pos="426"/>
        </w:tabs>
        <w:ind w:left="42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285C08AE"/>
    <w:multiLevelType w:val="multilevel"/>
    <w:tmpl w:val="86BA075E"/>
    <w:lvl w:ilvl="0">
      <w:start w:val="1"/>
      <w:numFmt w:val="bullet"/>
      <w:pStyle w:val="BulletText"/>
      <w:lvlText w:val=""/>
      <w:lvlJc w:val="left"/>
      <w:pPr>
        <w:tabs>
          <w:tab w:val="num" w:pos="360"/>
        </w:tabs>
        <w:ind w:left="360" w:hanging="360"/>
      </w:pPr>
      <w:rPr>
        <w:rFonts w:ascii="Symbol" w:hAnsi="Symbol" w:hint="default"/>
        <w:sz w:val="18"/>
        <w:szCs w:val="18"/>
      </w:rPr>
    </w:lvl>
    <w:lvl w:ilvl="1">
      <w:start w:val="1"/>
      <w:numFmt w:val="bullet"/>
      <w:pStyle w:val="DashText"/>
      <w:lvlText w:val=""/>
      <w:lvlJc w:val="left"/>
      <w:pPr>
        <w:tabs>
          <w:tab w:val="num" w:pos="720"/>
        </w:tabs>
        <w:ind w:left="72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
    <w:nsid w:val="2EC43ED7"/>
    <w:multiLevelType w:val="hybridMultilevel"/>
    <w:tmpl w:val="65FA8D2E"/>
    <w:lvl w:ilvl="0" w:tplc="07769C36">
      <w:start w:val="1"/>
      <w:numFmt w:val="lowerLetter"/>
      <w:lvlText w:val="(%1)"/>
      <w:lvlJc w:val="left"/>
      <w:pPr>
        <w:ind w:left="360" w:hanging="360"/>
      </w:pPr>
      <w:rPr>
        <w:rFonts w:hint="default"/>
        <w:b w:val="0"/>
        <w:i/>
        <w:sz w:val="15"/>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3CFC52E9"/>
    <w:multiLevelType w:val="hybridMultilevel"/>
    <w:tmpl w:val="D174DAAA"/>
    <w:lvl w:ilvl="0" w:tplc="40B48826">
      <w:start w:val="1"/>
      <w:numFmt w:val="bullet"/>
      <w:pStyle w:val="NotesDash"/>
      <w:lvlText w:val="–"/>
      <w:lvlJc w:val="left"/>
      <w:pPr>
        <w:tabs>
          <w:tab w:val="num" w:pos="922"/>
        </w:tabs>
        <w:ind w:left="922" w:hanging="468"/>
      </w:pPr>
      <w:rPr>
        <w:rFonts w:ascii="Times New Roman" w:hAnsi="Times New Roman"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3F1B3BF7"/>
    <w:multiLevelType w:val="hybridMultilevel"/>
    <w:tmpl w:val="74C04648"/>
    <w:lvl w:ilvl="0" w:tplc="818EB8C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56FB2E0B"/>
    <w:multiLevelType w:val="hybridMultilevel"/>
    <w:tmpl w:val="EDCE7868"/>
    <w:lvl w:ilvl="0" w:tplc="D2745096">
      <w:start w:val="1"/>
      <w:numFmt w:val="bullet"/>
      <w:pStyle w:val="HighlightBoxBullet"/>
      <w:lvlText w:val=""/>
      <w:lvlJc w:val="left"/>
      <w:pPr>
        <w:tabs>
          <w:tab w:val="num" w:pos="90"/>
        </w:tabs>
        <w:ind w:left="450" w:hanging="360"/>
      </w:pPr>
      <w:rPr>
        <w:rFonts w:ascii="Symbol" w:hAnsi="Symbol" w:hint="default"/>
        <w:sz w:val="20"/>
        <w:szCs w:val="20"/>
      </w:rPr>
    </w:lvl>
    <w:lvl w:ilvl="1" w:tplc="0C090003" w:tentative="1">
      <w:start w:val="1"/>
      <w:numFmt w:val="bullet"/>
      <w:lvlText w:val="o"/>
      <w:lvlJc w:val="left"/>
      <w:pPr>
        <w:tabs>
          <w:tab w:val="num" w:pos="1530"/>
        </w:tabs>
        <w:ind w:left="1530" w:hanging="360"/>
      </w:pPr>
      <w:rPr>
        <w:rFonts w:ascii="Courier New" w:hAnsi="Courier New" w:cs="Courier New" w:hint="default"/>
      </w:rPr>
    </w:lvl>
    <w:lvl w:ilvl="2" w:tplc="0C090005" w:tentative="1">
      <w:start w:val="1"/>
      <w:numFmt w:val="bullet"/>
      <w:lvlText w:val=""/>
      <w:lvlJc w:val="left"/>
      <w:pPr>
        <w:tabs>
          <w:tab w:val="num" w:pos="2250"/>
        </w:tabs>
        <w:ind w:left="2250" w:hanging="360"/>
      </w:pPr>
      <w:rPr>
        <w:rFonts w:ascii="Wingdings" w:hAnsi="Wingdings" w:hint="default"/>
      </w:rPr>
    </w:lvl>
    <w:lvl w:ilvl="3" w:tplc="0C090001" w:tentative="1">
      <w:start w:val="1"/>
      <w:numFmt w:val="bullet"/>
      <w:lvlText w:val=""/>
      <w:lvlJc w:val="left"/>
      <w:pPr>
        <w:tabs>
          <w:tab w:val="num" w:pos="2970"/>
        </w:tabs>
        <w:ind w:left="2970" w:hanging="360"/>
      </w:pPr>
      <w:rPr>
        <w:rFonts w:ascii="Symbol" w:hAnsi="Symbol" w:hint="default"/>
      </w:rPr>
    </w:lvl>
    <w:lvl w:ilvl="4" w:tplc="0C090003" w:tentative="1">
      <w:start w:val="1"/>
      <w:numFmt w:val="bullet"/>
      <w:lvlText w:val="o"/>
      <w:lvlJc w:val="left"/>
      <w:pPr>
        <w:tabs>
          <w:tab w:val="num" w:pos="3690"/>
        </w:tabs>
        <w:ind w:left="3690" w:hanging="360"/>
      </w:pPr>
      <w:rPr>
        <w:rFonts w:ascii="Courier New" w:hAnsi="Courier New" w:cs="Courier New" w:hint="default"/>
      </w:rPr>
    </w:lvl>
    <w:lvl w:ilvl="5" w:tplc="0C090005" w:tentative="1">
      <w:start w:val="1"/>
      <w:numFmt w:val="bullet"/>
      <w:lvlText w:val=""/>
      <w:lvlJc w:val="left"/>
      <w:pPr>
        <w:tabs>
          <w:tab w:val="num" w:pos="4410"/>
        </w:tabs>
        <w:ind w:left="4410" w:hanging="360"/>
      </w:pPr>
      <w:rPr>
        <w:rFonts w:ascii="Wingdings" w:hAnsi="Wingdings" w:hint="default"/>
      </w:rPr>
    </w:lvl>
    <w:lvl w:ilvl="6" w:tplc="0C090001" w:tentative="1">
      <w:start w:val="1"/>
      <w:numFmt w:val="bullet"/>
      <w:lvlText w:val=""/>
      <w:lvlJc w:val="left"/>
      <w:pPr>
        <w:tabs>
          <w:tab w:val="num" w:pos="5130"/>
        </w:tabs>
        <w:ind w:left="5130" w:hanging="360"/>
      </w:pPr>
      <w:rPr>
        <w:rFonts w:ascii="Symbol" w:hAnsi="Symbol" w:hint="default"/>
      </w:rPr>
    </w:lvl>
    <w:lvl w:ilvl="7" w:tplc="0C090003" w:tentative="1">
      <w:start w:val="1"/>
      <w:numFmt w:val="bullet"/>
      <w:lvlText w:val="o"/>
      <w:lvlJc w:val="left"/>
      <w:pPr>
        <w:tabs>
          <w:tab w:val="num" w:pos="5850"/>
        </w:tabs>
        <w:ind w:left="5850" w:hanging="360"/>
      </w:pPr>
      <w:rPr>
        <w:rFonts w:ascii="Courier New" w:hAnsi="Courier New" w:cs="Courier New" w:hint="default"/>
      </w:rPr>
    </w:lvl>
    <w:lvl w:ilvl="8" w:tplc="0C090005" w:tentative="1">
      <w:start w:val="1"/>
      <w:numFmt w:val="bullet"/>
      <w:lvlText w:val=""/>
      <w:lvlJc w:val="left"/>
      <w:pPr>
        <w:tabs>
          <w:tab w:val="num" w:pos="6570"/>
        </w:tabs>
        <w:ind w:left="6570" w:hanging="360"/>
      </w:pPr>
      <w:rPr>
        <w:rFonts w:ascii="Wingdings" w:hAnsi="Wingdings" w:hint="default"/>
      </w:rPr>
    </w:lvl>
  </w:abstractNum>
  <w:abstractNum w:abstractNumId="9">
    <w:nsid w:val="6EE34E10"/>
    <w:multiLevelType w:val="multilevel"/>
    <w:tmpl w:val="D9F407CA"/>
    <w:lvl w:ilvl="0">
      <w:start w:val="1"/>
      <w:numFmt w:val="upperLetter"/>
      <w:pStyle w:val="Heading3Numbering"/>
      <w:lvlText w:val="(%1)"/>
      <w:lvlJc w:val="left"/>
      <w:pPr>
        <w:tabs>
          <w:tab w:val="num" w:pos="720"/>
        </w:tabs>
        <w:ind w:left="720" w:hanging="720"/>
      </w:pPr>
      <w:rPr>
        <w:rFonts w:ascii="Calibri" w:hAnsi="Calibri" w:hint="default"/>
        <w:sz w:val="24"/>
        <w:szCs w:val="24"/>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759407A9"/>
    <w:multiLevelType w:val="hybridMultilevel"/>
    <w:tmpl w:val="634CEA08"/>
    <w:lvl w:ilvl="0" w:tplc="5E74247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8"/>
  </w:num>
  <w:num w:numId="3">
    <w:abstractNumId w:val="9"/>
  </w:num>
  <w:num w:numId="4">
    <w:abstractNumId w:val="4"/>
  </w:num>
  <w:num w:numId="5">
    <w:abstractNumId w:val="6"/>
  </w:num>
  <w:num w:numId="6">
    <w:abstractNumId w:val="3"/>
  </w:num>
  <w:num w:numId="7">
    <w:abstractNumId w:val="2"/>
  </w:num>
  <w:num w:numId="8">
    <w:abstractNumId w:val="5"/>
  </w:num>
  <w:num w:numId="9">
    <w:abstractNumId w:val="0"/>
  </w:num>
  <w:num w:numId="10">
    <w:abstractNumId w:val="10"/>
  </w:num>
  <w:num w:numId="11">
    <w:abstractNumId w:val="7"/>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SystemFonts/>
  <w:mirrorMargin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nforcement="0"/>
  <w:autoFormatOverride/>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B20"/>
    <w:rsid w:val="0000414E"/>
    <w:rsid w:val="00006F06"/>
    <w:rsid w:val="00020E91"/>
    <w:rsid w:val="00021CE5"/>
    <w:rsid w:val="000221B3"/>
    <w:rsid w:val="00022F07"/>
    <w:rsid w:val="00031488"/>
    <w:rsid w:val="00035734"/>
    <w:rsid w:val="000362EA"/>
    <w:rsid w:val="00041292"/>
    <w:rsid w:val="00043F9F"/>
    <w:rsid w:val="000451B1"/>
    <w:rsid w:val="00050885"/>
    <w:rsid w:val="00056F1F"/>
    <w:rsid w:val="00060942"/>
    <w:rsid w:val="00061F50"/>
    <w:rsid w:val="00062624"/>
    <w:rsid w:val="00064FD8"/>
    <w:rsid w:val="000771C1"/>
    <w:rsid w:val="000804F8"/>
    <w:rsid w:val="000868E5"/>
    <w:rsid w:val="000925EA"/>
    <w:rsid w:val="00093898"/>
    <w:rsid w:val="000A5321"/>
    <w:rsid w:val="000B1105"/>
    <w:rsid w:val="000B12EE"/>
    <w:rsid w:val="000B1B53"/>
    <w:rsid w:val="000B2895"/>
    <w:rsid w:val="000C1027"/>
    <w:rsid w:val="000C18E1"/>
    <w:rsid w:val="000D652A"/>
    <w:rsid w:val="000E20C0"/>
    <w:rsid w:val="000E725D"/>
    <w:rsid w:val="00100759"/>
    <w:rsid w:val="00100FCC"/>
    <w:rsid w:val="001260F8"/>
    <w:rsid w:val="00130570"/>
    <w:rsid w:val="001368DE"/>
    <w:rsid w:val="00140C5B"/>
    <w:rsid w:val="00150C34"/>
    <w:rsid w:val="00154535"/>
    <w:rsid w:val="0015668D"/>
    <w:rsid w:val="0016459F"/>
    <w:rsid w:val="00167FAD"/>
    <w:rsid w:val="00170A52"/>
    <w:rsid w:val="00176CD6"/>
    <w:rsid w:val="0017767A"/>
    <w:rsid w:val="00185277"/>
    <w:rsid w:val="001856DE"/>
    <w:rsid w:val="001A7ED4"/>
    <w:rsid w:val="001C0D0F"/>
    <w:rsid w:val="001C1EAD"/>
    <w:rsid w:val="001C2F60"/>
    <w:rsid w:val="001C6D0D"/>
    <w:rsid w:val="001D18E7"/>
    <w:rsid w:val="001E15F3"/>
    <w:rsid w:val="001F3DDD"/>
    <w:rsid w:val="001F4F89"/>
    <w:rsid w:val="0020013B"/>
    <w:rsid w:val="00225DCD"/>
    <w:rsid w:val="0023358D"/>
    <w:rsid w:val="00240744"/>
    <w:rsid w:val="002411D9"/>
    <w:rsid w:val="00245DCF"/>
    <w:rsid w:val="00251C6B"/>
    <w:rsid w:val="0025606D"/>
    <w:rsid w:val="002562F0"/>
    <w:rsid w:val="002733B3"/>
    <w:rsid w:val="00273B20"/>
    <w:rsid w:val="00282839"/>
    <w:rsid w:val="00294DDB"/>
    <w:rsid w:val="002B15CD"/>
    <w:rsid w:val="002B5189"/>
    <w:rsid w:val="002C04C2"/>
    <w:rsid w:val="002C1C0D"/>
    <w:rsid w:val="002C39A3"/>
    <w:rsid w:val="002D0C50"/>
    <w:rsid w:val="002D387D"/>
    <w:rsid w:val="002D4189"/>
    <w:rsid w:val="002D7692"/>
    <w:rsid w:val="002E0D69"/>
    <w:rsid w:val="002E31A2"/>
    <w:rsid w:val="002E5C62"/>
    <w:rsid w:val="002F3CB5"/>
    <w:rsid w:val="003010A2"/>
    <w:rsid w:val="00302525"/>
    <w:rsid w:val="00315533"/>
    <w:rsid w:val="00322570"/>
    <w:rsid w:val="00322573"/>
    <w:rsid w:val="00322DD7"/>
    <w:rsid w:val="003233E0"/>
    <w:rsid w:val="003259E9"/>
    <w:rsid w:val="0032698D"/>
    <w:rsid w:val="0033005B"/>
    <w:rsid w:val="003352CE"/>
    <w:rsid w:val="00341734"/>
    <w:rsid w:val="00341E1B"/>
    <w:rsid w:val="00342ECD"/>
    <w:rsid w:val="00346956"/>
    <w:rsid w:val="00346AFE"/>
    <w:rsid w:val="003511F8"/>
    <w:rsid w:val="003553FF"/>
    <w:rsid w:val="00361FA9"/>
    <w:rsid w:val="00364C8B"/>
    <w:rsid w:val="0036725D"/>
    <w:rsid w:val="003819A4"/>
    <w:rsid w:val="00381D8A"/>
    <w:rsid w:val="00382EC5"/>
    <w:rsid w:val="003926C8"/>
    <w:rsid w:val="0039472C"/>
    <w:rsid w:val="0039576F"/>
    <w:rsid w:val="00397F02"/>
    <w:rsid w:val="003B0D5C"/>
    <w:rsid w:val="003C0422"/>
    <w:rsid w:val="003C2F48"/>
    <w:rsid w:val="003C3AAE"/>
    <w:rsid w:val="003E2EE8"/>
    <w:rsid w:val="003E31E5"/>
    <w:rsid w:val="003E5374"/>
    <w:rsid w:val="003E5F71"/>
    <w:rsid w:val="003F15E7"/>
    <w:rsid w:val="003F4955"/>
    <w:rsid w:val="00402B50"/>
    <w:rsid w:val="004046AE"/>
    <w:rsid w:val="00406F75"/>
    <w:rsid w:val="00411AEE"/>
    <w:rsid w:val="00412BC0"/>
    <w:rsid w:val="004274F6"/>
    <w:rsid w:val="00437861"/>
    <w:rsid w:val="00446F20"/>
    <w:rsid w:val="00455F51"/>
    <w:rsid w:val="00465985"/>
    <w:rsid w:val="0046648A"/>
    <w:rsid w:val="0046774A"/>
    <w:rsid w:val="00472150"/>
    <w:rsid w:val="0047243E"/>
    <w:rsid w:val="00480ADD"/>
    <w:rsid w:val="004828FB"/>
    <w:rsid w:val="00485CB3"/>
    <w:rsid w:val="00492D93"/>
    <w:rsid w:val="00497606"/>
    <w:rsid w:val="004A3083"/>
    <w:rsid w:val="004A5191"/>
    <w:rsid w:val="004C08B1"/>
    <w:rsid w:val="004C3F0D"/>
    <w:rsid w:val="004C654C"/>
    <w:rsid w:val="004C767D"/>
    <w:rsid w:val="004D2300"/>
    <w:rsid w:val="004D392F"/>
    <w:rsid w:val="004D3DE7"/>
    <w:rsid w:val="004F0906"/>
    <w:rsid w:val="004F1592"/>
    <w:rsid w:val="004F6EFF"/>
    <w:rsid w:val="004F779D"/>
    <w:rsid w:val="00502FAF"/>
    <w:rsid w:val="00503A10"/>
    <w:rsid w:val="005040D7"/>
    <w:rsid w:val="0050487A"/>
    <w:rsid w:val="0050690B"/>
    <w:rsid w:val="00507425"/>
    <w:rsid w:val="0051195C"/>
    <w:rsid w:val="005142C4"/>
    <w:rsid w:val="00515C51"/>
    <w:rsid w:val="00516DF2"/>
    <w:rsid w:val="00522994"/>
    <w:rsid w:val="00531A3D"/>
    <w:rsid w:val="00533108"/>
    <w:rsid w:val="005429ED"/>
    <w:rsid w:val="00545CA0"/>
    <w:rsid w:val="00547E3B"/>
    <w:rsid w:val="005552E0"/>
    <w:rsid w:val="00561253"/>
    <w:rsid w:val="005659B1"/>
    <w:rsid w:val="00565C3C"/>
    <w:rsid w:val="00571E1E"/>
    <w:rsid w:val="00572DD3"/>
    <w:rsid w:val="00576FDF"/>
    <w:rsid w:val="00586237"/>
    <w:rsid w:val="00595530"/>
    <w:rsid w:val="0059636A"/>
    <w:rsid w:val="00597626"/>
    <w:rsid w:val="005A0574"/>
    <w:rsid w:val="005A6362"/>
    <w:rsid w:val="005A6BE2"/>
    <w:rsid w:val="005A6FB4"/>
    <w:rsid w:val="005B081E"/>
    <w:rsid w:val="005B2863"/>
    <w:rsid w:val="005B41A8"/>
    <w:rsid w:val="005B5183"/>
    <w:rsid w:val="005B54F2"/>
    <w:rsid w:val="005C1363"/>
    <w:rsid w:val="005C361B"/>
    <w:rsid w:val="005C7712"/>
    <w:rsid w:val="005D65C9"/>
    <w:rsid w:val="005D67FF"/>
    <w:rsid w:val="005D76F8"/>
    <w:rsid w:val="005D78C9"/>
    <w:rsid w:val="005E0AA3"/>
    <w:rsid w:val="005E17AB"/>
    <w:rsid w:val="005E5FCA"/>
    <w:rsid w:val="005F49CE"/>
    <w:rsid w:val="005F67EF"/>
    <w:rsid w:val="00602BE7"/>
    <w:rsid w:val="006042B2"/>
    <w:rsid w:val="00605F2A"/>
    <w:rsid w:val="0060685C"/>
    <w:rsid w:val="00606A43"/>
    <w:rsid w:val="006306E9"/>
    <w:rsid w:val="00635546"/>
    <w:rsid w:val="00641E21"/>
    <w:rsid w:val="00642BF1"/>
    <w:rsid w:val="00643DF9"/>
    <w:rsid w:val="00654E77"/>
    <w:rsid w:val="006568CD"/>
    <w:rsid w:val="00666CB7"/>
    <w:rsid w:val="00667796"/>
    <w:rsid w:val="00674B54"/>
    <w:rsid w:val="00677E49"/>
    <w:rsid w:val="0068185C"/>
    <w:rsid w:val="006841B2"/>
    <w:rsid w:val="00686543"/>
    <w:rsid w:val="0068681D"/>
    <w:rsid w:val="00697FCC"/>
    <w:rsid w:val="006A4659"/>
    <w:rsid w:val="006A6CEB"/>
    <w:rsid w:val="006A7B84"/>
    <w:rsid w:val="006B4753"/>
    <w:rsid w:val="006C05D5"/>
    <w:rsid w:val="006C4501"/>
    <w:rsid w:val="006C5EC5"/>
    <w:rsid w:val="006C5F3E"/>
    <w:rsid w:val="006D1E53"/>
    <w:rsid w:val="006F055E"/>
    <w:rsid w:val="00701445"/>
    <w:rsid w:val="00715BF1"/>
    <w:rsid w:val="007161C5"/>
    <w:rsid w:val="0071751D"/>
    <w:rsid w:val="00717D6F"/>
    <w:rsid w:val="0072338E"/>
    <w:rsid w:val="00723CCF"/>
    <w:rsid w:val="007465D1"/>
    <w:rsid w:val="00746C6E"/>
    <w:rsid w:val="0076041D"/>
    <w:rsid w:val="00762943"/>
    <w:rsid w:val="007641DC"/>
    <w:rsid w:val="007703C5"/>
    <w:rsid w:val="00784E79"/>
    <w:rsid w:val="00784F64"/>
    <w:rsid w:val="00793367"/>
    <w:rsid w:val="007A1057"/>
    <w:rsid w:val="007B18BE"/>
    <w:rsid w:val="007B4258"/>
    <w:rsid w:val="007F39AE"/>
    <w:rsid w:val="008047B2"/>
    <w:rsid w:val="0081669E"/>
    <w:rsid w:val="00817BD7"/>
    <w:rsid w:val="00825389"/>
    <w:rsid w:val="0082652B"/>
    <w:rsid w:val="0084045D"/>
    <w:rsid w:val="0084378E"/>
    <w:rsid w:val="0084474F"/>
    <w:rsid w:val="00853954"/>
    <w:rsid w:val="00863D40"/>
    <w:rsid w:val="008659CB"/>
    <w:rsid w:val="0086685D"/>
    <w:rsid w:val="00867B50"/>
    <w:rsid w:val="00880B83"/>
    <w:rsid w:val="008827CA"/>
    <w:rsid w:val="00882953"/>
    <w:rsid w:val="008858A3"/>
    <w:rsid w:val="008871F8"/>
    <w:rsid w:val="00887B0B"/>
    <w:rsid w:val="00887F89"/>
    <w:rsid w:val="00890415"/>
    <w:rsid w:val="00891D05"/>
    <w:rsid w:val="008A0DCD"/>
    <w:rsid w:val="008A5FE9"/>
    <w:rsid w:val="008B0FFC"/>
    <w:rsid w:val="008C5612"/>
    <w:rsid w:val="008E20C7"/>
    <w:rsid w:val="008E4C65"/>
    <w:rsid w:val="008E5024"/>
    <w:rsid w:val="008F0F55"/>
    <w:rsid w:val="008F60AE"/>
    <w:rsid w:val="00902A9D"/>
    <w:rsid w:val="00904A16"/>
    <w:rsid w:val="00910D2B"/>
    <w:rsid w:val="0091115C"/>
    <w:rsid w:val="009200FD"/>
    <w:rsid w:val="00927670"/>
    <w:rsid w:val="009331F3"/>
    <w:rsid w:val="00937B02"/>
    <w:rsid w:val="00946EF0"/>
    <w:rsid w:val="00950D83"/>
    <w:rsid w:val="00957917"/>
    <w:rsid w:val="0096304A"/>
    <w:rsid w:val="009642BA"/>
    <w:rsid w:val="0097206F"/>
    <w:rsid w:val="009738E6"/>
    <w:rsid w:val="00973A41"/>
    <w:rsid w:val="0097550F"/>
    <w:rsid w:val="0097680B"/>
    <w:rsid w:val="0098552F"/>
    <w:rsid w:val="00992E7A"/>
    <w:rsid w:val="00995570"/>
    <w:rsid w:val="009A2BC2"/>
    <w:rsid w:val="009A3179"/>
    <w:rsid w:val="009B25A6"/>
    <w:rsid w:val="009B7C82"/>
    <w:rsid w:val="009C05DD"/>
    <w:rsid w:val="009C5731"/>
    <w:rsid w:val="009D183F"/>
    <w:rsid w:val="009E4089"/>
    <w:rsid w:val="009E5D93"/>
    <w:rsid w:val="009F0A3E"/>
    <w:rsid w:val="009F0F12"/>
    <w:rsid w:val="00A02FA8"/>
    <w:rsid w:val="00A1268C"/>
    <w:rsid w:val="00A14E0E"/>
    <w:rsid w:val="00A16285"/>
    <w:rsid w:val="00A16406"/>
    <w:rsid w:val="00A21AF5"/>
    <w:rsid w:val="00A2357F"/>
    <w:rsid w:val="00A251B1"/>
    <w:rsid w:val="00A47723"/>
    <w:rsid w:val="00A56CBA"/>
    <w:rsid w:val="00A5700A"/>
    <w:rsid w:val="00A576F6"/>
    <w:rsid w:val="00A57B48"/>
    <w:rsid w:val="00A71163"/>
    <w:rsid w:val="00A74AB1"/>
    <w:rsid w:val="00A74D09"/>
    <w:rsid w:val="00A759FE"/>
    <w:rsid w:val="00A805CA"/>
    <w:rsid w:val="00A831CC"/>
    <w:rsid w:val="00A854D5"/>
    <w:rsid w:val="00A93F82"/>
    <w:rsid w:val="00A96824"/>
    <w:rsid w:val="00AA19A0"/>
    <w:rsid w:val="00AA1AEA"/>
    <w:rsid w:val="00AA5AD3"/>
    <w:rsid w:val="00AB125D"/>
    <w:rsid w:val="00AB2018"/>
    <w:rsid w:val="00AB2CC7"/>
    <w:rsid w:val="00AB5E05"/>
    <w:rsid w:val="00AD7110"/>
    <w:rsid w:val="00AE1F2D"/>
    <w:rsid w:val="00AF5DDD"/>
    <w:rsid w:val="00B022A5"/>
    <w:rsid w:val="00B04358"/>
    <w:rsid w:val="00B0624D"/>
    <w:rsid w:val="00B06D94"/>
    <w:rsid w:val="00B14F51"/>
    <w:rsid w:val="00B21FEB"/>
    <w:rsid w:val="00B27537"/>
    <w:rsid w:val="00B27782"/>
    <w:rsid w:val="00B37863"/>
    <w:rsid w:val="00B37EF1"/>
    <w:rsid w:val="00B527F0"/>
    <w:rsid w:val="00B55816"/>
    <w:rsid w:val="00B56AF7"/>
    <w:rsid w:val="00B60680"/>
    <w:rsid w:val="00B648F7"/>
    <w:rsid w:val="00B64A6A"/>
    <w:rsid w:val="00B72182"/>
    <w:rsid w:val="00B72576"/>
    <w:rsid w:val="00B73926"/>
    <w:rsid w:val="00B742AA"/>
    <w:rsid w:val="00B76343"/>
    <w:rsid w:val="00B82D32"/>
    <w:rsid w:val="00B83B9F"/>
    <w:rsid w:val="00B847DA"/>
    <w:rsid w:val="00B90A1D"/>
    <w:rsid w:val="00BA2418"/>
    <w:rsid w:val="00BB534C"/>
    <w:rsid w:val="00BC4885"/>
    <w:rsid w:val="00BC61E2"/>
    <w:rsid w:val="00BD0A5C"/>
    <w:rsid w:val="00BD364F"/>
    <w:rsid w:val="00BD7B65"/>
    <w:rsid w:val="00BE4F6F"/>
    <w:rsid w:val="00BF2190"/>
    <w:rsid w:val="00BF3DAE"/>
    <w:rsid w:val="00BF3DE1"/>
    <w:rsid w:val="00BF6AF3"/>
    <w:rsid w:val="00BF7248"/>
    <w:rsid w:val="00C0011A"/>
    <w:rsid w:val="00C04DD7"/>
    <w:rsid w:val="00C05D16"/>
    <w:rsid w:val="00C05DC9"/>
    <w:rsid w:val="00C14A3C"/>
    <w:rsid w:val="00C179B3"/>
    <w:rsid w:val="00C17EB8"/>
    <w:rsid w:val="00C24EC3"/>
    <w:rsid w:val="00C25A06"/>
    <w:rsid w:val="00C278C3"/>
    <w:rsid w:val="00C30146"/>
    <w:rsid w:val="00C35791"/>
    <w:rsid w:val="00C419DE"/>
    <w:rsid w:val="00C46316"/>
    <w:rsid w:val="00C46C0C"/>
    <w:rsid w:val="00C4789A"/>
    <w:rsid w:val="00C50E7D"/>
    <w:rsid w:val="00C52998"/>
    <w:rsid w:val="00C529A0"/>
    <w:rsid w:val="00C550BF"/>
    <w:rsid w:val="00C558E9"/>
    <w:rsid w:val="00C63B4E"/>
    <w:rsid w:val="00C72AF4"/>
    <w:rsid w:val="00C7327A"/>
    <w:rsid w:val="00C756E9"/>
    <w:rsid w:val="00C75B91"/>
    <w:rsid w:val="00C75D0E"/>
    <w:rsid w:val="00C7678A"/>
    <w:rsid w:val="00C9591C"/>
    <w:rsid w:val="00C97E08"/>
    <w:rsid w:val="00CB3778"/>
    <w:rsid w:val="00CB3C8A"/>
    <w:rsid w:val="00CB74FE"/>
    <w:rsid w:val="00CC2049"/>
    <w:rsid w:val="00CC22BA"/>
    <w:rsid w:val="00CC3A34"/>
    <w:rsid w:val="00CC69F7"/>
    <w:rsid w:val="00CC73D9"/>
    <w:rsid w:val="00CD0577"/>
    <w:rsid w:val="00CE4B0E"/>
    <w:rsid w:val="00CF0F98"/>
    <w:rsid w:val="00CF132C"/>
    <w:rsid w:val="00CF25B1"/>
    <w:rsid w:val="00CF5FE1"/>
    <w:rsid w:val="00CF6838"/>
    <w:rsid w:val="00CF6AB4"/>
    <w:rsid w:val="00D0607A"/>
    <w:rsid w:val="00D10578"/>
    <w:rsid w:val="00D12B44"/>
    <w:rsid w:val="00D1521C"/>
    <w:rsid w:val="00D24C1E"/>
    <w:rsid w:val="00D24E4D"/>
    <w:rsid w:val="00D2588E"/>
    <w:rsid w:val="00D26C08"/>
    <w:rsid w:val="00D52B3F"/>
    <w:rsid w:val="00D5615F"/>
    <w:rsid w:val="00D56B84"/>
    <w:rsid w:val="00D646A9"/>
    <w:rsid w:val="00D67950"/>
    <w:rsid w:val="00D72FB7"/>
    <w:rsid w:val="00D746AE"/>
    <w:rsid w:val="00D80673"/>
    <w:rsid w:val="00D95D7D"/>
    <w:rsid w:val="00DA0931"/>
    <w:rsid w:val="00DA4D63"/>
    <w:rsid w:val="00DA6CAB"/>
    <w:rsid w:val="00DB33FA"/>
    <w:rsid w:val="00DB3AF6"/>
    <w:rsid w:val="00DB716A"/>
    <w:rsid w:val="00DD79E9"/>
    <w:rsid w:val="00DE1D28"/>
    <w:rsid w:val="00DE3B1B"/>
    <w:rsid w:val="00E045DA"/>
    <w:rsid w:val="00E06647"/>
    <w:rsid w:val="00E232F8"/>
    <w:rsid w:val="00E24DAF"/>
    <w:rsid w:val="00E338A0"/>
    <w:rsid w:val="00E35F1A"/>
    <w:rsid w:val="00E37D79"/>
    <w:rsid w:val="00E41F7F"/>
    <w:rsid w:val="00E43FB1"/>
    <w:rsid w:val="00E4642D"/>
    <w:rsid w:val="00E7552F"/>
    <w:rsid w:val="00E76C60"/>
    <w:rsid w:val="00E76F2A"/>
    <w:rsid w:val="00E84842"/>
    <w:rsid w:val="00E87460"/>
    <w:rsid w:val="00E97B8E"/>
    <w:rsid w:val="00EA058F"/>
    <w:rsid w:val="00EA1D76"/>
    <w:rsid w:val="00EA3A5B"/>
    <w:rsid w:val="00EB1400"/>
    <w:rsid w:val="00EB1FD8"/>
    <w:rsid w:val="00EB6BA8"/>
    <w:rsid w:val="00EB7A3E"/>
    <w:rsid w:val="00EC2ADF"/>
    <w:rsid w:val="00EC5292"/>
    <w:rsid w:val="00ED0B29"/>
    <w:rsid w:val="00EF4C87"/>
    <w:rsid w:val="00EF6BFD"/>
    <w:rsid w:val="00F06BEE"/>
    <w:rsid w:val="00F135C4"/>
    <w:rsid w:val="00F13D93"/>
    <w:rsid w:val="00F14A31"/>
    <w:rsid w:val="00F17676"/>
    <w:rsid w:val="00F2013A"/>
    <w:rsid w:val="00F208A1"/>
    <w:rsid w:val="00F21979"/>
    <w:rsid w:val="00F22CBF"/>
    <w:rsid w:val="00F25DFE"/>
    <w:rsid w:val="00F302FC"/>
    <w:rsid w:val="00F312E6"/>
    <w:rsid w:val="00F35817"/>
    <w:rsid w:val="00F3640E"/>
    <w:rsid w:val="00F4248C"/>
    <w:rsid w:val="00F46717"/>
    <w:rsid w:val="00F6397C"/>
    <w:rsid w:val="00F63E44"/>
    <w:rsid w:val="00F640AC"/>
    <w:rsid w:val="00F6691A"/>
    <w:rsid w:val="00F67E7B"/>
    <w:rsid w:val="00F72296"/>
    <w:rsid w:val="00F773CE"/>
    <w:rsid w:val="00F80542"/>
    <w:rsid w:val="00F87345"/>
    <w:rsid w:val="00F96FDC"/>
    <w:rsid w:val="00FA5495"/>
    <w:rsid w:val="00FA5CC9"/>
    <w:rsid w:val="00FB5BB7"/>
    <w:rsid w:val="00FB5CEA"/>
    <w:rsid w:val="00FB6608"/>
    <w:rsid w:val="00FB6856"/>
    <w:rsid w:val="00FC2781"/>
    <w:rsid w:val="00FC62B6"/>
    <w:rsid w:val="00FC7DAC"/>
    <w:rsid w:val="00FD2818"/>
    <w:rsid w:val="00FE1126"/>
    <w:rsid w:val="00FE2B63"/>
    <w:rsid w:val="00FF010C"/>
    <w:rsid w:val="00FF01C0"/>
    <w:rsid w:val="00FF1527"/>
    <w:rsid w:val="00FF6B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uiPriority="1"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3" w:semiHidden="1"/>
    <w:lsdException w:name="index 4" w:semiHidden="1"/>
    <w:lsdException w:name="index 5" w:semiHidden="1"/>
    <w:lsdException w:name="index 6" w:locked="1" w:semiHidden="1"/>
    <w:lsdException w:name="index 7" w:locked="1" w:semiHidden="1"/>
    <w:lsdException w:name="index 8" w:locked="1" w:semiHidden="1"/>
    <w:lsdException w:name="index 9" w:locked="1" w:semiHidden="1"/>
    <w:lsdException w:name="toc 1" w:uiPriority="39"/>
    <w:lsdException w:name="toc 2" w:uiPriority="39"/>
    <w:lsdException w:name="toc 3" w:uiPriority="5"/>
    <w:lsdException w:name="toc 4" w:uiPriority="39"/>
    <w:lsdException w:name="toc 5" w:uiPriority="5"/>
    <w:lsdException w:name="toc 6" w:locked="1" w:semiHidden="1"/>
    <w:lsdException w:name="toc 7" w:locked="1" w:semiHidden="1"/>
    <w:lsdException w:name="toc 8" w:locked="1" w:semiHidden="1"/>
    <w:lsdException w:name="toc 9" w:locked="1" w:semiHidden="1"/>
    <w:lsdException w:name="Normal Indent" w:locked="1"/>
    <w:lsdException w:name="footnote text" w:locked="1" w:semiHidden="1" w:uiPriority="5"/>
    <w:lsdException w:name="annotation text" w:locked="1" w:semiHidden="1"/>
    <w:lsdException w:name="caption" w:locked="1" w:semiHidden="1" w:unhideWhenUsed="1" w:qFormat="1"/>
    <w:lsdException w:name="table of figures" w:uiPriority="2" w:qFormat="1"/>
    <w:lsdException w:name="envelope address" w:locked="1" w:semiHidden="1"/>
    <w:lsdException w:name="envelope return" w:locked="1" w:semiHidden="1"/>
    <w:lsdException w:name="footnote reference" w:locked="1" w:semiHidden="1" w:uiPriority="5"/>
    <w:lsdException w:name="annotation reference" w:locked="1" w:semiHidden="1"/>
    <w:lsdException w:name="line number" w:locked="1" w:semiHidden="1"/>
    <w:lsdException w:name="endnote reference" w:locked="1" w:semiHidden="1"/>
    <w:lsdException w:name="endnote text" w:locked="1" w:semiHidden="1"/>
    <w:lsdException w:name="table of authorities" w:locked="1" w:semiHidden="1"/>
    <w:lsdException w:name="macro" w:locked="1" w:semiHidden="1"/>
    <w:lsdException w:name="toa heading" w:locked="1" w:semiHidden="1"/>
    <w:lsdException w:name="List" w:locked="1" w:semiHidden="1"/>
    <w:lsdException w:name="List Bullet" w:locked="1" w:semiHidden="1"/>
    <w:lsdException w:name="List Number" w:locked="1" w:semiHidden="1"/>
    <w:lsdException w:name="List 2" w:locked="1" w:semiHidden="1"/>
    <w:lsdException w:name="List 3" w:locked="1" w:semiHidden="1"/>
    <w:lsdException w:name="List 4" w:locked="1" w:semiHidden="1"/>
    <w:lsdException w:name="List 5" w:locked="1" w:semiHidden="1"/>
    <w:lsdException w:name="List Bullet 2" w:locked="1" w:semiHidden="1"/>
    <w:lsdException w:name="List Bullet 3" w:locked="1" w:semiHidden="1"/>
    <w:lsdException w:name="List Bullet 4" w:locked="1" w:semiHidden="1"/>
    <w:lsdException w:name="List Bullet 5" w:locked="1" w:semiHidden="1"/>
    <w:lsdException w:name="List Number 2" w:locked="1" w:semiHidden="1"/>
    <w:lsdException w:name="List Number 3" w:locked="1" w:semiHidden="1"/>
    <w:lsdException w:name="List Number 4" w:locked="1" w:semiHidden="1"/>
    <w:lsdException w:name="List Number 5" w:locked="1" w:semiHidden="1"/>
    <w:lsdException w:name="Title" w:locked="1" w:semiHidden="1"/>
    <w:lsdException w:name="Closing" w:locked="1" w:semiHidden="1"/>
    <w:lsdException w:name="Signature" w:locked="1" w:semiHidden="1"/>
    <w:lsdException w:name="Body Text" w:locked="1" w:semiHidden="1"/>
    <w:lsdException w:name="Body Text Indent" w:locked="1" w:semiHidden="1"/>
    <w:lsdException w:name="List Continue" w:locked="1" w:semiHidden="1"/>
    <w:lsdException w:name="List Continue 2" w:locked="1" w:semiHidden="1"/>
    <w:lsdException w:name="List Continue 3" w:locked="1" w:semiHidden="1"/>
    <w:lsdException w:name="List Continue 4" w:locked="1" w:semiHidden="1"/>
    <w:lsdException w:name="List Continue 5" w:locked="1" w:semiHidden="1"/>
    <w:lsdException w:name="Message Header" w:locked="1" w:semiHidden="1"/>
    <w:lsdException w:name="Subtitle" w:locked="1" w:semiHidden="1"/>
    <w:lsdException w:name="Salutation" w:locked="1" w:semiHidden="1"/>
    <w:lsdException w:name="Date" w:locked="1" w:semiHidden="1"/>
    <w:lsdException w:name="Body Text First Indent" w:locked="1" w:semiHidden="1"/>
    <w:lsdException w:name="Body Text First Indent 2" w:locked="1" w:semiHidden="1"/>
    <w:lsdException w:name="Note Heading" w:semiHidden="1"/>
    <w:lsdException w:name="Body Text 2" w:locked="1" w:semiHidden="1"/>
    <w:lsdException w:name="Body Text 3" w:locked="1" w:semiHidden="1"/>
    <w:lsdException w:name="Body Text Indent 2" w:locked="1" w:semiHidden="1"/>
    <w:lsdException w:name="Body Text Indent 3" w:locked="1" w:semiHidden="1"/>
    <w:lsdException w:name="Block Text" w:locked="1" w:semiHidden="1"/>
    <w:lsdException w:name="Hyperlink" w:locked="1" w:semiHidden="1" w:uiPriority="99"/>
    <w:lsdException w:name="FollowedHyperlink" w:locked="1" w:semiHidden="1"/>
    <w:lsdException w:name="Strong" w:locked="1" w:semiHidden="1"/>
    <w:lsdException w:name="Emphasis" w:locked="1" w:semiHidden="1"/>
    <w:lsdException w:name="Document Map" w:locked="1" w:semiHidden="1"/>
    <w:lsdException w:name="Plain Text" w:locked="1" w:semiHidden="1"/>
    <w:lsdException w:name="E-mail Signature" w:locked="1" w:semiHidden="1"/>
    <w:lsdException w:name="Normal (Web)" w:locked="1" w:semiHidden="1" w:uiPriority="99"/>
    <w:lsdException w:name="HTML Acronym" w:locked="1" w:semiHidden="1"/>
    <w:lsdException w:name="HTML Address" w:locked="1" w:semiHidden="1"/>
    <w:lsdException w:name="HTML Cite" w:locked="1" w:semiHidden="1"/>
    <w:lsdException w:name="HTML Code" w:locked="1" w:semiHidden="1"/>
    <w:lsdException w:name="HTML Definition" w:locked="1" w:semiHidden="1"/>
    <w:lsdException w:name="HTML Keyboard" w:locked="1" w:semiHidden="1"/>
    <w:lsdException w:name="HTML Preformatted" w:locked="1" w:semiHidden="1"/>
    <w:lsdException w:name="HTML Sample" w:locked="1" w:semiHidden="1"/>
    <w:lsdException w:name="HTML Typewriter" w:locked="1" w:semiHidden="1"/>
    <w:lsdException w:name="HTML Variable" w:locked="1" w:semiHidden="1"/>
    <w:lsdException w:name="annotation subject" w:locked="1" w:semiHidden="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semiHidden="1"/>
    <w:lsdException w:name="Table Grid" w:locked="1"/>
    <w:lsdException w:name="Table Theme" w:lock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uiPriority w:val="1"/>
    <w:qFormat/>
    <w:rsid w:val="00251C6B"/>
    <w:pPr>
      <w:spacing w:after="120"/>
    </w:pPr>
    <w:rPr>
      <w:rFonts w:ascii="Garamond" w:hAnsi="Garamond"/>
      <w:sz w:val="22"/>
      <w:lang w:eastAsia="en-US"/>
    </w:rPr>
  </w:style>
  <w:style w:type="paragraph" w:styleId="Heading1">
    <w:name w:val="heading 1"/>
    <w:basedOn w:val="Normal"/>
    <w:next w:val="Normal"/>
    <w:link w:val="Heading1Char"/>
    <w:qFormat/>
    <w:rsid w:val="00397F02"/>
    <w:pPr>
      <w:keepNext/>
      <w:spacing w:before="360"/>
      <w:outlineLvl w:val="0"/>
    </w:pPr>
    <w:rPr>
      <w:rFonts w:ascii="Calibri" w:hAnsi="Calibri"/>
      <w:b/>
      <w:caps/>
      <w:sz w:val="26"/>
      <w:szCs w:val="22"/>
    </w:rPr>
  </w:style>
  <w:style w:type="paragraph" w:styleId="Heading2">
    <w:name w:val="heading 2"/>
    <w:basedOn w:val="Normal"/>
    <w:next w:val="Normal"/>
    <w:link w:val="Heading2Char"/>
    <w:qFormat/>
    <w:rsid w:val="00397F02"/>
    <w:pPr>
      <w:keepNext/>
      <w:spacing w:before="240"/>
      <w:outlineLvl w:val="1"/>
    </w:pPr>
    <w:rPr>
      <w:rFonts w:ascii="Calibri" w:hAnsi="Calibri"/>
      <w:b/>
      <w:kern w:val="28"/>
      <w:sz w:val="26"/>
      <w:szCs w:val="22"/>
    </w:rPr>
  </w:style>
  <w:style w:type="paragraph" w:styleId="Heading3">
    <w:name w:val="heading 3"/>
    <w:basedOn w:val="Normal"/>
    <w:next w:val="Normal"/>
    <w:link w:val="Heading3Char"/>
    <w:qFormat/>
    <w:rsid w:val="00397F02"/>
    <w:pPr>
      <w:keepNext/>
      <w:spacing w:before="240"/>
      <w:outlineLvl w:val="2"/>
    </w:pPr>
    <w:rPr>
      <w:rFonts w:ascii="Calibri" w:hAnsi="Calibri"/>
      <w:b/>
      <w:i/>
      <w:kern w:val="28"/>
      <w:sz w:val="24"/>
      <w:szCs w:val="22"/>
    </w:rPr>
  </w:style>
  <w:style w:type="paragraph" w:styleId="Heading4">
    <w:name w:val="heading 4"/>
    <w:basedOn w:val="Normal"/>
    <w:next w:val="Normal"/>
    <w:qFormat/>
    <w:rsid w:val="00397F02"/>
    <w:pPr>
      <w:keepNext/>
      <w:spacing w:before="240"/>
      <w:outlineLvl w:val="3"/>
    </w:pPr>
    <w:rPr>
      <w:rFonts w:ascii="Calibri" w:hAnsi="Calibri"/>
      <w:i/>
      <w:sz w:val="24"/>
      <w:szCs w:val="22"/>
    </w:rPr>
  </w:style>
  <w:style w:type="paragraph" w:styleId="Heading5">
    <w:name w:val="heading 5"/>
    <w:basedOn w:val="Normal"/>
    <w:next w:val="Normal"/>
    <w:qFormat/>
    <w:rsid w:val="00F14A31"/>
    <w:pPr>
      <w:keepNext/>
      <w:tabs>
        <w:tab w:val="left" w:pos="504"/>
      </w:tabs>
      <w:spacing w:before="120" w:after="60"/>
      <w:outlineLvl w:val="4"/>
    </w:pPr>
    <w:rPr>
      <w:rFonts w:ascii="Calibri" w:hAnsi="Calibri"/>
      <w:b/>
    </w:rPr>
  </w:style>
  <w:style w:type="paragraph" w:styleId="Heading6">
    <w:name w:val="heading 6"/>
    <w:basedOn w:val="Normal"/>
    <w:next w:val="Normal"/>
    <w:link w:val="Heading6Char"/>
    <w:unhideWhenUsed/>
    <w:qFormat/>
    <w:locked/>
    <w:rsid w:val="00273B20"/>
    <w:pPr>
      <w:keepNext/>
      <w:pageBreakBefore/>
      <w:autoSpaceDE w:val="0"/>
      <w:autoSpaceDN w:val="0"/>
      <w:adjustRightInd w:val="0"/>
      <w:spacing w:after="0"/>
      <w:ind w:left="227" w:hanging="227"/>
      <w:outlineLvl w:val="5"/>
    </w:pPr>
    <w:rPr>
      <w:rFonts w:ascii="Calibri" w:eastAsiaTheme="minorEastAsia" w:hAnsi="Calibri" w:cs="Calibri"/>
      <w:b/>
      <w:bCs/>
      <w:color w:val="000000"/>
      <w:sz w:val="19"/>
      <w:szCs w:val="19"/>
      <w:lang w:eastAsia="en-AU"/>
    </w:rPr>
  </w:style>
  <w:style w:type="paragraph" w:styleId="Heading7">
    <w:name w:val="heading 7"/>
    <w:basedOn w:val="Normal"/>
    <w:next w:val="Normal"/>
    <w:link w:val="Heading7Char"/>
    <w:unhideWhenUsed/>
    <w:qFormat/>
    <w:locked/>
    <w:rsid w:val="00273B20"/>
    <w:pPr>
      <w:keepNext/>
      <w:pageBreakBefore/>
      <w:autoSpaceDE w:val="0"/>
      <w:autoSpaceDN w:val="0"/>
      <w:adjustRightInd w:val="0"/>
      <w:spacing w:after="0"/>
      <w:ind w:left="227" w:hanging="227"/>
      <w:outlineLvl w:val="6"/>
    </w:pPr>
    <w:rPr>
      <w:rFonts w:ascii="Calibri" w:eastAsiaTheme="minorEastAsia" w:hAnsi="Calibri" w:cs="Calibri"/>
      <w:b/>
      <w:bCs/>
      <w:color w:val="000000"/>
      <w:sz w:val="18"/>
      <w:szCs w:val="19"/>
      <w:lang w:eastAsia="en-AU"/>
    </w:rPr>
  </w:style>
  <w:style w:type="paragraph" w:styleId="Heading8">
    <w:name w:val="heading 8"/>
    <w:basedOn w:val="Normal"/>
    <w:next w:val="Normal"/>
    <w:link w:val="Heading8Char"/>
    <w:unhideWhenUsed/>
    <w:qFormat/>
    <w:locked/>
    <w:rsid w:val="00C3707F"/>
    <w:pPr>
      <w:keepNext/>
      <w:autoSpaceDE w:val="0"/>
      <w:autoSpaceDN w:val="0"/>
      <w:adjustRightInd w:val="0"/>
      <w:spacing w:after="0"/>
      <w:ind w:left="232" w:hanging="232"/>
      <w:outlineLvl w:val="7"/>
    </w:pPr>
    <w:rPr>
      <w:rFonts w:ascii="Calibri" w:eastAsiaTheme="minorEastAsia" w:hAnsi="Calibri" w:cs="Calibri"/>
      <w:b/>
      <w:bCs/>
      <w:color w:val="000000"/>
      <w:sz w:val="19"/>
      <w:szCs w:val="19"/>
      <w:lang w:eastAsia="en-AU"/>
    </w:rPr>
  </w:style>
  <w:style w:type="paragraph" w:styleId="Heading9">
    <w:name w:val="heading 9"/>
    <w:basedOn w:val="Normal"/>
    <w:next w:val="Normal"/>
    <w:link w:val="Heading9Char"/>
    <w:unhideWhenUsed/>
    <w:qFormat/>
    <w:locked/>
    <w:rsid w:val="00C558E9"/>
    <w:pPr>
      <w:keepNext/>
      <w:autoSpaceDE w:val="0"/>
      <w:autoSpaceDN w:val="0"/>
      <w:adjustRightInd w:val="0"/>
      <w:spacing w:after="0"/>
      <w:outlineLvl w:val="8"/>
    </w:pPr>
    <w:rPr>
      <w:rFonts w:ascii="Calibri" w:eastAsiaTheme="minorEastAsia" w:hAnsi="Calibri" w:cs="Calibri"/>
      <w:b/>
      <w:bCs/>
      <w:color w:val="000000"/>
      <w:sz w:val="19"/>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llion">
    <w:name w:val="$million"/>
    <w:basedOn w:val="Normal"/>
    <w:link w:val="millionChar"/>
    <w:qFormat/>
    <w:rsid w:val="00A831CC"/>
    <w:pPr>
      <w:spacing w:after="0"/>
      <w:jc w:val="center"/>
    </w:pPr>
    <w:rPr>
      <w:rFonts w:ascii="Calibri" w:hAnsi="Calibri"/>
      <w:i/>
      <w:sz w:val="18"/>
      <w:szCs w:val="18"/>
    </w:rPr>
  </w:style>
  <w:style w:type="paragraph" w:styleId="TableofFigures">
    <w:name w:val="table of figures"/>
    <w:basedOn w:val="Normal"/>
    <w:next w:val="Normal"/>
    <w:link w:val="TableofFiguresChar"/>
    <w:uiPriority w:val="2"/>
    <w:qFormat/>
    <w:rsid w:val="00397F02"/>
    <w:pPr>
      <w:spacing w:after="0"/>
      <w:jc w:val="right"/>
    </w:pPr>
    <w:rPr>
      <w:rFonts w:ascii="Calibri" w:hAnsi="Calibri"/>
      <w:sz w:val="20"/>
      <w:szCs w:val="18"/>
    </w:rPr>
  </w:style>
  <w:style w:type="character" w:customStyle="1" w:styleId="TableofFiguresChar">
    <w:name w:val="Table of Figures Char"/>
    <w:link w:val="TableofFigures"/>
    <w:uiPriority w:val="2"/>
    <w:rsid w:val="00746C6E"/>
    <w:rPr>
      <w:rFonts w:ascii="Calibri" w:hAnsi="Calibri"/>
      <w:szCs w:val="18"/>
      <w:lang w:eastAsia="en-US"/>
    </w:rPr>
  </w:style>
  <w:style w:type="paragraph" w:customStyle="1" w:styleId="BP4Figures">
    <w:name w:val="BP4 Figures"/>
    <w:basedOn w:val="TableofFigures"/>
    <w:semiHidden/>
    <w:rsid w:val="0059636A"/>
    <w:pPr>
      <w:spacing w:after="30"/>
    </w:pPr>
    <w:rPr>
      <w:sz w:val="18"/>
    </w:rPr>
  </w:style>
  <w:style w:type="paragraph" w:customStyle="1" w:styleId="Tabletextheading">
    <w:name w:val="Table text heading"/>
    <w:basedOn w:val="TableofFigures"/>
    <w:link w:val="TabletextheadingChar"/>
    <w:uiPriority w:val="2"/>
    <w:qFormat/>
    <w:rsid w:val="00A831CC"/>
    <w:rPr>
      <w:i/>
    </w:rPr>
  </w:style>
  <w:style w:type="paragraph" w:customStyle="1" w:styleId="BP4headingr">
    <w:name w:val="BP4 heading r"/>
    <w:basedOn w:val="Tabletextheading"/>
    <w:semiHidden/>
    <w:rsid w:val="00817BD7"/>
    <w:rPr>
      <w:sz w:val="18"/>
    </w:rPr>
  </w:style>
  <w:style w:type="paragraph" w:customStyle="1" w:styleId="BP4headingl">
    <w:name w:val="BP4 heading l"/>
    <w:basedOn w:val="BP4headingr"/>
    <w:semiHidden/>
    <w:rsid w:val="00817BD7"/>
    <w:pPr>
      <w:jc w:val="left"/>
    </w:pPr>
  </w:style>
  <w:style w:type="paragraph" w:customStyle="1" w:styleId="Tabletext">
    <w:name w:val="Table text"/>
    <w:basedOn w:val="TableofFigures"/>
    <w:link w:val="TabletextChar"/>
    <w:uiPriority w:val="2"/>
    <w:qFormat/>
    <w:rsid w:val="00AE1F2D"/>
    <w:pPr>
      <w:ind w:left="180" w:hanging="180"/>
      <w:jc w:val="left"/>
    </w:pPr>
    <w:rPr>
      <w:sz w:val="19"/>
    </w:rPr>
  </w:style>
  <w:style w:type="paragraph" w:customStyle="1" w:styleId="BP4tabletext">
    <w:name w:val="BP4 table text"/>
    <w:basedOn w:val="Tabletext"/>
    <w:semiHidden/>
    <w:rsid w:val="00817BD7"/>
    <w:pPr>
      <w:spacing w:after="30"/>
      <w:ind w:left="72" w:hanging="72"/>
    </w:pPr>
    <w:rPr>
      <w:sz w:val="18"/>
    </w:rPr>
  </w:style>
  <w:style w:type="paragraph" w:customStyle="1" w:styleId="Tableheading">
    <w:name w:val="Table heading"/>
    <w:basedOn w:val="Normal"/>
    <w:link w:val="TableheadingChar"/>
    <w:qFormat/>
    <w:rsid w:val="009E5D93"/>
    <w:pPr>
      <w:keepNext/>
      <w:spacing w:before="240"/>
      <w:ind w:left="1152" w:hanging="1152"/>
    </w:pPr>
    <w:rPr>
      <w:rFonts w:ascii="Calibri" w:hAnsi="Calibri"/>
      <w:b/>
    </w:rPr>
  </w:style>
  <w:style w:type="table" w:styleId="TableGrid">
    <w:name w:val="Table Grid"/>
    <w:basedOn w:val="TableNormal"/>
    <w:locked/>
    <w:rsid w:val="00B37EF1"/>
    <w:pPr>
      <w:spacing w:before="20" w:after="20"/>
      <w:ind w:left="170" w:hanging="170"/>
      <w:jc w:val="right"/>
    </w:pPr>
    <w:rPr>
      <w:rFonts w:ascii="Calibri" w:eastAsiaTheme="minorHAnsi" w:hAnsi="Calibri" w:cstheme="minorBidi"/>
      <w:spacing w:val="2"/>
      <w:sz w:val="18"/>
      <w:szCs w:val="21"/>
      <w:lang w:eastAsia="en-US"/>
    </w:rPr>
    <w:tblPr>
      <w:tblStyleColBandSize w:val="1"/>
      <w:tblInd w:w="28" w:type="dxa"/>
      <w:tblBorders>
        <w:bottom w:val="single" w:sz="6" w:space="0" w:color="auto"/>
      </w:tblBorders>
      <w:tblCellMar>
        <w:left w:w="57" w:type="dxa"/>
        <w:right w:w="57" w:type="dxa"/>
      </w:tblCellMar>
    </w:tblPr>
    <w:trPr>
      <w:cantSplit/>
    </w:trPr>
    <w:tblStylePr w:type="firstRow">
      <w:pPr>
        <w:keepNext/>
        <w:keepLines/>
        <w:widowControl/>
        <w:wordWrap/>
        <w:jc w:val="right"/>
      </w:pPr>
      <w:rPr>
        <w:i/>
        <w:color w:val="auto"/>
      </w:rPr>
      <w:tblPr/>
      <w:tcPr>
        <w:shd w:val="clear" w:color="auto" w:fill="000000" w:themeFill="text1"/>
        <w:vAlign w:val="bottom"/>
      </w:tcPr>
    </w:tblStylePr>
    <w:tblStylePr w:type="lastRow">
      <w:rPr>
        <w:b/>
      </w:rPr>
      <w:tblPr/>
      <w:tcPr>
        <w:tcBorders>
          <w:top w:val="single" w:sz="6" w:space="0" w:color="000000" w:themeColor="text1"/>
          <w:bottom w:val="single" w:sz="12" w:space="0" w:color="000000" w:themeColor="text1"/>
        </w:tcBorders>
      </w:tcPr>
    </w:tblStylePr>
    <w:tblStylePr w:type="firstCol">
      <w:pPr>
        <w:wordWrap/>
        <w:ind w:leftChars="0" w:left="170" w:rightChars="0" w:right="0" w:firstLineChars="0" w:hanging="170"/>
        <w:jc w:val="left"/>
      </w:pPr>
    </w:tblStylePr>
    <w:tblStylePr w:type="band1Vert">
      <w:pPr>
        <w:jc w:val="right"/>
      </w:pPr>
    </w:tblStylePr>
    <w:tblStylePr w:type="band2Vert">
      <w:pPr>
        <w:jc w:val="right"/>
      </w:pPr>
    </w:tblStylePr>
  </w:style>
  <w:style w:type="paragraph" w:customStyle="1" w:styleId="BulletText">
    <w:name w:val="Bullet Text"/>
    <w:basedOn w:val="Normal"/>
    <w:link w:val="BulletTextChar"/>
    <w:uiPriority w:val="2"/>
    <w:qFormat/>
    <w:rsid w:val="00CB74FE"/>
    <w:pPr>
      <w:numPr>
        <w:numId w:val="4"/>
      </w:numPr>
    </w:pPr>
  </w:style>
  <w:style w:type="paragraph" w:customStyle="1" w:styleId="ChapterHeading">
    <w:name w:val="Chapter Heading"/>
    <w:basedOn w:val="Normal"/>
    <w:next w:val="Heading1"/>
    <w:qFormat/>
    <w:rsid w:val="00C75B91"/>
    <w:pPr>
      <w:keepNext/>
      <w:pBdr>
        <w:bottom w:val="single" w:sz="12" w:space="7" w:color="auto"/>
      </w:pBdr>
      <w:spacing w:before="1440" w:after="360"/>
    </w:pPr>
    <w:rPr>
      <w:rFonts w:ascii="Calibri" w:hAnsi="Calibri"/>
      <w:b/>
      <w:caps/>
      <w:sz w:val="36"/>
      <w:szCs w:val="28"/>
    </w:rPr>
  </w:style>
  <w:style w:type="paragraph" w:customStyle="1" w:styleId="Chartheading">
    <w:name w:val="Chart heading"/>
    <w:basedOn w:val="Tableheading"/>
    <w:next w:val="Normal"/>
    <w:uiPriority w:val="3"/>
    <w:qFormat/>
    <w:rsid w:val="009E5D93"/>
  </w:style>
  <w:style w:type="paragraph" w:styleId="Footer">
    <w:name w:val="footer"/>
    <w:basedOn w:val="Normal"/>
    <w:link w:val="FooterChar"/>
    <w:rsid w:val="00185277"/>
    <w:pPr>
      <w:pBdr>
        <w:top w:val="single" w:sz="6" w:space="1" w:color="auto"/>
      </w:pBdr>
      <w:tabs>
        <w:tab w:val="right" w:pos="7085"/>
      </w:tabs>
    </w:pPr>
    <w:rPr>
      <w:rFonts w:ascii="Calibri" w:hAnsi="Calibri"/>
      <w:sz w:val="20"/>
      <w:szCs w:val="18"/>
    </w:rPr>
  </w:style>
  <w:style w:type="paragraph" w:styleId="Header">
    <w:name w:val="header"/>
    <w:basedOn w:val="Footer"/>
    <w:semiHidden/>
    <w:rsid w:val="00561253"/>
    <w:pPr>
      <w:pBdr>
        <w:top w:val="none" w:sz="0" w:space="0" w:color="auto"/>
      </w:pBdr>
      <w:tabs>
        <w:tab w:val="clear" w:pos="7085"/>
      </w:tabs>
    </w:pPr>
  </w:style>
  <w:style w:type="paragraph" w:customStyle="1" w:styleId="Heading2Notes">
    <w:name w:val="Heading 2 Notes"/>
    <w:basedOn w:val="Heading2"/>
    <w:link w:val="Heading2NotesChar"/>
    <w:rsid w:val="003E5374"/>
    <w:pPr>
      <w:tabs>
        <w:tab w:val="left" w:pos="1152"/>
      </w:tabs>
      <w:ind w:left="1152" w:hanging="1152"/>
    </w:pPr>
  </w:style>
  <w:style w:type="paragraph" w:customStyle="1" w:styleId="Notes">
    <w:name w:val="Notes"/>
    <w:basedOn w:val="Normal"/>
    <w:link w:val="NotesChar"/>
    <w:qFormat/>
    <w:rsid w:val="00C24EC3"/>
    <w:pPr>
      <w:tabs>
        <w:tab w:val="left" w:pos="454"/>
      </w:tabs>
      <w:spacing w:after="0"/>
      <w:ind w:left="461" w:hanging="461"/>
    </w:pPr>
    <w:rPr>
      <w:rFonts w:ascii="Calibri" w:hAnsi="Calibri"/>
      <w:i/>
      <w:sz w:val="15"/>
    </w:rPr>
  </w:style>
  <w:style w:type="paragraph" w:customStyle="1" w:styleId="OGBullet">
    <w:name w:val="OGBullet"/>
    <w:basedOn w:val="Normal"/>
    <w:semiHidden/>
    <w:rsid w:val="00397F02"/>
    <w:pPr>
      <w:numPr>
        <w:numId w:val="1"/>
      </w:numPr>
    </w:pPr>
    <w:rPr>
      <w:rFonts w:ascii="Calibri" w:hAnsi="Calibri"/>
      <w:sz w:val="20"/>
      <w:szCs w:val="18"/>
    </w:rPr>
  </w:style>
  <w:style w:type="paragraph" w:customStyle="1" w:styleId="OGHeading1">
    <w:name w:val="OGHeading1"/>
    <w:basedOn w:val="Normal"/>
    <w:semiHidden/>
    <w:rsid w:val="00397F02"/>
    <w:rPr>
      <w:rFonts w:ascii="Calibri" w:hAnsi="Calibri"/>
      <w:b/>
      <w:sz w:val="32"/>
      <w:szCs w:val="28"/>
    </w:rPr>
  </w:style>
  <w:style w:type="paragraph" w:customStyle="1" w:styleId="OGHeading2">
    <w:name w:val="OGHeading2"/>
    <w:basedOn w:val="Normal"/>
    <w:link w:val="OGHeading2Char"/>
    <w:semiHidden/>
    <w:rsid w:val="00397F02"/>
    <w:pPr>
      <w:keepNext/>
      <w:spacing w:before="60"/>
    </w:pPr>
    <w:rPr>
      <w:rFonts w:ascii="Calibri" w:hAnsi="Calibri"/>
      <w:b/>
      <w:sz w:val="28"/>
      <w:szCs w:val="24"/>
    </w:rPr>
  </w:style>
  <w:style w:type="character" w:customStyle="1" w:styleId="OGHeading2Char">
    <w:name w:val="OGHeading2 Char"/>
    <w:link w:val="OGHeading2"/>
    <w:semiHidden/>
    <w:rsid w:val="00AE1F2D"/>
    <w:rPr>
      <w:rFonts w:ascii="Calibri" w:hAnsi="Calibri"/>
      <w:b/>
      <w:sz w:val="28"/>
      <w:szCs w:val="24"/>
      <w:lang w:eastAsia="en-US"/>
    </w:rPr>
  </w:style>
  <w:style w:type="paragraph" w:customStyle="1" w:styleId="OGTabHead">
    <w:name w:val="OGTabHead"/>
    <w:basedOn w:val="Normal"/>
    <w:semiHidden/>
    <w:rsid w:val="00882953"/>
    <w:pPr>
      <w:keepNext/>
      <w:keepLines/>
      <w:spacing w:before="30" w:after="30"/>
    </w:pPr>
    <w:rPr>
      <w:rFonts w:ascii="Calibri" w:hAnsi="Calibri"/>
      <w:i/>
      <w:sz w:val="20"/>
      <w:szCs w:val="18"/>
    </w:rPr>
  </w:style>
  <w:style w:type="paragraph" w:customStyle="1" w:styleId="OGTabText">
    <w:name w:val="OGTabText"/>
    <w:basedOn w:val="Normal"/>
    <w:link w:val="OGTabTextChar"/>
    <w:semiHidden/>
    <w:rsid w:val="00882953"/>
    <w:pPr>
      <w:spacing w:before="30" w:after="30"/>
      <w:ind w:left="144"/>
    </w:pPr>
    <w:rPr>
      <w:rFonts w:ascii="Calibri" w:hAnsi="Calibri"/>
      <w:sz w:val="20"/>
      <w:szCs w:val="18"/>
    </w:rPr>
  </w:style>
  <w:style w:type="character" w:customStyle="1" w:styleId="OGTabTextChar">
    <w:name w:val="OGTabText Char"/>
    <w:link w:val="OGTabText"/>
    <w:semiHidden/>
    <w:rsid w:val="00AE1F2D"/>
    <w:rPr>
      <w:rFonts w:ascii="Calibri" w:hAnsi="Calibri"/>
      <w:szCs w:val="18"/>
      <w:lang w:eastAsia="en-US"/>
    </w:rPr>
  </w:style>
  <w:style w:type="paragraph" w:customStyle="1" w:styleId="OGText">
    <w:name w:val="OGText"/>
    <w:basedOn w:val="Normal"/>
    <w:link w:val="OGTextChar"/>
    <w:semiHidden/>
    <w:rsid w:val="00882953"/>
    <w:pPr>
      <w:keepNext/>
      <w:spacing w:before="40"/>
    </w:pPr>
    <w:rPr>
      <w:rFonts w:ascii="Calibri" w:hAnsi="Calibri"/>
      <w:sz w:val="20"/>
      <w:szCs w:val="18"/>
    </w:rPr>
  </w:style>
  <w:style w:type="character" w:customStyle="1" w:styleId="OGTextChar">
    <w:name w:val="OGText Char"/>
    <w:link w:val="OGText"/>
    <w:semiHidden/>
    <w:rsid w:val="00AE1F2D"/>
    <w:rPr>
      <w:rFonts w:ascii="Calibri" w:hAnsi="Calibri"/>
      <w:szCs w:val="18"/>
      <w:lang w:eastAsia="en-US"/>
    </w:rPr>
  </w:style>
  <w:style w:type="character" w:styleId="PageNumber">
    <w:name w:val="page number"/>
    <w:semiHidden/>
    <w:rsid w:val="00185277"/>
    <w:rPr>
      <w:rFonts w:ascii="Calibri" w:hAnsi="Calibri"/>
      <w:sz w:val="20"/>
    </w:rPr>
  </w:style>
  <w:style w:type="paragraph" w:customStyle="1" w:styleId="Source">
    <w:name w:val="Source"/>
    <w:basedOn w:val="Normal"/>
    <w:next w:val="Normal"/>
    <w:link w:val="SourceChar"/>
    <w:uiPriority w:val="2"/>
    <w:qFormat/>
    <w:locked/>
    <w:rsid w:val="00C24EC3"/>
    <w:rPr>
      <w:rFonts w:ascii="Calibri" w:hAnsi="Calibri"/>
      <w:i/>
      <w:sz w:val="15"/>
    </w:rPr>
  </w:style>
  <w:style w:type="paragraph" w:customStyle="1" w:styleId="TableofContentsheading">
    <w:name w:val="Table of Contents heading"/>
    <w:basedOn w:val="ChapterHeading"/>
    <w:next w:val="Normal"/>
    <w:uiPriority w:val="4"/>
  </w:style>
  <w:style w:type="paragraph" w:customStyle="1" w:styleId="Heading2NotesContd">
    <w:name w:val="Heading 2 Notes Cont'd"/>
    <w:basedOn w:val="Heading2Notes"/>
    <w:rsid w:val="002E5C62"/>
  </w:style>
  <w:style w:type="paragraph" w:customStyle="1" w:styleId="HighlightBoxBullet">
    <w:name w:val="Highlight Box Bullet"/>
    <w:basedOn w:val="Normal"/>
    <w:qFormat/>
    <w:rsid w:val="00100FCC"/>
    <w:pPr>
      <w:numPr>
        <w:numId w:val="2"/>
      </w:numPr>
      <w:shd w:val="pct10" w:color="auto" w:fill="FFFFFF"/>
      <w:tabs>
        <w:tab w:val="clear" w:pos="90"/>
        <w:tab w:val="num" w:pos="360"/>
      </w:tabs>
      <w:ind w:left="360" w:right="43"/>
    </w:pPr>
  </w:style>
  <w:style w:type="paragraph" w:styleId="TOC1">
    <w:name w:val="toc 1"/>
    <w:basedOn w:val="Normal"/>
    <w:next w:val="Normal"/>
    <w:uiPriority w:val="39"/>
    <w:rsid w:val="00BF2190"/>
    <w:pPr>
      <w:tabs>
        <w:tab w:val="right" w:leader="dot" w:pos="7830"/>
      </w:tabs>
      <w:spacing w:before="40" w:after="40"/>
      <w:ind w:right="422"/>
    </w:pPr>
    <w:rPr>
      <w:rFonts w:ascii="Calibri" w:hAnsi="Calibri"/>
      <w:b/>
      <w:sz w:val="24"/>
    </w:rPr>
  </w:style>
  <w:style w:type="paragraph" w:styleId="TOC2">
    <w:name w:val="toc 2"/>
    <w:basedOn w:val="Normal"/>
    <w:next w:val="Normal"/>
    <w:uiPriority w:val="39"/>
    <w:rsid w:val="00C72AF4"/>
    <w:pPr>
      <w:tabs>
        <w:tab w:val="right" w:leader="dot" w:pos="7830"/>
      </w:tabs>
      <w:spacing w:after="0"/>
      <w:ind w:left="288" w:right="422"/>
    </w:pPr>
    <w:rPr>
      <w:rFonts w:ascii="Calibri" w:hAnsi="Calibri"/>
      <w:sz w:val="20"/>
    </w:rPr>
  </w:style>
  <w:style w:type="paragraph" w:styleId="TOC3">
    <w:name w:val="toc 3"/>
    <w:basedOn w:val="Normal"/>
    <w:next w:val="Normal"/>
    <w:uiPriority w:val="5"/>
    <w:rsid w:val="00C72AF4"/>
    <w:pPr>
      <w:tabs>
        <w:tab w:val="right" w:leader="dot" w:pos="7830"/>
      </w:tabs>
      <w:spacing w:after="0"/>
      <w:ind w:left="432" w:right="422"/>
    </w:pPr>
    <w:rPr>
      <w:rFonts w:ascii="Calibri" w:hAnsi="Calibri"/>
      <w:i/>
      <w:sz w:val="20"/>
    </w:rPr>
  </w:style>
  <w:style w:type="paragraph" w:styleId="TOC4">
    <w:name w:val="toc 4"/>
    <w:basedOn w:val="TOC1"/>
    <w:next w:val="Normal"/>
    <w:uiPriority w:val="39"/>
    <w:rsid w:val="00910D2B"/>
    <w:pPr>
      <w:spacing w:after="0"/>
      <w:ind w:left="1152" w:hanging="1152"/>
    </w:pPr>
    <w:rPr>
      <w:b w:val="0"/>
      <w:noProof/>
      <w:sz w:val="20"/>
    </w:rPr>
  </w:style>
  <w:style w:type="paragraph" w:styleId="TOC5">
    <w:name w:val="toc 5"/>
    <w:basedOn w:val="TOC1"/>
    <w:next w:val="Normal"/>
    <w:uiPriority w:val="5"/>
    <w:rsid w:val="00910D2B"/>
    <w:rPr>
      <w:b w:val="0"/>
      <w:sz w:val="20"/>
    </w:rPr>
  </w:style>
  <w:style w:type="paragraph" w:customStyle="1" w:styleId="Tableheadingcontinued">
    <w:name w:val="Table heading continued"/>
    <w:basedOn w:val="Tableheading"/>
    <w:uiPriority w:val="2"/>
    <w:rsid w:val="002E5C62"/>
  </w:style>
  <w:style w:type="paragraph" w:customStyle="1" w:styleId="Tabletextcentred">
    <w:name w:val="Table text centred"/>
    <w:basedOn w:val="Tabletext"/>
    <w:uiPriority w:val="2"/>
    <w:rsid w:val="00784F64"/>
    <w:pPr>
      <w:ind w:left="0" w:firstLine="0"/>
      <w:jc w:val="center"/>
    </w:pPr>
  </w:style>
  <w:style w:type="paragraph" w:customStyle="1" w:styleId="Heading3Numbering">
    <w:name w:val="Heading 3 Numbering"/>
    <w:basedOn w:val="Heading3"/>
    <w:link w:val="Heading3NumberingChar"/>
    <w:rsid w:val="004C767D"/>
    <w:pPr>
      <w:numPr>
        <w:numId w:val="3"/>
      </w:numPr>
      <w:tabs>
        <w:tab w:val="clear" w:pos="720"/>
        <w:tab w:val="left" w:pos="504"/>
      </w:tabs>
      <w:ind w:left="504" w:hanging="504"/>
    </w:pPr>
  </w:style>
  <w:style w:type="paragraph" w:customStyle="1" w:styleId="Heading5a">
    <w:name w:val="Heading 5a"/>
    <w:basedOn w:val="Heading5"/>
    <w:rsid w:val="00641E21"/>
    <w:pPr>
      <w:tabs>
        <w:tab w:val="clear" w:pos="504"/>
      </w:tabs>
    </w:pPr>
    <w:rPr>
      <w:b w:val="0"/>
      <w:i/>
      <w:sz w:val="21"/>
    </w:rPr>
  </w:style>
  <w:style w:type="character" w:customStyle="1" w:styleId="OGTabBulletChar">
    <w:name w:val="OGTabBullet Char"/>
    <w:link w:val="OGTabBullet"/>
    <w:semiHidden/>
    <w:rsid w:val="00AE1F2D"/>
    <w:rPr>
      <w:rFonts w:ascii="Calibri" w:hAnsi="Calibri"/>
      <w:szCs w:val="18"/>
    </w:rPr>
  </w:style>
  <w:style w:type="paragraph" w:customStyle="1" w:styleId="OGTabBullet">
    <w:name w:val="OGTabBullet"/>
    <w:basedOn w:val="OGBullet"/>
    <w:link w:val="OGTabBulletChar"/>
    <w:semiHidden/>
    <w:rsid w:val="00667796"/>
    <w:pPr>
      <w:tabs>
        <w:tab w:val="clear" w:pos="360"/>
        <w:tab w:val="left" w:pos="604"/>
      </w:tabs>
      <w:spacing w:before="30" w:after="30"/>
      <w:ind w:left="605"/>
    </w:pPr>
    <w:rPr>
      <w:lang w:eastAsia="en-AU"/>
    </w:rPr>
  </w:style>
  <w:style w:type="paragraph" w:customStyle="1" w:styleId="Heading2NotesQtrly">
    <w:name w:val="Heading 2 Notes Qtrly"/>
    <w:basedOn w:val="Heading2Notes"/>
    <w:rsid w:val="005142C4"/>
  </w:style>
  <w:style w:type="paragraph" w:customStyle="1" w:styleId="OGUoM">
    <w:name w:val="OGUoM"/>
    <w:basedOn w:val="Tabletextcentred"/>
    <w:semiHidden/>
    <w:rsid w:val="00882953"/>
    <w:pPr>
      <w:spacing w:before="30" w:after="30"/>
    </w:pPr>
  </w:style>
  <w:style w:type="paragraph" w:customStyle="1" w:styleId="Tabletextheadingcentred">
    <w:name w:val="Table text heading centred"/>
    <w:basedOn w:val="Tabletextheading"/>
    <w:uiPriority w:val="2"/>
    <w:rsid w:val="000B1B53"/>
    <w:pPr>
      <w:jc w:val="center"/>
    </w:pPr>
  </w:style>
  <w:style w:type="paragraph" w:customStyle="1" w:styleId="DashText">
    <w:name w:val="Dash Text"/>
    <w:basedOn w:val="Normal"/>
    <w:link w:val="DashTextChar"/>
    <w:uiPriority w:val="2"/>
    <w:qFormat/>
    <w:rsid w:val="00CB74FE"/>
    <w:pPr>
      <w:numPr>
        <w:ilvl w:val="1"/>
        <w:numId w:val="4"/>
      </w:numPr>
    </w:pPr>
  </w:style>
  <w:style w:type="paragraph" w:customStyle="1" w:styleId="OGTableofFigures">
    <w:name w:val="OGTable of Figures"/>
    <w:basedOn w:val="TableofFigures"/>
    <w:semiHidden/>
    <w:rsid w:val="00882953"/>
    <w:pPr>
      <w:spacing w:before="30" w:after="30"/>
    </w:pPr>
  </w:style>
  <w:style w:type="paragraph" w:customStyle="1" w:styleId="NotesIndent">
    <w:name w:val="NotesIndent"/>
    <w:basedOn w:val="Notes"/>
    <w:uiPriority w:val="2"/>
    <w:rsid w:val="00507425"/>
    <w:pPr>
      <w:tabs>
        <w:tab w:val="clear" w:pos="454"/>
      </w:tabs>
      <w:ind w:left="915"/>
    </w:pPr>
  </w:style>
  <w:style w:type="paragraph" w:customStyle="1" w:styleId="NotesDash">
    <w:name w:val="NotesDash"/>
    <w:basedOn w:val="NotesIndent"/>
    <w:rsid w:val="0000414E"/>
    <w:pPr>
      <w:numPr>
        <w:numId w:val="5"/>
      </w:numPr>
      <w:tabs>
        <w:tab w:val="clear" w:pos="922"/>
        <w:tab w:val="num" w:pos="720"/>
      </w:tabs>
      <w:ind w:left="720" w:hanging="259"/>
    </w:pPr>
  </w:style>
  <w:style w:type="paragraph" w:customStyle="1" w:styleId="VAGOText">
    <w:name w:val="VAGOText"/>
    <w:basedOn w:val="Normal"/>
    <w:semiHidden/>
    <w:rsid w:val="00C14A3C"/>
    <w:pPr>
      <w:spacing w:before="120"/>
    </w:pPr>
    <w:rPr>
      <w:rFonts w:ascii="Arial" w:hAnsi="Arial" w:cs="Arial"/>
      <w:sz w:val="16"/>
      <w:szCs w:val="16"/>
    </w:rPr>
  </w:style>
  <w:style w:type="paragraph" w:customStyle="1" w:styleId="VAGOHeading2">
    <w:name w:val="VAGOHeading2"/>
    <w:basedOn w:val="Normal"/>
    <w:semiHidden/>
    <w:rsid w:val="00853954"/>
    <w:rPr>
      <w:rFonts w:ascii="Arial" w:hAnsi="Arial" w:cs="Arial"/>
      <w:b/>
      <w:sz w:val="16"/>
      <w:szCs w:val="16"/>
    </w:rPr>
  </w:style>
  <w:style w:type="paragraph" w:customStyle="1" w:styleId="VAGOHeading1">
    <w:name w:val="VAGOHeading1"/>
    <w:basedOn w:val="Normal"/>
    <w:semiHidden/>
    <w:rsid w:val="00B72182"/>
    <w:pPr>
      <w:jc w:val="center"/>
    </w:pPr>
    <w:rPr>
      <w:rFonts w:ascii="Arial" w:hAnsi="Arial" w:cs="Arial"/>
      <w:b/>
      <w:sz w:val="17"/>
      <w:szCs w:val="17"/>
    </w:rPr>
  </w:style>
  <w:style w:type="paragraph" w:customStyle="1" w:styleId="VAGOHeading3">
    <w:name w:val="VAGOHeading3"/>
    <w:basedOn w:val="VAGOHeading2"/>
    <w:semiHidden/>
    <w:rsid w:val="00853954"/>
    <w:rPr>
      <w:b w:val="0"/>
      <w:i/>
    </w:rPr>
  </w:style>
  <w:style w:type="paragraph" w:customStyle="1" w:styleId="VAGOBullet">
    <w:name w:val="VAGOBullet"/>
    <w:basedOn w:val="VAGOText"/>
    <w:semiHidden/>
    <w:rsid w:val="00C14A3C"/>
    <w:pPr>
      <w:numPr>
        <w:numId w:val="6"/>
      </w:numPr>
      <w:ind w:right="-51"/>
    </w:pPr>
    <w:rPr>
      <w:iCs/>
    </w:rPr>
  </w:style>
  <w:style w:type="paragraph" w:customStyle="1" w:styleId="Tabletextheadingleft">
    <w:name w:val="Table text heading left"/>
    <w:basedOn w:val="Tabletextheading"/>
    <w:uiPriority w:val="2"/>
    <w:rsid w:val="00CF5FE1"/>
    <w:pPr>
      <w:jc w:val="left"/>
    </w:pPr>
  </w:style>
  <w:style w:type="paragraph" w:styleId="NormalIndent">
    <w:name w:val="Normal Indent"/>
    <w:basedOn w:val="Normal"/>
    <w:semiHidden/>
    <w:locked/>
    <w:rsid w:val="00A831CC"/>
    <w:pPr>
      <w:ind w:left="360"/>
    </w:pPr>
  </w:style>
  <w:style w:type="paragraph" w:customStyle="1" w:styleId="Tabletextindent">
    <w:name w:val="Table text indent"/>
    <w:basedOn w:val="Tabletext"/>
    <w:uiPriority w:val="2"/>
    <w:rsid w:val="00E24DAF"/>
    <w:pPr>
      <w:ind w:left="360" w:firstLine="0"/>
    </w:pPr>
  </w:style>
  <w:style w:type="paragraph" w:customStyle="1" w:styleId="Tabletextindent2">
    <w:name w:val="Table text indent 2"/>
    <w:basedOn w:val="Tabletextindent"/>
    <w:uiPriority w:val="2"/>
    <w:rsid w:val="00E24DAF"/>
    <w:pPr>
      <w:ind w:left="720"/>
    </w:pPr>
  </w:style>
  <w:style w:type="paragraph" w:customStyle="1" w:styleId="Heading3NumberingBP4">
    <w:name w:val="Heading 3 Numbering BP4"/>
    <w:basedOn w:val="Heading3Numbering"/>
    <w:semiHidden/>
    <w:rsid w:val="0046648A"/>
  </w:style>
  <w:style w:type="paragraph" w:customStyle="1" w:styleId="Chartpara">
    <w:name w:val="Chart para"/>
    <w:basedOn w:val="Normal"/>
    <w:semiHidden/>
    <w:rsid w:val="00342ECD"/>
    <w:pPr>
      <w:spacing w:after="0"/>
    </w:pPr>
  </w:style>
  <w:style w:type="paragraph" w:customStyle="1" w:styleId="OGTabColCentred">
    <w:name w:val="OGTabColCentred"/>
    <w:basedOn w:val="OGUoM"/>
    <w:semiHidden/>
    <w:rsid w:val="00061F50"/>
    <w:rPr>
      <w:b/>
      <w:lang w:eastAsia="en-AU"/>
    </w:rPr>
  </w:style>
  <w:style w:type="paragraph" w:customStyle="1" w:styleId="OGTabColRight">
    <w:name w:val="OGTabColRight"/>
    <w:basedOn w:val="OGTableofFigures"/>
    <w:semiHidden/>
    <w:rsid w:val="00A14E0E"/>
    <w:rPr>
      <w:b/>
    </w:rPr>
  </w:style>
  <w:style w:type="paragraph" w:customStyle="1" w:styleId="OGTabColLeft">
    <w:name w:val="OGTabColLeft"/>
    <w:basedOn w:val="OGTabColRight"/>
    <w:semiHidden/>
    <w:rsid w:val="00A14E0E"/>
    <w:pPr>
      <w:jc w:val="left"/>
    </w:pPr>
    <w:rPr>
      <w:lang w:eastAsia="en-AU"/>
    </w:rPr>
  </w:style>
  <w:style w:type="paragraph" w:customStyle="1" w:styleId="FrontPage">
    <w:name w:val="Front Page"/>
    <w:basedOn w:val="Normal"/>
    <w:semiHidden/>
    <w:rsid w:val="00867B50"/>
    <w:pPr>
      <w:jc w:val="center"/>
    </w:pPr>
    <w:rPr>
      <w:rFonts w:ascii="Calibri" w:hAnsi="Calibri"/>
      <w:b/>
      <w:sz w:val="52"/>
      <w:szCs w:val="52"/>
    </w:rPr>
  </w:style>
  <w:style w:type="paragraph" w:customStyle="1" w:styleId="FrontPage2">
    <w:name w:val="Front Page 2"/>
    <w:basedOn w:val="FrontPage"/>
    <w:semiHidden/>
    <w:rsid w:val="00867B50"/>
    <w:pPr>
      <w:pBdr>
        <w:bottom w:val="single" w:sz="12" w:space="1" w:color="auto"/>
      </w:pBdr>
    </w:pPr>
  </w:style>
  <w:style w:type="paragraph" w:customStyle="1" w:styleId="FrontPage3">
    <w:name w:val="Front Page 3"/>
    <w:basedOn w:val="Normal"/>
    <w:semiHidden/>
    <w:rsid w:val="00867B50"/>
    <w:pPr>
      <w:jc w:val="center"/>
    </w:pPr>
    <w:rPr>
      <w:rFonts w:ascii="Calibri" w:hAnsi="Calibri"/>
      <w:sz w:val="28"/>
      <w:szCs w:val="28"/>
    </w:rPr>
  </w:style>
  <w:style w:type="paragraph" w:customStyle="1" w:styleId="FrontPageMin">
    <w:name w:val="Front Page Min"/>
    <w:basedOn w:val="Normal"/>
    <w:semiHidden/>
    <w:rsid w:val="00867B50"/>
    <w:pPr>
      <w:jc w:val="center"/>
    </w:pPr>
    <w:rPr>
      <w:rFonts w:ascii="Calibri" w:hAnsi="Calibri"/>
      <w:sz w:val="36"/>
      <w:szCs w:val="36"/>
    </w:rPr>
  </w:style>
  <w:style w:type="paragraph" w:customStyle="1" w:styleId="FrontPageHon">
    <w:name w:val="Front Page Hon"/>
    <w:basedOn w:val="Normal"/>
    <w:semiHidden/>
    <w:rsid w:val="00867B50"/>
    <w:pPr>
      <w:jc w:val="center"/>
    </w:pPr>
    <w:rPr>
      <w:rFonts w:ascii="Calibri" w:hAnsi="Calibri"/>
      <w:sz w:val="30"/>
      <w:szCs w:val="30"/>
    </w:rPr>
  </w:style>
  <w:style w:type="paragraph" w:customStyle="1" w:styleId="FrontPageBP">
    <w:name w:val="Front Page BP"/>
    <w:basedOn w:val="Normal"/>
    <w:semiHidden/>
    <w:rsid w:val="00867B50"/>
    <w:pPr>
      <w:jc w:val="center"/>
    </w:pPr>
    <w:rPr>
      <w:rFonts w:ascii="Calibri" w:hAnsi="Calibri"/>
      <w:b/>
      <w:sz w:val="32"/>
      <w:szCs w:val="32"/>
    </w:rPr>
  </w:style>
  <w:style w:type="paragraph" w:styleId="Index1">
    <w:name w:val="index 1"/>
    <w:basedOn w:val="Normal"/>
    <w:next w:val="Normal"/>
    <w:autoRedefine/>
    <w:semiHidden/>
    <w:rsid w:val="001C1EAD"/>
    <w:pPr>
      <w:spacing w:after="0"/>
      <w:ind w:left="220" w:hanging="220"/>
    </w:pPr>
    <w:rPr>
      <w:sz w:val="18"/>
      <w:szCs w:val="18"/>
    </w:rPr>
  </w:style>
  <w:style w:type="paragraph" w:customStyle="1" w:styleId="OGNotes">
    <w:name w:val="OGNotes"/>
    <w:basedOn w:val="NotesIndent"/>
    <w:semiHidden/>
    <w:rsid w:val="00C24EC3"/>
    <w:pPr>
      <w:spacing w:after="60"/>
      <w:ind w:left="360" w:right="115" w:firstLine="0"/>
    </w:pPr>
    <w:rPr>
      <w:lang w:eastAsia="en-AU"/>
    </w:rPr>
  </w:style>
  <w:style w:type="paragraph" w:customStyle="1" w:styleId="OGNotesIndent">
    <w:name w:val="OGNotesIndent"/>
    <w:basedOn w:val="OGNotes"/>
    <w:semiHidden/>
    <w:rsid w:val="001C0D0F"/>
    <w:pPr>
      <w:ind w:left="720" w:hanging="360"/>
    </w:pPr>
  </w:style>
  <w:style w:type="paragraph" w:styleId="Index2">
    <w:name w:val="index 2"/>
    <w:basedOn w:val="Normal"/>
    <w:next w:val="Normal"/>
    <w:autoRedefine/>
    <w:semiHidden/>
    <w:rsid w:val="001C1EAD"/>
    <w:pPr>
      <w:spacing w:after="0"/>
      <w:ind w:left="440" w:hanging="220"/>
    </w:pPr>
    <w:rPr>
      <w:sz w:val="18"/>
      <w:szCs w:val="18"/>
    </w:rPr>
  </w:style>
  <w:style w:type="paragraph" w:styleId="IndexHeading">
    <w:name w:val="index heading"/>
    <w:basedOn w:val="Normal"/>
    <w:next w:val="Index1"/>
    <w:semiHidden/>
    <w:rsid w:val="001C1EAD"/>
    <w:pPr>
      <w:spacing w:before="240"/>
      <w:jc w:val="center"/>
    </w:pPr>
    <w:rPr>
      <w:b/>
      <w:bCs/>
      <w:sz w:val="26"/>
      <w:szCs w:val="26"/>
    </w:rPr>
  </w:style>
  <w:style w:type="paragraph" w:customStyle="1" w:styleId="HighlightBoxHeading">
    <w:name w:val="Highlight Box Heading"/>
    <w:basedOn w:val="HighlightBoxText"/>
    <w:qFormat/>
    <w:rsid w:val="0000414E"/>
    <w:rPr>
      <w:rFonts w:ascii="Calibri" w:hAnsi="Calibri"/>
      <w:b/>
      <w:sz w:val="21"/>
    </w:rPr>
  </w:style>
  <w:style w:type="paragraph" w:customStyle="1" w:styleId="HighlightBoxText">
    <w:name w:val="Highlight Box Text"/>
    <w:basedOn w:val="HighlightBoxBullet"/>
    <w:qFormat/>
    <w:rsid w:val="00C24EC3"/>
    <w:pPr>
      <w:numPr>
        <w:numId w:val="0"/>
      </w:numPr>
    </w:pPr>
  </w:style>
  <w:style w:type="paragraph" w:customStyle="1" w:styleId="TableofContentscontinued">
    <w:name w:val="Table of Contents continued"/>
    <w:basedOn w:val="Normal"/>
    <w:uiPriority w:val="4"/>
    <w:rsid w:val="000221B3"/>
    <w:pPr>
      <w:keepNext/>
      <w:tabs>
        <w:tab w:val="left" w:pos="1152"/>
      </w:tabs>
      <w:spacing w:before="240"/>
      <w:ind w:left="1152" w:hanging="1152"/>
      <w:outlineLvl w:val="1"/>
    </w:pPr>
    <w:rPr>
      <w:rFonts w:ascii="Calibri" w:hAnsi="Calibri"/>
      <w:b/>
      <w:kern w:val="28"/>
      <w:sz w:val="26"/>
      <w:szCs w:val="22"/>
    </w:rPr>
  </w:style>
  <w:style w:type="character" w:customStyle="1" w:styleId="millionChar">
    <w:name w:val="$million Char"/>
    <w:link w:val="million"/>
    <w:rsid w:val="00AE1F2D"/>
    <w:rPr>
      <w:rFonts w:ascii="Calibri" w:hAnsi="Calibri"/>
      <w:i/>
      <w:sz w:val="18"/>
      <w:szCs w:val="18"/>
      <w:lang w:eastAsia="en-US"/>
    </w:rPr>
  </w:style>
  <w:style w:type="character" w:customStyle="1" w:styleId="TabletextheadingChar">
    <w:name w:val="Table text heading Char"/>
    <w:link w:val="Tabletextheading"/>
    <w:uiPriority w:val="2"/>
    <w:locked/>
    <w:rsid w:val="00746C6E"/>
    <w:rPr>
      <w:rFonts w:ascii="Calibri" w:hAnsi="Calibri"/>
      <w:i/>
      <w:szCs w:val="18"/>
      <w:lang w:eastAsia="en-US"/>
    </w:rPr>
  </w:style>
  <w:style w:type="character" w:customStyle="1" w:styleId="SourceChar">
    <w:name w:val="Source Char"/>
    <w:link w:val="Source"/>
    <w:uiPriority w:val="2"/>
    <w:locked/>
    <w:rsid w:val="00746C6E"/>
    <w:rPr>
      <w:rFonts w:ascii="Calibri" w:hAnsi="Calibri"/>
      <w:i/>
      <w:sz w:val="15"/>
      <w:lang w:eastAsia="en-US"/>
    </w:rPr>
  </w:style>
  <w:style w:type="table" w:customStyle="1" w:styleId="TableDTFfinancialcompact">
    <w:name w:val="Table DTF financial (compact)"/>
    <w:basedOn w:val="TableNormal"/>
    <w:uiPriority w:val="99"/>
    <w:rsid w:val="00B37EF1"/>
    <w:pPr>
      <w:spacing w:before="20" w:after="20"/>
      <w:ind w:left="170" w:hanging="170"/>
      <w:jc w:val="right"/>
    </w:pPr>
    <w:rPr>
      <w:rFonts w:asciiTheme="minorHAnsi" w:eastAsiaTheme="minorHAnsi" w:hAnsiTheme="minorHAnsi" w:cstheme="minorBidi"/>
      <w:spacing w:val="2"/>
      <w:sz w:val="14"/>
      <w:szCs w:val="21"/>
      <w:lang w:eastAsia="en-US"/>
    </w:rPr>
    <w:tblPr>
      <w:tblInd w:w="28" w:type="dxa"/>
      <w:tblBorders>
        <w:bottom w:val="single" w:sz="6" w:space="0" w:color="auto"/>
      </w:tblBorders>
      <w:tblCellMar>
        <w:left w:w="57" w:type="dxa"/>
        <w:right w:w="57" w:type="dxa"/>
      </w:tblCellMar>
    </w:tblPr>
    <w:trPr>
      <w:cantSplit/>
    </w:trPr>
    <w:tblStylePr w:type="firstRow">
      <w:pPr>
        <w:keepNext/>
        <w:keepLines/>
        <w:widowControl/>
        <w:wordWrap/>
        <w:jc w:val="right"/>
      </w:pPr>
      <w:rPr>
        <w:i/>
      </w:rPr>
      <w:tblPr/>
      <w:trPr>
        <w:tblHeader/>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ind w:leftChars="0" w:left="170" w:rightChars="0" w:right="0" w:firstLineChars="0" w:hanging="170"/>
        <w:jc w:val="left"/>
      </w:pPr>
    </w:tblStylePr>
  </w:style>
  <w:style w:type="table" w:customStyle="1" w:styleId="TableDTFGeneral">
    <w:name w:val="Table DTF General"/>
    <w:basedOn w:val="TableNormal"/>
    <w:uiPriority w:val="99"/>
    <w:rsid w:val="00B37EF1"/>
    <w:pPr>
      <w:spacing w:before="20" w:after="20" w:line="264" w:lineRule="auto"/>
      <w:ind w:left="170" w:hanging="170"/>
    </w:pPr>
    <w:rPr>
      <w:rFonts w:asciiTheme="minorHAnsi" w:eastAsiaTheme="minorHAnsi" w:hAnsiTheme="minorHAnsi" w:cstheme="minorBidi"/>
      <w:spacing w:val="4"/>
      <w:sz w:val="17"/>
      <w:szCs w:val="21"/>
      <w:lang w:eastAsia="en-US"/>
    </w:rPr>
    <w:tblPr>
      <w:tblInd w:w="28" w:type="dxa"/>
      <w:tblBorders>
        <w:bottom w:val="single" w:sz="6" w:space="0" w:color="auto"/>
      </w:tblBorders>
      <w:tblCellMar>
        <w:left w:w="57" w:type="dxa"/>
        <w:right w:w="57" w:type="dxa"/>
      </w:tblCellMar>
    </w:tblPr>
    <w:trPr>
      <w:cantSplit/>
    </w:trPr>
    <w:tblStylePr w:type="firstRow">
      <w:rPr>
        <w:i/>
      </w:rPr>
      <w:tblPr/>
      <w:tcPr>
        <w:shd w:val="clear" w:color="auto" w:fill="000000" w:themeFill="text1"/>
      </w:tcPr>
    </w:tblStylePr>
    <w:tblStylePr w:type="lastRow">
      <w:tblPr/>
      <w:tcPr>
        <w:tcBorders>
          <w:top w:val="nil"/>
          <w:left w:val="nil"/>
          <w:bottom w:val="single" w:sz="12" w:space="0" w:color="000000" w:themeColor="text1"/>
          <w:right w:val="nil"/>
          <w:insideH w:val="nil"/>
          <w:insideV w:val="nil"/>
          <w:tl2br w:val="nil"/>
          <w:tr2bl w:val="nil"/>
        </w:tcBorders>
      </w:tcPr>
    </w:tblStylePr>
    <w:tblStylePr w:type="firstCol">
      <w:pPr>
        <w:wordWrap/>
        <w:ind w:leftChars="0" w:left="170" w:rightChars="0" w:right="0" w:firstLineChars="0" w:hanging="170"/>
      </w:pPr>
    </w:tblStylePr>
  </w:style>
  <w:style w:type="character" w:customStyle="1" w:styleId="Heading6Char">
    <w:name w:val="Heading 6 Char"/>
    <w:basedOn w:val="DefaultParagraphFont"/>
    <w:link w:val="Heading6"/>
    <w:rsid w:val="00273B20"/>
    <w:rPr>
      <w:rFonts w:ascii="Calibri" w:eastAsiaTheme="minorEastAsia" w:hAnsi="Calibri" w:cs="Calibri"/>
      <w:b/>
      <w:bCs/>
      <w:color w:val="000000"/>
      <w:sz w:val="19"/>
      <w:szCs w:val="19"/>
    </w:rPr>
  </w:style>
  <w:style w:type="character" w:customStyle="1" w:styleId="Heading7Char">
    <w:name w:val="Heading 7 Char"/>
    <w:basedOn w:val="DefaultParagraphFont"/>
    <w:link w:val="Heading7"/>
    <w:rsid w:val="00273B20"/>
    <w:rPr>
      <w:rFonts w:ascii="Calibri" w:eastAsiaTheme="minorEastAsia" w:hAnsi="Calibri" w:cs="Calibri"/>
      <w:b/>
      <w:bCs/>
      <w:color w:val="000000"/>
      <w:sz w:val="18"/>
      <w:szCs w:val="19"/>
    </w:rPr>
  </w:style>
  <w:style w:type="character" w:customStyle="1" w:styleId="Heading1Char">
    <w:name w:val="Heading 1 Char"/>
    <w:basedOn w:val="DefaultParagraphFont"/>
    <w:link w:val="Heading1"/>
    <w:rsid w:val="00273B20"/>
    <w:rPr>
      <w:rFonts w:ascii="Calibri" w:hAnsi="Calibri"/>
      <w:b/>
      <w:caps/>
      <w:sz w:val="26"/>
      <w:szCs w:val="22"/>
      <w:lang w:eastAsia="en-US"/>
    </w:rPr>
  </w:style>
  <w:style w:type="character" w:customStyle="1" w:styleId="TableheadingChar">
    <w:name w:val="Table heading Char"/>
    <w:link w:val="Tableheading"/>
    <w:rsid w:val="00273B20"/>
    <w:rPr>
      <w:rFonts w:ascii="Calibri" w:hAnsi="Calibri"/>
      <w:b/>
      <w:sz w:val="22"/>
      <w:lang w:eastAsia="en-US"/>
    </w:rPr>
  </w:style>
  <w:style w:type="character" w:customStyle="1" w:styleId="Heading2NotesChar">
    <w:name w:val="Heading 2 Notes Char"/>
    <w:link w:val="Heading2Notes"/>
    <w:rsid w:val="00273B20"/>
    <w:rPr>
      <w:rFonts w:ascii="Calibri" w:hAnsi="Calibri"/>
      <w:b/>
      <w:kern w:val="28"/>
      <w:sz w:val="26"/>
      <w:szCs w:val="22"/>
      <w:lang w:eastAsia="en-US"/>
    </w:rPr>
  </w:style>
  <w:style w:type="character" w:styleId="Hyperlink">
    <w:name w:val="Hyperlink"/>
    <w:uiPriority w:val="99"/>
    <w:unhideWhenUsed/>
    <w:locked/>
    <w:rsid w:val="00273B20"/>
    <w:rPr>
      <w:color w:val="0000FF"/>
      <w:u w:val="single"/>
    </w:rPr>
  </w:style>
  <w:style w:type="paragraph" w:styleId="ListParagraph">
    <w:name w:val="List Paragraph"/>
    <w:basedOn w:val="Normal"/>
    <w:uiPriority w:val="34"/>
    <w:qFormat/>
    <w:rsid w:val="00273B20"/>
    <w:pPr>
      <w:ind w:left="720"/>
      <w:contextualSpacing/>
    </w:pPr>
  </w:style>
  <w:style w:type="character" w:customStyle="1" w:styleId="NotesChar">
    <w:name w:val="Notes Char"/>
    <w:link w:val="Notes"/>
    <w:locked/>
    <w:rsid w:val="00273B20"/>
    <w:rPr>
      <w:rFonts w:ascii="Calibri" w:hAnsi="Calibri"/>
      <w:i/>
      <w:sz w:val="15"/>
      <w:lang w:eastAsia="en-US"/>
    </w:rPr>
  </w:style>
  <w:style w:type="character" w:customStyle="1" w:styleId="TabletextChar">
    <w:name w:val="Table text Char"/>
    <w:link w:val="Tabletext"/>
    <w:uiPriority w:val="2"/>
    <w:rsid w:val="00273B20"/>
    <w:rPr>
      <w:rFonts w:ascii="Calibri" w:hAnsi="Calibri"/>
      <w:sz w:val="19"/>
      <w:szCs w:val="18"/>
      <w:lang w:eastAsia="en-US"/>
    </w:rPr>
  </w:style>
  <w:style w:type="paragraph" w:styleId="BodyText">
    <w:name w:val="Body Text"/>
    <w:basedOn w:val="Normal"/>
    <w:link w:val="BodyTextChar"/>
    <w:locked/>
    <w:rsid w:val="00273B20"/>
  </w:style>
  <w:style w:type="character" w:customStyle="1" w:styleId="BodyTextChar">
    <w:name w:val="Body Text Char"/>
    <w:basedOn w:val="DefaultParagraphFont"/>
    <w:link w:val="BodyText"/>
    <w:rsid w:val="00273B20"/>
    <w:rPr>
      <w:rFonts w:ascii="Garamond" w:hAnsi="Garamond"/>
      <w:sz w:val="22"/>
      <w:lang w:eastAsia="en-US"/>
    </w:rPr>
  </w:style>
  <w:style w:type="character" w:customStyle="1" w:styleId="BulletTextChar">
    <w:name w:val="Bullet Text Char"/>
    <w:link w:val="BulletText"/>
    <w:uiPriority w:val="2"/>
    <w:locked/>
    <w:rsid w:val="00273B20"/>
    <w:rPr>
      <w:rFonts w:ascii="Garamond" w:hAnsi="Garamond"/>
      <w:sz w:val="22"/>
      <w:lang w:eastAsia="en-US"/>
    </w:rPr>
  </w:style>
  <w:style w:type="character" w:customStyle="1" w:styleId="Heading3NumberingChar">
    <w:name w:val="Heading 3 Numbering Char"/>
    <w:link w:val="Heading3Numbering"/>
    <w:rsid w:val="00273B20"/>
    <w:rPr>
      <w:rFonts w:ascii="Calibri" w:hAnsi="Calibri"/>
      <w:b/>
      <w:i/>
      <w:kern w:val="28"/>
      <w:sz w:val="24"/>
      <w:szCs w:val="22"/>
      <w:lang w:eastAsia="en-US"/>
    </w:rPr>
  </w:style>
  <w:style w:type="paragraph" w:customStyle="1" w:styleId="ControlledEntitiesHeading1">
    <w:name w:val="ControlledEntitiesHeading1"/>
    <w:qFormat/>
    <w:rsid w:val="00273B20"/>
    <w:pPr>
      <w:shd w:val="clear" w:color="auto" w:fill="000000" w:themeFill="text1"/>
      <w:jc w:val="center"/>
    </w:pPr>
    <w:rPr>
      <w:rFonts w:asciiTheme="minorHAnsi" w:hAnsiTheme="minorHAnsi" w:cstheme="minorHAnsi"/>
      <w:i/>
      <w:color w:val="FFFFFF" w:themeColor="background1"/>
      <w:sz w:val="22"/>
      <w:szCs w:val="22"/>
    </w:rPr>
  </w:style>
  <w:style w:type="paragraph" w:customStyle="1" w:styleId="ControlledEntitiesHeading2">
    <w:name w:val="ControlledEntitiesHeading2"/>
    <w:qFormat/>
    <w:rsid w:val="00273B20"/>
    <w:pPr>
      <w:shd w:val="clear" w:color="auto" w:fill="D9D9D9" w:themeFill="background1" w:themeFillShade="D9"/>
    </w:pPr>
    <w:rPr>
      <w:rFonts w:ascii="Calibri" w:hAnsi="Calibri"/>
      <w:b/>
      <w:bCs/>
      <w:color w:val="000000" w:themeColor="text1"/>
      <w:sz w:val="18"/>
      <w:szCs w:val="18"/>
    </w:rPr>
  </w:style>
  <w:style w:type="paragraph" w:customStyle="1" w:styleId="Smallline">
    <w:name w:val="Small line"/>
    <w:basedOn w:val="Normal"/>
    <w:qFormat/>
    <w:rsid w:val="00273B20"/>
    <w:pPr>
      <w:shd w:val="clear" w:color="auto" w:fill="FFFFFF" w:themeFill="background1"/>
      <w:spacing w:after="0"/>
    </w:pPr>
    <w:rPr>
      <w:rFonts w:ascii="Calibri" w:hAnsi="Calibri"/>
      <w:b/>
      <w:bCs/>
      <w:color w:val="000000" w:themeColor="text1"/>
      <w:sz w:val="4"/>
      <w:szCs w:val="18"/>
      <w:shd w:val="clear" w:color="auto" w:fill="FFFFFF" w:themeFill="background1"/>
      <w:lang w:eastAsia="en-AU"/>
    </w:rPr>
  </w:style>
  <w:style w:type="paragraph" w:customStyle="1" w:styleId="ControlledEntitiesText">
    <w:name w:val="ControlledEntitiesText"/>
    <w:qFormat/>
    <w:rsid w:val="00273B20"/>
    <w:pPr>
      <w:spacing w:before="20" w:after="20"/>
    </w:pPr>
    <w:rPr>
      <w:rFonts w:ascii="Calibri" w:hAnsi="Calibri"/>
      <w:color w:val="000000" w:themeColor="text1"/>
      <w:sz w:val="18"/>
      <w:szCs w:val="18"/>
    </w:rPr>
  </w:style>
  <w:style w:type="paragraph" w:customStyle="1" w:styleId="ControlledEntitiesDash">
    <w:name w:val="ControlledEntitiesDash"/>
    <w:qFormat/>
    <w:rsid w:val="00273B20"/>
    <w:pPr>
      <w:numPr>
        <w:numId w:val="7"/>
      </w:numPr>
      <w:spacing w:before="20" w:after="20"/>
      <w:ind w:left="216" w:hanging="216"/>
      <w:contextualSpacing/>
    </w:pPr>
    <w:rPr>
      <w:rFonts w:ascii="Calibri" w:hAnsi="Calibri"/>
      <w:iCs/>
      <w:color w:val="000000" w:themeColor="text1"/>
      <w:sz w:val="18"/>
      <w:szCs w:val="18"/>
    </w:rPr>
  </w:style>
  <w:style w:type="paragraph" w:styleId="BalloonText">
    <w:name w:val="Balloon Text"/>
    <w:basedOn w:val="Normal"/>
    <w:link w:val="BalloonTextChar"/>
    <w:semiHidden/>
    <w:locked/>
    <w:rsid w:val="00273B20"/>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273B20"/>
    <w:rPr>
      <w:rFonts w:ascii="Tahoma" w:hAnsi="Tahoma" w:cs="Tahoma"/>
      <w:sz w:val="16"/>
      <w:szCs w:val="16"/>
      <w:lang w:eastAsia="en-US"/>
    </w:rPr>
  </w:style>
  <w:style w:type="paragraph" w:styleId="BodyText2">
    <w:name w:val="Body Text 2"/>
    <w:basedOn w:val="Normal"/>
    <w:link w:val="BodyText2Char"/>
    <w:semiHidden/>
    <w:locked/>
    <w:rsid w:val="00273B20"/>
    <w:rPr>
      <w:sz w:val="21"/>
      <w:szCs w:val="21"/>
      <w:lang w:eastAsia="en-AU"/>
    </w:rPr>
  </w:style>
  <w:style w:type="character" w:customStyle="1" w:styleId="BodyText2Char">
    <w:name w:val="Body Text 2 Char"/>
    <w:basedOn w:val="DefaultParagraphFont"/>
    <w:link w:val="BodyText2"/>
    <w:semiHidden/>
    <w:rsid w:val="00273B20"/>
    <w:rPr>
      <w:rFonts w:ascii="Garamond" w:hAnsi="Garamond"/>
      <w:sz w:val="21"/>
      <w:szCs w:val="21"/>
    </w:rPr>
  </w:style>
  <w:style w:type="paragraph" w:styleId="BodyTextIndent">
    <w:name w:val="Body Text Indent"/>
    <w:basedOn w:val="Normal"/>
    <w:link w:val="BodyTextIndentChar"/>
    <w:semiHidden/>
    <w:locked/>
    <w:rsid w:val="00273B20"/>
    <w:pPr>
      <w:ind w:left="426" w:hanging="426"/>
    </w:pPr>
    <w:rPr>
      <w:sz w:val="20"/>
      <w:lang w:eastAsia="en-AU"/>
    </w:rPr>
  </w:style>
  <w:style w:type="character" w:customStyle="1" w:styleId="BodyTextIndentChar">
    <w:name w:val="Body Text Indent Char"/>
    <w:basedOn w:val="DefaultParagraphFont"/>
    <w:link w:val="BodyTextIndent"/>
    <w:semiHidden/>
    <w:rsid w:val="00273B20"/>
    <w:rPr>
      <w:rFonts w:ascii="Garamond" w:hAnsi="Garamond"/>
    </w:rPr>
  </w:style>
  <w:style w:type="character" w:customStyle="1" w:styleId="left">
    <w:name w:val="left"/>
    <w:basedOn w:val="DefaultParagraphFont"/>
    <w:rsid w:val="00273B20"/>
  </w:style>
  <w:style w:type="character" w:customStyle="1" w:styleId="Heading2Char">
    <w:name w:val="Heading 2 Char"/>
    <w:basedOn w:val="DefaultParagraphFont"/>
    <w:link w:val="Heading2"/>
    <w:rsid w:val="00273B20"/>
    <w:rPr>
      <w:rFonts w:ascii="Calibri" w:hAnsi="Calibri"/>
      <w:b/>
      <w:kern w:val="28"/>
      <w:sz w:val="26"/>
      <w:szCs w:val="22"/>
      <w:lang w:eastAsia="en-US"/>
    </w:rPr>
  </w:style>
  <w:style w:type="character" w:customStyle="1" w:styleId="FooterChar">
    <w:name w:val="Footer Char"/>
    <w:basedOn w:val="DefaultParagraphFont"/>
    <w:link w:val="Footer"/>
    <w:rsid w:val="00273B20"/>
    <w:rPr>
      <w:rFonts w:ascii="Calibri" w:hAnsi="Calibri"/>
      <w:szCs w:val="18"/>
      <w:lang w:eastAsia="en-US"/>
    </w:rPr>
  </w:style>
  <w:style w:type="paragraph" w:styleId="NormalWeb">
    <w:name w:val="Normal (Web)"/>
    <w:basedOn w:val="Normal"/>
    <w:uiPriority w:val="99"/>
    <w:semiHidden/>
    <w:unhideWhenUsed/>
    <w:locked/>
    <w:rsid w:val="00273B20"/>
    <w:pPr>
      <w:spacing w:before="100" w:beforeAutospacing="1" w:after="100" w:afterAutospacing="1"/>
    </w:pPr>
    <w:rPr>
      <w:rFonts w:ascii="Times New Roman" w:eastAsiaTheme="minorEastAsia" w:hAnsi="Times New Roman"/>
      <w:sz w:val="24"/>
      <w:szCs w:val="24"/>
      <w:lang w:eastAsia="en-AU"/>
    </w:rPr>
  </w:style>
  <w:style w:type="paragraph" w:styleId="FootnoteText">
    <w:name w:val="footnote text"/>
    <w:basedOn w:val="Normal"/>
    <w:link w:val="FootnoteTextChar"/>
    <w:uiPriority w:val="5"/>
    <w:semiHidden/>
    <w:locked/>
    <w:rsid w:val="00273B20"/>
    <w:pPr>
      <w:spacing w:after="0"/>
    </w:pPr>
    <w:rPr>
      <w:sz w:val="20"/>
    </w:rPr>
  </w:style>
  <w:style w:type="character" w:customStyle="1" w:styleId="FootnoteTextChar">
    <w:name w:val="Footnote Text Char"/>
    <w:basedOn w:val="DefaultParagraphFont"/>
    <w:link w:val="FootnoteText"/>
    <w:uiPriority w:val="5"/>
    <w:semiHidden/>
    <w:rsid w:val="00273B20"/>
    <w:rPr>
      <w:rFonts w:ascii="Garamond" w:hAnsi="Garamond"/>
      <w:lang w:eastAsia="en-US"/>
    </w:rPr>
  </w:style>
  <w:style w:type="character" w:styleId="FootnoteReference">
    <w:name w:val="footnote reference"/>
    <w:basedOn w:val="DefaultParagraphFont"/>
    <w:uiPriority w:val="5"/>
    <w:semiHidden/>
    <w:locked/>
    <w:rsid w:val="00273B20"/>
    <w:rPr>
      <w:vertAlign w:val="superscript"/>
    </w:rPr>
  </w:style>
  <w:style w:type="character" w:customStyle="1" w:styleId="DashTextChar">
    <w:name w:val="Dash Text Char"/>
    <w:link w:val="DashText"/>
    <w:uiPriority w:val="2"/>
    <w:locked/>
    <w:rsid w:val="00273B20"/>
    <w:rPr>
      <w:rFonts w:ascii="Garamond" w:hAnsi="Garamond"/>
      <w:sz w:val="22"/>
      <w:lang w:eastAsia="en-US"/>
    </w:rPr>
  </w:style>
  <w:style w:type="character" w:customStyle="1" w:styleId="Heading3Char">
    <w:name w:val="Heading 3 Char"/>
    <w:basedOn w:val="DefaultParagraphFont"/>
    <w:link w:val="Heading3"/>
    <w:rsid w:val="00273B20"/>
    <w:rPr>
      <w:rFonts w:ascii="Calibri" w:hAnsi="Calibri"/>
      <w:b/>
      <w:i/>
      <w:kern w:val="28"/>
      <w:sz w:val="24"/>
      <w:szCs w:val="22"/>
      <w:lang w:eastAsia="en-US"/>
    </w:rPr>
  </w:style>
  <w:style w:type="character" w:customStyle="1" w:styleId="Heading8Char">
    <w:name w:val="Heading 8 Char"/>
    <w:basedOn w:val="DefaultParagraphFont"/>
    <w:link w:val="Heading8"/>
    <w:rsid w:val="00C3707F"/>
    <w:rPr>
      <w:rFonts w:ascii="Calibri" w:eastAsiaTheme="minorEastAsia" w:hAnsi="Calibri" w:cs="Calibri"/>
      <w:b/>
      <w:bCs/>
      <w:color w:val="000000"/>
      <w:sz w:val="19"/>
      <w:szCs w:val="19"/>
    </w:rPr>
  </w:style>
  <w:style w:type="character" w:customStyle="1" w:styleId="Heading9Char">
    <w:name w:val="Heading 9 Char"/>
    <w:basedOn w:val="DefaultParagraphFont"/>
    <w:link w:val="Heading9"/>
    <w:rsid w:val="00C558E9"/>
    <w:rPr>
      <w:rFonts w:ascii="Calibri" w:eastAsiaTheme="minorEastAsia" w:hAnsi="Calibri" w:cs="Calibri"/>
      <w:b/>
      <w:bCs/>
      <w:color w:val="000000"/>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uiPriority="1"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3" w:semiHidden="1"/>
    <w:lsdException w:name="index 4" w:semiHidden="1"/>
    <w:lsdException w:name="index 5" w:semiHidden="1"/>
    <w:lsdException w:name="index 6" w:locked="1" w:semiHidden="1"/>
    <w:lsdException w:name="index 7" w:locked="1" w:semiHidden="1"/>
    <w:lsdException w:name="index 8" w:locked="1" w:semiHidden="1"/>
    <w:lsdException w:name="index 9" w:locked="1" w:semiHidden="1"/>
    <w:lsdException w:name="toc 1" w:uiPriority="39"/>
    <w:lsdException w:name="toc 2" w:uiPriority="39"/>
    <w:lsdException w:name="toc 3" w:uiPriority="5"/>
    <w:lsdException w:name="toc 4" w:uiPriority="39"/>
    <w:lsdException w:name="toc 5" w:uiPriority="5"/>
    <w:lsdException w:name="toc 6" w:locked="1" w:semiHidden="1"/>
    <w:lsdException w:name="toc 7" w:locked="1" w:semiHidden="1"/>
    <w:lsdException w:name="toc 8" w:locked="1" w:semiHidden="1"/>
    <w:lsdException w:name="toc 9" w:locked="1" w:semiHidden="1"/>
    <w:lsdException w:name="Normal Indent" w:locked="1"/>
    <w:lsdException w:name="footnote text" w:locked="1" w:semiHidden="1" w:uiPriority="5"/>
    <w:lsdException w:name="annotation text" w:locked="1" w:semiHidden="1"/>
    <w:lsdException w:name="caption" w:locked="1" w:semiHidden="1" w:unhideWhenUsed="1" w:qFormat="1"/>
    <w:lsdException w:name="table of figures" w:uiPriority="2" w:qFormat="1"/>
    <w:lsdException w:name="envelope address" w:locked="1" w:semiHidden="1"/>
    <w:lsdException w:name="envelope return" w:locked="1" w:semiHidden="1"/>
    <w:lsdException w:name="footnote reference" w:locked="1" w:semiHidden="1" w:uiPriority="5"/>
    <w:lsdException w:name="annotation reference" w:locked="1" w:semiHidden="1"/>
    <w:lsdException w:name="line number" w:locked="1" w:semiHidden="1"/>
    <w:lsdException w:name="endnote reference" w:locked="1" w:semiHidden="1"/>
    <w:lsdException w:name="endnote text" w:locked="1" w:semiHidden="1"/>
    <w:lsdException w:name="table of authorities" w:locked="1" w:semiHidden="1"/>
    <w:lsdException w:name="macro" w:locked="1" w:semiHidden="1"/>
    <w:lsdException w:name="toa heading" w:locked="1" w:semiHidden="1"/>
    <w:lsdException w:name="List" w:locked="1" w:semiHidden="1"/>
    <w:lsdException w:name="List Bullet" w:locked="1" w:semiHidden="1"/>
    <w:lsdException w:name="List Number" w:locked="1" w:semiHidden="1"/>
    <w:lsdException w:name="List 2" w:locked="1" w:semiHidden="1"/>
    <w:lsdException w:name="List 3" w:locked="1" w:semiHidden="1"/>
    <w:lsdException w:name="List 4" w:locked="1" w:semiHidden="1"/>
    <w:lsdException w:name="List 5" w:locked="1" w:semiHidden="1"/>
    <w:lsdException w:name="List Bullet 2" w:locked="1" w:semiHidden="1"/>
    <w:lsdException w:name="List Bullet 3" w:locked="1" w:semiHidden="1"/>
    <w:lsdException w:name="List Bullet 4" w:locked="1" w:semiHidden="1"/>
    <w:lsdException w:name="List Bullet 5" w:locked="1" w:semiHidden="1"/>
    <w:lsdException w:name="List Number 2" w:locked="1" w:semiHidden="1"/>
    <w:lsdException w:name="List Number 3" w:locked="1" w:semiHidden="1"/>
    <w:lsdException w:name="List Number 4" w:locked="1" w:semiHidden="1"/>
    <w:lsdException w:name="List Number 5" w:locked="1" w:semiHidden="1"/>
    <w:lsdException w:name="Title" w:locked="1" w:semiHidden="1"/>
    <w:lsdException w:name="Closing" w:locked="1" w:semiHidden="1"/>
    <w:lsdException w:name="Signature" w:locked="1" w:semiHidden="1"/>
    <w:lsdException w:name="Body Text" w:locked="1" w:semiHidden="1"/>
    <w:lsdException w:name="Body Text Indent" w:locked="1" w:semiHidden="1"/>
    <w:lsdException w:name="List Continue" w:locked="1" w:semiHidden="1"/>
    <w:lsdException w:name="List Continue 2" w:locked="1" w:semiHidden="1"/>
    <w:lsdException w:name="List Continue 3" w:locked="1" w:semiHidden="1"/>
    <w:lsdException w:name="List Continue 4" w:locked="1" w:semiHidden="1"/>
    <w:lsdException w:name="List Continue 5" w:locked="1" w:semiHidden="1"/>
    <w:lsdException w:name="Message Header" w:locked="1" w:semiHidden="1"/>
    <w:lsdException w:name="Subtitle" w:locked="1" w:semiHidden="1"/>
    <w:lsdException w:name="Salutation" w:locked="1" w:semiHidden="1"/>
    <w:lsdException w:name="Date" w:locked="1" w:semiHidden="1"/>
    <w:lsdException w:name="Body Text First Indent" w:locked="1" w:semiHidden="1"/>
    <w:lsdException w:name="Body Text First Indent 2" w:locked="1" w:semiHidden="1"/>
    <w:lsdException w:name="Note Heading" w:semiHidden="1"/>
    <w:lsdException w:name="Body Text 2" w:locked="1" w:semiHidden="1"/>
    <w:lsdException w:name="Body Text 3" w:locked="1" w:semiHidden="1"/>
    <w:lsdException w:name="Body Text Indent 2" w:locked="1" w:semiHidden="1"/>
    <w:lsdException w:name="Body Text Indent 3" w:locked="1" w:semiHidden="1"/>
    <w:lsdException w:name="Block Text" w:locked="1" w:semiHidden="1"/>
    <w:lsdException w:name="Hyperlink" w:locked="1" w:semiHidden="1" w:uiPriority="99"/>
    <w:lsdException w:name="FollowedHyperlink" w:locked="1" w:semiHidden="1"/>
    <w:lsdException w:name="Strong" w:locked="1" w:semiHidden="1"/>
    <w:lsdException w:name="Emphasis" w:locked="1" w:semiHidden="1"/>
    <w:lsdException w:name="Document Map" w:locked="1" w:semiHidden="1"/>
    <w:lsdException w:name="Plain Text" w:locked="1" w:semiHidden="1"/>
    <w:lsdException w:name="E-mail Signature" w:locked="1" w:semiHidden="1"/>
    <w:lsdException w:name="Normal (Web)" w:locked="1" w:semiHidden="1" w:uiPriority="99"/>
    <w:lsdException w:name="HTML Acronym" w:locked="1" w:semiHidden="1"/>
    <w:lsdException w:name="HTML Address" w:locked="1" w:semiHidden="1"/>
    <w:lsdException w:name="HTML Cite" w:locked="1" w:semiHidden="1"/>
    <w:lsdException w:name="HTML Code" w:locked="1" w:semiHidden="1"/>
    <w:lsdException w:name="HTML Definition" w:locked="1" w:semiHidden="1"/>
    <w:lsdException w:name="HTML Keyboard" w:locked="1" w:semiHidden="1"/>
    <w:lsdException w:name="HTML Preformatted" w:locked="1" w:semiHidden="1"/>
    <w:lsdException w:name="HTML Sample" w:locked="1" w:semiHidden="1"/>
    <w:lsdException w:name="HTML Typewriter" w:locked="1" w:semiHidden="1"/>
    <w:lsdException w:name="HTML Variable" w:locked="1" w:semiHidden="1"/>
    <w:lsdException w:name="annotation subject" w:locked="1" w:semiHidden="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semiHidden="1"/>
    <w:lsdException w:name="Table Grid" w:locked="1"/>
    <w:lsdException w:name="Table Theme" w:lock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uiPriority w:val="1"/>
    <w:qFormat/>
    <w:rsid w:val="00251C6B"/>
    <w:pPr>
      <w:spacing w:after="120"/>
    </w:pPr>
    <w:rPr>
      <w:rFonts w:ascii="Garamond" w:hAnsi="Garamond"/>
      <w:sz w:val="22"/>
      <w:lang w:eastAsia="en-US"/>
    </w:rPr>
  </w:style>
  <w:style w:type="paragraph" w:styleId="Heading1">
    <w:name w:val="heading 1"/>
    <w:basedOn w:val="Normal"/>
    <w:next w:val="Normal"/>
    <w:link w:val="Heading1Char"/>
    <w:qFormat/>
    <w:rsid w:val="00397F02"/>
    <w:pPr>
      <w:keepNext/>
      <w:spacing w:before="360"/>
      <w:outlineLvl w:val="0"/>
    </w:pPr>
    <w:rPr>
      <w:rFonts w:ascii="Calibri" w:hAnsi="Calibri"/>
      <w:b/>
      <w:caps/>
      <w:sz w:val="26"/>
      <w:szCs w:val="22"/>
    </w:rPr>
  </w:style>
  <w:style w:type="paragraph" w:styleId="Heading2">
    <w:name w:val="heading 2"/>
    <w:basedOn w:val="Normal"/>
    <w:next w:val="Normal"/>
    <w:link w:val="Heading2Char"/>
    <w:qFormat/>
    <w:rsid w:val="00397F02"/>
    <w:pPr>
      <w:keepNext/>
      <w:spacing w:before="240"/>
      <w:outlineLvl w:val="1"/>
    </w:pPr>
    <w:rPr>
      <w:rFonts w:ascii="Calibri" w:hAnsi="Calibri"/>
      <w:b/>
      <w:kern w:val="28"/>
      <w:sz w:val="26"/>
      <w:szCs w:val="22"/>
    </w:rPr>
  </w:style>
  <w:style w:type="paragraph" w:styleId="Heading3">
    <w:name w:val="heading 3"/>
    <w:basedOn w:val="Normal"/>
    <w:next w:val="Normal"/>
    <w:link w:val="Heading3Char"/>
    <w:qFormat/>
    <w:rsid w:val="00397F02"/>
    <w:pPr>
      <w:keepNext/>
      <w:spacing w:before="240"/>
      <w:outlineLvl w:val="2"/>
    </w:pPr>
    <w:rPr>
      <w:rFonts w:ascii="Calibri" w:hAnsi="Calibri"/>
      <w:b/>
      <w:i/>
      <w:kern w:val="28"/>
      <w:sz w:val="24"/>
      <w:szCs w:val="22"/>
    </w:rPr>
  </w:style>
  <w:style w:type="paragraph" w:styleId="Heading4">
    <w:name w:val="heading 4"/>
    <w:basedOn w:val="Normal"/>
    <w:next w:val="Normal"/>
    <w:qFormat/>
    <w:rsid w:val="00397F02"/>
    <w:pPr>
      <w:keepNext/>
      <w:spacing w:before="240"/>
      <w:outlineLvl w:val="3"/>
    </w:pPr>
    <w:rPr>
      <w:rFonts w:ascii="Calibri" w:hAnsi="Calibri"/>
      <w:i/>
      <w:sz w:val="24"/>
      <w:szCs w:val="22"/>
    </w:rPr>
  </w:style>
  <w:style w:type="paragraph" w:styleId="Heading5">
    <w:name w:val="heading 5"/>
    <w:basedOn w:val="Normal"/>
    <w:next w:val="Normal"/>
    <w:qFormat/>
    <w:rsid w:val="00F14A31"/>
    <w:pPr>
      <w:keepNext/>
      <w:tabs>
        <w:tab w:val="left" w:pos="504"/>
      </w:tabs>
      <w:spacing w:before="120" w:after="60"/>
      <w:outlineLvl w:val="4"/>
    </w:pPr>
    <w:rPr>
      <w:rFonts w:ascii="Calibri" w:hAnsi="Calibri"/>
      <w:b/>
    </w:rPr>
  </w:style>
  <w:style w:type="paragraph" w:styleId="Heading6">
    <w:name w:val="heading 6"/>
    <w:basedOn w:val="Normal"/>
    <w:next w:val="Normal"/>
    <w:link w:val="Heading6Char"/>
    <w:unhideWhenUsed/>
    <w:qFormat/>
    <w:locked/>
    <w:rsid w:val="00273B20"/>
    <w:pPr>
      <w:keepNext/>
      <w:pageBreakBefore/>
      <w:autoSpaceDE w:val="0"/>
      <w:autoSpaceDN w:val="0"/>
      <w:adjustRightInd w:val="0"/>
      <w:spacing w:after="0"/>
      <w:ind w:left="227" w:hanging="227"/>
      <w:outlineLvl w:val="5"/>
    </w:pPr>
    <w:rPr>
      <w:rFonts w:ascii="Calibri" w:eastAsiaTheme="minorEastAsia" w:hAnsi="Calibri" w:cs="Calibri"/>
      <w:b/>
      <w:bCs/>
      <w:color w:val="000000"/>
      <w:sz w:val="19"/>
      <w:szCs w:val="19"/>
      <w:lang w:eastAsia="en-AU"/>
    </w:rPr>
  </w:style>
  <w:style w:type="paragraph" w:styleId="Heading7">
    <w:name w:val="heading 7"/>
    <w:basedOn w:val="Normal"/>
    <w:next w:val="Normal"/>
    <w:link w:val="Heading7Char"/>
    <w:unhideWhenUsed/>
    <w:qFormat/>
    <w:locked/>
    <w:rsid w:val="00273B20"/>
    <w:pPr>
      <w:keepNext/>
      <w:pageBreakBefore/>
      <w:autoSpaceDE w:val="0"/>
      <w:autoSpaceDN w:val="0"/>
      <w:adjustRightInd w:val="0"/>
      <w:spacing w:after="0"/>
      <w:ind w:left="227" w:hanging="227"/>
      <w:outlineLvl w:val="6"/>
    </w:pPr>
    <w:rPr>
      <w:rFonts w:ascii="Calibri" w:eastAsiaTheme="minorEastAsia" w:hAnsi="Calibri" w:cs="Calibri"/>
      <w:b/>
      <w:bCs/>
      <w:color w:val="000000"/>
      <w:sz w:val="18"/>
      <w:szCs w:val="19"/>
      <w:lang w:eastAsia="en-AU"/>
    </w:rPr>
  </w:style>
  <w:style w:type="paragraph" w:styleId="Heading8">
    <w:name w:val="heading 8"/>
    <w:basedOn w:val="Normal"/>
    <w:next w:val="Normal"/>
    <w:link w:val="Heading8Char"/>
    <w:unhideWhenUsed/>
    <w:qFormat/>
    <w:locked/>
    <w:rsid w:val="00C3707F"/>
    <w:pPr>
      <w:keepNext/>
      <w:autoSpaceDE w:val="0"/>
      <w:autoSpaceDN w:val="0"/>
      <w:adjustRightInd w:val="0"/>
      <w:spacing w:after="0"/>
      <w:ind w:left="232" w:hanging="232"/>
      <w:outlineLvl w:val="7"/>
    </w:pPr>
    <w:rPr>
      <w:rFonts w:ascii="Calibri" w:eastAsiaTheme="minorEastAsia" w:hAnsi="Calibri" w:cs="Calibri"/>
      <w:b/>
      <w:bCs/>
      <w:color w:val="000000"/>
      <w:sz w:val="19"/>
      <w:szCs w:val="19"/>
      <w:lang w:eastAsia="en-AU"/>
    </w:rPr>
  </w:style>
  <w:style w:type="paragraph" w:styleId="Heading9">
    <w:name w:val="heading 9"/>
    <w:basedOn w:val="Normal"/>
    <w:next w:val="Normal"/>
    <w:link w:val="Heading9Char"/>
    <w:unhideWhenUsed/>
    <w:qFormat/>
    <w:locked/>
    <w:rsid w:val="00C558E9"/>
    <w:pPr>
      <w:keepNext/>
      <w:autoSpaceDE w:val="0"/>
      <w:autoSpaceDN w:val="0"/>
      <w:adjustRightInd w:val="0"/>
      <w:spacing w:after="0"/>
      <w:outlineLvl w:val="8"/>
    </w:pPr>
    <w:rPr>
      <w:rFonts w:ascii="Calibri" w:eastAsiaTheme="minorEastAsia" w:hAnsi="Calibri" w:cs="Calibri"/>
      <w:b/>
      <w:bCs/>
      <w:color w:val="000000"/>
      <w:sz w:val="19"/>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llion">
    <w:name w:val="$million"/>
    <w:basedOn w:val="Normal"/>
    <w:link w:val="millionChar"/>
    <w:qFormat/>
    <w:rsid w:val="00A831CC"/>
    <w:pPr>
      <w:spacing w:after="0"/>
      <w:jc w:val="center"/>
    </w:pPr>
    <w:rPr>
      <w:rFonts w:ascii="Calibri" w:hAnsi="Calibri"/>
      <w:i/>
      <w:sz w:val="18"/>
      <w:szCs w:val="18"/>
    </w:rPr>
  </w:style>
  <w:style w:type="paragraph" w:styleId="TableofFigures">
    <w:name w:val="table of figures"/>
    <w:basedOn w:val="Normal"/>
    <w:next w:val="Normal"/>
    <w:link w:val="TableofFiguresChar"/>
    <w:uiPriority w:val="2"/>
    <w:qFormat/>
    <w:rsid w:val="00397F02"/>
    <w:pPr>
      <w:spacing w:after="0"/>
      <w:jc w:val="right"/>
    </w:pPr>
    <w:rPr>
      <w:rFonts w:ascii="Calibri" w:hAnsi="Calibri"/>
      <w:sz w:val="20"/>
      <w:szCs w:val="18"/>
    </w:rPr>
  </w:style>
  <w:style w:type="character" w:customStyle="1" w:styleId="TableofFiguresChar">
    <w:name w:val="Table of Figures Char"/>
    <w:link w:val="TableofFigures"/>
    <w:uiPriority w:val="2"/>
    <w:rsid w:val="00746C6E"/>
    <w:rPr>
      <w:rFonts w:ascii="Calibri" w:hAnsi="Calibri"/>
      <w:szCs w:val="18"/>
      <w:lang w:eastAsia="en-US"/>
    </w:rPr>
  </w:style>
  <w:style w:type="paragraph" w:customStyle="1" w:styleId="BP4Figures">
    <w:name w:val="BP4 Figures"/>
    <w:basedOn w:val="TableofFigures"/>
    <w:semiHidden/>
    <w:rsid w:val="0059636A"/>
    <w:pPr>
      <w:spacing w:after="30"/>
    </w:pPr>
    <w:rPr>
      <w:sz w:val="18"/>
    </w:rPr>
  </w:style>
  <w:style w:type="paragraph" w:customStyle="1" w:styleId="Tabletextheading">
    <w:name w:val="Table text heading"/>
    <w:basedOn w:val="TableofFigures"/>
    <w:link w:val="TabletextheadingChar"/>
    <w:uiPriority w:val="2"/>
    <w:qFormat/>
    <w:rsid w:val="00A831CC"/>
    <w:rPr>
      <w:i/>
    </w:rPr>
  </w:style>
  <w:style w:type="paragraph" w:customStyle="1" w:styleId="BP4headingr">
    <w:name w:val="BP4 heading r"/>
    <w:basedOn w:val="Tabletextheading"/>
    <w:semiHidden/>
    <w:rsid w:val="00817BD7"/>
    <w:rPr>
      <w:sz w:val="18"/>
    </w:rPr>
  </w:style>
  <w:style w:type="paragraph" w:customStyle="1" w:styleId="BP4headingl">
    <w:name w:val="BP4 heading l"/>
    <w:basedOn w:val="BP4headingr"/>
    <w:semiHidden/>
    <w:rsid w:val="00817BD7"/>
    <w:pPr>
      <w:jc w:val="left"/>
    </w:pPr>
  </w:style>
  <w:style w:type="paragraph" w:customStyle="1" w:styleId="Tabletext">
    <w:name w:val="Table text"/>
    <w:basedOn w:val="TableofFigures"/>
    <w:link w:val="TabletextChar"/>
    <w:uiPriority w:val="2"/>
    <w:qFormat/>
    <w:rsid w:val="00AE1F2D"/>
    <w:pPr>
      <w:ind w:left="180" w:hanging="180"/>
      <w:jc w:val="left"/>
    </w:pPr>
    <w:rPr>
      <w:sz w:val="19"/>
    </w:rPr>
  </w:style>
  <w:style w:type="paragraph" w:customStyle="1" w:styleId="BP4tabletext">
    <w:name w:val="BP4 table text"/>
    <w:basedOn w:val="Tabletext"/>
    <w:semiHidden/>
    <w:rsid w:val="00817BD7"/>
    <w:pPr>
      <w:spacing w:after="30"/>
      <w:ind w:left="72" w:hanging="72"/>
    </w:pPr>
    <w:rPr>
      <w:sz w:val="18"/>
    </w:rPr>
  </w:style>
  <w:style w:type="paragraph" w:customStyle="1" w:styleId="Tableheading">
    <w:name w:val="Table heading"/>
    <w:basedOn w:val="Normal"/>
    <w:link w:val="TableheadingChar"/>
    <w:qFormat/>
    <w:rsid w:val="009E5D93"/>
    <w:pPr>
      <w:keepNext/>
      <w:spacing w:before="240"/>
      <w:ind w:left="1152" w:hanging="1152"/>
    </w:pPr>
    <w:rPr>
      <w:rFonts w:ascii="Calibri" w:hAnsi="Calibri"/>
      <w:b/>
    </w:rPr>
  </w:style>
  <w:style w:type="table" w:styleId="TableGrid">
    <w:name w:val="Table Grid"/>
    <w:basedOn w:val="TableNormal"/>
    <w:locked/>
    <w:rsid w:val="00B37EF1"/>
    <w:pPr>
      <w:spacing w:before="20" w:after="20"/>
      <w:ind w:left="170" w:hanging="170"/>
      <w:jc w:val="right"/>
    </w:pPr>
    <w:rPr>
      <w:rFonts w:ascii="Calibri" w:eastAsiaTheme="minorHAnsi" w:hAnsi="Calibri" w:cstheme="minorBidi"/>
      <w:spacing w:val="2"/>
      <w:sz w:val="18"/>
      <w:szCs w:val="21"/>
      <w:lang w:eastAsia="en-US"/>
    </w:rPr>
    <w:tblPr>
      <w:tblStyleColBandSize w:val="1"/>
      <w:tblInd w:w="28" w:type="dxa"/>
      <w:tblBorders>
        <w:bottom w:val="single" w:sz="6" w:space="0" w:color="auto"/>
      </w:tblBorders>
      <w:tblCellMar>
        <w:left w:w="57" w:type="dxa"/>
        <w:right w:w="57" w:type="dxa"/>
      </w:tblCellMar>
    </w:tblPr>
    <w:trPr>
      <w:cantSplit/>
    </w:trPr>
    <w:tblStylePr w:type="firstRow">
      <w:pPr>
        <w:keepNext/>
        <w:keepLines/>
        <w:widowControl/>
        <w:wordWrap/>
        <w:jc w:val="right"/>
      </w:pPr>
      <w:rPr>
        <w:i/>
        <w:color w:val="auto"/>
      </w:rPr>
      <w:tblPr/>
      <w:tcPr>
        <w:shd w:val="clear" w:color="auto" w:fill="000000" w:themeFill="text1"/>
        <w:vAlign w:val="bottom"/>
      </w:tcPr>
    </w:tblStylePr>
    <w:tblStylePr w:type="lastRow">
      <w:rPr>
        <w:b/>
      </w:rPr>
      <w:tblPr/>
      <w:tcPr>
        <w:tcBorders>
          <w:top w:val="single" w:sz="6" w:space="0" w:color="000000" w:themeColor="text1"/>
          <w:bottom w:val="single" w:sz="12" w:space="0" w:color="000000" w:themeColor="text1"/>
        </w:tcBorders>
      </w:tcPr>
    </w:tblStylePr>
    <w:tblStylePr w:type="firstCol">
      <w:pPr>
        <w:wordWrap/>
        <w:ind w:leftChars="0" w:left="170" w:rightChars="0" w:right="0" w:firstLineChars="0" w:hanging="170"/>
        <w:jc w:val="left"/>
      </w:pPr>
    </w:tblStylePr>
    <w:tblStylePr w:type="band1Vert">
      <w:pPr>
        <w:jc w:val="right"/>
      </w:pPr>
    </w:tblStylePr>
    <w:tblStylePr w:type="band2Vert">
      <w:pPr>
        <w:jc w:val="right"/>
      </w:pPr>
    </w:tblStylePr>
  </w:style>
  <w:style w:type="paragraph" w:customStyle="1" w:styleId="BulletText">
    <w:name w:val="Bullet Text"/>
    <w:basedOn w:val="Normal"/>
    <w:link w:val="BulletTextChar"/>
    <w:uiPriority w:val="2"/>
    <w:qFormat/>
    <w:rsid w:val="00CB74FE"/>
    <w:pPr>
      <w:numPr>
        <w:numId w:val="4"/>
      </w:numPr>
    </w:pPr>
  </w:style>
  <w:style w:type="paragraph" w:customStyle="1" w:styleId="ChapterHeading">
    <w:name w:val="Chapter Heading"/>
    <w:basedOn w:val="Normal"/>
    <w:next w:val="Heading1"/>
    <w:qFormat/>
    <w:rsid w:val="00C75B91"/>
    <w:pPr>
      <w:keepNext/>
      <w:pBdr>
        <w:bottom w:val="single" w:sz="12" w:space="7" w:color="auto"/>
      </w:pBdr>
      <w:spacing w:before="1440" w:after="360"/>
    </w:pPr>
    <w:rPr>
      <w:rFonts w:ascii="Calibri" w:hAnsi="Calibri"/>
      <w:b/>
      <w:caps/>
      <w:sz w:val="36"/>
      <w:szCs w:val="28"/>
    </w:rPr>
  </w:style>
  <w:style w:type="paragraph" w:customStyle="1" w:styleId="Chartheading">
    <w:name w:val="Chart heading"/>
    <w:basedOn w:val="Tableheading"/>
    <w:next w:val="Normal"/>
    <w:uiPriority w:val="3"/>
    <w:qFormat/>
    <w:rsid w:val="009E5D93"/>
  </w:style>
  <w:style w:type="paragraph" w:styleId="Footer">
    <w:name w:val="footer"/>
    <w:basedOn w:val="Normal"/>
    <w:link w:val="FooterChar"/>
    <w:rsid w:val="00185277"/>
    <w:pPr>
      <w:pBdr>
        <w:top w:val="single" w:sz="6" w:space="1" w:color="auto"/>
      </w:pBdr>
      <w:tabs>
        <w:tab w:val="right" w:pos="7085"/>
      </w:tabs>
    </w:pPr>
    <w:rPr>
      <w:rFonts w:ascii="Calibri" w:hAnsi="Calibri"/>
      <w:sz w:val="20"/>
      <w:szCs w:val="18"/>
    </w:rPr>
  </w:style>
  <w:style w:type="paragraph" w:styleId="Header">
    <w:name w:val="header"/>
    <w:basedOn w:val="Footer"/>
    <w:semiHidden/>
    <w:rsid w:val="00561253"/>
    <w:pPr>
      <w:pBdr>
        <w:top w:val="none" w:sz="0" w:space="0" w:color="auto"/>
      </w:pBdr>
      <w:tabs>
        <w:tab w:val="clear" w:pos="7085"/>
      </w:tabs>
    </w:pPr>
  </w:style>
  <w:style w:type="paragraph" w:customStyle="1" w:styleId="Heading2Notes">
    <w:name w:val="Heading 2 Notes"/>
    <w:basedOn w:val="Heading2"/>
    <w:link w:val="Heading2NotesChar"/>
    <w:rsid w:val="003E5374"/>
    <w:pPr>
      <w:tabs>
        <w:tab w:val="left" w:pos="1152"/>
      </w:tabs>
      <w:ind w:left="1152" w:hanging="1152"/>
    </w:pPr>
  </w:style>
  <w:style w:type="paragraph" w:customStyle="1" w:styleId="Notes">
    <w:name w:val="Notes"/>
    <w:basedOn w:val="Normal"/>
    <w:link w:val="NotesChar"/>
    <w:qFormat/>
    <w:rsid w:val="00C24EC3"/>
    <w:pPr>
      <w:tabs>
        <w:tab w:val="left" w:pos="454"/>
      </w:tabs>
      <w:spacing w:after="0"/>
      <w:ind w:left="461" w:hanging="461"/>
    </w:pPr>
    <w:rPr>
      <w:rFonts w:ascii="Calibri" w:hAnsi="Calibri"/>
      <w:i/>
      <w:sz w:val="15"/>
    </w:rPr>
  </w:style>
  <w:style w:type="paragraph" w:customStyle="1" w:styleId="OGBullet">
    <w:name w:val="OGBullet"/>
    <w:basedOn w:val="Normal"/>
    <w:semiHidden/>
    <w:rsid w:val="00397F02"/>
    <w:pPr>
      <w:numPr>
        <w:numId w:val="1"/>
      </w:numPr>
    </w:pPr>
    <w:rPr>
      <w:rFonts w:ascii="Calibri" w:hAnsi="Calibri"/>
      <w:sz w:val="20"/>
      <w:szCs w:val="18"/>
    </w:rPr>
  </w:style>
  <w:style w:type="paragraph" w:customStyle="1" w:styleId="OGHeading1">
    <w:name w:val="OGHeading1"/>
    <w:basedOn w:val="Normal"/>
    <w:semiHidden/>
    <w:rsid w:val="00397F02"/>
    <w:rPr>
      <w:rFonts w:ascii="Calibri" w:hAnsi="Calibri"/>
      <w:b/>
      <w:sz w:val="32"/>
      <w:szCs w:val="28"/>
    </w:rPr>
  </w:style>
  <w:style w:type="paragraph" w:customStyle="1" w:styleId="OGHeading2">
    <w:name w:val="OGHeading2"/>
    <w:basedOn w:val="Normal"/>
    <w:link w:val="OGHeading2Char"/>
    <w:semiHidden/>
    <w:rsid w:val="00397F02"/>
    <w:pPr>
      <w:keepNext/>
      <w:spacing w:before="60"/>
    </w:pPr>
    <w:rPr>
      <w:rFonts w:ascii="Calibri" w:hAnsi="Calibri"/>
      <w:b/>
      <w:sz w:val="28"/>
      <w:szCs w:val="24"/>
    </w:rPr>
  </w:style>
  <w:style w:type="character" w:customStyle="1" w:styleId="OGHeading2Char">
    <w:name w:val="OGHeading2 Char"/>
    <w:link w:val="OGHeading2"/>
    <w:semiHidden/>
    <w:rsid w:val="00AE1F2D"/>
    <w:rPr>
      <w:rFonts w:ascii="Calibri" w:hAnsi="Calibri"/>
      <w:b/>
      <w:sz w:val="28"/>
      <w:szCs w:val="24"/>
      <w:lang w:eastAsia="en-US"/>
    </w:rPr>
  </w:style>
  <w:style w:type="paragraph" w:customStyle="1" w:styleId="OGTabHead">
    <w:name w:val="OGTabHead"/>
    <w:basedOn w:val="Normal"/>
    <w:semiHidden/>
    <w:rsid w:val="00882953"/>
    <w:pPr>
      <w:keepNext/>
      <w:keepLines/>
      <w:spacing w:before="30" w:after="30"/>
    </w:pPr>
    <w:rPr>
      <w:rFonts w:ascii="Calibri" w:hAnsi="Calibri"/>
      <w:i/>
      <w:sz w:val="20"/>
      <w:szCs w:val="18"/>
    </w:rPr>
  </w:style>
  <w:style w:type="paragraph" w:customStyle="1" w:styleId="OGTabText">
    <w:name w:val="OGTabText"/>
    <w:basedOn w:val="Normal"/>
    <w:link w:val="OGTabTextChar"/>
    <w:semiHidden/>
    <w:rsid w:val="00882953"/>
    <w:pPr>
      <w:spacing w:before="30" w:after="30"/>
      <w:ind w:left="144"/>
    </w:pPr>
    <w:rPr>
      <w:rFonts w:ascii="Calibri" w:hAnsi="Calibri"/>
      <w:sz w:val="20"/>
      <w:szCs w:val="18"/>
    </w:rPr>
  </w:style>
  <w:style w:type="character" w:customStyle="1" w:styleId="OGTabTextChar">
    <w:name w:val="OGTabText Char"/>
    <w:link w:val="OGTabText"/>
    <w:semiHidden/>
    <w:rsid w:val="00AE1F2D"/>
    <w:rPr>
      <w:rFonts w:ascii="Calibri" w:hAnsi="Calibri"/>
      <w:szCs w:val="18"/>
      <w:lang w:eastAsia="en-US"/>
    </w:rPr>
  </w:style>
  <w:style w:type="paragraph" w:customStyle="1" w:styleId="OGText">
    <w:name w:val="OGText"/>
    <w:basedOn w:val="Normal"/>
    <w:link w:val="OGTextChar"/>
    <w:semiHidden/>
    <w:rsid w:val="00882953"/>
    <w:pPr>
      <w:keepNext/>
      <w:spacing w:before="40"/>
    </w:pPr>
    <w:rPr>
      <w:rFonts w:ascii="Calibri" w:hAnsi="Calibri"/>
      <w:sz w:val="20"/>
      <w:szCs w:val="18"/>
    </w:rPr>
  </w:style>
  <w:style w:type="character" w:customStyle="1" w:styleId="OGTextChar">
    <w:name w:val="OGText Char"/>
    <w:link w:val="OGText"/>
    <w:semiHidden/>
    <w:rsid w:val="00AE1F2D"/>
    <w:rPr>
      <w:rFonts w:ascii="Calibri" w:hAnsi="Calibri"/>
      <w:szCs w:val="18"/>
      <w:lang w:eastAsia="en-US"/>
    </w:rPr>
  </w:style>
  <w:style w:type="character" w:styleId="PageNumber">
    <w:name w:val="page number"/>
    <w:semiHidden/>
    <w:rsid w:val="00185277"/>
    <w:rPr>
      <w:rFonts w:ascii="Calibri" w:hAnsi="Calibri"/>
      <w:sz w:val="20"/>
    </w:rPr>
  </w:style>
  <w:style w:type="paragraph" w:customStyle="1" w:styleId="Source">
    <w:name w:val="Source"/>
    <w:basedOn w:val="Normal"/>
    <w:next w:val="Normal"/>
    <w:link w:val="SourceChar"/>
    <w:uiPriority w:val="2"/>
    <w:qFormat/>
    <w:locked/>
    <w:rsid w:val="00C24EC3"/>
    <w:rPr>
      <w:rFonts w:ascii="Calibri" w:hAnsi="Calibri"/>
      <w:i/>
      <w:sz w:val="15"/>
    </w:rPr>
  </w:style>
  <w:style w:type="paragraph" w:customStyle="1" w:styleId="TableofContentsheading">
    <w:name w:val="Table of Contents heading"/>
    <w:basedOn w:val="ChapterHeading"/>
    <w:next w:val="Normal"/>
    <w:uiPriority w:val="4"/>
  </w:style>
  <w:style w:type="paragraph" w:customStyle="1" w:styleId="Heading2NotesContd">
    <w:name w:val="Heading 2 Notes Cont'd"/>
    <w:basedOn w:val="Heading2Notes"/>
    <w:rsid w:val="002E5C62"/>
  </w:style>
  <w:style w:type="paragraph" w:customStyle="1" w:styleId="HighlightBoxBullet">
    <w:name w:val="Highlight Box Bullet"/>
    <w:basedOn w:val="Normal"/>
    <w:qFormat/>
    <w:rsid w:val="00100FCC"/>
    <w:pPr>
      <w:numPr>
        <w:numId w:val="2"/>
      </w:numPr>
      <w:shd w:val="pct10" w:color="auto" w:fill="FFFFFF"/>
      <w:tabs>
        <w:tab w:val="clear" w:pos="90"/>
        <w:tab w:val="num" w:pos="360"/>
      </w:tabs>
      <w:ind w:left="360" w:right="43"/>
    </w:pPr>
  </w:style>
  <w:style w:type="paragraph" w:styleId="TOC1">
    <w:name w:val="toc 1"/>
    <w:basedOn w:val="Normal"/>
    <w:next w:val="Normal"/>
    <w:uiPriority w:val="39"/>
    <w:rsid w:val="00BF2190"/>
    <w:pPr>
      <w:tabs>
        <w:tab w:val="right" w:leader="dot" w:pos="7830"/>
      </w:tabs>
      <w:spacing w:before="40" w:after="40"/>
      <w:ind w:right="422"/>
    </w:pPr>
    <w:rPr>
      <w:rFonts w:ascii="Calibri" w:hAnsi="Calibri"/>
      <w:b/>
      <w:sz w:val="24"/>
    </w:rPr>
  </w:style>
  <w:style w:type="paragraph" w:styleId="TOC2">
    <w:name w:val="toc 2"/>
    <w:basedOn w:val="Normal"/>
    <w:next w:val="Normal"/>
    <w:uiPriority w:val="39"/>
    <w:rsid w:val="00C72AF4"/>
    <w:pPr>
      <w:tabs>
        <w:tab w:val="right" w:leader="dot" w:pos="7830"/>
      </w:tabs>
      <w:spacing w:after="0"/>
      <w:ind w:left="288" w:right="422"/>
    </w:pPr>
    <w:rPr>
      <w:rFonts w:ascii="Calibri" w:hAnsi="Calibri"/>
      <w:sz w:val="20"/>
    </w:rPr>
  </w:style>
  <w:style w:type="paragraph" w:styleId="TOC3">
    <w:name w:val="toc 3"/>
    <w:basedOn w:val="Normal"/>
    <w:next w:val="Normal"/>
    <w:uiPriority w:val="5"/>
    <w:rsid w:val="00C72AF4"/>
    <w:pPr>
      <w:tabs>
        <w:tab w:val="right" w:leader="dot" w:pos="7830"/>
      </w:tabs>
      <w:spacing w:after="0"/>
      <w:ind w:left="432" w:right="422"/>
    </w:pPr>
    <w:rPr>
      <w:rFonts w:ascii="Calibri" w:hAnsi="Calibri"/>
      <w:i/>
      <w:sz w:val="20"/>
    </w:rPr>
  </w:style>
  <w:style w:type="paragraph" w:styleId="TOC4">
    <w:name w:val="toc 4"/>
    <w:basedOn w:val="TOC1"/>
    <w:next w:val="Normal"/>
    <w:uiPriority w:val="39"/>
    <w:rsid w:val="00910D2B"/>
    <w:pPr>
      <w:spacing w:after="0"/>
      <w:ind w:left="1152" w:hanging="1152"/>
    </w:pPr>
    <w:rPr>
      <w:b w:val="0"/>
      <w:noProof/>
      <w:sz w:val="20"/>
    </w:rPr>
  </w:style>
  <w:style w:type="paragraph" w:styleId="TOC5">
    <w:name w:val="toc 5"/>
    <w:basedOn w:val="TOC1"/>
    <w:next w:val="Normal"/>
    <w:uiPriority w:val="5"/>
    <w:rsid w:val="00910D2B"/>
    <w:rPr>
      <w:b w:val="0"/>
      <w:sz w:val="20"/>
    </w:rPr>
  </w:style>
  <w:style w:type="paragraph" w:customStyle="1" w:styleId="Tableheadingcontinued">
    <w:name w:val="Table heading continued"/>
    <w:basedOn w:val="Tableheading"/>
    <w:uiPriority w:val="2"/>
    <w:rsid w:val="002E5C62"/>
  </w:style>
  <w:style w:type="paragraph" w:customStyle="1" w:styleId="Tabletextcentred">
    <w:name w:val="Table text centred"/>
    <w:basedOn w:val="Tabletext"/>
    <w:uiPriority w:val="2"/>
    <w:rsid w:val="00784F64"/>
    <w:pPr>
      <w:ind w:left="0" w:firstLine="0"/>
      <w:jc w:val="center"/>
    </w:pPr>
  </w:style>
  <w:style w:type="paragraph" w:customStyle="1" w:styleId="Heading3Numbering">
    <w:name w:val="Heading 3 Numbering"/>
    <w:basedOn w:val="Heading3"/>
    <w:link w:val="Heading3NumberingChar"/>
    <w:rsid w:val="004C767D"/>
    <w:pPr>
      <w:numPr>
        <w:numId w:val="3"/>
      </w:numPr>
      <w:tabs>
        <w:tab w:val="clear" w:pos="720"/>
        <w:tab w:val="left" w:pos="504"/>
      </w:tabs>
      <w:ind w:left="504" w:hanging="504"/>
    </w:pPr>
  </w:style>
  <w:style w:type="paragraph" w:customStyle="1" w:styleId="Heading5a">
    <w:name w:val="Heading 5a"/>
    <w:basedOn w:val="Heading5"/>
    <w:rsid w:val="00641E21"/>
    <w:pPr>
      <w:tabs>
        <w:tab w:val="clear" w:pos="504"/>
      </w:tabs>
    </w:pPr>
    <w:rPr>
      <w:b w:val="0"/>
      <w:i/>
      <w:sz w:val="21"/>
    </w:rPr>
  </w:style>
  <w:style w:type="character" w:customStyle="1" w:styleId="OGTabBulletChar">
    <w:name w:val="OGTabBullet Char"/>
    <w:link w:val="OGTabBullet"/>
    <w:semiHidden/>
    <w:rsid w:val="00AE1F2D"/>
    <w:rPr>
      <w:rFonts w:ascii="Calibri" w:hAnsi="Calibri"/>
      <w:szCs w:val="18"/>
    </w:rPr>
  </w:style>
  <w:style w:type="paragraph" w:customStyle="1" w:styleId="OGTabBullet">
    <w:name w:val="OGTabBullet"/>
    <w:basedOn w:val="OGBullet"/>
    <w:link w:val="OGTabBulletChar"/>
    <w:semiHidden/>
    <w:rsid w:val="00667796"/>
    <w:pPr>
      <w:tabs>
        <w:tab w:val="clear" w:pos="360"/>
        <w:tab w:val="left" w:pos="604"/>
      </w:tabs>
      <w:spacing w:before="30" w:after="30"/>
      <w:ind w:left="605"/>
    </w:pPr>
    <w:rPr>
      <w:lang w:eastAsia="en-AU"/>
    </w:rPr>
  </w:style>
  <w:style w:type="paragraph" w:customStyle="1" w:styleId="Heading2NotesQtrly">
    <w:name w:val="Heading 2 Notes Qtrly"/>
    <w:basedOn w:val="Heading2Notes"/>
    <w:rsid w:val="005142C4"/>
  </w:style>
  <w:style w:type="paragraph" w:customStyle="1" w:styleId="OGUoM">
    <w:name w:val="OGUoM"/>
    <w:basedOn w:val="Tabletextcentred"/>
    <w:semiHidden/>
    <w:rsid w:val="00882953"/>
    <w:pPr>
      <w:spacing w:before="30" w:after="30"/>
    </w:pPr>
  </w:style>
  <w:style w:type="paragraph" w:customStyle="1" w:styleId="Tabletextheadingcentred">
    <w:name w:val="Table text heading centred"/>
    <w:basedOn w:val="Tabletextheading"/>
    <w:uiPriority w:val="2"/>
    <w:rsid w:val="000B1B53"/>
    <w:pPr>
      <w:jc w:val="center"/>
    </w:pPr>
  </w:style>
  <w:style w:type="paragraph" w:customStyle="1" w:styleId="DashText">
    <w:name w:val="Dash Text"/>
    <w:basedOn w:val="Normal"/>
    <w:link w:val="DashTextChar"/>
    <w:uiPriority w:val="2"/>
    <w:qFormat/>
    <w:rsid w:val="00CB74FE"/>
    <w:pPr>
      <w:numPr>
        <w:ilvl w:val="1"/>
        <w:numId w:val="4"/>
      </w:numPr>
    </w:pPr>
  </w:style>
  <w:style w:type="paragraph" w:customStyle="1" w:styleId="OGTableofFigures">
    <w:name w:val="OGTable of Figures"/>
    <w:basedOn w:val="TableofFigures"/>
    <w:semiHidden/>
    <w:rsid w:val="00882953"/>
    <w:pPr>
      <w:spacing w:before="30" w:after="30"/>
    </w:pPr>
  </w:style>
  <w:style w:type="paragraph" w:customStyle="1" w:styleId="NotesIndent">
    <w:name w:val="NotesIndent"/>
    <w:basedOn w:val="Notes"/>
    <w:uiPriority w:val="2"/>
    <w:rsid w:val="00507425"/>
    <w:pPr>
      <w:tabs>
        <w:tab w:val="clear" w:pos="454"/>
      </w:tabs>
      <w:ind w:left="915"/>
    </w:pPr>
  </w:style>
  <w:style w:type="paragraph" w:customStyle="1" w:styleId="NotesDash">
    <w:name w:val="NotesDash"/>
    <w:basedOn w:val="NotesIndent"/>
    <w:rsid w:val="0000414E"/>
    <w:pPr>
      <w:numPr>
        <w:numId w:val="5"/>
      </w:numPr>
      <w:tabs>
        <w:tab w:val="clear" w:pos="922"/>
        <w:tab w:val="num" w:pos="720"/>
      </w:tabs>
      <w:ind w:left="720" w:hanging="259"/>
    </w:pPr>
  </w:style>
  <w:style w:type="paragraph" w:customStyle="1" w:styleId="VAGOText">
    <w:name w:val="VAGOText"/>
    <w:basedOn w:val="Normal"/>
    <w:semiHidden/>
    <w:rsid w:val="00C14A3C"/>
    <w:pPr>
      <w:spacing w:before="120"/>
    </w:pPr>
    <w:rPr>
      <w:rFonts w:ascii="Arial" w:hAnsi="Arial" w:cs="Arial"/>
      <w:sz w:val="16"/>
      <w:szCs w:val="16"/>
    </w:rPr>
  </w:style>
  <w:style w:type="paragraph" w:customStyle="1" w:styleId="VAGOHeading2">
    <w:name w:val="VAGOHeading2"/>
    <w:basedOn w:val="Normal"/>
    <w:semiHidden/>
    <w:rsid w:val="00853954"/>
    <w:rPr>
      <w:rFonts w:ascii="Arial" w:hAnsi="Arial" w:cs="Arial"/>
      <w:b/>
      <w:sz w:val="16"/>
      <w:szCs w:val="16"/>
    </w:rPr>
  </w:style>
  <w:style w:type="paragraph" w:customStyle="1" w:styleId="VAGOHeading1">
    <w:name w:val="VAGOHeading1"/>
    <w:basedOn w:val="Normal"/>
    <w:semiHidden/>
    <w:rsid w:val="00B72182"/>
    <w:pPr>
      <w:jc w:val="center"/>
    </w:pPr>
    <w:rPr>
      <w:rFonts w:ascii="Arial" w:hAnsi="Arial" w:cs="Arial"/>
      <w:b/>
      <w:sz w:val="17"/>
      <w:szCs w:val="17"/>
    </w:rPr>
  </w:style>
  <w:style w:type="paragraph" w:customStyle="1" w:styleId="VAGOHeading3">
    <w:name w:val="VAGOHeading3"/>
    <w:basedOn w:val="VAGOHeading2"/>
    <w:semiHidden/>
    <w:rsid w:val="00853954"/>
    <w:rPr>
      <w:b w:val="0"/>
      <w:i/>
    </w:rPr>
  </w:style>
  <w:style w:type="paragraph" w:customStyle="1" w:styleId="VAGOBullet">
    <w:name w:val="VAGOBullet"/>
    <w:basedOn w:val="VAGOText"/>
    <w:semiHidden/>
    <w:rsid w:val="00C14A3C"/>
    <w:pPr>
      <w:numPr>
        <w:numId w:val="6"/>
      </w:numPr>
      <w:ind w:right="-51"/>
    </w:pPr>
    <w:rPr>
      <w:iCs/>
    </w:rPr>
  </w:style>
  <w:style w:type="paragraph" w:customStyle="1" w:styleId="Tabletextheadingleft">
    <w:name w:val="Table text heading left"/>
    <w:basedOn w:val="Tabletextheading"/>
    <w:uiPriority w:val="2"/>
    <w:rsid w:val="00CF5FE1"/>
    <w:pPr>
      <w:jc w:val="left"/>
    </w:pPr>
  </w:style>
  <w:style w:type="paragraph" w:styleId="NormalIndent">
    <w:name w:val="Normal Indent"/>
    <w:basedOn w:val="Normal"/>
    <w:semiHidden/>
    <w:locked/>
    <w:rsid w:val="00A831CC"/>
    <w:pPr>
      <w:ind w:left="360"/>
    </w:pPr>
  </w:style>
  <w:style w:type="paragraph" w:customStyle="1" w:styleId="Tabletextindent">
    <w:name w:val="Table text indent"/>
    <w:basedOn w:val="Tabletext"/>
    <w:uiPriority w:val="2"/>
    <w:rsid w:val="00E24DAF"/>
    <w:pPr>
      <w:ind w:left="360" w:firstLine="0"/>
    </w:pPr>
  </w:style>
  <w:style w:type="paragraph" w:customStyle="1" w:styleId="Tabletextindent2">
    <w:name w:val="Table text indent 2"/>
    <w:basedOn w:val="Tabletextindent"/>
    <w:uiPriority w:val="2"/>
    <w:rsid w:val="00E24DAF"/>
    <w:pPr>
      <w:ind w:left="720"/>
    </w:pPr>
  </w:style>
  <w:style w:type="paragraph" w:customStyle="1" w:styleId="Heading3NumberingBP4">
    <w:name w:val="Heading 3 Numbering BP4"/>
    <w:basedOn w:val="Heading3Numbering"/>
    <w:semiHidden/>
    <w:rsid w:val="0046648A"/>
  </w:style>
  <w:style w:type="paragraph" w:customStyle="1" w:styleId="Chartpara">
    <w:name w:val="Chart para"/>
    <w:basedOn w:val="Normal"/>
    <w:semiHidden/>
    <w:rsid w:val="00342ECD"/>
    <w:pPr>
      <w:spacing w:after="0"/>
    </w:pPr>
  </w:style>
  <w:style w:type="paragraph" w:customStyle="1" w:styleId="OGTabColCentred">
    <w:name w:val="OGTabColCentred"/>
    <w:basedOn w:val="OGUoM"/>
    <w:semiHidden/>
    <w:rsid w:val="00061F50"/>
    <w:rPr>
      <w:b/>
      <w:lang w:eastAsia="en-AU"/>
    </w:rPr>
  </w:style>
  <w:style w:type="paragraph" w:customStyle="1" w:styleId="OGTabColRight">
    <w:name w:val="OGTabColRight"/>
    <w:basedOn w:val="OGTableofFigures"/>
    <w:semiHidden/>
    <w:rsid w:val="00A14E0E"/>
    <w:rPr>
      <w:b/>
    </w:rPr>
  </w:style>
  <w:style w:type="paragraph" w:customStyle="1" w:styleId="OGTabColLeft">
    <w:name w:val="OGTabColLeft"/>
    <w:basedOn w:val="OGTabColRight"/>
    <w:semiHidden/>
    <w:rsid w:val="00A14E0E"/>
    <w:pPr>
      <w:jc w:val="left"/>
    </w:pPr>
    <w:rPr>
      <w:lang w:eastAsia="en-AU"/>
    </w:rPr>
  </w:style>
  <w:style w:type="paragraph" w:customStyle="1" w:styleId="FrontPage">
    <w:name w:val="Front Page"/>
    <w:basedOn w:val="Normal"/>
    <w:semiHidden/>
    <w:rsid w:val="00867B50"/>
    <w:pPr>
      <w:jc w:val="center"/>
    </w:pPr>
    <w:rPr>
      <w:rFonts w:ascii="Calibri" w:hAnsi="Calibri"/>
      <w:b/>
      <w:sz w:val="52"/>
      <w:szCs w:val="52"/>
    </w:rPr>
  </w:style>
  <w:style w:type="paragraph" w:customStyle="1" w:styleId="FrontPage2">
    <w:name w:val="Front Page 2"/>
    <w:basedOn w:val="FrontPage"/>
    <w:semiHidden/>
    <w:rsid w:val="00867B50"/>
    <w:pPr>
      <w:pBdr>
        <w:bottom w:val="single" w:sz="12" w:space="1" w:color="auto"/>
      </w:pBdr>
    </w:pPr>
  </w:style>
  <w:style w:type="paragraph" w:customStyle="1" w:styleId="FrontPage3">
    <w:name w:val="Front Page 3"/>
    <w:basedOn w:val="Normal"/>
    <w:semiHidden/>
    <w:rsid w:val="00867B50"/>
    <w:pPr>
      <w:jc w:val="center"/>
    </w:pPr>
    <w:rPr>
      <w:rFonts w:ascii="Calibri" w:hAnsi="Calibri"/>
      <w:sz w:val="28"/>
      <w:szCs w:val="28"/>
    </w:rPr>
  </w:style>
  <w:style w:type="paragraph" w:customStyle="1" w:styleId="FrontPageMin">
    <w:name w:val="Front Page Min"/>
    <w:basedOn w:val="Normal"/>
    <w:semiHidden/>
    <w:rsid w:val="00867B50"/>
    <w:pPr>
      <w:jc w:val="center"/>
    </w:pPr>
    <w:rPr>
      <w:rFonts w:ascii="Calibri" w:hAnsi="Calibri"/>
      <w:sz w:val="36"/>
      <w:szCs w:val="36"/>
    </w:rPr>
  </w:style>
  <w:style w:type="paragraph" w:customStyle="1" w:styleId="FrontPageHon">
    <w:name w:val="Front Page Hon"/>
    <w:basedOn w:val="Normal"/>
    <w:semiHidden/>
    <w:rsid w:val="00867B50"/>
    <w:pPr>
      <w:jc w:val="center"/>
    </w:pPr>
    <w:rPr>
      <w:rFonts w:ascii="Calibri" w:hAnsi="Calibri"/>
      <w:sz w:val="30"/>
      <w:szCs w:val="30"/>
    </w:rPr>
  </w:style>
  <w:style w:type="paragraph" w:customStyle="1" w:styleId="FrontPageBP">
    <w:name w:val="Front Page BP"/>
    <w:basedOn w:val="Normal"/>
    <w:semiHidden/>
    <w:rsid w:val="00867B50"/>
    <w:pPr>
      <w:jc w:val="center"/>
    </w:pPr>
    <w:rPr>
      <w:rFonts w:ascii="Calibri" w:hAnsi="Calibri"/>
      <w:b/>
      <w:sz w:val="32"/>
      <w:szCs w:val="32"/>
    </w:rPr>
  </w:style>
  <w:style w:type="paragraph" w:styleId="Index1">
    <w:name w:val="index 1"/>
    <w:basedOn w:val="Normal"/>
    <w:next w:val="Normal"/>
    <w:autoRedefine/>
    <w:semiHidden/>
    <w:rsid w:val="001C1EAD"/>
    <w:pPr>
      <w:spacing w:after="0"/>
      <w:ind w:left="220" w:hanging="220"/>
    </w:pPr>
    <w:rPr>
      <w:sz w:val="18"/>
      <w:szCs w:val="18"/>
    </w:rPr>
  </w:style>
  <w:style w:type="paragraph" w:customStyle="1" w:styleId="OGNotes">
    <w:name w:val="OGNotes"/>
    <w:basedOn w:val="NotesIndent"/>
    <w:semiHidden/>
    <w:rsid w:val="00C24EC3"/>
    <w:pPr>
      <w:spacing w:after="60"/>
      <w:ind w:left="360" w:right="115" w:firstLine="0"/>
    </w:pPr>
    <w:rPr>
      <w:lang w:eastAsia="en-AU"/>
    </w:rPr>
  </w:style>
  <w:style w:type="paragraph" w:customStyle="1" w:styleId="OGNotesIndent">
    <w:name w:val="OGNotesIndent"/>
    <w:basedOn w:val="OGNotes"/>
    <w:semiHidden/>
    <w:rsid w:val="001C0D0F"/>
    <w:pPr>
      <w:ind w:left="720" w:hanging="360"/>
    </w:pPr>
  </w:style>
  <w:style w:type="paragraph" w:styleId="Index2">
    <w:name w:val="index 2"/>
    <w:basedOn w:val="Normal"/>
    <w:next w:val="Normal"/>
    <w:autoRedefine/>
    <w:semiHidden/>
    <w:rsid w:val="001C1EAD"/>
    <w:pPr>
      <w:spacing w:after="0"/>
      <w:ind w:left="440" w:hanging="220"/>
    </w:pPr>
    <w:rPr>
      <w:sz w:val="18"/>
      <w:szCs w:val="18"/>
    </w:rPr>
  </w:style>
  <w:style w:type="paragraph" w:styleId="IndexHeading">
    <w:name w:val="index heading"/>
    <w:basedOn w:val="Normal"/>
    <w:next w:val="Index1"/>
    <w:semiHidden/>
    <w:rsid w:val="001C1EAD"/>
    <w:pPr>
      <w:spacing w:before="240"/>
      <w:jc w:val="center"/>
    </w:pPr>
    <w:rPr>
      <w:b/>
      <w:bCs/>
      <w:sz w:val="26"/>
      <w:szCs w:val="26"/>
    </w:rPr>
  </w:style>
  <w:style w:type="paragraph" w:customStyle="1" w:styleId="HighlightBoxHeading">
    <w:name w:val="Highlight Box Heading"/>
    <w:basedOn w:val="HighlightBoxText"/>
    <w:qFormat/>
    <w:rsid w:val="0000414E"/>
    <w:rPr>
      <w:rFonts w:ascii="Calibri" w:hAnsi="Calibri"/>
      <w:b/>
      <w:sz w:val="21"/>
    </w:rPr>
  </w:style>
  <w:style w:type="paragraph" w:customStyle="1" w:styleId="HighlightBoxText">
    <w:name w:val="Highlight Box Text"/>
    <w:basedOn w:val="HighlightBoxBullet"/>
    <w:qFormat/>
    <w:rsid w:val="00C24EC3"/>
    <w:pPr>
      <w:numPr>
        <w:numId w:val="0"/>
      </w:numPr>
    </w:pPr>
  </w:style>
  <w:style w:type="paragraph" w:customStyle="1" w:styleId="TableofContentscontinued">
    <w:name w:val="Table of Contents continued"/>
    <w:basedOn w:val="Normal"/>
    <w:uiPriority w:val="4"/>
    <w:rsid w:val="000221B3"/>
    <w:pPr>
      <w:keepNext/>
      <w:tabs>
        <w:tab w:val="left" w:pos="1152"/>
      </w:tabs>
      <w:spacing w:before="240"/>
      <w:ind w:left="1152" w:hanging="1152"/>
      <w:outlineLvl w:val="1"/>
    </w:pPr>
    <w:rPr>
      <w:rFonts w:ascii="Calibri" w:hAnsi="Calibri"/>
      <w:b/>
      <w:kern w:val="28"/>
      <w:sz w:val="26"/>
      <w:szCs w:val="22"/>
    </w:rPr>
  </w:style>
  <w:style w:type="character" w:customStyle="1" w:styleId="millionChar">
    <w:name w:val="$million Char"/>
    <w:link w:val="million"/>
    <w:rsid w:val="00AE1F2D"/>
    <w:rPr>
      <w:rFonts w:ascii="Calibri" w:hAnsi="Calibri"/>
      <w:i/>
      <w:sz w:val="18"/>
      <w:szCs w:val="18"/>
      <w:lang w:eastAsia="en-US"/>
    </w:rPr>
  </w:style>
  <w:style w:type="character" w:customStyle="1" w:styleId="TabletextheadingChar">
    <w:name w:val="Table text heading Char"/>
    <w:link w:val="Tabletextheading"/>
    <w:uiPriority w:val="2"/>
    <w:locked/>
    <w:rsid w:val="00746C6E"/>
    <w:rPr>
      <w:rFonts w:ascii="Calibri" w:hAnsi="Calibri"/>
      <w:i/>
      <w:szCs w:val="18"/>
      <w:lang w:eastAsia="en-US"/>
    </w:rPr>
  </w:style>
  <w:style w:type="character" w:customStyle="1" w:styleId="SourceChar">
    <w:name w:val="Source Char"/>
    <w:link w:val="Source"/>
    <w:uiPriority w:val="2"/>
    <w:locked/>
    <w:rsid w:val="00746C6E"/>
    <w:rPr>
      <w:rFonts w:ascii="Calibri" w:hAnsi="Calibri"/>
      <w:i/>
      <w:sz w:val="15"/>
      <w:lang w:eastAsia="en-US"/>
    </w:rPr>
  </w:style>
  <w:style w:type="table" w:customStyle="1" w:styleId="TableDTFfinancialcompact">
    <w:name w:val="Table DTF financial (compact)"/>
    <w:basedOn w:val="TableNormal"/>
    <w:uiPriority w:val="99"/>
    <w:rsid w:val="00B37EF1"/>
    <w:pPr>
      <w:spacing w:before="20" w:after="20"/>
      <w:ind w:left="170" w:hanging="170"/>
      <w:jc w:val="right"/>
    </w:pPr>
    <w:rPr>
      <w:rFonts w:asciiTheme="minorHAnsi" w:eastAsiaTheme="minorHAnsi" w:hAnsiTheme="minorHAnsi" w:cstheme="minorBidi"/>
      <w:spacing w:val="2"/>
      <w:sz w:val="14"/>
      <w:szCs w:val="21"/>
      <w:lang w:eastAsia="en-US"/>
    </w:rPr>
    <w:tblPr>
      <w:tblInd w:w="28" w:type="dxa"/>
      <w:tblBorders>
        <w:bottom w:val="single" w:sz="6" w:space="0" w:color="auto"/>
      </w:tblBorders>
      <w:tblCellMar>
        <w:left w:w="57" w:type="dxa"/>
        <w:right w:w="57" w:type="dxa"/>
      </w:tblCellMar>
    </w:tblPr>
    <w:trPr>
      <w:cantSplit/>
    </w:trPr>
    <w:tblStylePr w:type="firstRow">
      <w:pPr>
        <w:keepNext/>
        <w:keepLines/>
        <w:widowControl/>
        <w:wordWrap/>
        <w:jc w:val="right"/>
      </w:pPr>
      <w:rPr>
        <w:i/>
      </w:rPr>
      <w:tblPr/>
      <w:trPr>
        <w:tblHeader/>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ind w:leftChars="0" w:left="170" w:rightChars="0" w:right="0" w:firstLineChars="0" w:hanging="170"/>
        <w:jc w:val="left"/>
      </w:pPr>
    </w:tblStylePr>
  </w:style>
  <w:style w:type="table" w:customStyle="1" w:styleId="TableDTFGeneral">
    <w:name w:val="Table DTF General"/>
    <w:basedOn w:val="TableNormal"/>
    <w:uiPriority w:val="99"/>
    <w:rsid w:val="00B37EF1"/>
    <w:pPr>
      <w:spacing w:before="20" w:after="20" w:line="264" w:lineRule="auto"/>
      <w:ind w:left="170" w:hanging="170"/>
    </w:pPr>
    <w:rPr>
      <w:rFonts w:asciiTheme="minorHAnsi" w:eastAsiaTheme="minorHAnsi" w:hAnsiTheme="minorHAnsi" w:cstheme="minorBidi"/>
      <w:spacing w:val="4"/>
      <w:sz w:val="17"/>
      <w:szCs w:val="21"/>
      <w:lang w:eastAsia="en-US"/>
    </w:rPr>
    <w:tblPr>
      <w:tblInd w:w="28" w:type="dxa"/>
      <w:tblBorders>
        <w:bottom w:val="single" w:sz="6" w:space="0" w:color="auto"/>
      </w:tblBorders>
      <w:tblCellMar>
        <w:left w:w="57" w:type="dxa"/>
        <w:right w:w="57" w:type="dxa"/>
      </w:tblCellMar>
    </w:tblPr>
    <w:trPr>
      <w:cantSplit/>
    </w:trPr>
    <w:tblStylePr w:type="firstRow">
      <w:rPr>
        <w:i/>
      </w:rPr>
      <w:tblPr/>
      <w:tcPr>
        <w:shd w:val="clear" w:color="auto" w:fill="000000" w:themeFill="text1"/>
      </w:tcPr>
    </w:tblStylePr>
    <w:tblStylePr w:type="lastRow">
      <w:tblPr/>
      <w:tcPr>
        <w:tcBorders>
          <w:top w:val="nil"/>
          <w:left w:val="nil"/>
          <w:bottom w:val="single" w:sz="12" w:space="0" w:color="000000" w:themeColor="text1"/>
          <w:right w:val="nil"/>
          <w:insideH w:val="nil"/>
          <w:insideV w:val="nil"/>
          <w:tl2br w:val="nil"/>
          <w:tr2bl w:val="nil"/>
        </w:tcBorders>
      </w:tcPr>
    </w:tblStylePr>
    <w:tblStylePr w:type="firstCol">
      <w:pPr>
        <w:wordWrap/>
        <w:ind w:leftChars="0" w:left="170" w:rightChars="0" w:right="0" w:firstLineChars="0" w:hanging="170"/>
      </w:pPr>
    </w:tblStylePr>
  </w:style>
  <w:style w:type="character" w:customStyle="1" w:styleId="Heading6Char">
    <w:name w:val="Heading 6 Char"/>
    <w:basedOn w:val="DefaultParagraphFont"/>
    <w:link w:val="Heading6"/>
    <w:rsid w:val="00273B20"/>
    <w:rPr>
      <w:rFonts w:ascii="Calibri" w:eastAsiaTheme="minorEastAsia" w:hAnsi="Calibri" w:cs="Calibri"/>
      <w:b/>
      <w:bCs/>
      <w:color w:val="000000"/>
      <w:sz w:val="19"/>
      <w:szCs w:val="19"/>
    </w:rPr>
  </w:style>
  <w:style w:type="character" w:customStyle="1" w:styleId="Heading7Char">
    <w:name w:val="Heading 7 Char"/>
    <w:basedOn w:val="DefaultParagraphFont"/>
    <w:link w:val="Heading7"/>
    <w:rsid w:val="00273B20"/>
    <w:rPr>
      <w:rFonts w:ascii="Calibri" w:eastAsiaTheme="minorEastAsia" w:hAnsi="Calibri" w:cs="Calibri"/>
      <w:b/>
      <w:bCs/>
      <w:color w:val="000000"/>
      <w:sz w:val="18"/>
      <w:szCs w:val="19"/>
    </w:rPr>
  </w:style>
  <w:style w:type="character" w:customStyle="1" w:styleId="Heading1Char">
    <w:name w:val="Heading 1 Char"/>
    <w:basedOn w:val="DefaultParagraphFont"/>
    <w:link w:val="Heading1"/>
    <w:rsid w:val="00273B20"/>
    <w:rPr>
      <w:rFonts w:ascii="Calibri" w:hAnsi="Calibri"/>
      <w:b/>
      <w:caps/>
      <w:sz w:val="26"/>
      <w:szCs w:val="22"/>
      <w:lang w:eastAsia="en-US"/>
    </w:rPr>
  </w:style>
  <w:style w:type="character" w:customStyle="1" w:styleId="TableheadingChar">
    <w:name w:val="Table heading Char"/>
    <w:link w:val="Tableheading"/>
    <w:rsid w:val="00273B20"/>
    <w:rPr>
      <w:rFonts w:ascii="Calibri" w:hAnsi="Calibri"/>
      <w:b/>
      <w:sz w:val="22"/>
      <w:lang w:eastAsia="en-US"/>
    </w:rPr>
  </w:style>
  <w:style w:type="character" w:customStyle="1" w:styleId="Heading2NotesChar">
    <w:name w:val="Heading 2 Notes Char"/>
    <w:link w:val="Heading2Notes"/>
    <w:rsid w:val="00273B20"/>
    <w:rPr>
      <w:rFonts w:ascii="Calibri" w:hAnsi="Calibri"/>
      <w:b/>
      <w:kern w:val="28"/>
      <w:sz w:val="26"/>
      <w:szCs w:val="22"/>
      <w:lang w:eastAsia="en-US"/>
    </w:rPr>
  </w:style>
  <w:style w:type="character" w:styleId="Hyperlink">
    <w:name w:val="Hyperlink"/>
    <w:uiPriority w:val="99"/>
    <w:unhideWhenUsed/>
    <w:locked/>
    <w:rsid w:val="00273B20"/>
    <w:rPr>
      <w:color w:val="0000FF"/>
      <w:u w:val="single"/>
    </w:rPr>
  </w:style>
  <w:style w:type="paragraph" w:styleId="ListParagraph">
    <w:name w:val="List Paragraph"/>
    <w:basedOn w:val="Normal"/>
    <w:uiPriority w:val="34"/>
    <w:qFormat/>
    <w:rsid w:val="00273B20"/>
    <w:pPr>
      <w:ind w:left="720"/>
      <w:contextualSpacing/>
    </w:pPr>
  </w:style>
  <w:style w:type="character" w:customStyle="1" w:styleId="NotesChar">
    <w:name w:val="Notes Char"/>
    <w:link w:val="Notes"/>
    <w:locked/>
    <w:rsid w:val="00273B20"/>
    <w:rPr>
      <w:rFonts w:ascii="Calibri" w:hAnsi="Calibri"/>
      <w:i/>
      <w:sz w:val="15"/>
      <w:lang w:eastAsia="en-US"/>
    </w:rPr>
  </w:style>
  <w:style w:type="character" w:customStyle="1" w:styleId="TabletextChar">
    <w:name w:val="Table text Char"/>
    <w:link w:val="Tabletext"/>
    <w:uiPriority w:val="2"/>
    <w:rsid w:val="00273B20"/>
    <w:rPr>
      <w:rFonts w:ascii="Calibri" w:hAnsi="Calibri"/>
      <w:sz w:val="19"/>
      <w:szCs w:val="18"/>
      <w:lang w:eastAsia="en-US"/>
    </w:rPr>
  </w:style>
  <w:style w:type="paragraph" w:styleId="BodyText">
    <w:name w:val="Body Text"/>
    <w:basedOn w:val="Normal"/>
    <w:link w:val="BodyTextChar"/>
    <w:locked/>
    <w:rsid w:val="00273B20"/>
  </w:style>
  <w:style w:type="character" w:customStyle="1" w:styleId="BodyTextChar">
    <w:name w:val="Body Text Char"/>
    <w:basedOn w:val="DefaultParagraphFont"/>
    <w:link w:val="BodyText"/>
    <w:rsid w:val="00273B20"/>
    <w:rPr>
      <w:rFonts w:ascii="Garamond" w:hAnsi="Garamond"/>
      <w:sz w:val="22"/>
      <w:lang w:eastAsia="en-US"/>
    </w:rPr>
  </w:style>
  <w:style w:type="character" w:customStyle="1" w:styleId="BulletTextChar">
    <w:name w:val="Bullet Text Char"/>
    <w:link w:val="BulletText"/>
    <w:uiPriority w:val="2"/>
    <w:locked/>
    <w:rsid w:val="00273B20"/>
    <w:rPr>
      <w:rFonts w:ascii="Garamond" w:hAnsi="Garamond"/>
      <w:sz w:val="22"/>
      <w:lang w:eastAsia="en-US"/>
    </w:rPr>
  </w:style>
  <w:style w:type="character" w:customStyle="1" w:styleId="Heading3NumberingChar">
    <w:name w:val="Heading 3 Numbering Char"/>
    <w:link w:val="Heading3Numbering"/>
    <w:rsid w:val="00273B20"/>
    <w:rPr>
      <w:rFonts w:ascii="Calibri" w:hAnsi="Calibri"/>
      <w:b/>
      <w:i/>
      <w:kern w:val="28"/>
      <w:sz w:val="24"/>
      <w:szCs w:val="22"/>
      <w:lang w:eastAsia="en-US"/>
    </w:rPr>
  </w:style>
  <w:style w:type="paragraph" w:customStyle="1" w:styleId="ControlledEntitiesHeading1">
    <w:name w:val="ControlledEntitiesHeading1"/>
    <w:qFormat/>
    <w:rsid w:val="00273B20"/>
    <w:pPr>
      <w:shd w:val="clear" w:color="auto" w:fill="000000" w:themeFill="text1"/>
      <w:jc w:val="center"/>
    </w:pPr>
    <w:rPr>
      <w:rFonts w:asciiTheme="minorHAnsi" w:hAnsiTheme="minorHAnsi" w:cstheme="minorHAnsi"/>
      <w:i/>
      <w:color w:val="FFFFFF" w:themeColor="background1"/>
      <w:sz w:val="22"/>
      <w:szCs w:val="22"/>
    </w:rPr>
  </w:style>
  <w:style w:type="paragraph" w:customStyle="1" w:styleId="ControlledEntitiesHeading2">
    <w:name w:val="ControlledEntitiesHeading2"/>
    <w:qFormat/>
    <w:rsid w:val="00273B20"/>
    <w:pPr>
      <w:shd w:val="clear" w:color="auto" w:fill="D9D9D9" w:themeFill="background1" w:themeFillShade="D9"/>
    </w:pPr>
    <w:rPr>
      <w:rFonts w:ascii="Calibri" w:hAnsi="Calibri"/>
      <w:b/>
      <w:bCs/>
      <w:color w:val="000000" w:themeColor="text1"/>
      <w:sz w:val="18"/>
      <w:szCs w:val="18"/>
    </w:rPr>
  </w:style>
  <w:style w:type="paragraph" w:customStyle="1" w:styleId="Smallline">
    <w:name w:val="Small line"/>
    <w:basedOn w:val="Normal"/>
    <w:qFormat/>
    <w:rsid w:val="00273B20"/>
    <w:pPr>
      <w:shd w:val="clear" w:color="auto" w:fill="FFFFFF" w:themeFill="background1"/>
      <w:spacing w:after="0"/>
    </w:pPr>
    <w:rPr>
      <w:rFonts w:ascii="Calibri" w:hAnsi="Calibri"/>
      <w:b/>
      <w:bCs/>
      <w:color w:val="000000" w:themeColor="text1"/>
      <w:sz w:val="4"/>
      <w:szCs w:val="18"/>
      <w:shd w:val="clear" w:color="auto" w:fill="FFFFFF" w:themeFill="background1"/>
      <w:lang w:eastAsia="en-AU"/>
    </w:rPr>
  </w:style>
  <w:style w:type="paragraph" w:customStyle="1" w:styleId="ControlledEntitiesText">
    <w:name w:val="ControlledEntitiesText"/>
    <w:qFormat/>
    <w:rsid w:val="00273B20"/>
    <w:pPr>
      <w:spacing w:before="20" w:after="20"/>
    </w:pPr>
    <w:rPr>
      <w:rFonts w:ascii="Calibri" w:hAnsi="Calibri"/>
      <w:color w:val="000000" w:themeColor="text1"/>
      <w:sz w:val="18"/>
      <w:szCs w:val="18"/>
    </w:rPr>
  </w:style>
  <w:style w:type="paragraph" w:customStyle="1" w:styleId="ControlledEntitiesDash">
    <w:name w:val="ControlledEntitiesDash"/>
    <w:qFormat/>
    <w:rsid w:val="00273B20"/>
    <w:pPr>
      <w:numPr>
        <w:numId w:val="7"/>
      </w:numPr>
      <w:spacing w:before="20" w:after="20"/>
      <w:ind w:left="216" w:hanging="216"/>
      <w:contextualSpacing/>
    </w:pPr>
    <w:rPr>
      <w:rFonts w:ascii="Calibri" w:hAnsi="Calibri"/>
      <w:iCs/>
      <w:color w:val="000000" w:themeColor="text1"/>
      <w:sz w:val="18"/>
      <w:szCs w:val="18"/>
    </w:rPr>
  </w:style>
  <w:style w:type="paragraph" w:styleId="BalloonText">
    <w:name w:val="Balloon Text"/>
    <w:basedOn w:val="Normal"/>
    <w:link w:val="BalloonTextChar"/>
    <w:semiHidden/>
    <w:locked/>
    <w:rsid w:val="00273B20"/>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273B20"/>
    <w:rPr>
      <w:rFonts w:ascii="Tahoma" w:hAnsi="Tahoma" w:cs="Tahoma"/>
      <w:sz w:val="16"/>
      <w:szCs w:val="16"/>
      <w:lang w:eastAsia="en-US"/>
    </w:rPr>
  </w:style>
  <w:style w:type="paragraph" w:styleId="BodyText2">
    <w:name w:val="Body Text 2"/>
    <w:basedOn w:val="Normal"/>
    <w:link w:val="BodyText2Char"/>
    <w:semiHidden/>
    <w:locked/>
    <w:rsid w:val="00273B20"/>
    <w:rPr>
      <w:sz w:val="21"/>
      <w:szCs w:val="21"/>
      <w:lang w:eastAsia="en-AU"/>
    </w:rPr>
  </w:style>
  <w:style w:type="character" w:customStyle="1" w:styleId="BodyText2Char">
    <w:name w:val="Body Text 2 Char"/>
    <w:basedOn w:val="DefaultParagraphFont"/>
    <w:link w:val="BodyText2"/>
    <w:semiHidden/>
    <w:rsid w:val="00273B20"/>
    <w:rPr>
      <w:rFonts w:ascii="Garamond" w:hAnsi="Garamond"/>
      <w:sz w:val="21"/>
      <w:szCs w:val="21"/>
    </w:rPr>
  </w:style>
  <w:style w:type="paragraph" w:styleId="BodyTextIndent">
    <w:name w:val="Body Text Indent"/>
    <w:basedOn w:val="Normal"/>
    <w:link w:val="BodyTextIndentChar"/>
    <w:semiHidden/>
    <w:locked/>
    <w:rsid w:val="00273B20"/>
    <w:pPr>
      <w:ind w:left="426" w:hanging="426"/>
    </w:pPr>
    <w:rPr>
      <w:sz w:val="20"/>
      <w:lang w:eastAsia="en-AU"/>
    </w:rPr>
  </w:style>
  <w:style w:type="character" w:customStyle="1" w:styleId="BodyTextIndentChar">
    <w:name w:val="Body Text Indent Char"/>
    <w:basedOn w:val="DefaultParagraphFont"/>
    <w:link w:val="BodyTextIndent"/>
    <w:semiHidden/>
    <w:rsid w:val="00273B20"/>
    <w:rPr>
      <w:rFonts w:ascii="Garamond" w:hAnsi="Garamond"/>
    </w:rPr>
  </w:style>
  <w:style w:type="character" w:customStyle="1" w:styleId="left">
    <w:name w:val="left"/>
    <w:basedOn w:val="DefaultParagraphFont"/>
    <w:rsid w:val="00273B20"/>
  </w:style>
  <w:style w:type="character" w:customStyle="1" w:styleId="Heading2Char">
    <w:name w:val="Heading 2 Char"/>
    <w:basedOn w:val="DefaultParagraphFont"/>
    <w:link w:val="Heading2"/>
    <w:rsid w:val="00273B20"/>
    <w:rPr>
      <w:rFonts w:ascii="Calibri" w:hAnsi="Calibri"/>
      <w:b/>
      <w:kern w:val="28"/>
      <w:sz w:val="26"/>
      <w:szCs w:val="22"/>
      <w:lang w:eastAsia="en-US"/>
    </w:rPr>
  </w:style>
  <w:style w:type="character" w:customStyle="1" w:styleId="FooterChar">
    <w:name w:val="Footer Char"/>
    <w:basedOn w:val="DefaultParagraphFont"/>
    <w:link w:val="Footer"/>
    <w:rsid w:val="00273B20"/>
    <w:rPr>
      <w:rFonts w:ascii="Calibri" w:hAnsi="Calibri"/>
      <w:szCs w:val="18"/>
      <w:lang w:eastAsia="en-US"/>
    </w:rPr>
  </w:style>
  <w:style w:type="paragraph" w:styleId="NormalWeb">
    <w:name w:val="Normal (Web)"/>
    <w:basedOn w:val="Normal"/>
    <w:uiPriority w:val="99"/>
    <w:semiHidden/>
    <w:unhideWhenUsed/>
    <w:locked/>
    <w:rsid w:val="00273B20"/>
    <w:pPr>
      <w:spacing w:before="100" w:beforeAutospacing="1" w:after="100" w:afterAutospacing="1"/>
    </w:pPr>
    <w:rPr>
      <w:rFonts w:ascii="Times New Roman" w:eastAsiaTheme="minorEastAsia" w:hAnsi="Times New Roman"/>
      <w:sz w:val="24"/>
      <w:szCs w:val="24"/>
      <w:lang w:eastAsia="en-AU"/>
    </w:rPr>
  </w:style>
  <w:style w:type="paragraph" w:styleId="FootnoteText">
    <w:name w:val="footnote text"/>
    <w:basedOn w:val="Normal"/>
    <w:link w:val="FootnoteTextChar"/>
    <w:uiPriority w:val="5"/>
    <w:semiHidden/>
    <w:locked/>
    <w:rsid w:val="00273B20"/>
    <w:pPr>
      <w:spacing w:after="0"/>
    </w:pPr>
    <w:rPr>
      <w:sz w:val="20"/>
    </w:rPr>
  </w:style>
  <w:style w:type="character" w:customStyle="1" w:styleId="FootnoteTextChar">
    <w:name w:val="Footnote Text Char"/>
    <w:basedOn w:val="DefaultParagraphFont"/>
    <w:link w:val="FootnoteText"/>
    <w:uiPriority w:val="5"/>
    <w:semiHidden/>
    <w:rsid w:val="00273B20"/>
    <w:rPr>
      <w:rFonts w:ascii="Garamond" w:hAnsi="Garamond"/>
      <w:lang w:eastAsia="en-US"/>
    </w:rPr>
  </w:style>
  <w:style w:type="character" w:styleId="FootnoteReference">
    <w:name w:val="footnote reference"/>
    <w:basedOn w:val="DefaultParagraphFont"/>
    <w:uiPriority w:val="5"/>
    <w:semiHidden/>
    <w:locked/>
    <w:rsid w:val="00273B20"/>
    <w:rPr>
      <w:vertAlign w:val="superscript"/>
    </w:rPr>
  </w:style>
  <w:style w:type="character" w:customStyle="1" w:styleId="DashTextChar">
    <w:name w:val="Dash Text Char"/>
    <w:link w:val="DashText"/>
    <w:uiPriority w:val="2"/>
    <w:locked/>
    <w:rsid w:val="00273B20"/>
    <w:rPr>
      <w:rFonts w:ascii="Garamond" w:hAnsi="Garamond"/>
      <w:sz w:val="22"/>
      <w:lang w:eastAsia="en-US"/>
    </w:rPr>
  </w:style>
  <w:style w:type="character" w:customStyle="1" w:styleId="Heading3Char">
    <w:name w:val="Heading 3 Char"/>
    <w:basedOn w:val="DefaultParagraphFont"/>
    <w:link w:val="Heading3"/>
    <w:rsid w:val="00273B20"/>
    <w:rPr>
      <w:rFonts w:ascii="Calibri" w:hAnsi="Calibri"/>
      <w:b/>
      <w:i/>
      <w:kern w:val="28"/>
      <w:sz w:val="24"/>
      <w:szCs w:val="22"/>
      <w:lang w:eastAsia="en-US"/>
    </w:rPr>
  </w:style>
  <w:style w:type="character" w:customStyle="1" w:styleId="Heading8Char">
    <w:name w:val="Heading 8 Char"/>
    <w:basedOn w:val="DefaultParagraphFont"/>
    <w:link w:val="Heading8"/>
    <w:rsid w:val="00C3707F"/>
    <w:rPr>
      <w:rFonts w:ascii="Calibri" w:eastAsiaTheme="minorEastAsia" w:hAnsi="Calibri" w:cs="Calibri"/>
      <w:b/>
      <w:bCs/>
      <w:color w:val="000000"/>
      <w:sz w:val="19"/>
      <w:szCs w:val="19"/>
    </w:rPr>
  </w:style>
  <w:style w:type="character" w:customStyle="1" w:styleId="Heading9Char">
    <w:name w:val="Heading 9 Char"/>
    <w:basedOn w:val="DefaultParagraphFont"/>
    <w:link w:val="Heading9"/>
    <w:rsid w:val="00C558E9"/>
    <w:rPr>
      <w:rFonts w:ascii="Calibri" w:eastAsiaTheme="minorEastAsia" w:hAnsi="Calibri" w:cs="Calibri"/>
      <w:b/>
      <w:bCs/>
      <w:color w:val="000000"/>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7.png"/><Relationship Id="rId26" Type="http://schemas.openxmlformats.org/officeDocument/2006/relationships/header" Target="header3.xml"/><Relationship Id="rId39" Type="http://schemas.openxmlformats.org/officeDocument/2006/relationships/footer" Target="footer18.xml"/><Relationship Id="rId21" Type="http://schemas.openxmlformats.org/officeDocument/2006/relationships/footer" Target="footer6.xml"/><Relationship Id="rId34" Type="http://schemas.openxmlformats.org/officeDocument/2006/relationships/header" Target="header6.xml"/><Relationship Id="rId42" Type="http://schemas.openxmlformats.org/officeDocument/2006/relationships/footer" Target="footer21.xml"/><Relationship Id="rId47" Type="http://schemas.openxmlformats.org/officeDocument/2006/relationships/footer" Target="footer26.xml"/><Relationship Id="rId50" Type="http://schemas.openxmlformats.org/officeDocument/2006/relationships/footer" Target="footer29.xml"/><Relationship Id="rId55" Type="http://schemas.openxmlformats.org/officeDocument/2006/relationships/footer" Target="footer34.xml"/><Relationship Id="rId63" Type="http://schemas.openxmlformats.org/officeDocument/2006/relationships/footer" Target="footer38.xml"/><Relationship Id="rId68" Type="http://schemas.openxmlformats.org/officeDocument/2006/relationships/footer" Target="footer43.xml"/><Relationship Id="rId76" Type="http://schemas.openxmlformats.org/officeDocument/2006/relationships/footer" Target="footer50.xml"/><Relationship Id="rId7" Type="http://schemas.openxmlformats.org/officeDocument/2006/relationships/endnotes" Target="endnotes.xml"/><Relationship Id="rId71" Type="http://schemas.openxmlformats.org/officeDocument/2006/relationships/footer" Target="footer46.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footer" Target="footer11.xml"/><Relationship Id="rId11" Type="http://schemas.openxmlformats.org/officeDocument/2006/relationships/image" Target="media/image2.png"/><Relationship Id="rId24" Type="http://schemas.openxmlformats.org/officeDocument/2006/relationships/footer" Target="footer7.xml"/><Relationship Id="rId32" Type="http://schemas.openxmlformats.org/officeDocument/2006/relationships/footer" Target="footer12.xml"/><Relationship Id="rId37" Type="http://schemas.openxmlformats.org/officeDocument/2006/relationships/footer" Target="footer16.xml"/><Relationship Id="rId40" Type="http://schemas.openxmlformats.org/officeDocument/2006/relationships/footer" Target="footer19.xml"/><Relationship Id="rId45" Type="http://schemas.openxmlformats.org/officeDocument/2006/relationships/footer" Target="footer24.xml"/><Relationship Id="rId53" Type="http://schemas.openxmlformats.org/officeDocument/2006/relationships/footer" Target="footer32.xml"/><Relationship Id="rId58" Type="http://schemas.openxmlformats.org/officeDocument/2006/relationships/image" Target="media/image11.emf"/><Relationship Id="rId66" Type="http://schemas.openxmlformats.org/officeDocument/2006/relationships/footer" Target="footer41.xml"/><Relationship Id="rId74" Type="http://schemas.openxmlformats.org/officeDocument/2006/relationships/footer" Target="footer48.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oter" Target="footer10.xml"/><Relationship Id="rId36" Type="http://schemas.openxmlformats.org/officeDocument/2006/relationships/footer" Target="footer15.xml"/><Relationship Id="rId49" Type="http://schemas.openxmlformats.org/officeDocument/2006/relationships/footer" Target="footer28.xml"/><Relationship Id="rId57" Type="http://schemas.openxmlformats.org/officeDocument/2006/relationships/image" Target="media/image10.emf"/><Relationship Id="rId61" Type="http://schemas.openxmlformats.org/officeDocument/2006/relationships/image" Target="media/image12.emf"/><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header" Target="header5.xml"/><Relationship Id="rId44" Type="http://schemas.openxmlformats.org/officeDocument/2006/relationships/footer" Target="footer23.xml"/><Relationship Id="rId52" Type="http://schemas.openxmlformats.org/officeDocument/2006/relationships/footer" Target="footer31.xml"/><Relationship Id="rId60" Type="http://schemas.openxmlformats.org/officeDocument/2006/relationships/footer" Target="footer36.xml"/><Relationship Id="rId65" Type="http://schemas.openxmlformats.org/officeDocument/2006/relationships/footer" Target="footer40.xml"/><Relationship Id="rId73" Type="http://schemas.openxmlformats.org/officeDocument/2006/relationships/footer" Target="footer47.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9.xml"/><Relationship Id="rId30" Type="http://schemas.openxmlformats.org/officeDocument/2006/relationships/header" Target="header4.xml"/><Relationship Id="rId35" Type="http://schemas.openxmlformats.org/officeDocument/2006/relationships/footer" Target="footer14.xml"/><Relationship Id="rId43" Type="http://schemas.openxmlformats.org/officeDocument/2006/relationships/footer" Target="footer22.xml"/><Relationship Id="rId48" Type="http://schemas.openxmlformats.org/officeDocument/2006/relationships/footer" Target="footer27.xml"/><Relationship Id="rId56" Type="http://schemas.openxmlformats.org/officeDocument/2006/relationships/image" Target="media/image9.emf"/><Relationship Id="rId64" Type="http://schemas.openxmlformats.org/officeDocument/2006/relationships/footer" Target="footer39.xml"/><Relationship Id="rId69" Type="http://schemas.openxmlformats.org/officeDocument/2006/relationships/footer" Target="footer44.xml"/><Relationship Id="rId77"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footer" Target="footer30.xml"/><Relationship Id="rId72" Type="http://schemas.openxmlformats.org/officeDocument/2006/relationships/hyperlink" Target="http://www.dtf.vic.gov.au/Publications/Government-Financial-Management-publications/DTF-glossary-for-budget-and-financial-reports" TargetMode="External"/><Relationship Id="rId3" Type="http://schemas.microsoft.com/office/2007/relationships/stylesWithEffects" Target="stylesWithEffect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footer" Target="footer8.xml"/><Relationship Id="rId33" Type="http://schemas.openxmlformats.org/officeDocument/2006/relationships/footer" Target="footer13.xml"/><Relationship Id="rId38" Type="http://schemas.openxmlformats.org/officeDocument/2006/relationships/footer" Target="footer17.xml"/><Relationship Id="rId46" Type="http://schemas.openxmlformats.org/officeDocument/2006/relationships/footer" Target="footer25.xml"/><Relationship Id="rId59" Type="http://schemas.openxmlformats.org/officeDocument/2006/relationships/footer" Target="footer35.xml"/><Relationship Id="rId67" Type="http://schemas.openxmlformats.org/officeDocument/2006/relationships/footer" Target="footer42.xml"/><Relationship Id="rId20" Type="http://schemas.openxmlformats.org/officeDocument/2006/relationships/footer" Target="footer5.xml"/><Relationship Id="rId41" Type="http://schemas.openxmlformats.org/officeDocument/2006/relationships/footer" Target="footer20.xml"/><Relationship Id="rId54" Type="http://schemas.openxmlformats.org/officeDocument/2006/relationships/footer" Target="footer33.xml"/><Relationship Id="rId62" Type="http://schemas.openxmlformats.org/officeDocument/2006/relationships/footer" Target="footer37.xml"/><Relationship Id="rId70" Type="http://schemas.openxmlformats.org/officeDocument/2006/relationships/footer" Target="footer45.xml"/><Relationship Id="rId75"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56495</Words>
  <Characters>322027</Characters>
  <Application>Microsoft Office Word</Application>
  <DocSecurity>0</DocSecurity>
  <Lines>2683</Lines>
  <Paragraphs>755</Paragraphs>
  <ScaleCrop>false</ScaleCrop>
  <HeadingPairs>
    <vt:vector size="2" baseType="variant">
      <vt:variant>
        <vt:lpstr>Title</vt:lpstr>
      </vt:variant>
      <vt:variant>
        <vt:i4>1</vt:i4>
      </vt:variant>
    </vt:vector>
  </HeadingPairs>
  <TitlesOfParts>
    <vt:vector size="1" baseType="lpstr">
      <vt:lpstr>Budget Paper 5: Statement of Finances 2016-17</vt:lpstr>
    </vt:vector>
  </TitlesOfParts>
  <LinksUpToDate>false</LinksUpToDate>
  <CharactersWithSpaces>377767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Paper 5: Statement of Finances 2016-17</dc:title>
  <dc:creator/>
  <cp:lastModifiedBy/>
  <cp:revision>1</cp:revision>
  <dcterms:created xsi:type="dcterms:W3CDTF">2016-04-26T02:41:00Z</dcterms:created>
  <dcterms:modified xsi:type="dcterms:W3CDTF">2016-04-26T02:41:00Z</dcterms:modified>
</cp:coreProperties>
</file>