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C3B86" w14:textId="77777777" w:rsidR="00045296" w:rsidRPr="00204DF7" w:rsidRDefault="00204DF7" w:rsidP="006212CF">
      <w:pPr>
        <w:pStyle w:val="TOCHeading"/>
        <w:rPr>
          <w:sz w:val="44"/>
          <w:szCs w:val="44"/>
        </w:rPr>
      </w:pPr>
      <w:bookmarkStart w:id="0" w:name="_Toc442780672"/>
      <w:r w:rsidRPr="00204DF7">
        <w:rPr>
          <w:sz w:val="44"/>
          <w:szCs w:val="44"/>
        </w:rPr>
        <w:t>AMAF Guidance note – Intangible assets</w:t>
      </w:r>
    </w:p>
    <w:p w14:paraId="4FA45D25" w14:textId="77777777" w:rsidR="00EA0439" w:rsidRDefault="00EA0439" w:rsidP="00593B38">
      <w:pPr>
        <w:spacing w:before="0" w:after="0"/>
      </w:pPr>
    </w:p>
    <w:p w14:paraId="6F9629A2" w14:textId="77777777" w:rsidR="004946C9" w:rsidRPr="00260667" w:rsidRDefault="004946C9" w:rsidP="00524AE3">
      <w:pPr>
        <w:pStyle w:val="TOCHeading"/>
      </w:pPr>
      <w:r w:rsidRPr="00524AE3">
        <w:t>Contents</w:t>
      </w:r>
    </w:p>
    <w:p w14:paraId="68CC80FC" w14:textId="52B30998" w:rsidR="00CC443B" w:rsidRDefault="004946C9">
      <w:pPr>
        <w:pStyle w:val="TOC1"/>
        <w:rPr>
          <w:color w:val="auto"/>
          <w:spacing w:val="0"/>
          <w:sz w:val="22"/>
          <w:szCs w:val="22"/>
        </w:rPr>
      </w:pPr>
      <w:r>
        <w:fldChar w:fldCharType="begin"/>
      </w:r>
      <w:r>
        <w:instrText xml:space="preserve"> TOC \o "1-2" \h \z \u </w:instrText>
      </w:r>
      <w:r>
        <w:fldChar w:fldCharType="separate"/>
      </w:r>
      <w:hyperlink w:anchor="_Toc529885090" w:history="1">
        <w:r w:rsidR="00CC443B" w:rsidRPr="00F767A8">
          <w:rPr>
            <w:rStyle w:val="Hyperlink"/>
          </w:rPr>
          <w:t>1.</w:t>
        </w:r>
        <w:r w:rsidR="00CC443B">
          <w:rPr>
            <w:color w:val="auto"/>
            <w:spacing w:val="0"/>
            <w:sz w:val="22"/>
            <w:szCs w:val="22"/>
          </w:rPr>
          <w:tab/>
        </w:r>
        <w:r w:rsidR="00CC443B" w:rsidRPr="00F767A8">
          <w:rPr>
            <w:rStyle w:val="Hyperlink"/>
          </w:rPr>
          <w:t>Introduction</w:t>
        </w:r>
        <w:r w:rsidR="00CC443B">
          <w:rPr>
            <w:webHidden/>
          </w:rPr>
          <w:tab/>
        </w:r>
        <w:r w:rsidR="00CC443B">
          <w:rPr>
            <w:webHidden/>
          </w:rPr>
          <w:fldChar w:fldCharType="begin"/>
        </w:r>
        <w:r w:rsidR="00CC443B">
          <w:rPr>
            <w:webHidden/>
          </w:rPr>
          <w:instrText xml:space="preserve"> PAGEREF _Toc529885090 \h </w:instrText>
        </w:r>
        <w:r w:rsidR="00CC443B">
          <w:rPr>
            <w:webHidden/>
          </w:rPr>
        </w:r>
        <w:r w:rsidR="00CC443B">
          <w:rPr>
            <w:webHidden/>
          </w:rPr>
          <w:fldChar w:fldCharType="separate"/>
        </w:r>
        <w:r w:rsidR="00CC443B">
          <w:rPr>
            <w:webHidden/>
          </w:rPr>
          <w:t>2</w:t>
        </w:r>
        <w:r w:rsidR="00CC443B">
          <w:rPr>
            <w:webHidden/>
          </w:rPr>
          <w:fldChar w:fldCharType="end"/>
        </w:r>
      </w:hyperlink>
    </w:p>
    <w:p w14:paraId="087D22A2" w14:textId="6BD5B00C" w:rsidR="00CC443B" w:rsidRDefault="009A59C4">
      <w:pPr>
        <w:pStyle w:val="TOC1"/>
        <w:rPr>
          <w:color w:val="auto"/>
          <w:spacing w:val="0"/>
          <w:sz w:val="22"/>
          <w:szCs w:val="22"/>
        </w:rPr>
      </w:pPr>
      <w:hyperlink w:anchor="_Toc529885091" w:history="1">
        <w:r w:rsidR="00CC443B" w:rsidRPr="00F767A8">
          <w:rPr>
            <w:rStyle w:val="Hyperlink"/>
          </w:rPr>
          <w:t>2.</w:t>
        </w:r>
        <w:r w:rsidR="00CC443B">
          <w:rPr>
            <w:color w:val="auto"/>
            <w:spacing w:val="0"/>
            <w:sz w:val="22"/>
            <w:szCs w:val="22"/>
          </w:rPr>
          <w:tab/>
        </w:r>
        <w:r w:rsidR="00CC443B" w:rsidRPr="00F767A8">
          <w:rPr>
            <w:rStyle w:val="Hyperlink"/>
          </w:rPr>
          <w:t>What are intangible assets?</w:t>
        </w:r>
        <w:r w:rsidR="00CC443B">
          <w:rPr>
            <w:webHidden/>
          </w:rPr>
          <w:tab/>
        </w:r>
        <w:r w:rsidR="00CC443B">
          <w:rPr>
            <w:webHidden/>
          </w:rPr>
          <w:fldChar w:fldCharType="begin"/>
        </w:r>
        <w:r w:rsidR="00CC443B">
          <w:rPr>
            <w:webHidden/>
          </w:rPr>
          <w:instrText xml:space="preserve"> PAGEREF _Toc529885091 \h </w:instrText>
        </w:r>
        <w:r w:rsidR="00CC443B">
          <w:rPr>
            <w:webHidden/>
          </w:rPr>
        </w:r>
        <w:r w:rsidR="00CC443B">
          <w:rPr>
            <w:webHidden/>
          </w:rPr>
          <w:fldChar w:fldCharType="separate"/>
        </w:r>
        <w:r w:rsidR="00CC443B">
          <w:rPr>
            <w:webHidden/>
          </w:rPr>
          <w:t>2</w:t>
        </w:r>
        <w:r w:rsidR="00CC443B">
          <w:rPr>
            <w:webHidden/>
          </w:rPr>
          <w:fldChar w:fldCharType="end"/>
        </w:r>
      </w:hyperlink>
    </w:p>
    <w:p w14:paraId="43A66795" w14:textId="3629B185" w:rsidR="00CC443B" w:rsidRDefault="009A59C4">
      <w:pPr>
        <w:pStyle w:val="TOC2"/>
        <w:tabs>
          <w:tab w:val="left" w:pos="1080"/>
        </w:tabs>
        <w:rPr>
          <w:spacing w:val="0"/>
          <w:sz w:val="22"/>
          <w:szCs w:val="22"/>
        </w:rPr>
      </w:pPr>
      <w:hyperlink w:anchor="_Toc529885092" w:history="1">
        <w:r w:rsidR="00CC443B" w:rsidRPr="00F767A8">
          <w:rPr>
            <w:rStyle w:val="Hyperlink"/>
          </w:rPr>
          <w:t>2.1</w:t>
        </w:r>
        <w:r w:rsidR="00CC443B">
          <w:rPr>
            <w:spacing w:val="0"/>
            <w:sz w:val="22"/>
            <w:szCs w:val="22"/>
          </w:rPr>
          <w:tab/>
        </w:r>
        <w:r w:rsidR="00CC443B" w:rsidRPr="00F767A8">
          <w:rPr>
            <w:rStyle w:val="Hyperlink"/>
          </w:rPr>
          <w:t>Identifying and classifying intangible assets</w:t>
        </w:r>
        <w:r w:rsidR="00CC443B">
          <w:rPr>
            <w:webHidden/>
          </w:rPr>
          <w:tab/>
        </w:r>
        <w:r w:rsidR="00CC443B">
          <w:rPr>
            <w:webHidden/>
          </w:rPr>
          <w:fldChar w:fldCharType="begin"/>
        </w:r>
        <w:r w:rsidR="00CC443B">
          <w:rPr>
            <w:webHidden/>
          </w:rPr>
          <w:instrText xml:space="preserve"> PAGEREF _Toc529885092 \h </w:instrText>
        </w:r>
        <w:r w:rsidR="00CC443B">
          <w:rPr>
            <w:webHidden/>
          </w:rPr>
        </w:r>
        <w:r w:rsidR="00CC443B">
          <w:rPr>
            <w:webHidden/>
          </w:rPr>
          <w:fldChar w:fldCharType="separate"/>
        </w:r>
        <w:r w:rsidR="00CC443B">
          <w:rPr>
            <w:webHidden/>
          </w:rPr>
          <w:t>2</w:t>
        </w:r>
        <w:r w:rsidR="00CC443B">
          <w:rPr>
            <w:webHidden/>
          </w:rPr>
          <w:fldChar w:fldCharType="end"/>
        </w:r>
      </w:hyperlink>
    </w:p>
    <w:p w14:paraId="61E0AAF3" w14:textId="4C6B1241" w:rsidR="00CC443B" w:rsidRDefault="009A59C4">
      <w:pPr>
        <w:pStyle w:val="TOC2"/>
        <w:tabs>
          <w:tab w:val="left" w:pos="1080"/>
        </w:tabs>
        <w:rPr>
          <w:spacing w:val="0"/>
          <w:sz w:val="22"/>
          <w:szCs w:val="22"/>
        </w:rPr>
      </w:pPr>
      <w:hyperlink w:anchor="_Toc529885093" w:history="1">
        <w:r w:rsidR="00CC443B" w:rsidRPr="00F767A8">
          <w:rPr>
            <w:rStyle w:val="Hyperlink"/>
          </w:rPr>
          <w:t>2.2</w:t>
        </w:r>
        <w:r w:rsidR="00CC443B">
          <w:rPr>
            <w:spacing w:val="0"/>
            <w:sz w:val="22"/>
            <w:szCs w:val="22"/>
          </w:rPr>
          <w:tab/>
        </w:r>
        <w:r w:rsidR="00CC443B" w:rsidRPr="00F767A8">
          <w:rPr>
            <w:rStyle w:val="Hyperlink"/>
          </w:rPr>
          <w:t>Definition of an intangible asset</w:t>
        </w:r>
        <w:r w:rsidR="00CC443B">
          <w:rPr>
            <w:webHidden/>
          </w:rPr>
          <w:tab/>
        </w:r>
        <w:r w:rsidR="00CC443B">
          <w:rPr>
            <w:webHidden/>
          </w:rPr>
          <w:fldChar w:fldCharType="begin"/>
        </w:r>
        <w:r w:rsidR="00CC443B">
          <w:rPr>
            <w:webHidden/>
          </w:rPr>
          <w:instrText xml:space="preserve"> PAGEREF _Toc529885093 \h </w:instrText>
        </w:r>
        <w:r w:rsidR="00CC443B">
          <w:rPr>
            <w:webHidden/>
          </w:rPr>
        </w:r>
        <w:r w:rsidR="00CC443B">
          <w:rPr>
            <w:webHidden/>
          </w:rPr>
          <w:fldChar w:fldCharType="separate"/>
        </w:r>
        <w:r w:rsidR="00CC443B">
          <w:rPr>
            <w:webHidden/>
          </w:rPr>
          <w:t>3</w:t>
        </w:r>
        <w:r w:rsidR="00CC443B">
          <w:rPr>
            <w:webHidden/>
          </w:rPr>
          <w:fldChar w:fldCharType="end"/>
        </w:r>
      </w:hyperlink>
    </w:p>
    <w:p w14:paraId="030B14BB" w14:textId="5A2C4329" w:rsidR="00CC443B" w:rsidRDefault="009A59C4">
      <w:pPr>
        <w:pStyle w:val="TOC2"/>
        <w:tabs>
          <w:tab w:val="left" w:pos="1080"/>
        </w:tabs>
        <w:rPr>
          <w:spacing w:val="0"/>
          <w:sz w:val="22"/>
          <w:szCs w:val="22"/>
        </w:rPr>
      </w:pPr>
      <w:hyperlink w:anchor="_Toc529885094" w:history="1">
        <w:r w:rsidR="00CC443B" w:rsidRPr="00F767A8">
          <w:rPr>
            <w:rStyle w:val="Hyperlink"/>
          </w:rPr>
          <w:t>2.3</w:t>
        </w:r>
        <w:r w:rsidR="00CC443B">
          <w:rPr>
            <w:spacing w:val="0"/>
            <w:sz w:val="22"/>
            <w:szCs w:val="22"/>
          </w:rPr>
          <w:tab/>
        </w:r>
        <w:r w:rsidR="00CC443B" w:rsidRPr="00F767A8">
          <w:rPr>
            <w:rStyle w:val="Hyperlink"/>
          </w:rPr>
          <w:t>Recognition criteria</w:t>
        </w:r>
        <w:r w:rsidR="00CC443B">
          <w:rPr>
            <w:webHidden/>
          </w:rPr>
          <w:tab/>
        </w:r>
        <w:r w:rsidR="00CC443B">
          <w:rPr>
            <w:webHidden/>
          </w:rPr>
          <w:fldChar w:fldCharType="begin"/>
        </w:r>
        <w:r w:rsidR="00CC443B">
          <w:rPr>
            <w:webHidden/>
          </w:rPr>
          <w:instrText xml:space="preserve"> PAGEREF _Toc529885094 \h </w:instrText>
        </w:r>
        <w:r w:rsidR="00CC443B">
          <w:rPr>
            <w:webHidden/>
          </w:rPr>
        </w:r>
        <w:r w:rsidR="00CC443B">
          <w:rPr>
            <w:webHidden/>
          </w:rPr>
          <w:fldChar w:fldCharType="separate"/>
        </w:r>
        <w:r w:rsidR="00CC443B">
          <w:rPr>
            <w:webHidden/>
          </w:rPr>
          <w:t>3</w:t>
        </w:r>
        <w:r w:rsidR="00CC443B">
          <w:rPr>
            <w:webHidden/>
          </w:rPr>
          <w:fldChar w:fldCharType="end"/>
        </w:r>
      </w:hyperlink>
    </w:p>
    <w:p w14:paraId="5B27055A" w14:textId="1EC45CE8" w:rsidR="00CC443B" w:rsidRDefault="009A59C4">
      <w:pPr>
        <w:pStyle w:val="TOC2"/>
        <w:tabs>
          <w:tab w:val="left" w:pos="1080"/>
        </w:tabs>
        <w:rPr>
          <w:spacing w:val="0"/>
          <w:sz w:val="22"/>
          <w:szCs w:val="22"/>
        </w:rPr>
      </w:pPr>
      <w:hyperlink w:anchor="_Toc529885095" w:history="1">
        <w:r w:rsidR="00CC443B" w:rsidRPr="00F767A8">
          <w:rPr>
            <w:rStyle w:val="Hyperlink"/>
          </w:rPr>
          <w:t>2.4</w:t>
        </w:r>
        <w:r w:rsidR="00CC443B">
          <w:rPr>
            <w:spacing w:val="0"/>
            <w:sz w:val="22"/>
            <w:szCs w:val="22"/>
          </w:rPr>
          <w:tab/>
        </w:r>
        <w:r w:rsidR="00CC443B" w:rsidRPr="00F767A8">
          <w:rPr>
            <w:rStyle w:val="Hyperlink"/>
          </w:rPr>
          <w:t>Categories and examples of intangible assets</w:t>
        </w:r>
        <w:r w:rsidR="00CC443B">
          <w:rPr>
            <w:webHidden/>
          </w:rPr>
          <w:tab/>
        </w:r>
        <w:r w:rsidR="00CC443B">
          <w:rPr>
            <w:webHidden/>
          </w:rPr>
          <w:fldChar w:fldCharType="begin"/>
        </w:r>
        <w:r w:rsidR="00CC443B">
          <w:rPr>
            <w:webHidden/>
          </w:rPr>
          <w:instrText xml:space="preserve"> PAGEREF _Toc529885095 \h </w:instrText>
        </w:r>
        <w:r w:rsidR="00CC443B">
          <w:rPr>
            <w:webHidden/>
          </w:rPr>
        </w:r>
        <w:r w:rsidR="00CC443B">
          <w:rPr>
            <w:webHidden/>
          </w:rPr>
          <w:fldChar w:fldCharType="separate"/>
        </w:r>
        <w:r w:rsidR="00CC443B">
          <w:rPr>
            <w:webHidden/>
          </w:rPr>
          <w:t>4</w:t>
        </w:r>
        <w:r w:rsidR="00CC443B">
          <w:rPr>
            <w:webHidden/>
          </w:rPr>
          <w:fldChar w:fldCharType="end"/>
        </w:r>
      </w:hyperlink>
    </w:p>
    <w:p w14:paraId="0305291D" w14:textId="71A109F9" w:rsidR="00CC443B" w:rsidRDefault="009A59C4">
      <w:pPr>
        <w:pStyle w:val="TOC1"/>
        <w:rPr>
          <w:color w:val="auto"/>
          <w:spacing w:val="0"/>
          <w:sz w:val="22"/>
          <w:szCs w:val="22"/>
        </w:rPr>
      </w:pPr>
      <w:hyperlink w:anchor="_Toc529885096" w:history="1">
        <w:r w:rsidR="00CC443B" w:rsidRPr="00F767A8">
          <w:rPr>
            <w:rStyle w:val="Hyperlink"/>
          </w:rPr>
          <w:t>3.</w:t>
        </w:r>
        <w:r w:rsidR="00CC443B">
          <w:rPr>
            <w:color w:val="auto"/>
            <w:spacing w:val="0"/>
            <w:sz w:val="22"/>
            <w:szCs w:val="22"/>
          </w:rPr>
          <w:tab/>
        </w:r>
        <w:r w:rsidR="00CC443B" w:rsidRPr="00F767A8">
          <w:rPr>
            <w:rStyle w:val="Hyperlink"/>
          </w:rPr>
          <w:t>Items not recognised as intangible assets</w:t>
        </w:r>
        <w:r w:rsidR="00CC443B">
          <w:rPr>
            <w:webHidden/>
          </w:rPr>
          <w:tab/>
        </w:r>
        <w:r w:rsidR="00CC443B">
          <w:rPr>
            <w:webHidden/>
          </w:rPr>
          <w:fldChar w:fldCharType="begin"/>
        </w:r>
        <w:r w:rsidR="00CC443B">
          <w:rPr>
            <w:webHidden/>
          </w:rPr>
          <w:instrText xml:space="preserve"> PAGEREF _Toc529885096 \h </w:instrText>
        </w:r>
        <w:r w:rsidR="00CC443B">
          <w:rPr>
            <w:webHidden/>
          </w:rPr>
        </w:r>
        <w:r w:rsidR="00CC443B">
          <w:rPr>
            <w:webHidden/>
          </w:rPr>
          <w:fldChar w:fldCharType="separate"/>
        </w:r>
        <w:r w:rsidR="00CC443B">
          <w:rPr>
            <w:webHidden/>
          </w:rPr>
          <w:t>5</w:t>
        </w:r>
        <w:r w:rsidR="00CC443B">
          <w:rPr>
            <w:webHidden/>
          </w:rPr>
          <w:fldChar w:fldCharType="end"/>
        </w:r>
      </w:hyperlink>
    </w:p>
    <w:p w14:paraId="7806F8BA" w14:textId="715164A1" w:rsidR="00CC443B" w:rsidRDefault="009A59C4">
      <w:pPr>
        <w:pStyle w:val="TOC1"/>
        <w:rPr>
          <w:color w:val="auto"/>
          <w:spacing w:val="0"/>
          <w:sz w:val="22"/>
          <w:szCs w:val="22"/>
        </w:rPr>
      </w:pPr>
      <w:hyperlink w:anchor="_Toc529885097" w:history="1">
        <w:r w:rsidR="00CC443B" w:rsidRPr="00F767A8">
          <w:rPr>
            <w:rStyle w:val="Hyperlink"/>
          </w:rPr>
          <w:t>4.</w:t>
        </w:r>
        <w:r w:rsidR="00CC443B">
          <w:rPr>
            <w:color w:val="auto"/>
            <w:spacing w:val="0"/>
            <w:sz w:val="22"/>
            <w:szCs w:val="22"/>
          </w:rPr>
          <w:tab/>
        </w:r>
        <w:r w:rsidR="00CC443B" w:rsidRPr="00F767A8">
          <w:rPr>
            <w:rStyle w:val="Hyperlink"/>
          </w:rPr>
          <w:t>How the AMAF applies to intangible assets</w:t>
        </w:r>
        <w:r w:rsidR="00CC443B">
          <w:rPr>
            <w:webHidden/>
          </w:rPr>
          <w:tab/>
        </w:r>
        <w:r w:rsidR="00CC443B">
          <w:rPr>
            <w:webHidden/>
          </w:rPr>
          <w:fldChar w:fldCharType="begin"/>
        </w:r>
        <w:r w:rsidR="00CC443B">
          <w:rPr>
            <w:webHidden/>
          </w:rPr>
          <w:instrText xml:space="preserve"> PAGEREF _Toc529885097 \h </w:instrText>
        </w:r>
        <w:r w:rsidR="00CC443B">
          <w:rPr>
            <w:webHidden/>
          </w:rPr>
        </w:r>
        <w:r w:rsidR="00CC443B">
          <w:rPr>
            <w:webHidden/>
          </w:rPr>
          <w:fldChar w:fldCharType="separate"/>
        </w:r>
        <w:r w:rsidR="00CC443B">
          <w:rPr>
            <w:webHidden/>
          </w:rPr>
          <w:t>5</w:t>
        </w:r>
        <w:r w:rsidR="00CC443B">
          <w:rPr>
            <w:webHidden/>
          </w:rPr>
          <w:fldChar w:fldCharType="end"/>
        </w:r>
      </w:hyperlink>
    </w:p>
    <w:p w14:paraId="3E80E472" w14:textId="347A5F74" w:rsidR="00CC443B" w:rsidRDefault="009A59C4">
      <w:pPr>
        <w:pStyle w:val="TOC2"/>
        <w:tabs>
          <w:tab w:val="left" w:pos="1080"/>
        </w:tabs>
        <w:rPr>
          <w:spacing w:val="0"/>
          <w:sz w:val="22"/>
          <w:szCs w:val="22"/>
        </w:rPr>
      </w:pPr>
      <w:hyperlink w:anchor="_Toc529885098" w:history="1">
        <w:r w:rsidR="00CC443B" w:rsidRPr="00F767A8">
          <w:rPr>
            <w:rStyle w:val="Hyperlink"/>
          </w:rPr>
          <w:t>4.1</w:t>
        </w:r>
        <w:r w:rsidR="00CC443B">
          <w:rPr>
            <w:spacing w:val="0"/>
            <w:sz w:val="22"/>
            <w:szCs w:val="22"/>
          </w:rPr>
          <w:tab/>
        </w:r>
        <w:r w:rsidR="00CC443B" w:rsidRPr="00F767A8">
          <w:rPr>
            <w:rStyle w:val="Hyperlink"/>
          </w:rPr>
          <w:t>AMAF and intangible assets – key guidance notes</w:t>
        </w:r>
        <w:r w:rsidR="00CC443B">
          <w:rPr>
            <w:webHidden/>
          </w:rPr>
          <w:tab/>
        </w:r>
        <w:r w:rsidR="00CC443B">
          <w:rPr>
            <w:webHidden/>
          </w:rPr>
          <w:fldChar w:fldCharType="begin"/>
        </w:r>
        <w:r w:rsidR="00CC443B">
          <w:rPr>
            <w:webHidden/>
          </w:rPr>
          <w:instrText xml:space="preserve"> PAGEREF _Toc529885098 \h </w:instrText>
        </w:r>
        <w:r w:rsidR="00CC443B">
          <w:rPr>
            <w:webHidden/>
          </w:rPr>
        </w:r>
        <w:r w:rsidR="00CC443B">
          <w:rPr>
            <w:webHidden/>
          </w:rPr>
          <w:fldChar w:fldCharType="separate"/>
        </w:r>
        <w:r w:rsidR="00CC443B">
          <w:rPr>
            <w:webHidden/>
          </w:rPr>
          <w:t>5</w:t>
        </w:r>
        <w:r w:rsidR="00CC443B">
          <w:rPr>
            <w:webHidden/>
          </w:rPr>
          <w:fldChar w:fldCharType="end"/>
        </w:r>
      </w:hyperlink>
    </w:p>
    <w:p w14:paraId="71C8B0F8" w14:textId="65CFE918" w:rsidR="00CC443B" w:rsidRDefault="009A59C4">
      <w:pPr>
        <w:pStyle w:val="TOC2"/>
        <w:tabs>
          <w:tab w:val="left" w:pos="1080"/>
        </w:tabs>
        <w:rPr>
          <w:spacing w:val="0"/>
          <w:sz w:val="22"/>
          <w:szCs w:val="22"/>
        </w:rPr>
      </w:pPr>
      <w:hyperlink w:anchor="_Toc529885099" w:history="1">
        <w:r w:rsidR="00CC443B" w:rsidRPr="00F767A8">
          <w:rPr>
            <w:rStyle w:val="Hyperlink"/>
          </w:rPr>
          <w:t>4.2</w:t>
        </w:r>
        <w:r w:rsidR="00CC443B">
          <w:rPr>
            <w:spacing w:val="0"/>
            <w:sz w:val="22"/>
            <w:szCs w:val="22"/>
          </w:rPr>
          <w:tab/>
        </w:r>
        <w:r w:rsidR="00CC443B" w:rsidRPr="00F767A8">
          <w:rPr>
            <w:rStyle w:val="Hyperlink"/>
          </w:rPr>
          <w:t>Applying the AMAF to intangible assets</w:t>
        </w:r>
        <w:r w:rsidR="00CC443B">
          <w:rPr>
            <w:webHidden/>
          </w:rPr>
          <w:tab/>
        </w:r>
        <w:r w:rsidR="00CC443B">
          <w:rPr>
            <w:webHidden/>
          </w:rPr>
          <w:fldChar w:fldCharType="begin"/>
        </w:r>
        <w:r w:rsidR="00CC443B">
          <w:rPr>
            <w:webHidden/>
          </w:rPr>
          <w:instrText xml:space="preserve"> PAGEREF _Toc529885099 \h </w:instrText>
        </w:r>
        <w:r w:rsidR="00CC443B">
          <w:rPr>
            <w:webHidden/>
          </w:rPr>
        </w:r>
        <w:r w:rsidR="00CC443B">
          <w:rPr>
            <w:webHidden/>
          </w:rPr>
          <w:fldChar w:fldCharType="separate"/>
        </w:r>
        <w:r w:rsidR="00CC443B">
          <w:rPr>
            <w:webHidden/>
          </w:rPr>
          <w:t>6</w:t>
        </w:r>
        <w:r w:rsidR="00CC443B">
          <w:rPr>
            <w:webHidden/>
          </w:rPr>
          <w:fldChar w:fldCharType="end"/>
        </w:r>
      </w:hyperlink>
    </w:p>
    <w:p w14:paraId="3B3A05D7" w14:textId="227C2118" w:rsidR="00CC443B" w:rsidRDefault="009A59C4">
      <w:pPr>
        <w:pStyle w:val="TOC2"/>
        <w:tabs>
          <w:tab w:val="left" w:pos="1080"/>
        </w:tabs>
        <w:rPr>
          <w:spacing w:val="0"/>
          <w:sz w:val="22"/>
          <w:szCs w:val="22"/>
        </w:rPr>
      </w:pPr>
      <w:hyperlink w:anchor="_Toc529885100" w:history="1">
        <w:r w:rsidR="00CC443B" w:rsidRPr="00F767A8">
          <w:rPr>
            <w:rStyle w:val="Hyperlink"/>
          </w:rPr>
          <w:t>4.3</w:t>
        </w:r>
        <w:r w:rsidR="00CC443B">
          <w:rPr>
            <w:spacing w:val="0"/>
            <w:sz w:val="22"/>
            <w:szCs w:val="22"/>
          </w:rPr>
          <w:tab/>
        </w:r>
        <w:r w:rsidR="00CC443B" w:rsidRPr="00F767A8">
          <w:rPr>
            <w:rStyle w:val="Hyperlink"/>
          </w:rPr>
          <w:t>How to develop an Asset Management Plan for intangible assets</w:t>
        </w:r>
        <w:r w:rsidR="00CC443B">
          <w:rPr>
            <w:webHidden/>
          </w:rPr>
          <w:tab/>
        </w:r>
        <w:r w:rsidR="00CC443B">
          <w:rPr>
            <w:webHidden/>
          </w:rPr>
          <w:fldChar w:fldCharType="begin"/>
        </w:r>
        <w:r w:rsidR="00CC443B">
          <w:rPr>
            <w:webHidden/>
          </w:rPr>
          <w:instrText xml:space="preserve"> PAGEREF _Toc529885100 \h </w:instrText>
        </w:r>
        <w:r w:rsidR="00CC443B">
          <w:rPr>
            <w:webHidden/>
          </w:rPr>
        </w:r>
        <w:r w:rsidR="00CC443B">
          <w:rPr>
            <w:webHidden/>
          </w:rPr>
          <w:fldChar w:fldCharType="separate"/>
        </w:r>
        <w:r w:rsidR="00CC443B">
          <w:rPr>
            <w:webHidden/>
          </w:rPr>
          <w:t>7</w:t>
        </w:r>
        <w:r w:rsidR="00CC443B">
          <w:rPr>
            <w:webHidden/>
          </w:rPr>
          <w:fldChar w:fldCharType="end"/>
        </w:r>
      </w:hyperlink>
    </w:p>
    <w:p w14:paraId="3BFEEABD" w14:textId="2716D247" w:rsidR="00CC443B" w:rsidRDefault="009A59C4">
      <w:pPr>
        <w:pStyle w:val="TOC2"/>
        <w:tabs>
          <w:tab w:val="left" w:pos="1080"/>
        </w:tabs>
        <w:rPr>
          <w:spacing w:val="0"/>
          <w:sz w:val="22"/>
          <w:szCs w:val="22"/>
        </w:rPr>
      </w:pPr>
      <w:hyperlink w:anchor="_Toc529885101" w:history="1">
        <w:r w:rsidR="00CC443B" w:rsidRPr="00F767A8">
          <w:rPr>
            <w:rStyle w:val="Hyperlink"/>
          </w:rPr>
          <w:t>4.4</w:t>
        </w:r>
        <w:r w:rsidR="00CC443B">
          <w:rPr>
            <w:spacing w:val="0"/>
            <w:sz w:val="22"/>
            <w:szCs w:val="22"/>
          </w:rPr>
          <w:tab/>
        </w:r>
        <w:r w:rsidR="00CC443B" w:rsidRPr="00F767A8">
          <w:rPr>
            <w:rStyle w:val="Hyperlink"/>
          </w:rPr>
          <w:t>Management of other intangibles that do not qualify as assets</w:t>
        </w:r>
        <w:r w:rsidR="00CC443B">
          <w:rPr>
            <w:webHidden/>
          </w:rPr>
          <w:tab/>
        </w:r>
        <w:r w:rsidR="00CC443B">
          <w:rPr>
            <w:webHidden/>
          </w:rPr>
          <w:fldChar w:fldCharType="begin"/>
        </w:r>
        <w:r w:rsidR="00CC443B">
          <w:rPr>
            <w:webHidden/>
          </w:rPr>
          <w:instrText xml:space="preserve"> PAGEREF _Toc529885101 \h </w:instrText>
        </w:r>
        <w:r w:rsidR="00CC443B">
          <w:rPr>
            <w:webHidden/>
          </w:rPr>
        </w:r>
        <w:r w:rsidR="00CC443B">
          <w:rPr>
            <w:webHidden/>
          </w:rPr>
          <w:fldChar w:fldCharType="separate"/>
        </w:r>
        <w:r w:rsidR="00CC443B">
          <w:rPr>
            <w:webHidden/>
          </w:rPr>
          <w:t>8</w:t>
        </w:r>
        <w:r w:rsidR="00CC443B">
          <w:rPr>
            <w:webHidden/>
          </w:rPr>
          <w:fldChar w:fldCharType="end"/>
        </w:r>
      </w:hyperlink>
    </w:p>
    <w:p w14:paraId="3D802223" w14:textId="4D7AD8AE" w:rsidR="00CC443B" w:rsidRDefault="009A59C4">
      <w:pPr>
        <w:pStyle w:val="TOC2"/>
        <w:tabs>
          <w:tab w:val="left" w:pos="1080"/>
        </w:tabs>
        <w:rPr>
          <w:spacing w:val="0"/>
          <w:sz w:val="22"/>
          <w:szCs w:val="22"/>
        </w:rPr>
      </w:pPr>
      <w:hyperlink w:anchor="_Toc529885102" w:history="1">
        <w:r w:rsidR="00CC443B" w:rsidRPr="00F767A8">
          <w:rPr>
            <w:rStyle w:val="Hyperlink"/>
          </w:rPr>
          <w:t>4.5</w:t>
        </w:r>
        <w:r w:rsidR="00CC443B">
          <w:rPr>
            <w:spacing w:val="0"/>
            <w:sz w:val="22"/>
            <w:szCs w:val="22"/>
          </w:rPr>
          <w:tab/>
        </w:r>
        <w:r w:rsidR="00CC443B" w:rsidRPr="00F767A8">
          <w:rPr>
            <w:rStyle w:val="Hyperlink"/>
          </w:rPr>
          <w:t>Implementing the Asset Management Plan for Intangible Assets</w:t>
        </w:r>
        <w:r w:rsidR="00CC443B">
          <w:rPr>
            <w:webHidden/>
          </w:rPr>
          <w:tab/>
        </w:r>
        <w:r w:rsidR="00CC443B">
          <w:rPr>
            <w:webHidden/>
          </w:rPr>
          <w:fldChar w:fldCharType="begin"/>
        </w:r>
        <w:r w:rsidR="00CC443B">
          <w:rPr>
            <w:webHidden/>
          </w:rPr>
          <w:instrText xml:space="preserve"> PAGEREF _Toc529885102 \h </w:instrText>
        </w:r>
        <w:r w:rsidR="00CC443B">
          <w:rPr>
            <w:webHidden/>
          </w:rPr>
        </w:r>
        <w:r w:rsidR="00CC443B">
          <w:rPr>
            <w:webHidden/>
          </w:rPr>
          <w:fldChar w:fldCharType="separate"/>
        </w:r>
        <w:r w:rsidR="00CC443B">
          <w:rPr>
            <w:webHidden/>
          </w:rPr>
          <w:t>9</w:t>
        </w:r>
        <w:r w:rsidR="00CC443B">
          <w:rPr>
            <w:webHidden/>
          </w:rPr>
          <w:fldChar w:fldCharType="end"/>
        </w:r>
      </w:hyperlink>
    </w:p>
    <w:p w14:paraId="77AA6B82" w14:textId="4979578E" w:rsidR="00CC443B" w:rsidRDefault="009A59C4">
      <w:pPr>
        <w:pStyle w:val="TOC1"/>
        <w:rPr>
          <w:color w:val="auto"/>
          <w:spacing w:val="0"/>
          <w:sz w:val="22"/>
          <w:szCs w:val="22"/>
        </w:rPr>
      </w:pPr>
      <w:hyperlink w:anchor="_Toc529885103" w:history="1">
        <w:r w:rsidR="00CC443B" w:rsidRPr="00F767A8">
          <w:rPr>
            <w:rStyle w:val="Hyperlink"/>
          </w:rPr>
          <w:t>Appendix – AASB 138 Intangible assets</w:t>
        </w:r>
        <w:r w:rsidR="00CC443B">
          <w:rPr>
            <w:webHidden/>
          </w:rPr>
          <w:tab/>
        </w:r>
        <w:r w:rsidR="00CC443B">
          <w:rPr>
            <w:webHidden/>
          </w:rPr>
          <w:fldChar w:fldCharType="begin"/>
        </w:r>
        <w:r w:rsidR="00CC443B">
          <w:rPr>
            <w:webHidden/>
          </w:rPr>
          <w:instrText xml:space="preserve"> PAGEREF _Toc529885103 \h </w:instrText>
        </w:r>
        <w:r w:rsidR="00CC443B">
          <w:rPr>
            <w:webHidden/>
          </w:rPr>
        </w:r>
        <w:r w:rsidR="00CC443B">
          <w:rPr>
            <w:webHidden/>
          </w:rPr>
          <w:fldChar w:fldCharType="separate"/>
        </w:r>
        <w:r w:rsidR="00CC443B">
          <w:rPr>
            <w:webHidden/>
          </w:rPr>
          <w:t>10</w:t>
        </w:r>
        <w:r w:rsidR="00CC443B">
          <w:rPr>
            <w:webHidden/>
          </w:rPr>
          <w:fldChar w:fldCharType="end"/>
        </w:r>
      </w:hyperlink>
    </w:p>
    <w:p w14:paraId="5FEB4F6A" w14:textId="509C47F8" w:rsidR="00CC443B" w:rsidRDefault="009A59C4">
      <w:pPr>
        <w:pStyle w:val="TOC2"/>
        <w:rPr>
          <w:spacing w:val="0"/>
          <w:sz w:val="22"/>
          <w:szCs w:val="22"/>
        </w:rPr>
      </w:pPr>
      <w:hyperlink w:anchor="_Toc529885104" w:history="1">
        <w:r w:rsidR="00CC443B" w:rsidRPr="00F767A8">
          <w:rPr>
            <w:rStyle w:val="Hyperlink"/>
          </w:rPr>
          <w:t>AASB 138</w:t>
        </w:r>
        <w:r w:rsidR="00CC443B">
          <w:rPr>
            <w:webHidden/>
          </w:rPr>
          <w:tab/>
        </w:r>
        <w:r w:rsidR="00CC443B">
          <w:rPr>
            <w:webHidden/>
          </w:rPr>
          <w:fldChar w:fldCharType="begin"/>
        </w:r>
        <w:r w:rsidR="00CC443B">
          <w:rPr>
            <w:webHidden/>
          </w:rPr>
          <w:instrText xml:space="preserve"> PAGEREF _Toc529885104 \h </w:instrText>
        </w:r>
        <w:r w:rsidR="00CC443B">
          <w:rPr>
            <w:webHidden/>
          </w:rPr>
        </w:r>
        <w:r w:rsidR="00CC443B">
          <w:rPr>
            <w:webHidden/>
          </w:rPr>
          <w:fldChar w:fldCharType="separate"/>
        </w:r>
        <w:r w:rsidR="00CC443B">
          <w:rPr>
            <w:webHidden/>
          </w:rPr>
          <w:t>10</w:t>
        </w:r>
        <w:r w:rsidR="00CC443B">
          <w:rPr>
            <w:webHidden/>
          </w:rPr>
          <w:fldChar w:fldCharType="end"/>
        </w:r>
      </w:hyperlink>
    </w:p>
    <w:p w14:paraId="58B3A606" w14:textId="588E5E82" w:rsidR="004946C9" w:rsidRDefault="004946C9" w:rsidP="009742DB">
      <w:pPr>
        <w:pStyle w:val="Spacer"/>
      </w:pPr>
      <w:r>
        <w:fldChar w:fldCharType="end"/>
      </w:r>
    </w:p>
    <w:p w14:paraId="7EF52458" w14:textId="77777777" w:rsidR="001727DA" w:rsidRPr="001727DA" w:rsidRDefault="001727DA" w:rsidP="001727DA">
      <w:pPr>
        <w:spacing w:before="0" w:after="200"/>
        <w:rPr>
          <w:rFonts w:asciiTheme="majorHAnsi" w:eastAsia="Times New Roman" w:hAnsiTheme="majorHAnsi" w:cstheme="majorBidi"/>
          <w:b/>
          <w:bCs/>
          <w:color w:val="201547"/>
          <w:spacing w:val="-1"/>
          <w:sz w:val="30"/>
          <w:szCs w:val="30"/>
        </w:rPr>
      </w:pPr>
      <w:r>
        <w:br w:type="page"/>
      </w:r>
    </w:p>
    <w:p w14:paraId="1D8040F4" w14:textId="77777777" w:rsidR="00EA0439" w:rsidRPr="005E2FDE" w:rsidRDefault="00F67C16" w:rsidP="008D3CBC">
      <w:pPr>
        <w:pStyle w:val="Heading1numbered"/>
      </w:pPr>
      <w:bookmarkStart w:id="1" w:name="_Toc529885090"/>
      <w:r>
        <w:lastRenderedPageBreak/>
        <w:t>Introduction</w:t>
      </w:r>
      <w:bookmarkEnd w:id="1"/>
    </w:p>
    <w:p w14:paraId="5C488337" w14:textId="5B425624" w:rsidR="00813C77" w:rsidRDefault="00813C77" w:rsidP="00813C77">
      <w:pPr>
        <w:pStyle w:val="NormalIndent"/>
      </w:pPr>
      <w:r>
        <w:t>This guidance outlines an approac</w:t>
      </w:r>
      <w:r w:rsidR="005262AF">
        <w:t xml:space="preserve">h to </w:t>
      </w:r>
      <w:r w:rsidR="00F86D92">
        <w:t>including</w:t>
      </w:r>
      <w:r w:rsidR="00EE526B">
        <w:t xml:space="preserve"> intangible assets</w:t>
      </w:r>
      <w:r w:rsidR="00F86D92">
        <w:t xml:space="preserve"> in your</w:t>
      </w:r>
      <w:r w:rsidR="005262AF">
        <w:t xml:space="preserve"> </w:t>
      </w:r>
      <w:r w:rsidR="009234DF">
        <w:t>organisation</w:t>
      </w:r>
      <w:r w:rsidR="005262AF">
        <w:t xml:space="preserve">’s Asset Management Framework to </w:t>
      </w:r>
      <w:r>
        <w:t>meet the requirements of the Asset Management Accountability Framework</w:t>
      </w:r>
      <w:r w:rsidR="005262AF">
        <w:t xml:space="preserve"> (AMAF)</w:t>
      </w:r>
      <w:r>
        <w:t>.</w:t>
      </w:r>
    </w:p>
    <w:p w14:paraId="64DEC61F" w14:textId="77777777" w:rsidR="005262AF" w:rsidRDefault="00813C77" w:rsidP="00813C77">
      <w:pPr>
        <w:pStyle w:val="NormalIndent"/>
      </w:pPr>
      <w:r w:rsidRPr="00767F5D">
        <w:t xml:space="preserve">The </w:t>
      </w:r>
      <w:r>
        <w:t>AMAF</w:t>
      </w:r>
      <w:r w:rsidRPr="00767F5D">
        <w:t xml:space="preserve"> </w:t>
      </w:r>
      <w:r>
        <w:t>sets out the Victorian Government’s asset management requirements. It details mandatory requirements including</w:t>
      </w:r>
      <w:r w:rsidRPr="00767F5D">
        <w:t xml:space="preserve"> developing asset management strategies, governance frameworks, performance standards and processes to regularly monito</w:t>
      </w:r>
      <w:r>
        <w:t xml:space="preserve">r and improve asset management. </w:t>
      </w:r>
    </w:p>
    <w:p w14:paraId="516377BD" w14:textId="1A94E256" w:rsidR="00813C77" w:rsidRDefault="005262AF" w:rsidP="005262AF">
      <w:pPr>
        <w:pStyle w:val="NormalIndent"/>
      </w:pPr>
      <w:r>
        <w:t>The AMAF applies to non</w:t>
      </w:r>
      <w:r>
        <w:noBreakHyphen/>
        <w:t xml:space="preserve">current physical and intangible assets, including ICT assets, controlled by public </w:t>
      </w:r>
      <w:r w:rsidR="00055D71">
        <w:t xml:space="preserve">sector </w:t>
      </w:r>
      <w:r>
        <w:t>bodies. This means, t</w:t>
      </w:r>
      <w:r w:rsidR="00813C77">
        <w:t xml:space="preserve">he </w:t>
      </w:r>
      <w:r w:rsidR="00813C77" w:rsidRPr="002027B6">
        <w:t>AMAF should be applied to intangible asset</w:t>
      </w:r>
      <w:r>
        <w:t>s</w:t>
      </w:r>
      <w:r w:rsidR="00813C77" w:rsidRPr="002027B6">
        <w:t xml:space="preserve"> mu</w:t>
      </w:r>
      <w:r>
        <w:t>ch like it would be applied to</w:t>
      </w:r>
      <w:r w:rsidR="00813C77" w:rsidRPr="002027B6">
        <w:t xml:space="preserve"> tangible asset</w:t>
      </w:r>
      <w:r>
        <w:t>s.</w:t>
      </w:r>
      <w:r w:rsidR="00813C77" w:rsidRPr="002027B6">
        <w:t xml:space="preserve"> </w:t>
      </w:r>
    </w:p>
    <w:p w14:paraId="235CBDD9" w14:textId="5752E315" w:rsidR="00D32733" w:rsidRPr="00813C77" w:rsidRDefault="00D32733" w:rsidP="00D32733">
      <w:pPr>
        <w:pStyle w:val="NormalIndent"/>
      </w:pPr>
      <w:r>
        <w:t>This guidance is based on the premise that the organisation’s intangible assets have already been identified</w:t>
      </w:r>
      <w:r w:rsidR="00055D71">
        <w:t>, included on an asset register</w:t>
      </w:r>
      <w:r>
        <w:t xml:space="preserve"> and reported on the balance sheet. However, it is important for the asset manager to understand how and why such assets come into being. </w:t>
      </w:r>
      <w:r w:rsidR="00055D71">
        <w:t>T</w:t>
      </w:r>
      <w:r>
        <w:t xml:space="preserve">he asset manager </w:t>
      </w:r>
      <w:r w:rsidR="00055D71">
        <w:t xml:space="preserve">is not expected </w:t>
      </w:r>
      <w:r>
        <w:t xml:space="preserve">to </w:t>
      </w:r>
      <w:r w:rsidR="00055D71">
        <w:t xml:space="preserve">duplicate </w:t>
      </w:r>
      <w:r>
        <w:t xml:space="preserve">the work </w:t>
      </w:r>
      <w:r w:rsidR="00055D71">
        <w:t>already undertaken by</w:t>
      </w:r>
      <w:r>
        <w:t xml:space="preserve"> their financial department. </w:t>
      </w:r>
    </w:p>
    <w:p w14:paraId="2F030ED5" w14:textId="5C2F5CB2" w:rsidR="00D32733" w:rsidRDefault="00D32733" w:rsidP="005262AF">
      <w:pPr>
        <w:pStyle w:val="NormalIndent"/>
      </w:pPr>
      <w:r>
        <w:t xml:space="preserve">Asset Managers are also encouraged to encouraged to identify and apply the AMAF to ‘items’ that are important to the entity but do not meet all of the accounting requirements that classify them as intangible assets. </w:t>
      </w:r>
    </w:p>
    <w:p w14:paraId="6FF57DC0" w14:textId="77777777" w:rsidR="00813C77" w:rsidRPr="00813C77" w:rsidRDefault="005262AF" w:rsidP="00CC4F65">
      <w:pPr>
        <w:pStyle w:val="NormalIndent"/>
      </w:pPr>
      <w:r>
        <w:t>This guidance</w:t>
      </w:r>
      <w:r w:rsidR="00CC4F65">
        <w:t xml:space="preserve"> </w:t>
      </w:r>
      <w:r>
        <w:t>contains</w:t>
      </w:r>
      <w:r w:rsidR="00813C77" w:rsidRPr="00813C77">
        <w:t xml:space="preserve">: </w:t>
      </w:r>
    </w:p>
    <w:p w14:paraId="37E624C3" w14:textId="77777777" w:rsidR="00813C77" w:rsidRPr="00813C77" w:rsidRDefault="00813C77" w:rsidP="00AF6DC4">
      <w:pPr>
        <w:pStyle w:val="NormalIndent"/>
        <w:numPr>
          <w:ilvl w:val="0"/>
          <w:numId w:val="8"/>
        </w:numPr>
      </w:pPr>
      <w:r w:rsidRPr="005262AF">
        <w:rPr>
          <w:b/>
        </w:rPr>
        <w:t xml:space="preserve">Section </w:t>
      </w:r>
      <w:r w:rsidR="00871254" w:rsidRPr="005262AF">
        <w:rPr>
          <w:b/>
        </w:rPr>
        <w:t>2</w:t>
      </w:r>
      <w:r w:rsidR="005262AF">
        <w:t>:</w:t>
      </w:r>
      <w:r w:rsidRPr="00813C77">
        <w:t xml:space="preserve"> </w:t>
      </w:r>
      <w:r w:rsidR="004643D4" w:rsidRPr="00813C77">
        <w:t xml:space="preserve"> how intangible assets can be identified</w:t>
      </w:r>
      <w:r w:rsidR="00C86EEE">
        <w:t>.</w:t>
      </w:r>
    </w:p>
    <w:p w14:paraId="131D29FB" w14:textId="560950A2" w:rsidR="00813C77" w:rsidRPr="00813C77" w:rsidRDefault="00813C77" w:rsidP="00AF6DC4">
      <w:pPr>
        <w:pStyle w:val="NormalIndent"/>
        <w:numPr>
          <w:ilvl w:val="0"/>
          <w:numId w:val="8"/>
        </w:numPr>
      </w:pPr>
      <w:r w:rsidRPr="00C86EEE">
        <w:rPr>
          <w:b/>
        </w:rPr>
        <w:t>Section 3</w:t>
      </w:r>
      <w:r w:rsidR="00C86EEE">
        <w:t xml:space="preserve">: </w:t>
      </w:r>
      <w:r w:rsidR="004643D4" w:rsidRPr="00813C77">
        <w:t xml:space="preserve">other items </w:t>
      </w:r>
      <w:r w:rsidR="00BE7066">
        <w:t>which do</w:t>
      </w:r>
      <w:r w:rsidR="001727DA" w:rsidRPr="00813C77">
        <w:t xml:space="preserve"> not</w:t>
      </w:r>
      <w:r w:rsidRPr="00813C77">
        <w:t xml:space="preserve"> </w:t>
      </w:r>
      <w:r w:rsidR="00BE7066">
        <w:t>qualify as</w:t>
      </w:r>
      <w:r w:rsidR="00BE7066" w:rsidRPr="00813C77">
        <w:t xml:space="preserve"> </w:t>
      </w:r>
      <w:r w:rsidR="004643D4" w:rsidRPr="00813C77">
        <w:t xml:space="preserve">intangible </w:t>
      </w:r>
      <w:proofErr w:type="gramStart"/>
      <w:r w:rsidR="004643D4" w:rsidRPr="00813C77">
        <w:t>assets</w:t>
      </w:r>
      <w:proofErr w:type="gramEnd"/>
      <w:r w:rsidR="001727DA" w:rsidRPr="00813C77">
        <w:t xml:space="preserve"> </w:t>
      </w:r>
      <w:r w:rsidR="004643D4" w:rsidRPr="00813C77">
        <w:t xml:space="preserve">but </w:t>
      </w:r>
      <w:r w:rsidR="00BE7066">
        <w:t xml:space="preserve">which </w:t>
      </w:r>
      <w:r w:rsidR="004643D4" w:rsidRPr="00813C77">
        <w:t xml:space="preserve">could be incorporated into an </w:t>
      </w:r>
      <w:r w:rsidR="009234DF">
        <w:t>organisation</w:t>
      </w:r>
      <w:r w:rsidR="004643D4" w:rsidRPr="00813C77">
        <w:t>’s asset management framework</w:t>
      </w:r>
      <w:r w:rsidR="00C86EEE">
        <w:t>.</w:t>
      </w:r>
    </w:p>
    <w:p w14:paraId="60E02D31" w14:textId="36BEA87D" w:rsidR="00F67C16" w:rsidRDefault="00813C77" w:rsidP="00AF6DC4">
      <w:pPr>
        <w:pStyle w:val="NormalIndent"/>
        <w:numPr>
          <w:ilvl w:val="0"/>
          <w:numId w:val="8"/>
        </w:numPr>
      </w:pPr>
      <w:r w:rsidRPr="00C86EEE">
        <w:rPr>
          <w:b/>
        </w:rPr>
        <w:t>Section</w:t>
      </w:r>
      <w:r w:rsidR="004643D4" w:rsidRPr="00C86EEE">
        <w:rPr>
          <w:b/>
        </w:rPr>
        <w:t xml:space="preserve"> 4</w:t>
      </w:r>
      <w:r w:rsidR="00C86EEE">
        <w:rPr>
          <w:b/>
        </w:rPr>
        <w:t>:</w:t>
      </w:r>
      <w:r w:rsidR="004643D4" w:rsidRPr="00813C77">
        <w:t xml:space="preserve"> an </w:t>
      </w:r>
      <w:r w:rsidR="001727DA" w:rsidRPr="00813C77">
        <w:t xml:space="preserve">approach to including intangible assets </w:t>
      </w:r>
      <w:r w:rsidR="00BE7066">
        <w:t xml:space="preserve">and other items </w:t>
      </w:r>
      <w:r w:rsidR="001727DA" w:rsidRPr="00813C77">
        <w:t xml:space="preserve">into </w:t>
      </w:r>
      <w:r w:rsidR="00C86EEE">
        <w:t>asset management systems and process</w:t>
      </w:r>
      <w:r w:rsidR="001727DA" w:rsidRPr="00813C77">
        <w:t xml:space="preserve"> developed to meet AMAF requireme</w:t>
      </w:r>
      <w:r w:rsidRPr="00813C77">
        <w:t>nts</w:t>
      </w:r>
      <w:r>
        <w:t>.</w:t>
      </w:r>
    </w:p>
    <w:p w14:paraId="133294AF" w14:textId="3E674BD1" w:rsidR="00CC4F65" w:rsidRDefault="00CC4F65" w:rsidP="00CC4F65">
      <w:pPr>
        <w:pStyle w:val="NormalIndent"/>
      </w:pPr>
      <w:r>
        <w:t>This guidance is not compulsory. It is expected to be of greatest assistance to those who are uncertain of where to begin.</w:t>
      </w:r>
    </w:p>
    <w:p w14:paraId="167EB5EC" w14:textId="77777777" w:rsidR="004946C9" w:rsidRPr="004946C9" w:rsidRDefault="00C86EEE" w:rsidP="005E2FDE">
      <w:pPr>
        <w:pStyle w:val="Heading1numbered"/>
        <w:rPr>
          <w:szCs w:val="32"/>
        </w:rPr>
      </w:pPr>
      <w:bookmarkStart w:id="2" w:name="_Toc529885091"/>
      <w:r>
        <w:t>What are</w:t>
      </w:r>
      <w:r w:rsidR="00204DF7">
        <w:t xml:space="preserve"> intangible asset</w:t>
      </w:r>
      <w:r>
        <w:t>s</w:t>
      </w:r>
      <w:r w:rsidR="00E36DF6">
        <w:t>?</w:t>
      </w:r>
      <w:bookmarkEnd w:id="2"/>
    </w:p>
    <w:p w14:paraId="1615E8FE" w14:textId="77777777" w:rsidR="004946C9" w:rsidRDefault="00C86EEE" w:rsidP="004946C9">
      <w:pPr>
        <w:pStyle w:val="NormalIndent"/>
      </w:pPr>
      <w:r>
        <w:t>I</w:t>
      </w:r>
      <w:r w:rsidR="00204DF7">
        <w:t>ntangible asset</w:t>
      </w:r>
      <w:r>
        <w:t>s</w:t>
      </w:r>
      <w:r w:rsidR="00E36DF6">
        <w:t xml:space="preserve"> </w:t>
      </w:r>
      <w:r>
        <w:t>are</w:t>
      </w:r>
      <w:r w:rsidR="00B46AEB">
        <w:t xml:space="preserve"> identifiable non-monet</w:t>
      </w:r>
      <w:r w:rsidR="00204DF7">
        <w:t>ary asset</w:t>
      </w:r>
      <w:r>
        <w:t>s</w:t>
      </w:r>
      <w:r w:rsidR="00B46AEB">
        <w:t xml:space="preserve"> without physical substance. They are generally long-term resources of an organisation and derive t</w:t>
      </w:r>
      <w:r w:rsidR="00F67C16">
        <w:t>heir value from an organisation.</w:t>
      </w:r>
    </w:p>
    <w:p w14:paraId="61980BF9" w14:textId="77777777" w:rsidR="00F67C16" w:rsidRDefault="00204DF7" w:rsidP="00204DF7">
      <w:pPr>
        <w:pStyle w:val="Heading2numbered"/>
      </w:pPr>
      <w:bookmarkStart w:id="3" w:name="_Toc529885092"/>
      <w:r>
        <w:t>Identifying and classifying intangible assets</w:t>
      </w:r>
      <w:bookmarkEnd w:id="3"/>
    </w:p>
    <w:p w14:paraId="21103609" w14:textId="21DE853B" w:rsidR="00F67C16" w:rsidRDefault="00F67C16" w:rsidP="00F67C16">
      <w:pPr>
        <w:pStyle w:val="NormalIndent"/>
      </w:pPr>
      <w:r>
        <w:t xml:space="preserve">Intangible assets need to be identified to be included in an </w:t>
      </w:r>
      <w:r w:rsidR="009234DF">
        <w:t>organisation</w:t>
      </w:r>
      <w:r>
        <w:t xml:space="preserve">’s asset management </w:t>
      </w:r>
      <w:r w:rsidR="005C7649">
        <w:t>framework</w:t>
      </w:r>
      <w:r>
        <w:t xml:space="preserve">. Asset managers </w:t>
      </w:r>
      <w:r w:rsidR="00055D71">
        <w:t>should</w:t>
      </w:r>
      <w:r>
        <w:t xml:space="preserve"> consult with their finance teams in this process. </w:t>
      </w:r>
    </w:p>
    <w:p w14:paraId="354F2251" w14:textId="77777777" w:rsidR="00D32733" w:rsidRDefault="00493EC0" w:rsidP="00D32733">
      <w:pPr>
        <w:pStyle w:val="NormalIndent"/>
        <w:rPr>
          <w:rStyle w:val="CommentReference"/>
        </w:rPr>
      </w:pPr>
      <w:r>
        <w:t xml:space="preserve">All </w:t>
      </w:r>
      <w:r w:rsidR="00396B4E">
        <w:t>intangible</w:t>
      </w:r>
      <w:r w:rsidR="00C951F4">
        <w:t xml:space="preserve"> asset</w:t>
      </w:r>
      <w:r>
        <w:t>s which are included on the entity’s balance sheet must also be included</w:t>
      </w:r>
      <w:r w:rsidR="00E749B3">
        <w:t xml:space="preserve"> in </w:t>
      </w:r>
      <w:r>
        <w:t xml:space="preserve">the </w:t>
      </w:r>
      <w:r w:rsidR="00E749B3">
        <w:t xml:space="preserve">asset management </w:t>
      </w:r>
      <w:r w:rsidR="00D32733">
        <w:t xml:space="preserve">systems and processes or </w:t>
      </w:r>
      <w:r w:rsidR="00E749B3">
        <w:t>framework</w:t>
      </w:r>
      <w:r>
        <w:t>. Australian Accounting Standards describe such assets as meeting</w:t>
      </w:r>
      <w:r w:rsidR="00D32733">
        <w:rPr>
          <w:rStyle w:val="CommentReference"/>
        </w:rPr>
        <w:t>:</w:t>
      </w:r>
    </w:p>
    <w:p w14:paraId="407866F5" w14:textId="0489CB76" w:rsidR="00E749B3" w:rsidRDefault="00A01FB7" w:rsidP="00D32733">
      <w:pPr>
        <w:pStyle w:val="NormalIndent"/>
        <w:numPr>
          <w:ilvl w:val="0"/>
          <w:numId w:val="6"/>
        </w:numPr>
      </w:pPr>
      <w:r>
        <w:t xml:space="preserve">the </w:t>
      </w:r>
      <w:r w:rsidR="00E749B3">
        <w:t>definition of an intangible asset</w:t>
      </w:r>
      <w:r w:rsidR="00F67C16">
        <w:t>; and</w:t>
      </w:r>
    </w:p>
    <w:p w14:paraId="6612AC8E" w14:textId="112378FC" w:rsidR="00E749B3" w:rsidRDefault="00A01FB7" w:rsidP="00AF6DC4">
      <w:pPr>
        <w:pStyle w:val="NormalIndent"/>
        <w:numPr>
          <w:ilvl w:val="0"/>
          <w:numId w:val="6"/>
        </w:numPr>
      </w:pPr>
      <w:r>
        <w:t>the</w:t>
      </w:r>
      <w:r w:rsidR="00E749B3">
        <w:t xml:space="preserve"> recognition criteria</w:t>
      </w:r>
      <w:r w:rsidR="00396B4E">
        <w:t xml:space="preserve"> of an intangible asset</w:t>
      </w:r>
      <w:r w:rsidR="00F67C16">
        <w:t>.</w:t>
      </w:r>
    </w:p>
    <w:p w14:paraId="75729E79" w14:textId="564CA8E5" w:rsidR="00A01FB7" w:rsidRDefault="00A01FB7" w:rsidP="00A01FB7">
      <w:pPr>
        <w:pStyle w:val="NormalIndent"/>
      </w:pPr>
      <w:r>
        <w:lastRenderedPageBreak/>
        <w:t xml:space="preserve">It should be noted that an </w:t>
      </w:r>
      <w:r w:rsidR="009234DF">
        <w:t>organisation</w:t>
      </w:r>
      <w:r>
        <w:t xml:space="preserve"> </w:t>
      </w:r>
      <w:r w:rsidR="00BE7066">
        <w:t xml:space="preserve">may </w:t>
      </w:r>
      <w:r w:rsidR="00143320">
        <w:t xml:space="preserve">determine that </w:t>
      </w:r>
      <w:r w:rsidR="00803571">
        <w:t xml:space="preserve">they </w:t>
      </w:r>
      <w:r>
        <w:t>do not have</w:t>
      </w:r>
      <w:r w:rsidR="00EF08EC">
        <w:t xml:space="preserve"> any</w:t>
      </w:r>
      <w:r>
        <w:t xml:space="preserve"> </w:t>
      </w:r>
      <w:r w:rsidR="00EF08EC">
        <w:t xml:space="preserve">items which qualify as </w:t>
      </w:r>
      <w:r>
        <w:t>intangible assets</w:t>
      </w:r>
      <w:r w:rsidR="00B9696B">
        <w:t xml:space="preserve"> that require management in accordance with the requirements of the AMAF</w:t>
      </w:r>
      <w:r>
        <w:t>.</w:t>
      </w:r>
      <w:r w:rsidR="00EF08EC">
        <w:t xml:space="preserve"> However</w:t>
      </w:r>
      <w:r w:rsidR="00D32733">
        <w:t>,</w:t>
      </w:r>
      <w:r w:rsidR="00EF08EC">
        <w:t xml:space="preserve"> this guidance suggests that where an item meets one but not </w:t>
      </w:r>
      <w:proofErr w:type="gramStart"/>
      <w:r w:rsidR="00EF08EC">
        <w:t>both of the accounting</w:t>
      </w:r>
      <w:proofErr w:type="gramEnd"/>
      <w:r w:rsidR="00EF08EC">
        <w:t xml:space="preserve"> requirements for recognition on the balance sheet, it may still be beneficial to the entit</w:t>
      </w:r>
      <w:r w:rsidR="00A17F92">
        <w:t>y to incorporate it into the organisation’s asset management framework</w:t>
      </w:r>
      <w:r w:rsidR="00D32733">
        <w:t>.</w:t>
      </w:r>
      <w:r w:rsidR="00EF08EC">
        <w:t xml:space="preserve"> </w:t>
      </w:r>
    </w:p>
    <w:p w14:paraId="49366E75" w14:textId="77777777" w:rsidR="00795CEF" w:rsidRDefault="00A01FB7" w:rsidP="00795CEF">
      <w:pPr>
        <w:pStyle w:val="NormalIndent"/>
      </w:pPr>
      <w:r>
        <w:t>The definition and recognition</w:t>
      </w:r>
      <w:r w:rsidR="00F67C16">
        <w:t xml:space="preserve"> criteria are</w:t>
      </w:r>
      <w:r w:rsidR="00795CEF">
        <w:t xml:space="preserve"> discussed </w:t>
      </w:r>
      <w:r>
        <w:t xml:space="preserve">in more detail </w:t>
      </w:r>
      <w:r w:rsidR="00795CEF">
        <w:t>below.</w:t>
      </w:r>
      <w:r w:rsidR="00F67C16">
        <w:t xml:space="preserve"> </w:t>
      </w:r>
    </w:p>
    <w:p w14:paraId="48386AED" w14:textId="77777777" w:rsidR="00C951F4" w:rsidRDefault="00C951F4" w:rsidP="00C951F4">
      <w:pPr>
        <w:pStyle w:val="Heading2numbered"/>
      </w:pPr>
      <w:bookmarkStart w:id="4" w:name="_Toc529885093"/>
      <w:r>
        <w:t>Definition of</w:t>
      </w:r>
      <w:r w:rsidR="00795CEF">
        <w:t xml:space="preserve"> an</w:t>
      </w:r>
      <w:r>
        <w:t xml:space="preserve"> intangible </w:t>
      </w:r>
      <w:r w:rsidR="00795CEF">
        <w:t>asset</w:t>
      </w:r>
      <w:bookmarkEnd w:id="4"/>
    </w:p>
    <w:p w14:paraId="376AD992" w14:textId="70A9F1C9" w:rsidR="00C35A03" w:rsidRDefault="00C35A03" w:rsidP="00C35A03">
      <w:pPr>
        <w:pStyle w:val="NormalIndent"/>
      </w:pPr>
      <w:r>
        <w:t xml:space="preserve">Under </w:t>
      </w:r>
      <w:r w:rsidR="0031564C">
        <w:t xml:space="preserve">Australian </w:t>
      </w:r>
      <w:r>
        <w:t>Accounting Standard AASB</w:t>
      </w:r>
      <w:r w:rsidR="0031564C">
        <w:t> </w:t>
      </w:r>
      <w:r>
        <w:t>138</w:t>
      </w:r>
      <w:r w:rsidR="00157A05" w:rsidRPr="00157A05">
        <w:t xml:space="preserve"> </w:t>
      </w:r>
      <w:r w:rsidR="00157A05" w:rsidRPr="0041232A">
        <w:rPr>
          <w:i/>
        </w:rPr>
        <w:t>Intangible Assets</w:t>
      </w:r>
      <w:r>
        <w:t xml:space="preserve">, five </w:t>
      </w:r>
      <w:r w:rsidR="001E2ADF">
        <w:t>principles</w:t>
      </w:r>
      <w:r>
        <w:t xml:space="preserve"> are </w:t>
      </w:r>
      <w:r w:rsidR="00855A28">
        <w:t xml:space="preserve">applied as the first step in evaluating </w:t>
      </w:r>
      <w:proofErr w:type="gramStart"/>
      <w:r w:rsidR="00855A28">
        <w:t>whether or not</w:t>
      </w:r>
      <w:proofErr w:type="gramEnd"/>
      <w:r w:rsidR="00855A28">
        <w:t xml:space="preserve"> an item qualifies </w:t>
      </w:r>
      <w:r>
        <w:t xml:space="preserve">as an intangible asset. </w:t>
      </w:r>
    </w:p>
    <w:p w14:paraId="192976DB" w14:textId="77777777" w:rsidR="00C35A03" w:rsidRDefault="00C35A03" w:rsidP="00C35A03">
      <w:pPr>
        <w:pStyle w:val="NormalIndent"/>
      </w:pPr>
      <w:r w:rsidRPr="00CE0887">
        <w:rPr>
          <w:noProof/>
        </w:rPr>
        <w:drawing>
          <wp:inline distT="0" distB="0" distL="0" distR="0" wp14:anchorId="27F5B3E1" wp14:editId="18029788">
            <wp:extent cx="5731510" cy="2086068"/>
            <wp:effectExtent l="0" t="0" r="21590" b="9525"/>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4B07A0E" w14:textId="6B11E91D" w:rsidR="00C35A03" w:rsidRDefault="004A3952" w:rsidP="004A3952">
      <w:pPr>
        <w:pStyle w:val="NormalIndent"/>
        <w:ind w:left="720"/>
      </w:pPr>
      <w:r>
        <w:t xml:space="preserve">Appendix </w:t>
      </w:r>
      <w:r w:rsidR="005C7649" w:rsidRPr="001E2ADF">
        <w:t>1</w:t>
      </w:r>
      <w:r>
        <w:t xml:space="preserve"> includes more information on </w:t>
      </w:r>
      <w:r w:rsidR="005C7649">
        <w:t>AASB 138</w:t>
      </w:r>
      <w:r w:rsidR="001E2ADF">
        <w:t xml:space="preserve"> including further</w:t>
      </w:r>
      <w:r>
        <w:t xml:space="preserve"> detail on the five </w:t>
      </w:r>
      <w:r w:rsidR="001E2ADF">
        <w:t>principles</w:t>
      </w:r>
      <w:r>
        <w:t xml:space="preserve"> used to </w:t>
      </w:r>
      <w:r w:rsidR="00803571">
        <w:t xml:space="preserve">determine if </w:t>
      </w:r>
      <w:r w:rsidR="00EF08EC">
        <w:t>an item</w:t>
      </w:r>
      <w:r w:rsidR="00803571">
        <w:t xml:space="preserve"> </w:t>
      </w:r>
      <w:r w:rsidR="00EF08EC">
        <w:t xml:space="preserve">satisfies </w:t>
      </w:r>
      <w:r w:rsidR="00803571">
        <w:t xml:space="preserve">the </w:t>
      </w:r>
      <w:r w:rsidR="00FD2AE4">
        <w:t xml:space="preserve">necessary </w:t>
      </w:r>
      <w:r w:rsidR="00803571">
        <w:t>requirements to be classified as an intangible</w:t>
      </w:r>
      <w:r w:rsidR="0041232A">
        <w:t xml:space="preserve"> asset. </w:t>
      </w:r>
    </w:p>
    <w:p w14:paraId="21472F46" w14:textId="77777777" w:rsidR="00E749B3" w:rsidRDefault="00E749B3" w:rsidP="005357F5">
      <w:pPr>
        <w:pStyle w:val="Heading2numbered"/>
      </w:pPr>
      <w:bookmarkStart w:id="5" w:name="_Toc529885094"/>
      <w:r>
        <w:t>Recognition</w:t>
      </w:r>
      <w:r w:rsidR="00803571">
        <w:t xml:space="preserve"> criteria</w:t>
      </w:r>
      <w:bookmarkEnd w:id="5"/>
      <w:r w:rsidR="00795CEF">
        <w:t xml:space="preserve"> </w:t>
      </w:r>
    </w:p>
    <w:p w14:paraId="42ED4F25" w14:textId="1EC32A83" w:rsidR="005C7649" w:rsidRDefault="00BD3D54" w:rsidP="005C7649">
      <w:pPr>
        <w:pStyle w:val="NormalIndent"/>
      </w:pPr>
      <w:r>
        <w:t xml:space="preserve">In addition to meeting the </w:t>
      </w:r>
      <w:r w:rsidR="00546513">
        <w:t>definition</w:t>
      </w:r>
      <w:r w:rsidR="00795CEF">
        <w:t xml:space="preserve"> of an intangible asset (above)</w:t>
      </w:r>
      <w:r>
        <w:t>, an item</w:t>
      </w:r>
      <w:r w:rsidR="00795CEF">
        <w:t xml:space="preserve"> also needs to </w:t>
      </w:r>
      <w:r w:rsidR="005C7649">
        <w:t>meet the</w:t>
      </w:r>
      <w:r>
        <w:t xml:space="preserve"> recognition criteria (below)</w:t>
      </w:r>
      <w:r w:rsidR="00795CEF">
        <w:t xml:space="preserve"> </w:t>
      </w:r>
      <w:r w:rsidR="005C7649">
        <w:t xml:space="preserve">before it </w:t>
      </w:r>
      <w:r w:rsidR="00D32BBC">
        <w:t xml:space="preserve">can be identified as an intangible asset. If it passes </w:t>
      </w:r>
      <w:r w:rsidR="00396B4E">
        <w:t>both</w:t>
      </w:r>
      <w:r w:rsidR="00D32BBC">
        <w:t xml:space="preserve"> tests it </w:t>
      </w:r>
      <w:r w:rsidR="005C7649">
        <w:t xml:space="preserve">is reported </w:t>
      </w:r>
      <w:r w:rsidR="00D32BBC">
        <w:t>in the</w:t>
      </w:r>
      <w:r w:rsidR="005C7649">
        <w:t xml:space="preserve"> </w:t>
      </w:r>
      <w:r w:rsidR="00795CEF">
        <w:t xml:space="preserve">financial </w:t>
      </w:r>
      <w:r w:rsidR="005C7649">
        <w:t>statements</w:t>
      </w:r>
      <w:r w:rsidR="00795CEF">
        <w:t xml:space="preserve"> </w:t>
      </w:r>
      <w:r w:rsidR="00127795">
        <w:t xml:space="preserve">and </w:t>
      </w:r>
      <w:r w:rsidR="00546513">
        <w:t xml:space="preserve">is therefore </w:t>
      </w:r>
      <w:r w:rsidR="00D32BBC">
        <w:t>required to be managed</w:t>
      </w:r>
      <w:r w:rsidR="00127795">
        <w:t xml:space="preserve"> </w:t>
      </w:r>
      <w:r>
        <w:t>under the AMAF.</w:t>
      </w:r>
      <w:r w:rsidR="005C7649">
        <w:t xml:space="preserve"> </w:t>
      </w:r>
    </w:p>
    <w:p w14:paraId="2502198E" w14:textId="77777777" w:rsidR="00BD3D54" w:rsidRDefault="005C7649" w:rsidP="005C7649">
      <w:pPr>
        <w:pStyle w:val="NormalIndent"/>
      </w:pPr>
      <w:r>
        <w:t>Under the recognition criteria, an intangible asset is</w:t>
      </w:r>
      <w:r w:rsidR="00BD3D54">
        <w:t xml:space="preserve"> recognised if: </w:t>
      </w:r>
    </w:p>
    <w:p w14:paraId="5C9B31A1" w14:textId="77777777" w:rsidR="00BD3D54" w:rsidRPr="00CE0887" w:rsidRDefault="00BD3D54" w:rsidP="00AF6DC4">
      <w:pPr>
        <w:pStyle w:val="Bullet1"/>
        <w:numPr>
          <w:ilvl w:val="0"/>
          <w:numId w:val="7"/>
        </w:numPr>
        <w:spacing w:before="80" w:after="80"/>
        <w:contextualSpacing w:val="0"/>
        <w:rPr>
          <w:rFonts w:ascii="Arial" w:hAnsi="Arial" w:cs="Times New Roman"/>
          <w:szCs w:val="24"/>
          <w:lang w:val="en-GB" w:eastAsia="en-US"/>
        </w:rPr>
      </w:pPr>
      <w:r w:rsidRPr="00CE0887">
        <w:rPr>
          <w:rFonts w:ascii="Arial" w:hAnsi="Arial" w:cs="Times New Roman"/>
          <w:szCs w:val="24"/>
          <w:lang w:val="en-GB" w:eastAsia="en-US"/>
        </w:rPr>
        <w:t xml:space="preserve">it is probable that the expected future economic benefits that are attributable to the asset will flow to the entity; and </w:t>
      </w:r>
    </w:p>
    <w:p w14:paraId="48CBCD8C" w14:textId="77777777" w:rsidR="00BD3D54" w:rsidRPr="00CE0887" w:rsidRDefault="00BD3D54" w:rsidP="00AF6DC4">
      <w:pPr>
        <w:pStyle w:val="Bullet1"/>
        <w:numPr>
          <w:ilvl w:val="0"/>
          <w:numId w:val="7"/>
        </w:numPr>
        <w:spacing w:before="80" w:after="80"/>
        <w:contextualSpacing w:val="0"/>
        <w:rPr>
          <w:rFonts w:ascii="Arial" w:hAnsi="Arial" w:cs="Times New Roman"/>
          <w:szCs w:val="24"/>
          <w:lang w:val="en-GB" w:eastAsia="en-US"/>
        </w:rPr>
      </w:pPr>
      <w:r w:rsidRPr="00CE0887">
        <w:rPr>
          <w:rFonts w:ascii="Arial" w:hAnsi="Arial" w:cs="Times New Roman"/>
          <w:szCs w:val="24"/>
          <w:lang w:val="en-GB" w:eastAsia="en-US"/>
        </w:rPr>
        <w:t>the cost of the asset can be measured reliably.</w:t>
      </w:r>
    </w:p>
    <w:p w14:paraId="4D994874" w14:textId="77777777" w:rsidR="002263CF" w:rsidRPr="002263CF" w:rsidRDefault="002263CF" w:rsidP="002263CF">
      <w:pPr>
        <w:pStyle w:val="NormalIndent"/>
      </w:pPr>
      <w:r>
        <w:t xml:space="preserve">An </w:t>
      </w:r>
      <w:r w:rsidR="009234DF">
        <w:t>organisation</w:t>
      </w:r>
      <w:r>
        <w:t xml:space="preserve"> would need to measure t</w:t>
      </w:r>
      <w:r w:rsidR="003565B0">
        <w:t>he probability of</w:t>
      </w:r>
      <w:r>
        <w:t xml:space="preserve"> expected</w:t>
      </w:r>
      <w:r w:rsidR="003565B0">
        <w:t xml:space="preserve"> future economic benefits </w:t>
      </w:r>
      <w:r w:rsidRPr="002263CF">
        <w:t xml:space="preserve">using reasonable and supportable assumptions that represent management’s best estimate of the set of economic conditions that will exist over the useful life of the asset. </w:t>
      </w:r>
    </w:p>
    <w:p w14:paraId="0C7D66C1" w14:textId="5390C42D" w:rsidR="00F50C69" w:rsidRDefault="00F50C69" w:rsidP="00F50C69">
      <w:pPr>
        <w:pStyle w:val="Para0"/>
        <w:ind w:left="720"/>
        <w:jc w:val="both"/>
        <w:rPr>
          <w:rFonts w:cs="Arial"/>
        </w:rPr>
      </w:pPr>
      <w:r>
        <w:rPr>
          <w:rFonts w:cs="Arial"/>
        </w:rPr>
        <w:t xml:space="preserve">When assessing </w:t>
      </w:r>
      <w:proofErr w:type="gramStart"/>
      <w:r>
        <w:rPr>
          <w:rFonts w:cs="Arial"/>
        </w:rPr>
        <w:t>whether or not</w:t>
      </w:r>
      <w:proofErr w:type="gramEnd"/>
      <w:r>
        <w:rPr>
          <w:rFonts w:cs="Arial"/>
        </w:rPr>
        <w:t xml:space="preserve"> the cost of the asset can be reliably measured, this </w:t>
      </w:r>
      <w:r w:rsidRPr="00236F70">
        <w:rPr>
          <w:rFonts w:cs="Arial"/>
        </w:rPr>
        <w:t>requirement applies to costs incurred initially to acquire or internally ge</w:t>
      </w:r>
      <w:r>
        <w:rPr>
          <w:rFonts w:cs="Arial"/>
        </w:rPr>
        <w:t xml:space="preserve">nerate an intangible asset and </w:t>
      </w:r>
      <w:r w:rsidRPr="00236F70">
        <w:rPr>
          <w:rFonts w:cs="Arial"/>
        </w:rPr>
        <w:t>those incurred subsequently to add to, replace part of, or service it.</w:t>
      </w:r>
    </w:p>
    <w:p w14:paraId="41DBC112" w14:textId="1279669D" w:rsidR="00803571" w:rsidRDefault="00803571" w:rsidP="00803571">
      <w:pPr>
        <w:pStyle w:val="NormalIndent"/>
        <w:ind w:left="720"/>
      </w:pPr>
      <w:r>
        <w:t xml:space="preserve">Appendix </w:t>
      </w:r>
      <w:r w:rsidRPr="001E2ADF">
        <w:t>1</w:t>
      </w:r>
      <w:r>
        <w:t xml:space="preserve"> includes more </w:t>
      </w:r>
      <w:r w:rsidR="00072DE5">
        <w:t xml:space="preserve">information </w:t>
      </w:r>
      <w:r>
        <w:t xml:space="preserve">on the process of determining if an </w:t>
      </w:r>
      <w:r w:rsidR="00855A28">
        <w:t>item</w:t>
      </w:r>
      <w:r>
        <w:t xml:space="preserve"> should be recognised </w:t>
      </w:r>
      <w:r w:rsidR="00855A28">
        <w:t xml:space="preserve">as an intangible asset </w:t>
      </w:r>
      <w:r>
        <w:t>or not</w:t>
      </w:r>
      <w:r w:rsidR="00855A28">
        <w:t xml:space="preserve">. Guidance is also provided on </w:t>
      </w:r>
      <w:r>
        <w:t xml:space="preserve">how </w:t>
      </w:r>
      <w:r w:rsidR="0041232A">
        <w:t>an a</w:t>
      </w:r>
      <w:r w:rsidR="00072DE5">
        <w:t xml:space="preserve">sset </w:t>
      </w:r>
      <w:r w:rsidR="0041232A">
        <w:lastRenderedPageBreak/>
        <w:t>m</w:t>
      </w:r>
      <w:r w:rsidR="00072DE5">
        <w:t xml:space="preserve">anager might </w:t>
      </w:r>
      <w:r w:rsidR="00795CCB">
        <w:t xml:space="preserve">identify and </w:t>
      </w:r>
      <w:r>
        <w:t xml:space="preserve">manage </w:t>
      </w:r>
      <w:r w:rsidR="00072DE5">
        <w:t xml:space="preserve">non-tangible </w:t>
      </w:r>
      <w:r w:rsidR="00855A28">
        <w:t xml:space="preserve">items which may have a benefit to the </w:t>
      </w:r>
      <w:proofErr w:type="gramStart"/>
      <w:r w:rsidR="00855A28">
        <w:t>agency</w:t>
      </w:r>
      <w:proofErr w:type="gramEnd"/>
      <w:r w:rsidR="00855A28">
        <w:t xml:space="preserve"> but which d</w:t>
      </w:r>
      <w:r w:rsidR="00072DE5">
        <w:t>id</w:t>
      </w:r>
      <w:r w:rsidR="00855A28">
        <w:t xml:space="preserve"> not fully meet the accounting requirements</w:t>
      </w:r>
      <w:r w:rsidR="00795CCB">
        <w:t xml:space="preserve"> for recognition</w:t>
      </w:r>
      <w:r w:rsidR="00072DE5">
        <w:t xml:space="preserve"> as intangible assets</w:t>
      </w:r>
      <w:r>
        <w:t xml:space="preserve">. </w:t>
      </w:r>
    </w:p>
    <w:p w14:paraId="21F2F940" w14:textId="1E0CF2F7" w:rsidR="00094ED5" w:rsidRPr="00094ED5" w:rsidRDefault="00094ED5" w:rsidP="00094ED5">
      <w:pPr>
        <w:pStyle w:val="NormalIndent"/>
        <w:ind w:left="720"/>
      </w:pPr>
      <w:r w:rsidRPr="00094ED5">
        <w:t xml:space="preserve">This guidance is provided so that Asset managers can better understand the process of asset identification and recognition. </w:t>
      </w:r>
      <w:r w:rsidR="00795CCB">
        <w:t>To better understand the application of the accounting standard</w:t>
      </w:r>
      <w:r>
        <w:t>s</w:t>
      </w:r>
      <w:r w:rsidR="00795CCB">
        <w:t xml:space="preserve"> in defining and recognising such assets on the balance sheet, it is strongly recommended that </w:t>
      </w:r>
      <w:r>
        <w:t>a</w:t>
      </w:r>
      <w:r w:rsidR="00803571">
        <w:t xml:space="preserve">sset </w:t>
      </w:r>
      <w:r>
        <w:t>m</w:t>
      </w:r>
      <w:r w:rsidR="00803571">
        <w:t>anagers seek</w:t>
      </w:r>
      <w:r>
        <w:t xml:space="preserve"> advice from their f</w:t>
      </w:r>
      <w:r w:rsidR="00803571">
        <w:t xml:space="preserve">inance </w:t>
      </w:r>
      <w:r w:rsidR="0049630C">
        <w:t>dep</w:t>
      </w:r>
      <w:r w:rsidR="0041232A">
        <w:t>artment</w:t>
      </w:r>
      <w:r w:rsidR="00803571">
        <w:t xml:space="preserve"> </w:t>
      </w:r>
      <w:r w:rsidR="003D4BB0">
        <w:t xml:space="preserve">on </w:t>
      </w:r>
      <w:r w:rsidR="00803571">
        <w:t xml:space="preserve">the assessment </w:t>
      </w:r>
      <w:r w:rsidR="003D4BB0">
        <w:t xml:space="preserve">process which was used in determining </w:t>
      </w:r>
      <w:r w:rsidR="00FE28C0">
        <w:t>their intangible assets</w:t>
      </w:r>
      <w:r w:rsidR="0049630C">
        <w:rPr>
          <w:rStyle w:val="FootnoteReference"/>
        </w:rPr>
        <w:footnoteReference w:id="1"/>
      </w:r>
      <w:r w:rsidR="0049630C">
        <w:t>.</w:t>
      </w:r>
      <w:r w:rsidRPr="00094ED5">
        <w:rPr>
          <w:sz w:val="16"/>
          <w:szCs w:val="16"/>
        </w:rPr>
        <w:t xml:space="preserve"> </w:t>
      </w:r>
    </w:p>
    <w:p w14:paraId="268AA9E8" w14:textId="5197D23F" w:rsidR="00803571" w:rsidRDefault="003D4BB0" w:rsidP="00803571">
      <w:pPr>
        <w:pStyle w:val="NormalIndent"/>
        <w:ind w:left="720"/>
      </w:pPr>
      <w:r>
        <w:t xml:space="preserve">For further information, </w:t>
      </w:r>
      <w:r w:rsidR="00094ED5">
        <w:t>asset m</w:t>
      </w:r>
      <w:r w:rsidR="00803571">
        <w:t>anagers could also refer</w:t>
      </w:r>
      <w:r w:rsidR="00FE28C0">
        <w:t xml:space="preserve"> to CPA Australia’s “</w:t>
      </w:r>
      <w:r w:rsidR="00803571">
        <w:t xml:space="preserve">IAS 38 Intangible Assets Fact </w:t>
      </w:r>
      <w:r w:rsidR="00FE28C0">
        <w:t>Sheet”</w:t>
      </w:r>
      <w:r w:rsidR="00280953">
        <w:t>.</w:t>
      </w:r>
      <w:r w:rsidR="00460EE6">
        <w:t xml:space="preserve"> Note that</w:t>
      </w:r>
      <w:r w:rsidR="00280953">
        <w:t xml:space="preserve"> </w:t>
      </w:r>
      <w:r w:rsidR="00460EE6">
        <w:t>AASB</w:t>
      </w:r>
      <w:r w:rsidR="00280953">
        <w:t> </w:t>
      </w:r>
      <w:r w:rsidR="00460EE6">
        <w:t>1</w:t>
      </w:r>
      <w:r w:rsidR="00280953">
        <w:t>38</w:t>
      </w:r>
      <w:r w:rsidR="00460EE6">
        <w:t>,</w:t>
      </w:r>
      <w:r w:rsidR="00280953">
        <w:t xml:space="preserve"> </w:t>
      </w:r>
      <w:r w:rsidR="00460EE6">
        <w:t xml:space="preserve">mentioned previously, </w:t>
      </w:r>
      <w:r w:rsidR="00280953">
        <w:t xml:space="preserve">is the </w:t>
      </w:r>
      <w:r w:rsidR="00460EE6">
        <w:t>Australian application</w:t>
      </w:r>
      <w:r w:rsidR="00280953">
        <w:t xml:space="preserve"> of</w:t>
      </w:r>
      <w:r w:rsidR="00460EE6">
        <w:t xml:space="preserve"> the International </w:t>
      </w:r>
      <w:proofErr w:type="gramStart"/>
      <w:r w:rsidR="00396B4E">
        <w:t>S</w:t>
      </w:r>
      <w:r w:rsidR="00460EE6">
        <w:t xml:space="preserve">tandard </w:t>
      </w:r>
      <w:r w:rsidR="00280953">
        <w:t xml:space="preserve"> </w:t>
      </w:r>
      <w:r w:rsidR="00460EE6">
        <w:t>I</w:t>
      </w:r>
      <w:r w:rsidR="00396B4E">
        <w:t>A</w:t>
      </w:r>
      <w:r w:rsidR="00072DE5">
        <w:t>SB</w:t>
      </w:r>
      <w:proofErr w:type="gramEnd"/>
      <w:r w:rsidR="00072DE5">
        <w:t> </w:t>
      </w:r>
      <w:r w:rsidR="00460EE6">
        <w:t xml:space="preserve">38 </w:t>
      </w:r>
      <w:r w:rsidR="00FE28C0">
        <w:t>in</w:t>
      </w:r>
      <w:r w:rsidR="00803571">
        <w:t xml:space="preserve"> the link below:</w:t>
      </w:r>
    </w:p>
    <w:p w14:paraId="30A4DF02" w14:textId="77777777" w:rsidR="00803571" w:rsidRDefault="009A59C4" w:rsidP="00803571">
      <w:pPr>
        <w:pStyle w:val="NormalIndent"/>
        <w:ind w:left="720"/>
      </w:pPr>
      <w:hyperlink r:id="rId13" w:history="1">
        <w:r w:rsidR="00803571" w:rsidRPr="00DD19F6">
          <w:rPr>
            <w:rStyle w:val="Hyperlink"/>
          </w:rPr>
          <w:t>https://www.cpaaustralia.com.au/~/media/corporate/allfiles/document/professional-resources/reporting/reporting-ifrsfactsheet-intangible-assets.pdf?la=en</w:t>
        </w:r>
      </w:hyperlink>
    </w:p>
    <w:p w14:paraId="400C0C45" w14:textId="68238E21" w:rsidR="00803571" w:rsidRDefault="0041232A" w:rsidP="00803571">
      <w:pPr>
        <w:pStyle w:val="NormalIndent"/>
        <w:ind w:left="720"/>
      </w:pPr>
      <w:r>
        <w:t xml:space="preserve">Please note that Accounting Standards are subject to change. </w:t>
      </w:r>
    </w:p>
    <w:p w14:paraId="293F83EA" w14:textId="77777777" w:rsidR="00C35A03" w:rsidRPr="00C35A03" w:rsidRDefault="005357F5" w:rsidP="005357F5">
      <w:pPr>
        <w:pStyle w:val="Heading2numbered"/>
      </w:pPr>
      <w:bookmarkStart w:id="6" w:name="_Toc529885095"/>
      <w:r>
        <w:t>Categories and examples of intangible assets</w:t>
      </w:r>
      <w:bookmarkEnd w:id="6"/>
    </w:p>
    <w:p w14:paraId="04B4817A" w14:textId="029EEA30" w:rsidR="005357F5" w:rsidRDefault="005357F5" w:rsidP="005357F5">
      <w:pPr>
        <w:pStyle w:val="NormalIndent"/>
      </w:pPr>
      <w:r>
        <w:t xml:space="preserve">Below are five categories </w:t>
      </w:r>
      <w:r w:rsidR="005C7649">
        <w:t>that help</w:t>
      </w:r>
      <w:r w:rsidR="00795CCB">
        <w:t xml:space="preserve"> to</w:t>
      </w:r>
      <w:r w:rsidR="005C7649">
        <w:t xml:space="preserve"> identify </w:t>
      </w:r>
      <w:r w:rsidR="00C901FD">
        <w:t xml:space="preserve">items within the organisation </w:t>
      </w:r>
      <w:r w:rsidR="00795CCB">
        <w:t>as</w:t>
      </w:r>
      <w:r w:rsidR="00C901FD">
        <w:t xml:space="preserve"> intangible assets. </w:t>
      </w:r>
    </w:p>
    <w:p w14:paraId="1BD7D427" w14:textId="77777777" w:rsidR="005357F5" w:rsidRDefault="00C32A38" w:rsidP="00C32A38">
      <w:pPr>
        <w:pStyle w:val="NormalIndent"/>
      </w:pPr>
      <w:r>
        <w:rPr>
          <w:rFonts w:cs="Arial"/>
          <w:noProof/>
        </w:rPr>
        <w:drawing>
          <wp:inline distT="0" distB="0" distL="0" distR="0" wp14:anchorId="367BF940" wp14:editId="4D15D29B">
            <wp:extent cx="5730240" cy="716280"/>
            <wp:effectExtent l="0" t="0" r="3810" b="7620"/>
            <wp:docPr id="7" name="Picture 7" descr="C:\Users\MaslenJ1\AppData\Local\Avecto\DragAndDrop\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lenJ1\AppData\Local\Avecto\DragAndDrop\Diagra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716280"/>
                    </a:xfrm>
                    <a:prstGeom prst="rect">
                      <a:avLst/>
                    </a:prstGeom>
                    <a:noFill/>
                    <a:ln>
                      <a:noFill/>
                    </a:ln>
                  </pic:spPr>
                </pic:pic>
              </a:graphicData>
            </a:graphic>
          </wp:inline>
        </w:drawing>
      </w:r>
    </w:p>
    <w:p w14:paraId="41F2A3CD" w14:textId="77777777" w:rsidR="0091646C" w:rsidRDefault="00C901FD" w:rsidP="005C3A15">
      <w:pPr>
        <w:pStyle w:val="NormalIndent"/>
      </w:pPr>
      <w:r w:rsidRPr="0049630C">
        <w:rPr>
          <w:b/>
        </w:rPr>
        <w:t>Creative-related intangible assets</w:t>
      </w:r>
      <w:r>
        <w:t xml:space="preserve"> include items such as copyrights,</w:t>
      </w:r>
      <w:r w:rsidR="0091646C">
        <w:t xml:space="preserve"> which protect ownership rights </w:t>
      </w:r>
      <w:r w:rsidR="005C3A15">
        <w:t xml:space="preserve">of creative material </w:t>
      </w:r>
      <w:r w:rsidR="0091646C">
        <w:t xml:space="preserve">for the </w:t>
      </w:r>
      <w:r w:rsidR="009234DF">
        <w:t>organisation</w:t>
      </w:r>
      <w:r w:rsidR="0091646C">
        <w:t xml:space="preserve"> or government. </w:t>
      </w:r>
      <w:r w:rsidR="005C3A15">
        <w:t>Examples include: performance events, literary works, musical works, pictures, motion pictures and television programs.</w:t>
      </w:r>
    </w:p>
    <w:p w14:paraId="1482BBD4" w14:textId="77777777" w:rsidR="005357F5" w:rsidRDefault="0091646C" w:rsidP="005C3A15">
      <w:pPr>
        <w:pStyle w:val="NormalIndent"/>
      </w:pPr>
      <w:r w:rsidRPr="0049630C">
        <w:rPr>
          <w:b/>
        </w:rPr>
        <w:t>Technology-related</w:t>
      </w:r>
      <w:r w:rsidR="00C901FD" w:rsidRPr="0049630C">
        <w:rPr>
          <w:b/>
        </w:rPr>
        <w:t xml:space="preserve"> </w:t>
      </w:r>
      <w:r w:rsidRPr="0049630C">
        <w:rPr>
          <w:b/>
        </w:rPr>
        <w:t>intangible assets</w:t>
      </w:r>
      <w:r>
        <w:t xml:space="preserve"> include items such as patents and software. </w:t>
      </w:r>
      <w:r w:rsidR="005C3A15">
        <w:t>Examples include:</w:t>
      </w:r>
      <w:r w:rsidR="005C3A15" w:rsidRPr="005C3A15">
        <w:t xml:space="preserve"> </w:t>
      </w:r>
      <w:r w:rsidR="005C3A15">
        <w:t>patented technology, computer software and trade secrets (such as secret formulas and recipes).</w:t>
      </w:r>
    </w:p>
    <w:p w14:paraId="766C6B03" w14:textId="77777777" w:rsidR="0091646C" w:rsidRPr="0091646C" w:rsidRDefault="0091646C" w:rsidP="005C3A15">
      <w:pPr>
        <w:pStyle w:val="NormalIndent"/>
      </w:pPr>
      <w:r w:rsidRPr="0049630C">
        <w:rPr>
          <w:b/>
        </w:rPr>
        <w:t>Customer-related intangible assets</w:t>
      </w:r>
      <w:r w:rsidRPr="0091646C">
        <w:t xml:space="preserve"> include customer-related information</w:t>
      </w:r>
      <w:r w:rsidR="00FD2AE4">
        <w:t xml:space="preserve"> and data</w:t>
      </w:r>
      <w:r w:rsidRPr="0091646C">
        <w:t xml:space="preserve">. </w:t>
      </w:r>
      <w:r w:rsidR="005C3A15">
        <w:t>Examples include: customer lists, order backlog and customer relationships.</w:t>
      </w:r>
    </w:p>
    <w:p w14:paraId="3852385E" w14:textId="77777777" w:rsidR="0091646C" w:rsidRPr="0091646C" w:rsidRDefault="0091646C" w:rsidP="005C3A15">
      <w:pPr>
        <w:pStyle w:val="NormalIndent"/>
      </w:pPr>
      <w:r w:rsidRPr="0049630C">
        <w:rPr>
          <w:b/>
        </w:rPr>
        <w:t>Contract-related intangible assets</w:t>
      </w:r>
      <w:r w:rsidRPr="0091646C">
        <w:t xml:space="preserve"> include </w:t>
      </w:r>
      <w:r w:rsidR="005C3A15">
        <w:t xml:space="preserve">items in the form of </w:t>
      </w:r>
      <w:r w:rsidRPr="0091646C">
        <w:t xml:space="preserve">franchise agreements, licenses, and permits. Licenses and permits come into play when a government </w:t>
      </w:r>
      <w:r w:rsidR="009234DF">
        <w:t>organisation</w:t>
      </w:r>
      <w:r w:rsidRPr="0091646C">
        <w:t xml:space="preserve"> grants a private company operating rights, such as the use of city streets or designated areas for taxicab stands.</w:t>
      </w:r>
      <w:r w:rsidR="005C3A15">
        <w:t xml:space="preserve"> Examples include: licensing agreements, service contracts, lease agreements, franchise agreements, broadcast rights, employment contracts and use rights (such as drilling rights or water rights).</w:t>
      </w:r>
    </w:p>
    <w:p w14:paraId="454945BD" w14:textId="77777777" w:rsidR="00FD2AE4" w:rsidRDefault="0091646C" w:rsidP="00FD2AE4">
      <w:pPr>
        <w:pStyle w:val="NormalIndent"/>
      </w:pPr>
      <w:r w:rsidRPr="0049630C">
        <w:rPr>
          <w:b/>
        </w:rPr>
        <w:t>Marketing-related intangible assets</w:t>
      </w:r>
      <w:r w:rsidRPr="0091646C">
        <w:t xml:space="preserve"> help promote the company’s goods or services. These assets are unique sign</w:t>
      </w:r>
      <w:r w:rsidR="00117332">
        <w:t xml:space="preserve">s, symbols, or names the </w:t>
      </w:r>
      <w:r w:rsidR="009234DF">
        <w:t>organisation</w:t>
      </w:r>
      <w:r w:rsidRPr="0091646C">
        <w:t xml:space="preserve"> uses to </w:t>
      </w:r>
      <w:r w:rsidR="00117332">
        <w:t>create a brand or unique image.</w:t>
      </w:r>
      <w:r w:rsidR="00FD2AE4">
        <w:t xml:space="preserve"> Examples include: trademarks, newspaper mastheads, internet domain names and noncompetition agreements.</w:t>
      </w:r>
    </w:p>
    <w:p w14:paraId="27054A77" w14:textId="360B910D" w:rsidR="00FD2AE4" w:rsidRDefault="005E2AAD" w:rsidP="00117332">
      <w:pPr>
        <w:pStyle w:val="NormalIndent"/>
      </w:pPr>
      <w:r>
        <w:lastRenderedPageBreak/>
        <w:t>I</w:t>
      </w:r>
      <w:r w:rsidR="00FD2AE4">
        <w:t xml:space="preserve">nformation and data could potentially be </w:t>
      </w:r>
      <w:r w:rsidR="00861CFA">
        <w:t xml:space="preserve">classified as intangible assets </w:t>
      </w:r>
      <w:r w:rsidR="00FD2AE4">
        <w:t xml:space="preserve">within </w:t>
      </w:r>
      <w:r w:rsidR="00861CFA">
        <w:t xml:space="preserve">any of the </w:t>
      </w:r>
      <w:r w:rsidR="00FD2AE4">
        <w:t>five categories above.</w:t>
      </w:r>
    </w:p>
    <w:p w14:paraId="110672CD" w14:textId="4AA2138B" w:rsidR="00A914CE" w:rsidRDefault="00A914CE" w:rsidP="00117332">
      <w:pPr>
        <w:pStyle w:val="NormalIndent"/>
      </w:pPr>
      <w:r w:rsidRPr="00094ED5">
        <w:rPr>
          <w:b/>
        </w:rPr>
        <w:t>N.B.</w:t>
      </w:r>
      <w:r>
        <w:t xml:space="preserve"> An item must meet both the definition of an intangible asset and the recognition criteria before it would</w:t>
      </w:r>
      <w:r w:rsidR="001E2ADF">
        <w:t xml:space="preserve"> constitute a recognised</w:t>
      </w:r>
      <w:r>
        <w:t xml:space="preserve"> intangible asset that must be manag</w:t>
      </w:r>
      <w:r w:rsidR="00094ED5">
        <w:t>ed within the organisation’s asset management f</w:t>
      </w:r>
      <w:r>
        <w:t xml:space="preserve">ramework. It is possible for an organisation to identify an </w:t>
      </w:r>
      <w:r w:rsidR="00861CFA">
        <w:t xml:space="preserve">item using the guidance above which meets the definition of an </w:t>
      </w:r>
      <w:r>
        <w:t xml:space="preserve">intangible asset, but </w:t>
      </w:r>
      <w:r w:rsidR="00861CFA">
        <w:t>which</w:t>
      </w:r>
      <w:r>
        <w:t xml:space="preserve"> does not meet the </w:t>
      </w:r>
      <w:r w:rsidR="00861CFA">
        <w:t xml:space="preserve">required </w:t>
      </w:r>
      <w:r w:rsidR="008B5D72">
        <w:t>recognition</w:t>
      </w:r>
      <w:r>
        <w:t xml:space="preserve"> criteria</w:t>
      </w:r>
      <w:r w:rsidR="00861CFA">
        <w:t xml:space="preserve">. </w:t>
      </w:r>
    </w:p>
    <w:p w14:paraId="3F6EE575" w14:textId="77777777" w:rsidR="0091646C" w:rsidRDefault="00204DF7" w:rsidP="00117332">
      <w:pPr>
        <w:pStyle w:val="Heading1numbered"/>
      </w:pPr>
      <w:bookmarkStart w:id="7" w:name="_Toc529885096"/>
      <w:r>
        <w:t>Items not</w:t>
      </w:r>
      <w:r w:rsidR="00CA4745">
        <w:t xml:space="preserve"> </w:t>
      </w:r>
      <w:r w:rsidR="000C4A17">
        <w:t>recognised</w:t>
      </w:r>
      <w:r w:rsidR="00117332">
        <w:t xml:space="preserve"> as intangible </w:t>
      </w:r>
      <w:r w:rsidR="005C7649">
        <w:t>assets</w:t>
      </w:r>
      <w:bookmarkEnd w:id="7"/>
    </w:p>
    <w:p w14:paraId="1C65A22E" w14:textId="41328C1C" w:rsidR="00767786" w:rsidRDefault="00861CFA" w:rsidP="00767786">
      <w:pPr>
        <w:pStyle w:val="NormalIndent"/>
      </w:pPr>
      <w:r>
        <w:t xml:space="preserve">The AMAF applies </w:t>
      </w:r>
      <w:r w:rsidR="00780E39">
        <w:t xml:space="preserve">equally </w:t>
      </w:r>
      <w:r>
        <w:t>to i</w:t>
      </w:r>
      <w:r w:rsidR="00767786">
        <w:t xml:space="preserve">ntangible assets </w:t>
      </w:r>
      <w:r>
        <w:t>and</w:t>
      </w:r>
      <w:r w:rsidR="005D7C29">
        <w:t xml:space="preserve"> tangible asset</w:t>
      </w:r>
      <w:r>
        <w:t xml:space="preserve">s (i.e. </w:t>
      </w:r>
      <w:r w:rsidR="006010CA">
        <w:t xml:space="preserve">land, buildings, infrastructure, </w:t>
      </w:r>
      <w:r>
        <w:t>plant and equipment)</w:t>
      </w:r>
      <w:r w:rsidR="005D7C29">
        <w:t xml:space="preserve">. </w:t>
      </w:r>
      <w:r w:rsidR="00280953">
        <w:t xml:space="preserve">However, intangibles </w:t>
      </w:r>
      <w:r w:rsidR="00767786">
        <w:t xml:space="preserve">are often not highly visible assets from a balance sheet perspective but </w:t>
      </w:r>
      <w:r w:rsidR="00280953">
        <w:t xml:space="preserve">never-the-less </w:t>
      </w:r>
      <w:r w:rsidR="00767786">
        <w:t xml:space="preserve">can be integral to an </w:t>
      </w:r>
      <w:r w:rsidR="009234DF">
        <w:t>organisation</w:t>
      </w:r>
      <w:r w:rsidR="00767786">
        <w:t xml:space="preserve">’s service delivery. </w:t>
      </w:r>
    </w:p>
    <w:p w14:paraId="020B8F0A" w14:textId="5A496E5A" w:rsidR="00767786" w:rsidRDefault="00767786" w:rsidP="00767786">
      <w:pPr>
        <w:pStyle w:val="NormalIndent"/>
      </w:pPr>
      <w:r>
        <w:t>There may be other items, such as information, that do not</w:t>
      </w:r>
      <w:r w:rsidR="00665440">
        <w:t xml:space="preserve"> </w:t>
      </w:r>
      <w:r>
        <w:t xml:space="preserve">meet the </w:t>
      </w:r>
      <w:r w:rsidR="00280953">
        <w:t xml:space="preserve">accounting </w:t>
      </w:r>
      <w:r>
        <w:t xml:space="preserve">definition or recognition criteria of an asset but could </w:t>
      </w:r>
      <w:r w:rsidR="00665440">
        <w:t xml:space="preserve">still </w:t>
      </w:r>
      <w:r>
        <w:t xml:space="preserve">be included into an organisation’s </w:t>
      </w:r>
      <w:r w:rsidR="00665440">
        <w:t>asset management framework</w:t>
      </w:r>
      <w:r w:rsidR="00780E39">
        <w:t xml:space="preserve"> on the basis that</w:t>
      </w:r>
      <w:r w:rsidR="00094ED5">
        <w:t xml:space="preserve"> they are often critical items that if lost would disrupt the service delivery of the organisation. </w:t>
      </w:r>
    </w:p>
    <w:p w14:paraId="107B1B52" w14:textId="27A536F1" w:rsidR="000C4A17" w:rsidRPr="000C4A17" w:rsidRDefault="000C4A17" w:rsidP="00C65FB2">
      <w:pPr>
        <w:pStyle w:val="Para0"/>
        <w:spacing w:before="120" w:after="0"/>
        <w:ind w:left="792"/>
        <w:jc w:val="both"/>
        <w:rPr>
          <w:rFonts w:cs="Arial"/>
        </w:rPr>
      </w:pPr>
      <w:r>
        <w:rPr>
          <w:rFonts w:cs="Arial"/>
        </w:rPr>
        <w:t>N.B the “</w:t>
      </w:r>
      <w:r>
        <w:t xml:space="preserve">IAS 38 Intangible Assets Fact </w:t>
      </w:r>
      <w:proofErr w:type="gramStart"/>
      <w:r>
        <w:t>Sheet</w:t>
      </w:r>
      <w:r w:rsidR="008B5D72">
        <w:rPr>
          <w:rFonts w:cs="Arial"/>
        </w:rPr>
        <w:t>“</w:t>
      </w:r>
      <w:r w:rsidR="00280953">
        <w:rPr>
          <w:rFonts w:cs="Arial"/>
        </w:rPr>
        <w:t xml:space="preserve"> issued</w:t>
      </w:r>
      <w:proofErr w:type="gramEnd"/>
      <w:r w:rsidR="00280953">
        <w:rPr>
          <w:rFonts w:cs="Arial"/>
        </w:rPr>
        <w:t xml:space="preserve"> </w:t>
      </w:r>
      <w:r w:rsidR="008B5D72">
        <w:rPr>
          <w:rFonts w:cs="Arial"/>
        </w:rPr>
        <w:t>by</w:t>
      </w:r>
      <w:r>
        <w:rPr>
          <w:rFonts w:cs="Arial"/>
        </w:rPr>
        <w:t xml:space="preserve"> the CPA Australia</w:t>
      </w:r>
      <w:r w:rsidR="00780E39">
        <w:rPr>
          <w:rFonts w:cs="Arial"/>
        </w:rPr>
        <w:t>, equally applicable in the Australian context,</w:t>
      </w:r>
      <w:r>
        <w:rPr>
          <w:rFonts w:cs="Arial"/>
        </w:rPr>
        <w:t xml:space="preserve"> </w:t>
      </w:r>
      <w:r w:rsidRPr="000C4A17">
        <w:rPr>
          <w:rFonts w:cs="Arial"/>
        </w:rPr>
        <w:t>specifically pro</w:t>
      </w:r>
      <w:r>
        <w:rPr>
          <w:rFonts w:cs="Arial"/>
        </w:rPr>
        <w:t xml:space="preserve">hibits the following internally </w:t>
      </w:r>
      <w:r w:rsidRPr="000C4A17">
        <w:rPr>
          <w:rFonts w:cs="Arial"/>
        </w:rPr>
        <w:t>generated intangible</w:t>
      </w:r>
      <w:r w:rsidR="00280953">
        <w:rPr>
          <w:rFonts w:cs="Arial"/>
        </w:rPr>
        <w:t>s</w:t>
      </w:r>
      <w:r w:rsidRPr="000C4A17">
        <w:rPr>
          <w:rFonts w:cs="Arial"/>
        </w:rPr>
        <w:t xml:space="preserve"> from being </w:t>
      </w:r>
      <w:proofErr w:type="spellStart"/>
      <w:r w:rsidR="00280953">
        <w:rPr>
          <w:rFonts w:cs="Arial"/>
        </w:rPr>
        <w:t>recogni</w:t>
      </w:r>
      <w:r w:rsidR="00780E39">
        <w:rPr>
          <w:rFonts w:cs="Arial"/>
        </w:rPr>
        <w:t>s</w:t>
      </w:r>
      <w:r w:rsidR="00280953">
        <w:rPr>
          <w:rFonts w:cs="Arial"/>
        </w:rPr>
        <w:t>ed</w:t>
      </w:r>
      <w:proofErr w:type="spellEnd"/>
      <w:r w:rsidR="00280953">
        <w:rPr>
          <w:rFonts w:cs="Arial"/>
        </w:rPr>
        <w:t xml:space="preserve"> as assets</w:t>
      </w:r>
      <w:r w:rsidRPr="000C4A17">
        <w:rPr>
          <w:rFonts w:cs="Arial"/>
        </w:rPr>
        <w:t>:</w:t>
      </w:r>
    </w:p>
    <w:p w14:paraId="5DD3E478" w14:textId="39B780EE" w:rsidR="000C4A17" w:rsidRPr="000C4A17" w:rsidRDefault="00280953" w:rsidP="000C4A17">
      <w:pPr>
        <w:pStyle w:val="Para0"/>
        <w:numPr>
          <w:ilvl w:val="0"/>
          <w:numId w:val="11"/>
        </w:numPr>
        <w:spacing w:before="0" w:after="0"/>
        <w:ind w:left="1434" w:hanging="357"/>
        <w:jc w:val="both"/>
        <w:rPr>
          <w:rFonts w:cs="Arial"/>
        </w:rPr>
      </w:pPr>
      <w:r w:rsidRPr="000C4A17">
        <w:rPr>
          <w:rFonts w:cs="Arial"/>
        </w:rPr>
        <w:t>G</w:t>
      </w:r>
      <w:r w:rsidR="000C4A17" w:rsidRPr="000C4A17">
        <w:rPr>
          <w:rFonts w:cs="Arial"/>
        </w:rPr>
        <w:t>oodwill</w:t>
      </w:r>
      <w:r>
        <w:rPr>
          <w:rFonts w:cs="Arial"/>
        </w:rPr>
        <w:t>;</w:t>
      </w:r>
    </w:p>
    <w:p w14:paraId="24F0AB9C" w14:textId="40040792" w:rsidR="000C4A17" w:rsidRPr="000C4A17" w:rsidRDefault="00280953" w:rsidP="000C4A17">
      <w:pPr>
        <w:pStyle w:val="Para0"/>
        <w:numPr>
          <w:ilvl w:val="0"/>
          <w:numId w:val="11"/>
        </w:numPr>
        <w:spacing w:before="0" w:after="0"/>
        <w:ind w:left="1434" w:hanging="357"/>
        <w:jc w:val="both"/>
        <w:rPr>
          <w:rFonts w:cs="Arial"/>
        </w:rPr>
      </w:pPr>
      <w:r w:rsidRPr="000C4A17">
        <w:rPr>
          <w:rFonts w:cs="Arial"/>
        </w:rPr>
        <w:t>B</w:t>
      </w:r>
      <w:r w:rsidR="000C4A17" w:rsidRPr="000C4A17">
        <w:rPr>
          <w:rFonts w:cs="Arial"/>
        </w:rPr>
        <w:t>rands</w:t>
      </w:r>
      <w:r>
        <w:rPr>
          <w:rFonts w:cs="Arial"/>
        </w:rPr>
        <w:t>;</w:t>
      </w:r>
    </w:p>
    <w:p w14:paraId="3FF4353F" w14:textId="5387729F" w:rsidR="000C4A17" w:rsidRPr="000C4A17" w:rsidRDefault="00280953" w:rsidP="000C4A17">
      <w:pPr>
        <w:pStyle w:val="Para0"/>
        <w:numPr>
          <w:ilvl w:val="0"/>
          <w:numId w:val="11"/>
        </w:numPr>
        <w:spacing w:before="0" w:after="0"/>
        <w:ind w:left="1434" w:hanging="357"/>
        <w:jc w:val="both"/>
        <w:rPr>
          <w:rFonts w:cs="Arial"/>
        </w:rPr>
      </w:pPr>
      <w:r w:rsidRPr="000C4A17">
        <w:rPr>
          <w:rFonts w:cs="Arial"/>
        </w:rPr>
        <w:t>M</w:t>
      </w:r>
      <w:r w:rsidR="000C4A17" w:rsidRPr="000C4A17">
        <w:rPr>
          <w:rFonts w:cs="Arial"/>
        </w:rPr>
        <w:t>astheads</w:t>
      </w:r>
      <w:r>
        <w:rPr>
          <w:rFonts w:cs="Arial"/>
        </w:rPr>
        <w:t>;</w:t>
      </w:r>
    </w:p>
    <w:p w14:paraId="16AB86DC" w14:textId="0E452504" w:rsidR="000C4A17" w:rsidRPr="000C4A17" w:rsidRDefault="000C4A17" w:rsidP="000C4A17">
      <w:pPr>
        <w:pStyle w:val="Para0"/>
        <w:numPr>
          <w:ilvl w:val="0"/>
          <w:numId w:val="11"/>
        </w:numPr>
        <w:spacing w:before="0" w:after="0"/>
        <w:ind w:left="1434" w:hanging="357"/>
        <w:jc w:val="both"/>
        <w:rPr>
          <w:rFonts w:cs="Arial"/>
        </w:rPr>
      </w:pPr>
      <w:r w:rsidRPr="000C4A17">
        <w:rPr>
          <w:rFonts w:cs="Arial"/>
        </w:rPr>
        <w:t>publishing titles</w:t>
      </w:r>
      <w:r w:rsidR="00280953">
        <w:rPr>
          <w:rFonts w:cs="Arial"/>
        </w:rPr>
        <w:t>;</w:t>
      </w:r>
    </w:p>
    <w:p w14:paraId="4D6158A6" w14:textId="0DA9C979" w:rsidR="000C4A17" w:rsidRPr="000C4A17" w:rsidRDefault="000C4A17" w:rsidP="000C4A17">
      <w:pPr>
        <w:pStyle w:val="Para0"/>
        <w:numPr>
          <w:ilvl w:val="0"/>
          <w:numId w:val="11"/>
        </w:numPr>
        <w:spacing w:before="0" w:after="0"/>
        <w:ind w:left="1434" w:hanging="357"/>
        <w:jc w:val="both"/>
        <w:rPr>
          <w:rFonts w:cs="Arial"/>
        </w:rPr>
      </w:pPr>
      <w:r w:rsidRPr="000C4A17">
        <w:rPr>
          <w:rFonts w:cs="Arial"/>
        </w:rPr>
        <w:t>customer lists</w:t>
      </w:r>
      <w:r w:rsidR="00280953">
        <w:rPr>
          <w:rFonts w:cs="Arial"/>
        </w:rPr>
        <w:t>;</w:t>
      </w:r>
    </w:p>
    <w:p w14:paraId="2A92B105" w14:textId="7A5CB5E4" w:rsidR="000C4A17" w:rsidRPr="00FD2AE4" w:rsidRDefault="000C4A17" w:rsidP="00FD2AE4">
      <w:pPr>
        <w:pStyle w:val="Para0"/>
        <w:numPr>
          <w:ilvl w:val="0"/>
          <w:numId w:val="11"/>
        </w:numPr>
        <w:spacing w:before="0" w:after="0"/>
        <w:ind w:left="1434" w:hanging="357"/>
        <w:jc w:val="both"/>
        <w:rPr>
          <w:rFonts w:cs="Arial"/>
        </w:rPr>
      </w:pPr>
      <w:r w:rsidRPr="000C4A17">
        <w:rPr>
          <w:rFonts w:cs="Arial"/>
        </w:rPr>
        <w:t xml:space="preserve">item similar in substance </w:t>
      </w:r>
      <w:r w:rsidR="00FD2AE4">
        <w:rPr>
          <w:rFonts w:cs="Arial"/>
        </w:rPr>
        <w:t xml:space="preserve">that </w:t>
      </w:r>
      <w:r w:rsidRPr="000C4A17">
        <w:rPr>
          <w:rFonts w:cs="Arial"/>
        </w:rPr>
        <w:t>cannot be distinguished</w:t>
      </w:r>
      <w:r w:rsidR="00FD2AE4">
        <w:rPr>
          <w:rFonts w:cs="Arial"/>
        </w:rPr>
        <w:t xml:space="preserve"> </w:t>
      </w:r>
      <w:r w:rsidRPr="00FD2AE4">
        <w:rPr>
          <w:rFonts w:cs="Arial"/>
        </w:rPr>
        <w:t>from the cost of developing the business as a whole</w:t>
      </w:r>
      <w:r w:rsidR="00280953">
        <w:rPr>
          <w:rFonts w:cs="Arial"/>
        </w:rPr>
        <w:t>; and,</w:t>
      </w:r>
    </w:p>
    <w:p w14:paraId="589DE90D" w14:textId="51BAD5B3" w:rsidR="000C4A17" w:rsidRPr="000C4A17" w:rsidRDefault="000C4A17" w:rsidP="000C4A17">
      <w:pPr>
        <w:pStyle w:val="Para0"/>
        <w:numPr>
          <w:ilvl w:val="0"/>
          <w:numId w:val="11"/>
        </w:numPr>
        <w:spacing w:before="0" w:after="0"/>
        <w:ind w:left="1434" w:hanging="357"/>
        <w:jc w:val="both"/>
        <w:rPr>
          <w:rFonts w:cs="Arial"/>
        </w:rPr>
      </w:pPr>
      <w:r w:rsidRPr="000C4A17">
        <w:rPr>
          <w:rFonts w:cs="Arial"/>
        </w:rPr>
        <w:t>intangib</w:t>
      </w:r>
      <w:r>
        <w:rPr>
          <w:rFonts w:cs="Arial"/>
        </w:rPr>
        <w:t xml:space="preserve">le assets arising from research </w:t>
      </w:r>
      <w:r w:rsidRPr="000C4A17">
        <w:rPr>
          <w:rFonts w:cs="Arial"/>
        </w:rPr>
        <w:t>(or from the research phase of an internal project)</w:t>
      </w:r>
      <w:r w:rsidR="00280953">
        <w:rPr>
          <w:rFonts w:cs="Arial"/>
        </w:rPr>
        <w:t>.</w:t>
      </w:r>
    </w:p>
    <w:p w14:paraId="3D028891" w14:textId="77777777" w:rsidR="000C4A17" w:rsidRDefault="000B5E72" w:rsidP="00767786">
      <w:pPr>
        <w:pStyle w:val="NormalIndent"/>
      </w:pPr>
      <w:r>
        <w:t>For example:</w:t>
      </w:r>
    </w:p>
    <w:p w14:paraId="253DEB49" w14:textId="07A52732" w:rsidR="000B5E72" w:rsidRDefault="000B5E72" w:rsidP="00767786">
      <w:pPr>
        <w:pStyle w:val="NormalIndent"/>
      </w:pPr>
      <w:r>
        <w:t xml:space="preserve">A higher education facility develops a reputation for service standard excellence and this standard resonates with the </w:t>
      </w:r>
      <w:proofErr w:type="gramStart"/>
      <w:r>
        <w:t>general public</w:t>
      </w:r>
      <w:proofErr w:type="gramEnd"/>
      <w:r>
        <w:t xml:space="preserve"> when represented by the organisations brand. While this brand satisfies the definition </w:t>
      </w:r>
      <w:r w:rsidR="006034CF">
        <w:t>requirements</w:t>
      </w:r>
      <w:r>
        <w:t xml:space="preserve"> of an</w:t>
      </w:r>
      <w:r w:rsidR="006034CF">
        <w:t xml:space="preserve"> internally generated</w:t>
      </w:r>
      <w:r>
        <w:t xml:space="preserve"> intangible asset, it does not satisfy the recognition criteria</w:t>
      </w:r>
      <w:r w:rsidR="006034CF">
        <w:t xml:space="preserve">. </w:t>
      </w:r>
      <w:proofErr w:type="gramStart"/>
      <w:r w:rsidR="006034CF">
        <w:t>Therefor</w:t>
      </w:r>
      <w:r w:rsidR="00280953">
        <w:t>e</w:t>
      </w:r>
      <w:proofErr w:type="gramEnd"/>
      <w:r w:rsidR="006034CF">
        <w:t xml:space="preserve"> the requirements of the AMAF would not apply. </w:t>
      </w:r>
    </w:p>
    <w:p w14:paraId="5378035E" w14:textId="77777777" w:rsidR="004946C9" w:rsidRDefault="00813C77" w:rsidP="005E2FDE">
      <w:pPr>
        <w:pStyle w:val="Heading1numbered"/>
      </w:pPr>
      <w:bookmarkStart w:id="8" w:name="_Toc529885097"/>
      <w:r>
        <w:t>How the AMAF applies to intangible assets</w:t>
      </w:r>
      <w:bookmarkEnd w:id="8"/>
    </w:p>
    <w:p w14:paraId="57E63B8A" w14:textId="77777777" w:rsidR="00FA467C" w:rsidRDefault="00FA467C" w:rsidP="00FA467C">
      <w:pPr>
        <w:pStyle w:val="Heading2numbered"/>
      </w:pPr>
      <w:bookmarkStart w:id="9" w:name="_Toc529885098"/>
      <w:r>
        <w:t>AMAF</w:t>
      </w:r>
      <w:r w:rsidR="005D7C29">
        <w:t xml:space="preserve"> and intangible assets</w:t>
      </w:r>
      <w:r>
        <w:t xml:space="preserve"> – key guidance notes</w:t>
      </w:r>
      <w:bookmarkEnd w:id="9"/>
    </w:p>
    <w:p w14:paraId="36871398" w14:textId="59726B3C" w:rsidR="00FA467C" w:rsidRDefault="00334FFF" w:rsidP="009775A6">
      <w:pPr>
        <w:pStyle w:val="NormalIndent"/>
      </w:pPr>
      <w:r>
        <w:t>To be included as an intangible asset</w:t>
      </w:r>
      <w:r w:rsidRPr="00334FFF">
        <w:t xml:space="preserve"> </w:t>
      </w:r>
      <w:r>
        <w:t xml:space="preserve">within the organisation’s Asset Management Framework, it </w:t>
      </w:r>
      <w:r w:rsidR="00FA467C">
        <w:t xml:space="preserve">must meet the </w:t>
      </w:r>
      <w:r w:rsidR="00FA467C" w:rsidRPr="00AE4511">
        <w:rPr>
          <w:b/>
        </w:rPr>
        <w:t>definition</w:t>
      </w:r>
      <w:r w:rsidR="00FA467C">
        <w:t xml:space="preserve"> criteria </w:t>
      </w:r>
      <w:r w:rsidR="00AE4511">
        <w:t xml:space="preserve">of an intangible assets </w:t>
      </w:r>
      <w:r w:rsidR="00FA467C">
        <w:t xml:space="preserve">as well as the </w:t>
      </w:r>
      <w:r w:rsidR="00FA467C" w:rsidRPr="00AE4511">
        <w:rPr>
          <w:b/>
        </w:rPr>
        <w:t>recognition</w:t>
      </w:r>
      <w:r w:rsidR="00FA467C">
        <w:t xml:space="preserve"> criteria </w:t>
      </w:r>
      <w:r w:rsidR="00AE4511">
        <w:t>of an intangible asset</w:t>
      </w:r>
      <w:r w:rsidR="00FA467C">
        <w:t>.</w:t>
      </w:r>
    </w:p>
    <w:p w14:paraId="77078EB9" w14:textId="4E7D28AA" w:rsidR="00FA467C" w:rsidRDefault="00FA467C" w:rsidP="009775A6">
      <w:pPr>
        <w:pStyle w:val="NormalIndent"/>
      </w:pPr>
      <w:r>
        <w:t xml:space="preserve">An </w:t>
      </w:r>
      <w:r w:rsidR="00334FFF">
        <w:t xml:space="preserve">item </w:t>
      </w:r>
      <w:r>
        <w:t>can meet the definition criteria of an intangible asset but not meet the recognition criteria. In this case</w:t>
      </w:r>
      <w:r w:rsidR="009775A6">
        <w:t>, the requirements of AMAF do</w:t>
      </w:r>
      <w:r>
        <w:t xml:space="preserve"> not</w:t>
      </w:r>
      <w:r w:rsidR="009775A6">
        <w:t xml:space="preserve"> strictly</w:t>
      </w:r>
      <w:r>
        <w:t xml:space="preserve"> apply.</w:t>
      </w:r>
    </w:p>
    <w:p w14:paraId="77FB4D9C" w14:textId="541969E3" w:rsidR="00FA467C" w:rsidRDefault="00FA467C" w:rsidP="009775A6">
      <w:pPr>
        <w:pStyle w:val="NormalIndent"/>
      </w:pPr>
      <w:r>
        <w:t xml:space="preserve">However, for </w:t>
      </w:r>
      <w:r w:rsidR="00334FFF">
        <w:t>items</w:t>
      </w:r>
      <w:r>
        <w:t xml:space="preserve"> </w:t>
      </w:r>
      <w:r w:rsidR="00334FFF">
        <w:t>which meet the definition but</w:t>
      </w:r>
      <w:r>
        <w:t xml:space="preserve"> </w:t>
      </w:r>
      <w:r w:rsidR="005D7C29">
        <w:t>do not meet</w:t>
      </w:r>
      <w:r>
        <w:t xml:space="preserve"> the recognition criteria</w:t>
      </w:r>
      <w:r w:rsidR="00A01FB7">
        <w:t xml:space="preserve"> (point 2 above)</w:t>
      </w:r>
      <w:r>
        <w:t xml:space="preserve">, the </w:t>
      </w:r>
      <w:r w:rsidR="009775A6">
        <w:t>a</w:t>
      </w:r>
      <w:r w:rsidR="00334FFF">
        <w:t xml:space="preserve">sset </w:t>
      </w:r>
      <w:r w:rsidR="009775A6">
        <w:t>m</w:t>
      </w:r>
      <w:r w:rsidR="00334FFF">
        <w:t xml:space="preserve">anager </w:t>
      </w:r>
      <w:r>
        <w:t xml:space="preserve">should still </w:t>
      </w:r>
      <w:r w:rsidR="00243DA4">
        <w:t xml:space="preserve">assess </w:t>
      </w:r>
      <w:r>
        <w:t>t</w:t>
      </w:r>
      <w:r w:rsidR="00E4335C">
        <w:t xml:space="preserve">he </w:t>
      </w:r>
      <w:r w:rsidR="00243DA4">
        <w:t xml:space="preserve">underlying benefit </w:t>
      </w:r>
      <w:r w:rsidR="009775A6">
        <w:t xml:space="preserve">of the </w:t>
      </w:r>
      <w:r w:rsidR="00243DA4">
        <w:t xml:space="preserve">item to the organisation </w:t>
      </w:r>
      <w:r>
        <w:t>and deter</w:t>
      </w:r>
      <w:bookmarkStart w:id="10" w:name="_GoBack"/>
      <w:bookmarkEnd w:id="10"/>
      <w:r>
        <w:t xml:space="preserve">mine </w:t>
      </w:r>
      <w:proofErr w:type="gramStart"/>
      <w:r w:rsidR="00243DA4">
        <w:t>whether or not</w:t>
      </w:r>
      <w:proofErr w:type="gramEnd"/>
      <w:r w:rsidR="00243DA4">
        <w:t xml:space="preserve"> it</w:t>
      </w:r>
      <w:r w:rsidR="003B577A">
        <w:t xml:space="preserve"> </w:t>
      </w:r>
      <w:r w:rsidR="00243DA4">
        <w:t xml:space="preserve">could </w:t>
      </w:r>
      <w:r w:rsidR="003B577A">
        <w:t xml:space="preserve">still </w:t>
      </w:r>
      <w:r>
        <w:t xml:space="preserve">be </w:t>
      </w:r>
      <w:r w:rsidR="00243DA4">
        <w:t>incorporated within the AMAF anyway</w:t>
      </w:r>
      <w:r>
        <w:t>.</w:t>
      </w:r>
    </w:p>
    <w:p w14:paraId="7EDD43FE" w14:textId="3DF8F226" w:rsidR="001607DE" w:rsidRDefault="00A358A9" w:rsidP="008049B4">
      <w:pPr>
        <w:pStyle w:val="Heading2numbered"/>
      </w:pPr>
      <w:bookmarkStart w:id="11" w:name="_Toc529885099"/>
      <w:r>
        <w:lastRenderedPageBreak/>
        <w:t xml:space="preserve">Applying the AMAF to </w:t>
      </w:r>
      <w:r w:rsidR="00877777">
        <w:t>intangible assets</w:t>
      </w:r>
      <w:bookmarkEnd w:id="11"/>
    </w:p>
    <w:p w14:paraId="09865DE3" w14:textId="5B776DE8" w:rsidR="008049B4" w:rsidRDefault="008049B4" w:rsidP="008049B4">
      <w:pPr>
        <w:pStyle w:val="NormalIndent"/>
        <w:rPr>
          <w:rFonts w:cs="Arial"/>
        </w:rPr>
      </w:pPr>
      <w:r w:rsidRPr="00297321">
        <w:rPr>
          <w:rFonts w:cs="Arial"/>
        </w:rPr>
        <w:t>Ass</w:t>
      </w:r>
      <w:r>
        <w:rPr>
          <w:rFonts w:cs="Arial"/>
        </w:rPr>
        <w:t xml:space="preserve">ets exist within </w:t>
      </w:r>
      <w:r w:rsidR="00F615AB">
        <w:rPr>
          <w:rFonts w:cs="Arial"/>
        </w:rPr>
        <w:t>organisations</w:t>
      </w:r>
      <w:r>
        <w:rPr>
          <w:rFonts w:cs="Arial"/>
        </w:rPr>
        <w:t xml:space="preserve"> to provide value</w:t>
      </w:r>
      <w:r w:rsidRPr="00297321">
        <w:rPr>
          <w:rFonts w:cs="Arial"/>
        </w:rPr>
        <w:t>, generally in the form of financial or service outcomes. To protect these assets, and t</w:t>
      </w:r>
      <w:r w:rsidR="00F615AB">
        <w:rPr>
          <w:rFonts w:cs="Arial"/>
        </w:rPr>
        <w:t xml:space="preserve">he value they </w:t>
      </w:r>
      <w:r w:rsidR="00084460">
        <w:rPr>
          <w:rFonts w:cs="Arial"/>
        </w:rPr>
        <w:t>provide</w:t>
      </w:r>
      <w:r w:rsidR="00F615AB">
        <w:rPr>
          <w:rFonts w:cs="Arial"/>
        </w:rPr>
        <w:t>,</w:t>
      </w:r>
      <w:r w:rsidRPr="00297321">
        <w:rPr>
          <w:rFonts w:cs="Arial"/>
        </w:rPr>
        <w:t xml:space="preserve"> </w:t>
      </w:r>
      <w:r w:rsidR="00F615AB">
        <w:rPr>
          <w:rFonts w:cs="Arial"/>
        </w:rPr>
        <w:t>organisations</w:t>
      </w:r>
      <w:r>
        <w:rPr>
          <w:rFonts w:cs="Arial"/>
        </w:rPr>
        <w:t xml:space="preserve"> typically develop </w:t>
      </w:r>
      <w:r w:rsidRPr="00297321">
        <w:rPr>
          <w:rFonts w:cs="Arial"/>
        </w:rPr>
        <w:t>management plan</w:t>
      </w:r>
      <w:r>
        <w:rPr>
          <w:rFonts w:cs="Arial"/>
        </w:rPr>
        <w:t>s</w:t>
      </w:r>
      <w:r w:rsidRPr="00297321">
        <w:rPr>
          <w:rFonts w:cs="Arial"/>
        </w:rPr>
        <w:t xml:space="preserve"> to guide the lifecycle management </w:t>
      </w:r>
      <w:r>
        <w:rPr>
          <w:rFonts w:cs="Arial"/>
        </w:rPr>
        <w:t>of that asset. This is usually</w:t>
      </w:r>
      <w:r w:rsidR="006B49EB">
        <w:rPr>
          <w:rFonts w:cs="Arial"/>
        </w:rPr>
        <w:t xml:space="preserve"> called an </w:t>
      </w:r>
      <w:r w:rsidRPr="00297321">
        <w:rPr>
          <w:rFonts w:cs="Arial"/>
        </w:rPr>
        <w:t>Asset Managemen</w:t>
      </w:r>
      <w:r w:rsidR="006B49EB">
        <w:rPr>
          <w:rFonts w:cs="Arial"/>
        </w:rPr>
        <w:t>t Plan</w:t>
      </w:r>
      <w:r w:rsidRPr="00297321">
        <w:rPr>
          <w:rFonts w:cs="Arial"/>
        </w:rPr>
        <w:t xml:space="preserve"> and is developed to ensure the actions to manage the asset over its lifecycle, align with and support the stated </w:t>
      </w:r>
      <w:r>
        <w:rPr>
          <w:rFonts w:cs="Arial"/>
        </w:rPr>
        <w:t xml:space="preserve">service delivery objectives of the </w:t>
      </w:r>
      <w:r w:rsidR="009234DF">
        <w:rPr>
          <w:rFonts w:cs="Arial"/>
        </w:rPr>
        <w:t>organisation</w:t>
      </w:r>
      <w:r>
        <w:rPr>
          <w:rFonts w:cs="Arial"/>
        </w:rPr>
        <w:t>.</w:t>
      </w:r>
    </w:p>
    <w:p w14:paraId="02CC95A0" w14:textId="77777777" w:rsidR="001607DE" w:rsidRDefault="001607DE" w:rsidP="008049B4">
      <w:pPr>
        <w:pStyle w:val="NormalIndent"/>
        <w:rPr>
          <w:rFonts w:cs="Arial"/>
        </w:rPr>
      </w:pPr>
      <w:r w:rsidRPr="00297321">
        <w:rPr>
          <w:rFonts w:cs="Arial"/>
        </w:rPr>
        <w:t>O</w:t>
      </w:r>
      <w:r w:rsidR="00DA1803">
        <w:rPr>
          <w:rFonts w:cs="Arial"/>
        </w:rPr>
        <w:t>rganisations can manage their intangible asset</w:t>
      </w:r>
      <w:r w:rsidRPr="00297321">
        <w:rPr>
          <w:rFonts w:cs="Arial"/>
        </w:rPr>
        <w:t>s in accordance with the AMAF by developing and imple</w:t>
      </w:r>
      <w:r w:rsidR="00DA1803">
        <w:rPr>
          <w:rFonts w:cs="Arial"/>
        </w:rPr>
        <w:t>menting</w:t>
      </w:r>
      <w:r w:rsidR="00AC1868">
        <w:rPr>
          <w:rFonts w:cs="Arial"/>
        </w:rPr>
        <w:t xml:space="preserve"> Asset Management Plan</w:t>
      </w:r>
      <w:r w:rsidR="00DA1803">
        <w:rPr>
          <w:rFonts w:cs="Arial"/>
        </w:rPr>
        <w:t>s that include</w:t>
      </w:r>
      <w:r w:rsidR="00E6740A">
        <w:rPr>
          <w:rFonts w:cs="Arial"/>
        </w:rPr>
        <w:t xml:space="preserve"> </w:t>
      </w:r>
      <w:r w:rsidR="00DA1803">
        <w:rPr>
          <w:rFonts w:cs="Arial"/>
        </w:rPr>
        <w:t>intangible asset</w:t>
      </w:r>
      <w:r w:rsidRPr="00297321">
        <w:rPr>
          <w:rFonts w:cs="Arial"/>
        </w:rPr>
        <w:t>s using the information described in the “AMAF Imple</w:t>
      </w:r>
      <w:r w:rsidR="00E6740A">
        <w:rPr>
          <w:rFonts w:cs="Arial"/>
        </w:rPr>
        <w:t>mentation Guidance March 2017</w:t>
      </w:r>
      <w:r w:rsidR="008B5D72">
        <w:rPr>
          <w:rFonts w:cs="Arial"/>
        </w:rPr>
        <w:t>”. An</w:t>
      </w:r>
      <w:r w:rsidRPr="00297321">
        <w:rPr>
          <w:rFonts w:cs="Arial"/>
        </w:rPr>
        <w:t xml:space="preserve"> A</w:t>
      </w:r>
      <w:r w:rsidR="00866C1F">
        <w:rPr>
          <w:rFonts w:cs="Arial"/>
        </w:rPr>
        <w:t xml:space="preserve">sset </w:t>
      </w:r>
      <w:r w:rsidRPr="00297321">
        <w:rPr>
          <w:rFonts w:cs="Arial"/>
        </w:rPr>
        <w:t>M</w:t>
      </w:r>
      <w:r w:rsidR="00866C1F">
        <w:rPr>
          <w:rFonts w:cs="Arial"/>
        </w:rPr>
        <w:t xml:space="preserve">anagement </w:t>
      </w:r>
      <w:r w:rsidRPr="00297321">
        <w:rPr>
          <w:rFonts w:cs="Arial"/>
        </w:rPr>
        <w:t>P</w:t>
      </w:r>
      <w:r w:rsidR="00866C1F">
        <w:rPr>
          <w:rFonts w:cs="Arial"/>
        </w:rPr>
        <w:t>lan for an intangible asset</w:t>
      </w:r>
      <w:r w:rsidRPr="00297321">
        <w:rPr>
          <w:rFonts w:cs="Arial"/>
        </w:rPr>
        <w:t xml:space="preserve"> is developed and implemented in the same way that you would do so for the organisation’s tangible assets.</w:t>
      </w:r>
    </w:p>
    <w:p w14:paraId="49D19746" w14:textId="13C4D541" w:rsidR="008049B4" w:rsidRDefault="008049B4" w:rsidP="008049B4">
      <w:pPr>
        <w:pStyle w:val="NormalIndent"/>
        <w:rPr>
          <w:rFonts w:cs="Arial"/>
        </w:rPr>
      </w:pPr>
      <w:r>
        <w:rPr>
          <w:rFonts w:cs="Arial"/>
        </w:rPr>
        <w:t>Asset Management Plans</w:t>
      </w:r>
      <w:r w:rsidR="009234DF">
        <w:rPr>
          <w:rFonts w:cs="Arial"/>
        </w:rPr>
        <w:t xml:space="preserve"> </w:t>
      </w:r>
      <w:r w:rsidR="00866C1F">
        <w:rPr>
          <w:rFonts w:cs="Arial"/>
        </w:rPr>
        <w:t>interpret the service delivery objectives</w:t>
      </w:r>
      <w:r w:rsidR="001607DE" w:rsidRPr="00297321">
        <w:rPr>
          <w:rFonts w:cs="Arial"/>
        </w:rPr>
        <w:t xml:space="preserve"> of the organisation and translate them into actions that guide the management practices of the asset to achieve these business goals over the asset</w:t>
      </w:r>
      <w:r w:rsidR="004A11D2">
        <w:rPr>
          <w:rFonts w:cs="Arial"/>
        </w:rPr>
        <w:t>’</w:t>
      </w:r>
      <w:r w:rsidR="001607DE" w:rsidRPr="00297321">
        <w:rPr>
          <w:rFonts w:cs="Arial"/>
        </w:rPr>
        <w:t>s lifecycle.</w:t>
      </w:r>
    </w:p>
    <w:p w14:paraId="08A53498" w14:textId="77777777" w:rsidR="008049B4" w:rsidRDefault="008049B4" w:rsidP="008049B4">
      <w:pPr>
        <w:pStyle w:val="NormalIndent"/>
        <w:rPr>
          <w:rFonts w:cs="Arial"/>
        </w:rPr>
      </w:pPr>
      <w:r>
        <w:rPr>
          <w:rFonts w:cs="Arial"/>
        </w:rPr>
        <w:t>I</w:t>
      </w:r>
      <w:r w:rsidR="001607DE" w:rsidRPr="00297321">
        <w:rPr>
          <w:rFonts w:cs="Arial"/>
        </w:rPr>
        <w:t xml:space="preserve">t is important to note that there is a logical order in the development of key asset management documentation. It is vital that this development and linkage of parent / child documents occurs in the correct manner </w:t>
      </w:r>
      <w:proofErr w:type="gramStart"/>
      <w:r w:rsidR="001607DE" w:rsidRPr="00297321">
        <w:rPr>
          <w:rFonts w:cs="Arial"/>
        </w:rPr>
        <w:t>in order to</w:t>
      </w:r>
      <w:proofErr w:type="gramEnd"/>
      <w:r w:rsidR="001607DE" w:rsidRPr="00297321">
        <w:rPr>
          <w:rFonts w:cs="Arial"/>
        </w:rPr>
        <w:t xml:space="preserve"> ensure that the “line of sight” between organisational business goals and the management activities on the ground is established. The intent is to develop processes that allow the organisation to implement actions that align with, and deliver, the aims of the organisation. Therefore, the AMPs must refer to and align with t</w:t>
      </w:r>
      <w:r w:rsidR="00AC1868">
        <w:rPr>
          <w:rFonts w:cs="Arial"/>
        </w:rPr>
        <w:t xml:space="preserve">he organisations </w:t>
      </w:r>
      <w:r w:rsidR="001334F3">
        <w:rPr>
          <w:rFonts w:cs="Arial"/>
        </w:rPr>
        <w:t xml:space="preserve">Asset </w:t>
      </w:r>
      <w:r w:rsidR="00AC1868">
        <w:rPr>
          <w:rFonts w:cs="Arial"/>
        </w:rPr>
        <w:t>Management Strategy</w:t>
      </w:r>
      <w:r w:rsidR="001607DE" w:rsidRPr="00297321">
        <w:rPr>
          <w:rFonts w:cs="Arial"/>
        </w:rPr>
        <w:t xml:space="preserve"> Part A (AM policy) and Part B (SAMP) to ensure they are developing management plans that achieve the stated objectives of the organisation.</w:t>
      </w:r>
    </w:p>
    <w:p w14:paraId="44DF6EBB" w14:textId="77777777" w:rsidR="009234DF" w:rsidRDefault="009234DF" w:rsidP="00F17EC2">
      <w:pPr>
        <w:pStyle w:val="NormalIndent"/>
        <w:ind w:left="1440"/>
        <w:rPr>
          <w:rFonts w:cs="Arial"/>
        </w:rPr>
      </w:pPr>
      <w:r>
        <w:rPr>
          <w:rFonts w:cs="Arial"/>
        </w:rPr>
        <w:t>For example:</w:t>
      </w:r>
    </w:p>
    <w:p w14:paraId="4AA7C8A9" w14:textId="49A569AE" w:rsidR="009234DF" w:rsidRPr="00034817" w:rsidRDefault="009234DF" w:rsidP="00F17EC2">
      <w:pPr>
        <w:pStyle w:val="NormalIndent"/>
        <w:ind w:left="1440"/>
        <w:rPr>
          <w:rFonts w:cs="Arial"/>
        </w:rPr>
      </w:pPr>
      <w:r>
        <w:rPr>
          <w:rFonts w:cs="Arial"/>
        </w:rPr>
        <w:t xml:space="preserve">One of </w:t>
      </w:r>
      <w:r w:rsidR="00034817">
        <w:rPr>
          <w:rFonts w:cs="Arial"/>
        </w:rPr>
        <w:t>Vic Police’s</w:t>
      </w:r>
      <w:r>
        <w:rPr>
          <w:rFonts w:cs="Arial"/>
        </w:rPr>
        <w:t xml:space="preserve"> publicised values under </w:t>
      </w:r>
      <w:r w:rsidR="00034817">
        <w:rPr>
          <w:rFonts w:cs="Arial"/>
        </w:rPr>
        <w:t>the heading of integrity</w:t>
      </w:r>
      <w:r>
        <w:rPr>
          <w:rFonts w:cs="Arial"/>
        </w:rPr>
        <w:t xml:space="preserve"> </w:t>
      </w:r>
      <w:r w:rsidR="00034817">
        <w:rPr>
          <w:rFonts w:cs="Arial"/>
        </w:rPr>
        <w:t>states</w:t>
      </w:r>
      <w:r>
        <w:rPr>
          <w:rFonts w:cs="Arial"/>
        </w:rPr>
        <w:t xml:space="preserve"> their management </w:t>
      </w:r>
      <w:r w:rsidR="00034817">
        <w:rPr>
          <w:rFonts w:cs="Arial"/>
        </w:rPr>
        <w:t>practices will “</w:t>
      </w:r>
      <w:r w:rsidR="00034817" w:rsidRPr="00034817">
        <w:rPr>
          <w:rFonts w:cs="Arial"/>
          <w:i/>
        </w:rPr>
        <w:t>maintain confidentiality and respect those we deal with.”</w:t>
      </w:r>
      <w:r w:rsidR="00034817">
        <w:rPr>
          <w:rFonts w:cs="Arial"/>
        </w:rPr>
        <w:t xml:space="preserve"> While this would take many forms, one of these would be the requirement to develop appropriate data systems with the necessary security protection to ensure </w:t>
      </w:r>
      <w:r w:rsidR="00CB40B4">
        <w:rPr>
          <w:rFonts w:cs="Arial"/>
        </w:rPr>
        <w:t>sensitive information cannot be accessed without proper authorisation.</w:t>
      </w:r>
      <w:r w:rsidR="003D094A">
        <w:rPr>
          <w:rFonts w:cs="Arial"/>
        </w:rPr>
        <w:t xml:space="preserve"> If the organisation developed a specific software solution for this requirement, the new software could </w:t>
      </w:r>
      <w:r w:rsidR="00396B4E">
        <w:rPr>
          <w:rFonts w:cs="Arial"/>
        </w:rPr>
        <w:t>be</w:t>
      </w:r>
      <w:r w:rsidR="003D094A">
        <w:rPr>
          <w:rFonts w:cs="Arial"/>
        </w:rPr>
        <w:t xml:space="preserve"> an intangible asset.</w:t>
      </w:r>
    </w:p>
    <w:p w14:paraId="21C9D53C" w14:textId="77777777" w:rsidR="00034817" w:rsidRDefault="00034817" w:rsidP="00F17EC2">
      <w:pPr>
        <w:pStyle w:val="NormalIndent"/>
        <w:ind w:left="1440"/>
        <w:rPr>
          <w:rFonts w:cs="Arial"/>
        </w:rPr>
      </w:pPr>
      <w:r>
        <w:rPr>
          <w:rFonts w:cs="Arial"/>
        </w:rPr>
        <w:t xml:space="preserve">Within the </w:t>
      </w:r>
      <w:r w:rsidR="001334F3">
        <w:rPr>
          <w:rFonts w:cs="Arial"/>
        </w:rPr>
        <w:t xml:space="preserve">Asset </w:t>
      </w:r>
      <w:r>
        <w:rPr>
          <w:rFonts w:cs="Arial"/>
        </w:rPr>
        <w:t xml:space="preserve">Management Strategy </w:t>
      </w:r>
      <w:proofErr w:type="gramStart"/>
      <w:r>
        <w:rPr>
          <w:rFonts w:cs="Arial"/>
        </w:rPr>
        <w:t>Part</w:t>
      </w:r>
      <w:proofErr w:type="gramEnd"/>
      <w:r>
        <w:rPr>
          <w:rFonts w:cs="Arial"/>
        </w:rPr>
        <w:t xml:space="preserve"> A, Vic Police</w:t>
      </w:r>
      <w:r w:rsidR="00CB40B4">
        <w:rPr>
          <w:rFonts w:cs="Arial"/>
        </w:rPr>
        <w:t xml:space="preserve"> would translate that stated value into</w:t>
      </w:r>
      <w:r>
        <w:rPr>
          <w:rFonts w:cs="Arial"/>
        </w:rPr>
        <w:t xml:space="preserve"> a commitment to supporting this value by acquiring or developing appropriate technology solutions.</w:t>
      </w:r>
    </w:p>
    <w:p w14:paraId="57063078" w14:textId="77777777" w:rsidR="00034817" w:rsidRDefault="00034817" w:rsidP="00F17EC2">
      <w:pPr>
        <w:pStyle w:val="NormalIndent"/>
        <w:ind w:left="1440"/>
        <w:rPr>
          <w:rFonts w:cs="Arial"/>
        </w:rPr>
      </w:pPr>
      <w:r>
        <w:rPr>
          <w:rFonts w:cs="Arial"/>
        </w:rPr>
        <w:t xml:space="preserve">Within the </w:t>
      </w:r>
      <w:r w:rsidR="001334F3">
        <w:rPr>
          <w:rFonts w:cs="Arial"/>
        </w:rPr>
        <w:t xml:space="preserve">Asset </w:t>
      </w:r>
      <w:r>
        <w:rPr>
          <w:rFonts w:cs="Arial"/>
        </w:rPr>
        <w:t xml:space="preserve">Management Strategy Part B, Vic Police could detail the </w:t>
      </w:r>
      <w:r w:rsidR="003D094A">
        <w:rPr>
          <w:rFonts w:cs="Arial"/>
        </w:rPr>
        <w:t>strategies</w:t>
      </w:r>
      <w:r w:rsidR="00CB40B4">
        <w:rPr>
          <w:rFonts w:cs="Arial"/>
        </w:rPr>
        <w:t xml:space="preserve"> that should be</w:t>
      </w:r>
      <w:r>
        <w:rPr>
          <w:rFonts w:cs="Arial"/>
        </w:rPr>
        <w:t xml:space="preserve"> </w:t>
      </w:r>
      <w:r w:rsidR="00CB40B4">
        <w:rPr>
          <w:rFonts w:cs="Arial"/>
        </w:rPr>
        <w:t xml:space="preserve">implemented </w:t>
      </w:r>
      <w:proofErr w:type="gramStart"/>
      <w:r w:rsidR="00CB40B4">
        <w:rPr>
          <w:rFonts w:cs="Arial"/>
        </w:rPr>
        <w:t>in order to</w:t>
      </w:r>
      <w:proofErr w:type="gramEnd"/>
      <w:r w:rsidR="00CB40B4">
        <w:rPr>
          <w:rFonts w:cs="Arial"/>
        </w:rPr>
        <w:t xml:space="preserve"> meet the commitment stated within Part A.</w:t>
      </w:r>
    </w:p>
    <w:p w14:paraId="237E44FC" w14:textId="77777777" w:rsidR="009234DF" w:rsidRDefault="00CB40B4" w:rsidP="00F17EC2">
      <w:pPr>
        <w:pStyle w:val="NormalIndent"/>
        <w:ind w:left="1440"/>
        <w:rPr>
          <w:rFonts w:cs="Arial"/>
        </w:rPr>
      </w:pPr>
      <w:r>
        <w:rPr>
          <w:rFonts w:cs="Arial"/>
        </w:rPr>
        <w:t xml:space="preserve">These </w:t>
      </w:r>
      <w:r w:rsidR="003D094A">
        <w:rPr>
          <w:rFonts w:cs="Arial"/>
        </w:rPr>
        <w:t>strategies</w:t>
      </w:r>
      <w:r>
        <w:rPr>
          <w:rFonts w:cs="Arial"/>
        </w:rPr>
        <w:t xml:space="preserve"> would then inform the development of detailed business </w:t>
      </w:r>
      <w:r w:rsidR="003D094A">
        <w:rPr>
          <w:rFonts w:cs="Arial"/>
        </w:rPr>
        <w:t>requirements within</w:t>
      </w:r>
      <w:r w:rsidR="001334F3">
        <w:rPr>
          <w:rFonts w:cs="Arial"/>
        </w:rPr>
        <w:t xml:space="preserve"> an Asset I</w:t>
      </w:r>
      <w:r>
        <w:rPr>
          <w:rFonts w:cs="Arial"/>
        </w:rPr>
        <w:t xml:space="preserve">nformation </w:t>
      </w:r>
      <w:r w:rsidR="001334F3">
        <w:rPr>
          <w:rFonts w:cs="Arial"/>
        </w:rPr>
        <w:t>S</w:t>
      </w:r>
      <w:r>
        <w:rPr>
          <w:rFonts w:cs="Arial"/>
        </w:rPr>
        <w:t>trategy whereby the standards for higher level data integrity and security</w:t>
      </w:r>
      <w:r w:rsidR="003D094A">
        <w:rPr>
          <w:rFonts w:cs="Arial"/>
        </w:rPr>
        <w:t xml:space="preserve"> would inform </w:t>
      </w:r>
      <w:r w:rsidR="001334F3">
        <w:rPr>
          <w:rFonts w:cs="Arial"/>
        </w:rPr>
        <w:t xml:space="preserve">the development of any information software solution. This “line of sight” from </w:t>
      </w:r>
      <w:r w:rsidR="003D094A">
        <w:rPr>
          <w:rFonts w:cs="Arial"/>
        </w:rPr>
        <w:t>organisational</w:t>
      </w:r>
      <w:r w:rsidR="001334F3">
        <w:rPr>
          <w:rFonts w:cs="Arial"/>
        </w:rPr>
        <w:t xml:space="preserve"> values to the development of software solutions ensures that ALL organisational </w:t>
      </w:r>
      <w:r w:rsidR="003D094A">
        <w:rPr>
          <w:rFonts w:cs="Arial"/>
        </w:rPr>
        <w:t>requirements</w:t>
      </w:r>
      <w:r w:rsidR="001334F3">
        <w:rPr>
          <w:rFonts w:cs="Arial"/>
        </w:rPr>
        <w:t xml:space="preserve"> are incorporated into</w:t>
      </w:r>
      <w:r w:rsidR="003D094A">
        <w:rPr>
          <w:rFonts w:cs="Arial"/>
        </w:rPr>
        <w:t xml:space="preserve"> </w:t>
      </w:r>
      <w:r w:rsidR="001334F3">
        <w:rPr>
          <w:rFonts w:cs="Arial"/>
        </w:rPr>
        <w:t xml:space="preserve">the development </w:t>
      </w:r>
      <w:r w:rsidR="003D094A">
        <w:rPr>
          <w:rFonts w:cs="Arial"/>
        </w:rPr>
        <w:t>of</w:t>
      </w:r>
      <w:r w:rsidR="001334F3">
        <w:rPr>
          <w:rFonts w:cs="Arial"/>
        </w:rPr>
        <w:t xml:space="preserve"> fit for purpose software</w:t>
      </w:r>
      <w:r w:rsidR="003D094A">
        <w:rPr>
          <w:rFonts w:cs="Arial"/>
        </w:rPr>
        <w:t xml:space="preserve">. </w:t>
      </w:r>
    </w:p>
    <w:p w14:paraId="3E2945C6" w14:textId="77777777" w:rsidR="001607DE" w:rsidRPr="008049B4" w:rsidRDefault="001607DE" w:rsidP="008049B4">
      <w:pPr>
        <w:pStyle w:val="NormalIndent"/>
        <w:rPr>
          <w:rFonts w:cs="Arial"/>
        </w:rPr>
      </w:pPr>
      <w:r w:rsidRPr="00297321">
        <w:rPr>
          <w:rFonts w:cs="Arial"/>
        </w:rPr>
        <w:t xml:space="preserve">The flow chart below demonstrates the structured link between </w:t>
      </w:r>
      <w:r w:rsidR="00866C1F">
        <w:rPr>
          <w:rFonts w:cs="Arial"/>
        </w:rPr>
        <w:t>the organisation’s service delivery objectives</w:t>
      </w:r>
      <w:r w:rsidRPr="00297321">
        <w:rPr>
          <w:rFonts w:cs="Arial"/>
        </w:rPr>
        <w:t xml:space="preserve"> and the activities that the organisation performs </w:t>
      </w:r>
      <w:proofErr w:type="gramStart"/>
      <w:r w:rsidRPr="00297321">
        <w:rPr>
          <w:rFonts w:cs="Arial"/>
        </w:rPr>
        <w:t>in order to</w:t>
      </w:r>
      <w:proofErr w:type="gramEnd"/>
      <w:r w:rsidRPr="00297321">
        <w:rPr>
          <w:rFonts w:cs="Arial"/>
        </w:rPr>
        <w:t xml:space="preserve"> manage its assets to meet those organisational goals.</w:t>
      </w:r>
    </w:p>
    <w:p w14:paraId="506688AE" w14:textId="77777777" w:rsidR="001607DE" w:rsidRDefault="001607DE" w:rsidP="001607DE">
      <w:pPr>
        <w:pStyle w:val="Para0"/>
      </w:pPr>
      <w:r>
        <w:rPr>
          <w:noProof/>
          <w:lang w:val="en-AU" w:eastAsia="en-AU"/>
        </w:rPr>
        <w:lastRenderedPageBreak/>
        <w:drawing>
          <wp:inline distT="0" distB="0" distL="0" distR="0" wp14:anchorId="593D73A7" wp14:editId="258AA45D">
            <wp:extent cx="6155055" cy="5867400"/>
            <wp:effectExtent l="0" t="0" r="0" b="0"/>
            <wp:docPr id="3" name="Picture 1" descr="C:\Users\MaslenJ1\AppData\Local\Microsoft\Windows\Temporary Internet Files\Content.Outlook\8VVCUTFC\AMAF-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lenJ1\AppData\Local\Microsoft\Windows\Temporary Internet Files\Content.Outlook\8VVCUTFC\AMAF-diagra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5055" cy="5867400"/>
                    </a:xfrm>
                    <a:prstGeom prst="rect">
                      <a:avLst/>
                    </a:prstGeom>
                    <a:noFill/>
                    <a:ln>
                      <a:noFill/>
                    </a:ln>
                  </pic:spPr>
                </pic:pic>
              </a:graphicData>
            </a:graphic>
          </wp:inline>
        </w:drawing>
      </w:r>
    </w:p>
    <w:p w14:paraId="08966D8E" w14:textId="77777777" w:rsidR="001607DE" w:rsidRDefault="001607DE" w:rsidP="008049B4">
      <w:pPr>
        <w:ind w:left="720"/>
      </w:pPr>
      <w:r>
        <w:t>For further guidance refer to the Victorian Governments AMAF Implementation Guidance document located at</w:t>
      </w:r>
    </w:p>
    <w:p w14:paraId="0DF59B1C" w14:textId="77777777" w:rsidR="001607DE" w:rsidRDefault="009A59C4" w:rsidP="008049B4">
      <w:pPr>
        <w:pStyle w:val="Para0"/>
        <w:ind w:left="720"/>
        <w:rPr>
          <w:rStyle w:val="Hyperlink"/>
        </w:rPr>
      </w:pPr>
      <w:hyperlink r:id="rId16" w:history="1">
        <w:r w:rsidR="008049B4" w:rsidRPr="005654CB">
          <w:rPr>
            <w:rStyle w:val="Hyperlink"/>
          </w:rPr>
          <w:t>https://www.dtf.vic.gov.au/infrastructure-investment/asset-management-accountability-framework</w:t>
        </w:r>
      </w:hyperlink>
    </w:p>
    <w:p w14:paraId="224C2F54" w14:textId="77777777" w:rsidR="001607DE" w:rsidRDefault="001607DE" w:rsidP="008049B4">
      <w:pPr>
        <w:pStyle w:val="Heading2numbered"/>
      </w:pPr>
      <w:bookmarkStart w:id="12" w:name="_Toc519531376"/>
      <w:bookmarkStart w:id="13" w:name="_Toc519700552"/>
      <w:bookmarkStart w:id="14" w:name="_Toc529885100"/>
      <w:r>
        <w:t xml:space="preserve">How to develop an Asset Management Plan </w:t>
      </w:r>
      <w:bookmarkEnd w:id="12"/>
      <w:bookmarkEnd w:id="13"/>
      <w:r w:rsidR="008049B4">
        <w:t>for intangible assets</w:t>
      </w:r>
      <w:bookmarkEnd w:id="14"/>
    </w:p>
    <w:p w14:paraId="5FC07F28" w14:textId="77777777" w:rsidR="001607DE" w:rsidRDefault="001607DE" w:rsidP="008049B4">
      <w:pPr>
        <w:pStyle w:val="Para0"/>
        <w:ind w:left="720"/>
      </w:pPr>
      <w:r>
        <w:t xml:space="preserve">The AMP should follow the format shown in “Appendix B – Typical Content of an Asset Management Plan” within the </w:t>
      </w:r>
      <w:r w:rsidRPr="00431966">
        <w:t>AMAF Implementation Guidance March 2017</w:t>
      </w:r>
      <w:r>
        <w:t xml:space="preserve">: </w:t>
      </w:r>
    </w:p>
    <w:p w14:paraId="76DB12F8" w14:textId="77777777" w:rsidR="001607DE" w:rsidRDefault="001607DE" w:rsidP="008049B4">
      <w:pPr>
        <w:spacing w:after="0"/>
        <w:ind w:left="720"/>
      </w:pPr>
      <w:r w:rsidRPr="002A795D">
        <w:rPr>
          <w:b/>
        </w:rPr>
        <w:t>Intent</w:t>
      </w:r>
      <w:r w:rsidRPr="002A795D">
        <w:t>:</w:t>
      </w:r>
      <w:r w:rsidRPr="002A795D">
        <w:rPr>
          <w:rFonts w:cs="Arial"/>
        </w:rPr>
        <w:t xml:space="preserve">  </w:t>
      </w:r>
      <w:r w:rsidRPr="002A795D">
        <w:t>The Asset Management Plan defi</w:t>
      </w:r>
      <w:r w:rsidR="00BD4E3C">
        <w:t>nes the activities undertaken for</w:t>
      </w:r>
      <w:r w:rsidRPr="002A795D">
        <w:t xml:space="preserve"> the </w:t>
      </w:r>
      <w:r w:rsidR="00BD4E3C">
        <w:t xml:space="preserve">operation and maintenance of the </w:t>
      </w:r>
      <w:r w:rsidRPr="002A795D">
        <w:t>assets. It is the operational plan for the activities and actions to deliver the Asset Management Strategy (Strategic and Tactical).</w:t>
      </w:r>
    </w:p>
    <w:p w14:paraId="4D73B472" w14:textId="77777777" w:rsidR="001607DE" w:rsidRPr="002A795D" w:rsidRDefault="001607DE" w:rsidP="008049B4">
      <w:pPr>
        <w:spacing w:after="0"/>
        <w:ind w:firstLine="720"/>
      </w:pPr>
      <w:r w:rsidRPr="002A795D">
        <w:rPr>
          <w:b/>
        </w:rPr>
        <w:lastRenderedPageBreak/>
        <w:t xml:space="preserve">Typical contents </w:t>
      </w:r>
      <w:r w:rsidRPr="002A795D">
        <w:t>of the asset management plan include:</w:t>
      </w:r>
    </w:p>
    <w:p w14:paraId="6ADE5918" w14:textId="77777777" w:rsidR="001607DE" w:rsidRPr="002A795D" w:rsidRDefault="001607DE" w:rsidP="008049B4">
      <w:pPr>
        <w:pStyle w:val="Bullet1"/>
        <w:numPr>
          <w:ilvl w:val="0"/>
          <w:numId w:val="1"/>
        </w:numPr>
        <w:tabs>
          <w:tab w:val="num" w:pos="785"/>
        </w:tabs>
        <w:spacing w:before="0" w:after="0"/>
        <w:ind w:left="785" w:hanging="76"/>
      </w:pPr>
      <w:r w:rsidRPr="002A795D">
        <w:t xml:space="preserve">scope; </w:t>
      </w:r>
    </w:p>
    <w:p w14:paraId="6F0CEC32" w14:textId="77777777" w:rsidR="001607DE" w:rsidRPr="002A795D" w:rsidRDefault="001607DE" w:rsidP="008049B4">
      <w:pPr>
        <w:pStyle w:val="Bullet1"/>
        <w:numPr>
          <w:ilvl w:val="0"/>
          <w:numId w:val="1"/>
        </w:numPr>
        <w:tabs>
          <w:tab w:val="num" w:pos="785"/>
        </w:tabs>
        <w:spacing w:before="0" w:after="0"/>
        <w:ind w:left="785" w:hanging="76"/>
      </w:pPr>
      <w:r w:rsidRPr="002A795D">
        <w:t xml:space="preserve">organisational/business drivers; </w:t>
      </w:r>
    </w:p>
    <w:p w14:paraId="5DCE2B61" w14:textId="77777777" w:rsidR="001607DE" w:rsidRPr="002A795D" w:rsidRDefault="001607DE" w:rsidP="008049B4">
      <w:pPr>
        <w:pStyle w:val="Bullet1"/>
        <w:numPr>
          <w:ilvl w:val="0"/>
          <w:numId w:val="1"/>
        </w:numPr>
        <w:tabs>
          <w:tab w:val="num" w:pos="785"/>
        </w:tabs>
        <w:spacing w:before="0" w:after="0"/>
        <w:ind w:left="785" w:hanging="76"/>
      </w:pPr>
      <w:r w:rsidRPr="002A795D">
        <w:t xml:space="preserve">description of assets; </w:t>
      </w:r>
    </w:p>
    <w:p w14:paraId="496313C3" w14:textId="77777777" w:rsidR="001607DE" w:rsidRPr="002A795D" w:rsidRDefault="001607DE" w:rsidP="008049B4">
      <w:pPr>
        <w:pStyle w:val="Bullet1"/>
        <w:numPr>
          <w:ilvl w:val="0"/>
          <w:numId w:val="1"/>
        </w:numPr>
        <w:tabs>
          <w:tab w:val="num" w:pos="785"/>
        </w:tabs>
        <w:spacing w:before="0" w:after="0"/>
        <w:ind w:left="785" w:hanging="76"/>
      </w:pPr>
      <w:r w:rsidRPr="002A795D">
        <w:t xml:space="preserve">management activities; </w:t>
      </w:r>
    </w:p>
    <w:p w14:paraId="78F9EC6A" w14:textId="77777777" w:rsidR="001607DE" w:rsidRPr="002A795D" w:rsidRDefault="001607DE" w:rsidP="008049B4">
      <w:pPr>
        <w:pStyle w:val="Bullet1"/>
        <w:numPr>
          <w:ilvl w:val="0"/>
          <w:numId w:val="1"/>
        </w:numPr>
        <w:tabs>
          <w:tab w:val="num" w:pos="785"/>
        </w:tabs>
        <w:spacing w:before="0" w:after="0"/>
        <w:ind w:left="785" w:hanging="76"/>
      </w:pPr>
      <w:r w:rsidRPr="002A795D">
        <w:t>asset condition/performance;</w:t>
      </w:r>
    </w:p>
    <w:p w14:paraId="26EF90C6" w14:textId="77777777" w:rsidR="001607DE" w:rsidRPr="002A795D" w:rsidRDefault="001607DE" w:rsidP="008049B4">
      <w:pPr>
        <w:pStyle w:val="Bullet1"/>
        <w:numPr>
          <w:ilvl w:val="0"/>
          <w:numId w:val="1"/>
        </w:numPr>
        <w:tabs>
          <w:tab w:val="num" w:pos="785"/>
        </w:tabs>
        <w:spacing w:before="0" w:after="0"/>
        <w:ind w:left="785" w:hanging="76"/>
      </w:pPr>
      <w:r w:rsidRPr="002A795D">
        <w:t>operating requirements;</w:t>
      </w:r>
    </w:p>
    <w:p w14:paraId="4F91D5EB" w14:textId="77777777" w:rsidR="001607DE" w:rsidRPr="002A795D" w:rsidRDefault="001607DE" w:rsidP="008049B4">
      <w:pPr>
        <w:pStyle w:val="Bullet1"/>
        <w:numPr>
          <w:ilvl w:val="0"/>
          <w:numId w:val="1"/>
        </w:numPr>
        <w:tabs>
          <w:tab w:val="num" w:pos="785"/>
        </w:tabs>
        <w:spacing w:before="0" w:after="0"/>
        <w:ind w:left="785" w:hanging="76"/>
      </w:pPr>
      <w:r w:rsidRPr="002A795D">
        <w:t>capital requirements;</w:t>
      </w:r>
    </w:p>
    <w:p w14:paraId="28C877FB" w14:textId="77777777" w:rsidR="001607DE" w:rsidRPr="002A795D" w:rsidRDefault="001607DE" w:rsidP="008049B4">
      <w:pPr>
        <w:pStyle w:val="Bullet1"/>
        <w:numPr>
          <w:ilvl w:val="0"/>
          <w:numId w:val="1"/>
        </w:numPr>
        <w:tabs>
          <w:tab w:val="num" w:pos="785"/>
        </w:tabs>
        <w:spacing w:before="0" w:after="0"/>
        <w:ind w:left="785" w:hanging="76"/>
      </w:pPr>
      <w:r w:rsidRPr="002A795D">
        <w:t>resources to be used;</w:t>
      </w:r>
    </w:p>
    <w:p w14:paraId="2DAFA955" w14:textId="77777777" w:rsidR="001607DE" w:rsidRPr="002A795D" w:rsidRDefault="001607DE" w:rsidP="008049B4">
      <w:pPr>
        <w:pStyle w:val="Bullet1"/>
        <w:numPr>
          <w:ilvl w:val="0"/>
          <w:numId w:val="1"/>
        </w:numPr>
        <w:tabs>
          <w:tab w:val="num" w:pos="785"/>
        </w:tabs>
        <w:spacing w:before="0" w:after="0"/>
        <w:ind w:left="785" w:hanging="76"/>
      </w:pPr>
      <w:r w:rsidRPr="002A795D">
        <w:t>asset reporting requirements;</w:t>
      </w:r>
    </w:p>
    <w:p w14:paraId="46FFF0DA" w14:textId="77777777" w:rsidR="001607DE" w:rsidRPr="002A795D" w:rsidRDefault="001607DE" w:rsidP="008049B4">
      <w:pPr>
        <w:pStyle w:val="Bullet1"/>
        <w:numPr>
          <w:ilvl w:val="0"/>
          <w:numId w:val="1"/>
        </w:numPr>
        <w:tabs>
          <w:tab w:val="num" w:pos="785"/>
        </w:tabs>
        <w:spacing w:before="0" w:after="0"/>
        <w:ind w:left="785" w:hanging="76"/>
      </w:pPr>
      <w:r w:rsidRPr="002A795D">
        <w:t>performance measures;</w:t>
      </w:r>
    </w:p>
    <w:p w14:paraId="63C7C644" w14:textId="77777777" w:rsidR="001607DE" w:rsidRPr="002A795D" w:rsidRDefault="001607DE" w:rsidP="008049B4">
      <w:pPr>
        <w:pStyle w:val="Bullet1"/>
        <w:numPr>
          <w:ilvl w:val="0"/>
          <w:numId w:val="1"/>
        </w:numPr>
        <w:tabs>
          <w:tab w:val="num" w:pos="785"/>
        </w:tabs>
        <w:spacing w:before="0" w:after="0"/>
        <w:ind w:left="785" w:hanging="76"/>
      </w:pPr>
      <w:r w:rsidRPr="002A795D">
        <w:t>assurance requirements; and</w:t>
      </w:r>
    </w:p>
    <w:p w14:paraId="020E0E33" w14:textId="77777777" w:rsidR="001607DE" w:rsidRDefault="001607DE" w:rsidP="008049B4">
      <w:pPr>
        <w:pStyle w:val="Bullet1"/>
        <w:numPr>
          <w:ilvl w:val="0"/>
          <w:numId w:val="1"/>
        </w:numPr>
        <w:tabs>
          <w:tab w:val="num" w:pos="785"/>
        </w:tabs>
        <w:spacing w:before="0" w:after="0"/>
        <w:ind w:left="785" w:hanging="76"/>
      </w:pPr>
      <w:r w:rsidRPr="002A795D">
        <w:t>approvals.</w:t>
      </w:r>
    </w:p>
    <w:p w14:paraId="704378CA" w14:textId="77777777" w:rsidR="001607DE" w:rsidRDefault="008E1A53" w:rsidP="008049B4">
      <w:pPr>
        <w:pStyle w:val="Para0"/>
        <w:ind w:left="709"/>
        <w:jc w:val="both"/>
      </w:pPr>
      <w:r>
        <w:rPr>
          <w:rFonts w:cs="Arial"/>
        </w:rPr>
        <w:t>Asset Management Plans</w:t>
      </w:r>
      <w:r w:rsidR="008049B4">
        <w:rPr>
          <w:rFonts w:cs="Arial"/>
        </w:rPr>
        <w:t xml:space="preserve"> for every </w:t>
      </w:r>
      <w:proofErr w:type="spellStart"/>
      <w:r w:rsidR="008049B4">
        <w:rPr>
          <w:rFonts w:cs="Arial"/>
        </w:rPr>
        <w:t>organisation</w:t>
      </w:r>
      <w:proofErr w:type="spellEnd"/>
      <w:r w:rsidR="008049B4">
        <w:rPr>
          <w:rFonts w:cs="Arial"/>
        </w:rPr>
        <w:t xml:space="preserve"> are</w:t>
      </w:r>
      <w:r w:rsidR="001607DE" w:rsidRPr="00297321">
        <w:rPr>
          <w:rFonts w:cs="Arial"/>
        </w:rPr>
        <w:t xml:space="preserve"> different in scale and content due to the varying nature and size of </w:t>
      </w:r>
      <w:proofErr w:type="spellStart"/>
      <w:r w:rsidR="00F615AB">
        <w:rPr>
          <w:rFonts w:cs="Arial"/>
        </w:rPr>
        <w:t>organisations</w:t>
      </w:r>
      <w:proofErr w:type="spellEnd"/>
      <w:r w:rsidR="001607DE" w:rsidRPr="00297321">
        <w:rPr>
          <w:rFonts w:cs="Arial"/>
        </w:rPr>
        <w:t xml:space="preserve"> within Government. Therefor</w:t>
      </w:r>
      <w:r w:rsidR="008049B4">
        <w:rPr>
          <w:rFonts w:cs="Arial"/>
        </w:rPr>
        <w:t>e,</w:t>
      </w:r>
      <w:r w:rsidR="001607DE" w:rsidRPr="00297321">
        <w:rPr>
          <w:rFonts w:cs="Arial"/>
        </w:rPr>
        <w:t xml:space="preserve"> the Implementation Guidance has not included a standard template as one size does not fit all.</w:t>
      </w:r>
      <w:r w:rsidR="001607DE">
        <w:rPr>
          <w:rFonts w:cs="Arial"/>
        </w:rPr>
        <w:t xml:space="preserve"> </w:t>
      </w:r>
      <w:r w:rsidR="008049B4">
        <w:t>F</w:t>
      </w:r>
      <w:r w:rsidR="001607DE">
        <w:t xml:space="preserve">urther advice on how to develop the detailed content, under each heading, suitable for an </w:t>
      </w:r>
      <w:proofErr w:type="spellStart"/>
      <w:r w:rsidR="00F615AB">
        <w:t>organisations</w:t>
      </w:r>
      <w:proofErr w:type="spellEnd"/>
      <w:r w:rsidR="001607DE">
        <w:t xml:space="preserve"> AMP can be sought from local peak industry asset management bodies such as:</w:t>
      </w:r>
    </w:p>
    <w:p w14:paraId="677DDB6A" w14:textId="77777777" w:rsidR="001607DE" w:rsidRDefault="001607DE" w:rsidP="00AF6DC4">
      <w:pPr>
        <w:pStyle w:val="Para0"/>
        <w:numPr>
          <w:ilvl w:val="0"/>
          <w:numId w:val="9"/>
        </w:numPr>
      </w:pPr>
      <w:r>
        <w:t xml:space="preserve">the Asset Management Council (AMC) </w:t>
      </w:r>
      <w:proofErr w:type="spellStart"/>
      <w:r>
        <w:t>AMBoK</w:t>
      </w:r>
      <w:proofErr w:type="spellEnd"/>
      <w:r>
        <w:t xml:space="preserve"> Publication 001: Companion Guide to ISO55001 </w:t>
      </w:r>
      <w:hyperlink r:id="rId17" w:history="1">
        <w:r w:rsidRPr="00113977">
          <w:rPr>
            <w:rStyle w:val="Hyperlink"/>
          </w:rPr>
          <w:t>http://www.amcouncil.com.au/knowledge/publications/ambok-publications.html</w:t>
        </w:r>
      </w:hyperlink>
    </w:p>
    <w:p w14:paraId="62574FFE" w14:textId="77777777" w:rsidR="001607DE" w:rsidRPr="00BD4E3C" w:rsidRDefault="001607DE" w:rsidP="00AF6DC4">
      <w:pPr>
        <w:pStyle w:val="Para0"/>
        <w:numPr>
          <w:ilvl w:val="0"/>
          <w:numId w:val="9"/>
        </w:numPr>
        <w:rPr>
          <w:rStyle w:val="Hyperlink"/>
          <w:color w:val="auto"/>
        </w:rPr>
      </w:pPr>
      <w:r>
        <w:t xml:space="preserve">the Institute of Public Works Engineering Australasia (IPWEA) International Infrastructure Management Manual (IIMM) </w:t>
      </w:r>
      <w:hyperlink r:id="rId18" w:history="1">
        <w:r w:rsidRPr="00113977">
          <w:rPr>
            <w:rStyle w:val="Hyperlink"/>
          </w:rPr>
          <w:t>https://www.ipwea.org/publications/ipweabookshop/iimm</w:t>
        </w:r>
      </w:hyperlink>
    </w:p>
    <w:p w14:paraId="4AA49EFC" w14:textId="3AFBE27E" w:rsidR="00BD4E3C" w:rsidRDefault="00BD4E3C" w:rsidP="00BD4E3C">
      <w:pPr>
        <w:pStyle w:val="Heading2numbered"/>
      </w:pPr>
      <w:bookmarkStart w:id="15" w:name="_Toc529885101"/>
      <w:r>
        <w:t xml:space="preserve">Management of </w:t>
      </w:r>
      <w:r w:rsidR="00267723">
        <w:t xml:space="preserve">other </w:t>
      </w:r>
      <w:r>
        <w:t xml:space="preserve">intangibles that do not </w:t>
      </w:r>
      <w:r w:rsidR="00267723">
        <w:t>qualify as assets</w:t>
      </w:r>
      <w:bookmarkEnd w:id="15"/>
    </w:p>
    <w:p w14:paraId="28740FFA" w14:textId="77777777" w:rsidR="00BD4E3C" w:rsidRDefault="00BD4E3C" w:rsidP="00BD4E3C">
      <w:pPr>
        <w:pStyle w:val="Para0"/>
        <w:ind w:left="720"/>
      </w:pPr>
      <w:r>
        <w:t>AMAF requir</w:t>
      </w:r>
      <w:r w:rsidR="00A823FC">
        <w:t xml:space="preserve">es that </w:t>
      </w:r>
      <w:proofErr w:type="spellStart"/>
      <w:r w:rsidR="00F615AB">
        <w:t>organisations</w:t>
      </w:r>
      <w:proofErr w:type="spellEnd"/>
      <w:r w:rsidR="00A823FC">
        <w:t xml:space="preserve"> manage </w:t>
      </w:r>
      <w:proofErr w:type="spellStart"/>
      <w:r w:rsidR="00A823FC">
        <w:t>recognis</w:t>
      </w:r>
      <w:r>
        <w:t>ed</w:t>
      </w:r>
      <w:proofErr w:type="spellEnd"/>
      <w:r>
        <w:t xml:space="preserve"> intangible assets in a manner consistent with their Asset Management System Framework. </w:t>
      </w:r>
    </w:p>
    <w:p w14:paraId="0795A8EA" w14:textId="50DF3288" w:rsidR="00BD4E3C" w:rsidRDefault="00BD4E3C" w:rsidP="00BD4E3C">
      <w:pPr>
        <w:pStyle w:val="Para0"/>
        <w:ind w:left="720"/>
      </w:pPr>
      <w:r>
        <w:t xml:space="preserve">However, </w:t>
      </w:r>
      <w:proofErr w:type="spellStart"/>
      <w:r w:rsidR="00F615AB">
        <w:t>organisations</w:t>
      </w:r>
      <w:proofErr w:type="spellEnd"/>
      <w:r>
        <w:t xml:space="preserve"> should consider the value</w:t>
      </w:r>
      <w:r w:rsidR="00267723">
        <w:t xml:space="preserve"> and benefits to the entity</w:t>
      </w:r>
      <w:r>
        <w:t xml:space="preserve"> of </w:t>
      </w:r>
      <w:r w:rsidR="00267723">
        <w:t xml:space="preserve">a range of other </w:t>
      </w:r>
      <w:r>
        <w:t>intangible</w:t>
      </w:r>
      <w:r w:rsidR="00267723">
        <w:t xml:space="preserve"> items</w:t>
      </w:r>
      <w:r>
        <w:t xml:space="preserve"> </w:t>
      </w:r>
      <w:r w:rsidR="00267723">
        <w:t>(see examples in Section 3 above)</w:t>
      </w:r>
      <w:r w:rsidR="00A94BD1">
        <w:t xml:space="preserve"> </w:t>
      </w:r>
      <w:r>
        <w:t>that do not meet the criteri</w:t>
      </w:r>
      <w:r w:rsidR="00A823FC">
        <w:t>a</w:t>
      </w:r>
      <w:r w:rsidR="00267723">
        <w:t xml:space="preserve"> of an </w:t>
      </w:r>
      <w:proofErr w:type="gramStart"/>
      <w:r w:rsidR="00267723">
        <w:t>asset</w:t>
      </w:r>
      <w:r w:rsidR="00A823FC">
        <w:t>, and</w:t>
      </w:r>
      <w:proofErr w:type="gramEnd"/>
      <w:r w:rsidR="00A823FC">
        <w:t xml:space="preserve"> include the</w:t>
      </w:r>
      <w:r>
        <w:t xml:space="preserve"> management </w:t>
      </w:r>
      <w:r w:rsidR="00A823FC">
        <w:t xml:space="preserve">of these </w:t>
      </w:r>
      <w:r w:rsidR="00267723">
        <w:t xml:space="preserve">items </w:t>
      </w:r>
      <w:r>
        <w:t>with</w:t>
      </w:r>
      <w:r w:rsidR="00267723">
        <w:t>in</w:t>
      </w:r>
      <w:r>
        <w:t xml:space="preserve"> their AMS Framework anyway.</w:t>
      </w:r>
    </w:p>
    <w:p w14:paraId="211F3559" w14:textId="1881AA85" w:rsidR="00296B07" w:rsidRPr="00296B07" w:rsidRDefault="00296B07" w:rsidP="00AB7120">
      <w:pPr>
        <w:pStyle w:val="NormalIndent"/>
        <w:ind w:hanging="83"/>
        <w:rPr>
          <w:rFonts w:cs="Arial"/>
        </w:rPr>
      </w:pPr>
      <w:r w:rsidRPr="00296B07">
        <w:rPr>
          <w:rFonts w:cs="Arial"/>
        </w:rPr>
        <w:t>For example:</w:t>
      </w:r>
    </w:p>
    <w:p w14:paraId="7661412E" w14:textId="7F0D4EFA" w:rsidR="00296B07" w:rsidRDefault="00296B07" w:rsidP="00AB7120">
      <w:pPr>
        <w:pStyle w:val="NormalIndent"/>
        <w:ind w:left="709"/>
        <w:rPr>
          <w:rFonts w:cs="Arial"/>
        </w:rPr>
      </w:pPr>
      <w:r>
        <w:rPr>
          <w:rFonts w:cs="Arial"/>
        </w:rPr>
        <w:t>Organisations could manage information</w:t>
      </w:r>
      <w:r>
        <w:rPr>
          <w:rFonts w:cs="Arial"/>
        </w:rPr>
        <w:noBreakHyphen/>
        <w:t>based intangible items through the development of an Asset Information Strategy (AIS). An AIS is</w:t>
      </w:r>
      <w:proofErr w:type="gramStart"/>
      <w:r>
        <w:rPr>
          <w:rFonts w:cs="Arial"/>
        </w:rPr>
        <w:t>, in essence, an</w:t>
      </w:r>
      <w:proofErr w:type="gramEnd"/>
      <w:r>
        <w:rPr>
          <w:rFonts w:cs="Arial"/>
        </w:rPr>
        <w:t xml:space="preserve"> asset management plan specifically for information</w:t>
      </w:r>
      <w:r>
        <w:rPr>
          <w:rFonts w:cs="Arial"/>
        </w:rPr>
        <w:noBreakHyphen/>
        <w:t>based and data</w:t>
      </w:r>
      <w:r>
        <w:rPr>
          <w:rFonts w:cs="Arial"/>
        </w:rPr>
        <w:noBreakHyphen/>
        <w:t xml:space="preserve">related assets and other items which can be more broadly defined as being of benefit to the entity. An AIS would typically detail the value/benefit of the data and information to the organisation, the value to the stakeholders, the function of the data and information and how it will be managed to ensure it is accessible as required, but also how the data integrity will be protected over its intended lifetime. </w:t>
      </w:r>
    </w:p>
    <w:p w14:paraId="511038D6" w14:textId="2BF83D27" w:rsidR="00296B07" w:rsidRPr="00AB7120" w:rsidRDefault="00296B07" w:rsidP="00AB7120">
      <w:pPr>
        <w:pStyle w:val="NormalIndent"/>
        <w:ind w:left="709"/>
        <w:rPr>
          <w:rFonts w:cs="Arial"/>
        </w:rPr>
      </w:pPr>
      <w:r>
        <w:rPr>
          <w:rFonts w:cs="Arial"/>
        </w:rPr>
        <w:t xml:space="preserve">An AIS can be a valuable management strategy for organisations that have multiple legacy data and information systems that have been developed over many years, but not necessarily recognised on the entity’s balance sheet. An AIS does not focus on the technology that houses the data, rather it manages the value of the data itself and the functionality that it is intended to provide. An AIS will assist organisations to manage the complexities of multiple legacy data systems in the short term, while establishing the </w:t>
      </w:r>
      <w:r>
        <w:rPr>
          <w:rFonts w:cs="Arial"/>
        </w:rPr>
        <w:lastRenderedPageBreak/>
        <w:t>business requirements that will define the functional solutions required, for example, to migrate to a single source solution for the data and information management.</w:t>
      </w:r>
    </w:p>
    <w:p w14:paraId="47497CAF" w14:textId="77777777" w:rsidR="001607DE" w:rsidRDefault="00983AC4" w:rsidP="008049B4">
      <w:pPr>
        <w:pStyle w:val="Heading2numbered"/>
      </w:pPr>
      <w:bookmarkStart w:id="16" w:name="_Toc519531377"/>
      <w:bookmarkStart w:id="17" w:name="_Toc519700553"/>
      <w:bookmarkStart w:id="18" w:name="_Toc529885102"/>
      <w:r>
        <w:t>Implementing</w:t>
      </w:r>
      <w:r w:rsidR="001607DE">
        <w:t xml:space="preserve"> the Asset Management Plan for </w:t>
      </w:r>
      <w:bookmarkEnd w:id="16"/>
      <w:bookmarkEnd w:id="17"/>
      <w:r w:rsidR="008049B4">
        <w:t>Intangible Assets</w:t>
      </w:r>
      <w:bookmarkEnd w:id="18"/>
    </w:p>
    <w:p w14:paraId="69411B97" w14:textId="77777777" w:rsidR="001607DE" w:rsidRPr="00297321" w:rsidRDefault="001607DE" w:rsidP="008049B4">
      <w:pPr>
        <w:pStyle w:val="Para0"/>
        <w:ind w:left="720"/>
        <w:rPr>
          <w:rFonts w:cs="Arial"/>
        </w:rPr>
      </w:pPr>
      <w:r>
        <w:t xml:space="preserve">Many asset management plans and strategies that are developed for </w:t>
      </w:r>
      <w:proofErr w:type="spellStart"/>
      <w:r w:rsidR="00F615AB">
        <w:t>organisations</w:t>
      </w:r>
      <w:proofErr w:type="spellEnd"/>
      <w:r>
        <w:t xml:space="preserve"> never achieve their intended purpose because the </w:t>
      </w:r>
      <w:proofErr w:type="spellStart"/>
      <w:r>
        <w:t>organisation</w:t>
      </w:r>
      <w:proofErr w:type="spellEnd"/>
      <w:r>
        <w:t xml:space="preserve"> fails to </w:t>
      </w:r>
      <w:proofErr w:type="spellStart"/>
      <w:r>
        <w:t>operationalise</w:t>
      </w:r>
      <w:proofErr w:type="spellEnd"/>
      <w:r>
        <w:t xml:space="preserve"> the actions contained within the plan. </w:t>
      </w:r>
      <w:r w:rsidRPr="00297321">
        <w:rPr>
          <w:rFonts w:cs="Arial"/>
        </w:rPr>
        <w:t xml:space="preserve">AMAF specifically requires that all </w:t>
      </w:r>
      <w:proofErr w:type="spellStart"/>
      <w:r w:rsidR="00F615AB">
        <w:rPr>
          <w:rFonts w:cs="Arial"/>
        </w:rPr>
        <w:t>organisations</w:t>
      </w:r>
      <w:proofErr w:type="spellEnd"/>
      <w:r w:rsidRPr="00297321">
        <w:rPr>
          <w:rFonts w:cs="Arial"/>
        </w:rPr>
        <w:t xml:space="preserve"> not only plan to manage their assets effectively, but they also monitor if this is occurring and report back to top management on the standards being achieved. See AMAF Clause:</w:t>
      </w:r>
    </w:p>
    <w:p w14:paraId="01CC5DC8" w14:textId="77777777" w:rsidR="001607DE" w:rsidRPr="00322AA0" w:rsidRDefault="001607DE" w:rsidP="008049B4">
      <w:pPr>
        <w:pStyle w:val="Para0"/>
        <w:spacing w:before="0" w:after="0"/>
        <w:ind w:left="720"/>
        <w:rPr>
          <w:i/>
        </w:rPr>
      </w:pPr>
      <w:r w:rsidRPr="004075DA">
        <w:rPr>
          <w:i/>
        </w:rPr>
        <w:t>3.1.4 Leadership and Accountability –</w:t>
      </w:r>
      <w:r>
        <w:rPr>
          <w:i/>
        </w:rPr>
        <w:t xml:space="preserve"> Asset Management System</w:t>
      </w:r>
      <w:r w:rsidRPr="004075DA">
        <w:rPr>
          <w:i/>
        </w:rPr>
        <w:t xml:space="preserve"> Performance Part 1 - </w:t>
      </w:r>
      <w:r w:rsidRPr="00322AA0">
        <w:rPr>
          <w:i/>
        </w:rPr>
        <w:t>Accountable Officers must establish systems and processes for moni</w:t>
      </w:r>
      <w:r>
        <w:rPr>
          <w:i/>
        </w:rPr>
        <w:t>toring the performance of both:</w:t>
      </w:r>
    </w:p>
    <w:p w14:paraId="183660AE" w14:textId="77777777" w:rsidR="001607DE" w:rsidRPr="00322AA0" w:rsidRDefault="001607DE" w:rsidP="008049B4">
      <w:pPr>
        <w:pStyle w:val="Para0"/>
        <w:spacing w:before="0" w:after="0"/>
        <w:ind w:left="425" w:firstLine="295"/>
        <w:rPr>
          <w:i/>
        </w:rPr>
      </w:pPr>
      <w:r>
        <w:rPr>
          <w:i/>
        </w:rPr>
        <w:t>-</w:t>
      </w:r>
      <w:r>
        <w:rPr>
          <w:i/>
        </w:rPr>
        <w:tab/>
        <w:t>their assets; and</w:t>
      </w:r>
    </w:p>
    <w:p w14:paraId="7927AE54" w14:textId="77777777" w:rsidR="001607DE" w:rsidRPr="00322AA0" w:rsidRDefault="001607DE" w:rsidP="008049B4">
      <w:pPr>
        <w:pStyle w:val="Para0"/>
        <w:spacing w:before="0" w:after="0"/>
        <w:ind w:left="425" w:firstLine="295"/>
        <w:rPr>
          <w:i/>
        </w:rPr>
      </w:pPr>
      <w:r w:rsidRPr="00322AA0">
        <w:rPr>
          <w:i/>
        </w:rPr>
        <w:t>-</w:t>
      </w:r>
      <w:r w:rsidRPr="00322AA0">
        <w:rPr>
          <w:i/>
        </w:rPr>
        <w:tab/>
        <w:t>the overall asset</w:t>
      </w:r>
      <w:r>
        <w:rPr>
          <w:i/>
        </w:rPr>
        <w:t xml:space="preserve"> management systems themselves;</w:t>
      </w:r>
    </w:p>
    <w:p w14:paraId="0257C96D" w14:textId="3F5734AF" w:rsidR="001607DE" w:rsidRPr="004075DA" w:rsidRDefault="001607DE" w:rsidP="008049B4">
      <w:pPr>
        <w:pStyle w:val="Para0"/>
        <w:spacing w:before="0" w:after="0"/>
        <w:ind w:left="720"/>
        <w:rPr>
          <w:i/>
        </w:rPr>
      </w:pPr>
      <w:r w:rsidRPr="00322AA0">
        <w:rPr>
          <w:i/>
        </w:rPr>
        <w:t xml:space="preserve">to ensure that the systems have been implemented and </w:t>
      </w:r>
      <w:r w:rsidR="00396B4E" w:rsidRPr="00322AA0">
        <w:rPr>
          <w:i/>
        </w:rPr>
        <w:t>maintained and</w:t>
      </w:r>
      <w:r w:rsidRPr="00322AA0">
        <w:rPr>
          <w:i/>
        </w:rPr>
        <w:t xml:space="preserve"> are effective in meeting asset management re</w:t>
      </w:r>
      <w:r>
        <w:rPr>
          <w:i/>
        </w:rPr>
        <w:t>quirements and responsibilities</w:t>
      </w:r>
      <w:r w:rsidRPr="004075DA">
        <w:rPr>
          <w:i/>
        </w:rPr>
        <w:t>.</w:t>
      </w:r>
    </w:p>
    <w:p w14:paraId="7CD70647" w14:textId="77777777" w:rsidR="001607DE" w:rsidRPr="00D96CD2" w:rsidRDefault="008049B4" w:rsidP="008049B4">
      <w:pPr>
        <w:pStyle w:val="Para0"/>
        <w:ind w:left="720"/>
        <w:jc w:val="both"/>
      </w:pPr>
      <w:r>
        <w:t>The key to ensuring that the Asset Management Plan</w:t>
      </w:r>
      <w:r w:rsidR="001607DE">
        <w:t xml:space="preserve"> achieves its intended purpose is to clearly articulate the responsibility for each element within the </w:t>
      </w:r>
      <w:r w:rsidR="008B5D72">
        <w:t>Asset</w:t>
      </w:r>
      <w:r>
        <w:t xml:space="preserve"> </w:t>
      </w:r>
      <w:r w:rsidR="001607DE">
        <w:t>M</w:t>
      </w:r>
      <w:r>
        <w:t xml:space="preserve">anagement </w:t>
      </w:r>
      <w:r w:rsidR="001607DE">
        <w:t>P</w:t>
      </w:r>
      <w:r>
        <w:t>lan</w:t>
      </w:r>
      <w:r w:rsidR="001607DE">
        <w:t xml:space="preserve"> to a specific role within the </w:t>
      </w:r>
      <w:proofErr w:type="spellStart"/>
      <w:r w:rsidR="001607DE">
        <w:t>organisation</w:t>
      </w:r>
      <w:proofErr w:type="spellEnd"/>
      <w:r w:rsidR="001607DE">
        <w:t xml:space="preserve">. This responsibility should also include the method of monitoring and reporting if the intended outcomes have been achieved and the period of review. This ensures that there is a level of accountability to implement the Asset Management Plans and ensure the business benefits from the plan are </w:t>
      </w:r>
      <w:proofErr w:type="spellStart"/>
      <w:r w:rsidR="001607DE">
        <w:t>realised</w:t>
      </w:r>
      <w:proofErr w:type="spellEnd"/>
      <w:r w:rsidR="001607DE">
        <w:t>.</w:t>
      </w:r>
    </w:p>
    <w:p w14:paraId="6018CE06" w14:textId="77777777" w:rsidR="001607DE" w:rsidRDefault="001607DE" w:rsidP="00813C77">
      <w:pPr>
        <w:pStyle w:val="NormalIndent"/>
      </w:pPr>
    </w:p>
    <w:p w14:paraId="32A4B33E" w14:textId="77777777" w:rsidR="00CE29CC" w:rsidRDefault="00CA4745" w:rsidP="00CA4745">
      <w:pPr>
        <w:spacing w:before="0" w:after="200"/>
      </w:pPr>
      <w:r>
        <w:br w:type="page"/>
      </w:r>
    </w:p>
    <w:p w14:paraId="737D1D0C" w14:textId="5FDFF366" w:rsidR="00A31E86" w:rsidRDefault="00CA4745" w:rsidP="00AB7120">
      <w:pPr>
        <w:pStyle w:val="Heading1"/>
      </w:pPr>
      <w:bookmarkStart w:id="19" w:name="_Toc529885103"/>
      <w:bookmarkEnd w:id="0"/>
      <w:r>
        <w:lastRenderedPageBreak/>
        <w:t>Appendix</w:t>
      </w:r>
      <w:r w:rsidR="00D252C0">
        <w:t xml:space="preserve"> – AASB 138 </w:t>
      </w:r>
      <w:r w:rsidR="00992B36">
        <w:t>I</w:t>
      </w:r>
      <w:r w:rsidR="00D252C0">
        <w:t>ntangible assets</w:t>
      </w:r>
      <w:bookmarkEnd w:id="19"/>
    </w:p>
    <w:p w14:paraId="21D05929" w14:textId="77777777" w:rsidR="00D252C0" w:rsidRPr="00A94BD1" w:rsidRDefault="00D252C0" w:rsidP="00AB7120">
      <w:pPr>
        <w:pStyle w:val="Heading2"/>
      </w:pPr>
      <w:bookmarkStart w:id="20" w:name="_Toc529885104"/>
      <w:r w:rsidRPr="00EA625A">
        <w:t>AASB</w:t>
      </w:r>
      <w:r w:rsidRPr="00A94BD1">
        <w:t xml:space="preserve"> 138</w:t>
      </w:r>
      <w:bookmarkEnd w:id="20"/>
    </w:p>
    <w:p w14:paraId="50F940DA" w14:textId="223783F0" w:rsidR="00D252C0" w:rsidRPr="006420C2" w:rsidRDefault="00D252C0" w:rsidP="00D252C0">
      <w:pPr>
        <w:pStyle w:val="Para0"/>
        <w:jc w:val="both"/>
      </w:pPr>
      <w:r w:rsidRPr="006420C2">
        <w:t xml:space="preserve">The Australian Accounting Standards Board (AASB) is a Commonwealth Government body that </w:t>
      </w:r>
      <w:r w:rsidR="00992B36">
        <w:t>issues</w:t>
      </w:r>
      <w:r w:rsidRPr="006420C2">
        <w:t xml:space="preserve"> accounting standards </w:t>
      </w:r>
      <w:r w:rsidR="00992B36">
        <w:t>for the benefit of</w:t>
      </w:r>
      <w:r w:rsidRPr="006420C2">
        <w:t xml:space="preserve"> companies, not-for-profit entities and the public sector.</w:t>
      </w:r>
      <w:r>
        <w:t xml:space="preserve"> </w:t>
      </w:r>
      <w:r w:rsidRPr="006420C2">
        <w:t xml:space="preserve">The AASB develops standards and interpretations </w:t>
      </w:r>
      <w:r w:rsidR="00992B36">
        <w:t xml:space="preserve">in the Australian context </w:t>
      </w:r>
      <w:r w:rsidRPr="006420C2">
        <w:t xml:space="preserve">that set out </w:t>
      </w:r>
      <w:r w:rsidR="00992B36">
        <w:t xml:space="preserve">the </w:t>
      </w:r>
      <w:r w:rsidRPr="006420C2">
        <w:t xml:space="preserve">required accounting </w:t>
      </w:r>
      <w:r w:rsidR="00992B36">
        <w:t xml:space="preserve">treatment </w:t>
      </w:r>
      <w:r w:rsidRPr="006420C2">
        <w:t xml:space="preserve">for </w:t>
      </w:r>
      <w:proofErr w:type="gramStart"/>
      <w:r w:rsidRPr="006420C2">
        <w:t>particular transactions</w:t>
      </w:r>
      <w:proofErr w:type="gramEnd"/>
      <w:r w:rsidRPr="006420C2">
        <w:t xml:space="preserve"> and events that affect the financial statements of a business.</w:t>
      </w:r>
      <w:r w:rsidR="00992B36">
        <w:t xml:space="preserve"> For most </w:t>
      </w:r>
      <w:proofErr w:type="gramStart"/>
      <w:r w:rsidR="00992B36">
        <w:t>public sector</w:t>
      </w:r>
      <w:proofErr w:type="gramEnd"/>
      <w:r w:rsidR="00992B36">
        <w:t xml:space="preserve"> reporting entities, compliance with these Standards is mandatory under the </w:t>
      </w:r>
      <w:r w:rsidR="00992B36" w:rsidRPr="00775A3B">
        <w:rPr>
          <w:i/>
        </w:rPr>
        <w:t>Financial Management Act, 1994</w:t>
      </w:r>
      <w:r w:rsidR="00992B36">
        <w:t>.</w:t>
      </w:r>
    </w:p>
    <w:p w14:paraId="0539C590" w14:textId="42ADA58E" w:rsidR="00D252C0" w:rsidRPr="00D252C0" w:rsidRDefault="00D252C0" w:rsidP="00D252C0">
      <w:pPr>
        <w:pStyle w:val="Para0"/>
        <w:jc w:val="both"/>
      </w:pPr>
      <w:r w:rsidRPr="006420C2">
        <w:t xml:space="preserve"> AASB 138 </w:t>
      </w:r>
      <w:r w:rsidR="00992B36">
        <w:t>follows</w:t>
      </w:r>
      <w:r w:rsidR="00992B36" w:rsidRPr="006420C2">
        <w:t xml:space="preserve"> </w:t>
      </w:r>
      <w:r w:rsidR="00992B36" w:rsidRPr="00A96765">
        <w:t>IAS</w:t>
      </w:r>
      <w:r w:rsidR="00992B36">
        <w:t> </w:t>
      </w:r>
      <w:r w:rsidRPr="00A96765">
        <w:t xml:space="preserve">38 </w:t>
      </w:r>
      <w:r w:rsidRPr="00A94BD1">
        <w:rPr>
          <w:i/>
        </w:rPr>
        <w:t>Intangible Assets</w:t>
      </w:r>
      <w:r w:rsidRPr="006420C2">
        <w:t xml:space="preserve"> as issued by the International Accounting Standards Board (IASB).</w:t>
      </w:r>
      <w:r w:rsidR="00052DD1" w:rsidRPr="00052DD1">
        <w:t xml:space="preserve"> </w:t>
      </w:r>
      <w:r w:rsidR="00052DD1">
        <w:t xml:space="preserve">It </w:t>
      </w:r>
      <w:r w:rsidR="00052DD1" w:rsidRPr="006420C2">
        <w:t xml:space="preserve">sets out the definition </w:t>
      </w:r>
      <w:r w:rsidR="00052DD1">
        <w:t>and recognition requirements for</w:t>
      </w:r>
      <w:r w:rsidR="00052DD1" w:rsidRPr="006420C2">
        <w:t xml:space="preserve"> intangible asset</w:t>
      </w:r>
      <w:r w:rsidR="00052DD1">
        <w:t>s.</w:t>
      </w:r>
    </w:p>
    <w:p w14:paraId="145CDB0A" w14:textId="5196A7AA" w:rsidR="001727DA" w:rsidRDefault="00E93148" w:rsidP="00D252C0">
      <w:pPr>
        <w:pStyle w:val="NormalIndent"/>
        <w:ind w:left="0"/>
      </w:pPr>
      <w:r>
        <w:t>AASB 138 provides</w:t>
      </w:r>
      <w:r w:rsidR="00D252C0">
        <w:t xml:space="preserve"> the following </w:t>
      </w:r>
      <w:r w:rsidR="00A823FC">
        <w:t>2-step process</w:t>
      </w:r>
      <w:r w:rsidR="00D252C0">
        <w:t xml:space="preserve"> </w:t>
      </w:r>
      <w:r>
        <w:t xml:space="preserve">for </w:t>
      </w:r>
      <w:r w:rsidR="00D252C0">
        <w:t xml:space="preserve">identifying and classifying an asset as </w:t>
      </w:r>
      <w:r w:rsidR="00546513">
        <w:t xml:space="preserve">a recognised </w:t>
      </w:r>
      <w:r w:rsidR="00D252C0">
        <w:t>intangible</w:t>
      </w:r>
      <w:r w:rsidR="00546513">
        <w:t xml:space="preserve"> asset</w:t>
      </w:r>
      <w:r w:rsidR="00D252C0">
        <w:t xml:space="preserve">. </w:t>
      </w:r>
    </w:p>
    <w:p w14:paraId="494BCB2D" w14:textId="77777777" w:rsidR="00CA4745" w:rsidRPr="00CA4745" w:rsidRDefault="00A823FC" w:rsidP="00A823FC">
      <w:pPr>
        <w:pStyle w:val="NormalIndent"/>
        <w:ind w:left="0"/>
        <w:rPr>
          <w:b/>
        </w:rPr>
      </w:pPr>
      <w:r w:rsidRPr="00A823FC">
        <w:rPr>
          <w:b/>
        </w:rPr>
        <w:t>Step 1.</w:t>
      </w:r>
      <w:r>
        <w:rPr>
          <w:b/>
        </w:rPr>
        <w:t xml:space="preserve"> </w:t>
      </w:r>
      <w:r w:rsidR="00A10513">
        <w:rPr>
          <w:b/>
        </w:rPr>
        <w:t>Determine if the asset meets the</w:t>
      </w:r>
      <w:r w:rsidR="00546513">
        <w:rPr>
          <w:b/>
        </w:rPr>
        <w:t xml:space="preserve"> definition an</w:t>
      </w:r>
      <w:r w:rsidR="00CA4745" w:rsidRPr="00CA4745">
        <w:rPr>
          <w:b/>
        </w:rPr>
        <w:t xml:space="preserve"> intangible </w:t>
      </w:r>
      <w:r w:rsidR="00546513">
        <w:rPr>
          <w:b/>
        </w:rPr>
        <w:t xml:space="preserve">asset </w:t>
      </w:r>
      <w:r w:rsidR="00CA4745" w:rsidRPr="00CA4745">
        <w:rPr>
          <w:b/>
        </w:rPr>
        <w:t>under AASB 138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6484"/>
        <w:gridCol w:w="1082"/>
      </w:tblGrid>
      <w:tr w:rsidR="00A823FC" w:rsidRPr="008E476C" w14:paraId="05D296F3" w14:textId="77777777" w:rsidTr="00A823FC">
        <w:tc>
          <w:tcPr>
            <w:tcW w:w="1271" w:type="dxa"/>
            <w:shd w:val="clear" w:color="auto" w:fill="002669"/>
          </w:tcPr>
          <w:p w14:paraId="7BBE4E31" w14:textId="77777777" w:rsidR="00A823FC" w:rsidRPr="00767F5D" w:rsidRDefault="00546513" w:rsidP="005C7649">
            <w:pPr>
              <w:pStyle w:val="Para0"/>
              <w:jc w:val="both"/>
              <w:rPr>
                <w:b/>
              </w:rPr>
            </w:pPr>
            <w:r>
              <w:rPr>
                <w:b/>
              </w:rPr>
              <w:t>Definition</w:t>
            </w:r>
          </w:p>
        </w:tc>
        <w:tc>
          <w:tcPr>
            <w:tcW w:w="6662" w:type="dxa"/>
            <w:shd w:val="clear" w:color="auto" w:fill="002669"/>
          </w:tcPr>
          <w:p w14:paraId="4ECAADA1" w14:textId="77777777" w:rsidR="00A823FC" w:rsidRPr="00767F5D" w:rsidRDefault="00A823FC" w:rsidP="005C7649">
            <w:pPr>
              <w:pStyle w:val="Para0"/>
              <w:jc w:val="both"/>
              <w:rPr>
                <w:b/>
              </w:rPr>
            </w:pPr>
            <w:r w:rsidRPr="00767F5D">
              <w:rPr>
                <w:b/>
              </w:rPr>
              <w:t>Description</w:t>
            </w:r>
          </w:p>
        </w:tc>
        <w:tc>
          <w:tcPr>
            <w:tcW w:w="1083" w:type="dxa"/>
            <w:shd w:val="clear" w:color="auto" w:fill="002669"/>
          </w:tcPr>
          <w:p w14:paraId="5073CED5" w14:textId="77777777" w:rsidR="00A823FC" w:rsidRPr="00767F5D" w:rsidRDefault="00A823FC" w:rsidP="005C7649">
            <w:pPr>
              <w:pStyle w:val="Para0"/>
              <w:jc w:val="both"/>
              <w:rPr>
                <w:b/>
              </w:rPr>
            </w:pPr>
            <w:r>
              <w:rPr>
                <w:b/>
              </w:rPr>
              <w:t>Satisfied yes /no</w:t>
            </w:r>
          </w:p>
        </w:tc>
      </w:tr>
      <w:tr w:rsidR="00A823FC" w14:paraId="37FAE7E9" w14:textId="77777777" w:rsidTr="00A823FC">
        <w:tc>
          <w:tcPr>
            <w:tcW w:w="1271" w:type="dxa"/>
            <w:shd w:val="clear" w:color="auto" w:fill="auto"/>
          </w:tcPr>
          <w:p w14:paraId="7AF5AC62" w14:textId="77777777" w:rsidR="00A823FC" w:rsidRPr="00767F5D" w:rsidRDefault="00A823FC" w:rsidP="005C7649">
            <w:pPr>
              <w:pStyle w:val="Para0"/>
              <w:jc w:val="both"/>
              <w:rPr>
                <w:b/>
                <w:i/>
              </w:rPr>
            </w:pPr>
            <w:r w:rsidRPr="00767F5D">
              <w:rPr>
                <w:b/>
                <w:i/>
              </w:rPr>
              <w:t>Identifiability</w:t>
            </w:r>
          </w:p>
        </w:tc>
        <w:tc>
          <w:tcPr>
            <w:tcW w:w="6662" w:type="dxa"/>
            <w:shd w:val="clear" w:color="auto" w:fill="auto"/>
          </w:tcPr>
          <w:p w14:paraId="3DE33013" w14:textId="77777777" w:rsidR="00A823FC" w:rsidRDefault="00A823FC" w:rsidP="005C7649">
            <w:pPr>
              <w:pStyle w:val="Para0"/>
              <w:jc w:val="both"/>
            </w:pPr>
            <w:r>
              <w:t xml:space="preserve">An asset is identifiable if it either: </w:t>
            </w:r>
          </w:p>
          <w:p w14:paraId="4FB82823" w14:textId="77777777" w:rsidR="00A823FC" w:rsidRDefault="00A823FC" w:rsidP="005C7649">
            <w:pPr>
              <w:pStyle w:val="Para0"/>
              <w:jc w:val="both"/>
            </w:pPr>
            <w:r>
              <w:t xml:space="preserve">(a) is separable, i.e. is capable of being separated or divided from the entity and sold, transferred, licensed, rented or exchanged, either individually or together with a related contract, identifiable asset or liability, regardless of whether the entity intends to do so; or </w:t>
            </w:r>
          </w:p>
          <w:p w14:paraId="66E89B62" w14:textId="77777777" w:rsidR="00A823FC" w:rsidRPr="00BF529C" w:rsidRDefault="00A823FC" w:rsidP="005C7649">
            <w:pPr>
              <w:pStyle w:val="Para0"/>
              <w:jc w:val="both"/>
            </w:pPr>
            <w:r>
              <w:t>(b) arises from contractual or other legal rights, regardless of whether those rights are transferable or separable from the entity or from other rights and obligations.</w:t>
            </w:r>
          </w:p>
        </w:tc>
        <w:tc>
          <w:tcPr>
            <w:tcW w:w="1083" w:type="dxa"/>
          </w:tcPr>
          <w:p w14:paraId="049DE22F" w14:textId="77777777" w:rsidR="00A823FC" w:rsidRDefault="00A823FC" w:rsidP="005C7649">
            <w:pPr>
              <w:pStyle w:val="Para0"/>
              <w:jc w:val="both"/>
            </w:pPr>
          </w:p>
        </w:tc>
      </w:tr>
      <w:tr w:rsidR="00A823FC" w14:paraId="202C4B75" w14:textId="77777777" w:rsidTr="00A823FC">
        <w:tc>
          <w:tcPr>
            <w:tcW w:w="1271" w:type="dxa"/>
            <w:shd w:val="clear" w:color="auto" w:fill="auto"/>
          </w:tcPr>
          <w:p w14:paraId="2F9FB062" w14:textId="77777777" w:rsidR="00A823FC" w:rsidRPr="00767F5D" w:rsidRDefault="00A823FC" w:rsidP="005C7649">
            <w:pPr>
              <w:pStyle w:val="Para0"/>
              <w:jc w:val="both"/>
              <w:rPr>
                <w:b/>
                <w:i/>
              </w:rPr>
            </w:pPr>
            <w:r w:rsidRPr="00767F5D">
              <w:rPr>
                <w:b/>
                <w:bCs/>
                <w:i/>
              </w:rPr>
              <w:t>Non-Monetary</w:t>
            </w:r>
          </w:p>
        </w:tc>
        <w:tc>
          <w:tcPr>
            <w:tcW w:w="6662" w:type="dxa"/>
            <w:shd w:val="clear" w:color="auto" w:fill="auto"/>
          </w:tcPr>
          <w:p w14:paraId="1C3E782B" w14:textId="77777777" w:rsidR="00A823FC" w:rsidRPr="00767F5D" w:rsidRDefault="00A823FC" w:rsidP="005C7649">
            <w:pPr>
              <w:pStyle w:val="Para0"/>
              <w:jc w:val="both"/>
              <w:rPr>
                <w:highlight w:val="yellow"/>
              </w:rPr>
            </w:pPr>
            <w:r>
              <w:t>An intangible asset must be non-monetary, in the sense that you cannot value it in fixed or determinable amounts of money.</w:t>
            </w:r>
          </w:p>
        </w:tc>
        <w:tc>
          <w:tcPr>
            <w:tcW w:w="1083" w:type="dxa"/>
          </w:tcPr>
          <w:p w14:paraId="2394D7EC" w14:textId="77777777" w:rsidR="00A823FC" w:rsidRDefault="00A823FC" w:rsidP="005C7649">
            <w:pPr>
              <w:pStyle w:val="Para0"/>
              <w:jc w:val="both"/>
            </w:pPr>
          </w:p>
        </w:tc>
      </w:tr>
      <w:tr w:rsidR="00A823FC" w14:paraId="27ECF1A8" w14:textId="77777777" w:rsidTr="00A823FC">
        <w:tc>
          <w:tcPr>
            <w:tcW w:w="1271" w:type="dxa"/>
            <w:shd w:val="clear" w:color="auto" w:fill="auto"/>
          </w:tcPr>
          <w:p w14:paraId="5E578F5C" w14:textId="77777777" w:rsidR="00A823FC" w:rsidRPr="00767F5D" w:rsidRDefault="00A823FC" w:rsidP="005C7649">
            <w:pPr>
              <w:pStyle w:val="Para0"/>
              <w:rPr>
                <w:b/>
                <w:i/>
              </w:rPr>
            </w:pPr>
            <w:r w:rsidRPr="00767F5D">
              <w:rPr>
                <w:b/>
                <w:bCs/>
                <w:i/>
              </w:rPr>
              <w:t>Lack of Physical Substance</w:t>
            </w:r>
          </w:p>
        </w:tc>
        <w:tc>
          <w:tcPr>
            <w:tcW w:w="6662" w:type="dxa"/>
            <w:shd w:val="clear" w:color="auto" w:fill="auto"/>
          </w:tcPr>
          <w:p w14:paraId="60239DAD" w14:textId="77777777" w:rsidR="00A823FC" w:rsidRPr="00767F5D" w:rsidRDefault="00A823FC" w:rsidP="005C7649">
            <w:pPr>
              <w:pStyle w:val="Para0"/>
              <w:jc w:val="both"/>
              <w:rPr>
                <w:highlight w:val="yellow"/>
              </w:rPr>
            </w:pPr>
            <w:r>
              <w:t>There must be a lack of physical substance for an asset to be classified as intangible. Therefore, it is something that you cannot physically touch or hold. For example, a trade mark is not physical.</w:t>
            </w:r>
          </w:p>
        </w:tc>
        <w:tc>
          <w:tcPr>
            <w:tcW w:w="1083" w:type="dxa"/>
          </w:tcPr>
          <w:p w14:paraId="5164ED35" w14:textId="77777777" w:rsidR="00A823FC" w:rsidRDefault="00A823FC" w:rsidP="005C7649">
            <w:pPr>
              <w:pStyle w:val="Para0"/>
              <w:jc w:val="both"/>
            </w:pPr>
          </w:p>
        </w:tc>
      </w:tr>
      <w:tr w:rsidR="00A823FC" w14:paraId="07387415" w14:textId="77777777" w:rsidTr="00A823FC">
        <w:tc>
          <w:tcPr>
            <w:tcW w:w="1271" w:type="dxa"/>
            <w:shd w:val="clear" w:color="auto" w:fill="auto"/>
          </w:tcPr>
          <w:p w14:paraId="47FF86FC" w14:textId="77777777" w:rsidR="00A823FC" w:rsidRPr="00767F5D" w:rsidRDefault="00A823FC" w:rsidP="005C7649">
            <w:pPr>
              <w:pStyle w:val="Para0"/>
              <w:jc w:val="both"/>
              <w:rPr>
                <w:b/>
                <w:i/>
              </w:rPr>
            </w:pPr>
            <w:r w:rsidRPr="00767F5D">
              <w:rPr>
                <w:b/>
                <w:bCs/>
                <w:i/>
              </w:rPr>
              <w:t>Control</w:t>
            </w:r>
          </w:p>
        </w:tc>
        <w:tc>
          <w:tcPr>
            <w:tcW w:w="6662" w:type="dxa"/>
            <w:shd w:val="clear" w:color="auto" w:fill="auto"/>
          </w:tcPr>
          <w:p w14:paraId="30EA39EE" w14:textId="77777777" w:rsidR="00A823FC" w:rsidRPr="00767F5D" w:rsidRDefault="00A823FC" w:rsidP="005C7649">
            <w:pPr>
              <w:pStyle w:val="Para0"/>
              <w:jc w:val="both"/>
              <w:rPr>
                <w:highlight w:val="yellow"/>
              </w:rPr>
            </w:pPr>
            <w:r>
              <w:t>You must be able to exert a level of control over the asset and what happens to it. Whether you have control over the asset also depends on whether you have the power to obtain future economic benefits. Further, you should be able to prevent others from obtaining any economic benefits.</w:t>
            </w:r>
          </w:p>
        </w:tc>
        <w:tc>
          <w:tcPr>
            <w:tcW w:w="1083" w:type="dxa"/>
          </w:tcPr>
          <w:p w14:paraId="24BD24C6" w14:textId="77777777" w:rsidR="00A823FC" w:rsidRDefault="00A823FC" w:rsidP="005C7649">
            <w:pPr>
              <w:pStyle w:val="Para0"/>
              <w:jc w:val="both"/>
            </w:pPr>
          </w:p>
        </w:tc>
      </w:tr>
      <w:tr w:rsidR="00A823FC" w14:paraId="65A78671" w14:textId="77777777" w:rsidTr="00A823FC">
        <w:tc>
          <w:tcPr>
            <w:tcW w:w="1271" w:type="dxa"/>
            <w:shd w:val="clear" w:color="auto" w:fill="auto"/>
          </w:tcPr>
          <w:p w14:paraId="1BCA0D4B" w14:textId="77777777" w:rsidR="00A823FC" w:rsidRPr="00767F5D" w:rsidRDefault="00A823FC" w:rsidP="005C7649">
            <w:pPr>
              <w:pStyle w:val="Para0"/>
              <w:rPr>
                <w:b/>
                <w:i/>
              </w:rPr>
            </w:pPr>
            <w:r w:rsidRPr="00767F5D">
              <w:rPr>
                <w:b/>
                <w:bCs/>
                <w:i/>
              </w:rPr>
              <w:t>Future Economic Benefit</w:t>
            </w:r>
          </w:p>
        </w:tc>
        <w:tc>
          <w:tcPr>
            <w:tcW w:w="6662" w:type="dxa"/>
            <w:shd w:val="clear" w:color="auto" w:fill="auto"/>
          </w:tcPr>
          <w:p w14:paraId="316CAA8C" w14:textId="77777777" w:rsidR="00A823FC" w:rsidRDefault="00A823FC" w:rsidP="005C7649">
            <w:pPr>
              <w:pStyle w:val="Para0"/>
              <w:jc w:val="both"/>
            </w:pPr>
            <w:r>
              <w:t xml:space="preserve">Another vital factor to consider is the future economic benefits of the asset. It is essential to be able to determine that the asset will result in </w:t>
            </w:r>
            <w:r>
              <w:lastRenderedPageBreak/>
              <w:t xml:space="preserve">the flow of future economic benefits of the asset. Further, you should be able to measure such future economic benefits reliably. </w:t>
            </w:r>
          </w:p>
          <w:p w14:paraId="30D78E75" w14:textId="77777777" w:rsidR="00A823FC" w:rsidRPr="00767F5D" w:rsidRDefault="00A823FC" w:rsidP="005C7649">
            <w:pPr>
              <w:pStyle w:val="Para0"/>
              <w:jc w:val="both"/>
              <w:rPr>
                <w:highlight w:val="yellow"/>
              </w:rPr>
            </w:pPr>
            <w:r>
              <w:t>Future economic benefits may include revenue from selling products or services and saving costs.</w:t>
            </w:r>
          </w:p>
        </w:tc>
        <w:tc>
          <w:tcPr>
            <w:tcW w:w="1083" w:type="dxa"/>
          </w:tcPr>
          <w:p w14:paraId="5880F0ED" w14:textId="77777777" w:rsidR="00A823FC" w:rsidRDefault="00A823FC" w:rsidP="005C7649">
            <w:pPr>
              <w:pStyle w:val="Para0"/>
              <w:jc w:val="both"/>
            </w:pPr>
          </w:p>
        </w:tc>
      </w:tr>
    </w:tbl>
    <w:p w14:paraId="66DD8ECA" w14:textId="77777777" w:rsidR="00A823FC" w:rsidRDefault="00A823FC" w:rsidP="00A823FC">
      <w:pPr>
        <w:pStyle w:val="NormalIndent"/>
        <w:ind w:left="0"/>
      </w:pPr>
      <w:bookmarkStart w:id="21" w:name="_Toc519531363"/>
      <w:bookmarkStart w:id="22" w:name="_Toc519700539"/>
      <w:r>
        <w:t>If</w:t>
      </w:r>
      <w:r w:rsidR="00546513">
        <w:t xml:space="preserve"> the asset satisfies all the definitions in the table above, then it would be considered an intangible asset.</w:t>
      </w:r>
    </w:p>
    <w:p w14:paraId="5CBBD13E" w14:textId="77777777" w:rsidR="00546513" w:rsidRDefault="00546513" w:rsidP="00A823FC">
      <w:pPr>
        <w:pStyle w:val="NormalIndent"/>
        <w:ind w:left="0"/>
        <w:rPr>
          <w:b/>
        </w:rPr>
      </w:pPr>
      <w:r w:rsidRPr="00546513">
        <w:rPr>
          <w:b/>
        </w:rPr>
        <w:t xml:space="preserve">Step 2. </w:t>
      </w:r>
      <w:r>
        <w:rPr>
          <w:b/>
        </w:rPr>
        <w:t>Determine if the intangible asset meets the recognition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016"/>
        <w:gridCol w:w="1083"/>
      </w:tblGrid>
      <w:tr w:rsidR="00546513" w:rsidRPr="008E476C" w14:paraId="2617D53D" w14:textId="77777777" w:rsidTr="00546513">
        <w:tc>
          <w:tcPr>
            <w:tcW w:w="846" w:type="dxa"/>
            <w:shd w:val="clear" w:color="auto" w:fill="002669"/>
          </w:tcPr>
          <w:p w14:paraId="2C572D03" w14:textId="77777777" w:rsidR="00546513" w:rsidRPr="00767F5D" w:rsidRDefault="00546513" w:rsidP="00F3735D">
            <w:pPr>
              <w:pStyle w:val="Para0"/>
              <w:jc w:val="both"/>
              <w:rPr>
                <w:b/>
              </w:rPr>
            </w:pPr>
            <w:r w:rsidRPr="00767F5D">
              <w:rPr>
                <w:b/>
              </w:rPr>
              <w:t>Criteria</w:t>
            </w:r>
          </w:p>
        </w:tc>
        <w:tc>
          <w:tcPr>
            <w:tcW w:w="7087" w:type="dxa"/>
            <w:shd w:val="clear" w:color="auto" w:fill="002669"/>
          </w:tcPr>
          <w:p w14:paraId="27669EBD" w14:textId="77777777" w:rsidR="00546513" w:rsidRPr="00767F5D" w:rsidRDefault="00546513" w:rsidP="00F3735D">
            <w:pPr>
              <w:pStyle w:val="Para0"/>
              <w:jc w:val="both"/>
              <w:rPr>
                <w:b/>
              </w:rPr>
            </w:pPr>
            <w:r w:rsidRPr="00767F5D">
              <w:rPr>
                <w:b/>
              </w:rPr>
              <w:t>Description</w:t>
            </w:r>
          </w:p>
        </w:tc>
        <w:tc>
          <w:tcPr>
            <w:tcW w:w="1083" w:type="dxa"/>
            <w:shd w:val="clear" w:color="auto" w:fill="002669"/>
          </w:tcPr>
          <w:p w14:paraId="26E4798D" w14:textId="77777777" w:rsidR="00546513" w:rsidRPr="00767F5D" w:rsidRDefault="00546513" w:rsidP="00F3735D">
            <w:pPr>
              <w:pStyle w:val="Para0"/>
              <w:jc w:val="both"/>
              <w:rPr>
                <w:b/>
              </w:rPr>
            </w:pPr>
            <w:r>
              <w:rPr>
                <w:b/>
              </w:rPr>
              <w:t>Satisfied yes /no</w:t>
            </w:r>
          </w:p>
        </w:tc>
      </w:tr>
      <w:tr w:rsidR="00546513" w14:paraId="208B6D88" w14:textId="77777777" w:rsidTr="00546513">
        <w:tc>
          <w:tcPr>
            <w:tcW w:w="846" w:type="dxa"/>
            <w:shd w:val="clear" w:color="auto" w:fill="auto"/>
          </w:tcPr>
          <w:p w14:paraId="7B5C55C8" w14:textId="77777777" w:rsidR="00546513" w:rsidRPr="00546513" w:rsidRDefault="00546513" w:rsidP="00546513">
            <w:pPr>
              <w:pStyle w:val="Para0"/>
              <w:jc w:val="center"/>
              <w:rPr>
                <w:b/>
              </w:rPr>
            </w:pPr>
            <w:r>
              <w:rPr>
                <w:b/>
              </w:rPr>
              <w:t>a)</w:t>
            </w:r>
          </w:p>
        </w:tc>
        <w:tc>
          <w:tcPr>
            <w:tcW w:w="7087" w:type="dxa"/>
            <w:shd w:val="clear" w:color="auto" w:fill="auto"/>
          </w:tcPr>
          <w:p w14:paraId="2053C495" w14:textId="77777777" w:rsidR="00546513" w:rsidRPr="00BF529C" w:rsidRDefault="00546513" w:rsidP="00546513">
            <w:pPr>
              <w:pStyle w:val="Para0"/>
              <w:jc w:val="both"/>
            </w:pPr>
            <w:r>
              <w:t xml:space="preserve">it is probable that the expected future economic benefits that are attributable to the asset will flow to the entity; and </w:t>
            </w:r>
          </w:p>
        </w:tc>
        <w:tc>
          <w:tcPr>
            <w:tcW w:w="1083" w:type="dxa"/>
          </w:tcPr>
          <w:p w14:paraId="48A94366" w14:textId="77777777" w:rsidR="00546513" w:rsidRDefault="00546513" w:rsidP="00F3735D">
            <w:pPr>
              <w:pStyle w:val="Para0"/>
              <w:jc w:val="both"/>
            </w:pPr>
          </w:p>
        </w:tc>
      </w:tr>
      <w:tr w:rsidR="00546513" w14:paraId="31B325C6" w14:textId="77777777" w:rsidTr="00546513">
        <w:tc>
          <w:tcPr>
            <w:tcW w:w="846" w:type="dxa"/>
            <w:shd w:val="clear" w:color="auto" w:fill="auto"/>
          </w:tcPr>
          <w:p w14:paraId="1FF5CD34" w14:textId="77777777" w:rsidR="00546513" w:rsidRPr="00546513" w:rsidRDefault="00546513" w:rsidP="00546513">
            <w:pPr>
              <w:pStyle w:val="Para0"/>
              <w:jc w:val="center"/>
              <w:rPr>
                <w:b/>
              </w:rPr>
            </w:pPr>
            <w:r>
              <w:rPr>
                <w:b/>
              </w:rPr>
              <w:t>b)</w:t>
            </w:r>
          </w:p>
        </w:tc>
        <w:tc>
          <w:tcPr>
            <w:tcW w:w="7087" w:type="dxa"/>
            <w:shd w:val="clear" w:color="auto" w:fill="auto"/>
          </w:tcPr>
          <w:p w14:paraId="33CE12B7" w14:textId="77777777" w:rsidR="00546513" w:rsidRPr="00767F5D" w:rsidRDefault="00546513" w:rsidP="00546513">
            <w:pPr>
              <w:pStyle w:val="Para0"/>
              <w:jc w:val="both"/>
              <w:rPr>
                <w:highlight w:val="yellow"/>
              </w:rPr>
            </w:pPr>
            <w:r>
              <w:t>the cost of the asset can be measured reliably.</w:t>
            </w:r>
          </w:p>
        </w:tc>
        <w:tc>
          <w:tcPr>
            <w:tcW w:w="1083" w:type="dxa"/>
          </w:tcPr>
          <w:p w14:paraId="03B0D39F" w14:textId="77777777" w:rsidR="00546513" w:rsidRDefault="00546513" w:rsidP="00F3735D">
            <w:pPr>
              <w:pStyle w:val="Para0"/>
              <w:jc w:val="both"/>
            </w:pPr>
          </w:p>
        </w:tc>
      </w:tr>
    </w:tbl>
    <w:p w14:paraId="40BCDA72" w14:textId="77777777" w:rsidR="00546513" w:rsidRDefault="00546513" w:rsidP="00A823FC">
      <w:pPr>
        <w:pStyle w:val="NormalIndent"/>
        <w:ind w:left="0"/>
      </w:pPr>
    </w:p>
    <w:p w14:paraId="28152620" w14:textId="569F1273" w:rsidR="00546513" w:rsidRDefault="00546513" w:rsidP="00A823FC">
      <w:pPr>
        <w:pStyle w:val="NormalIndent"/>
        <w:ind w:left="0"/>
      </w:pPr>
      <w:r>
        <w:t xml:space="preserve">If the asset meets the definition of an intangible asset </w:t>
      </w:r>
      <w:r w:rsidRPr="001F0529">
        <w:rPr>
          <w:b/>
        </w:rPr>
        <w:t>and</w:t>
      </w:r>
      <w:r>
        <w:t xml:space="preserve"> it also meets the recognition criteria, then</w:t>
      </w:r>
      <w:r w:rsidR="00E93148">
        <w:t>, under the AMAF,</w:t>
      </w:r>
      <w:r>
        <w:t xml:space="preserve"> </w:t>
      </w:r>
      <w:r w:rsidR="00E93148">
        <w:t xml:space="preserve">an </w:t>
      </w:r>
      <w:r>
        <w:t xml:space="preserve">organisation </w:t>
      </w:r>
      <w:r w:rsidR="00E93148">
        <w:t>is required</w:t>
      </w:r>
      <w:r>
        <w:t xml:space="preserve"> to</w:t>
      </w:r>
      <w:r w:rsidR="00773A95">
        <w:t xml:space="preserve"> manage th</w:t>
      </w:r>
      <w:r w:rsidR="00E93148">
        <w:t>at</w:t>
      </w:r>
      <w:r>
        <w:t xml:space="preserve"> intangible asset within its asset management framework.</w:t>
      </w:r>
    </w:p>
    <w:p w14:paraId="4E6463E1" w14:textId="2389DFCD" w:rsidR="00546513" w:rsidRPr="00546513" w:rsidRDefault="00546513" w:rsidP="00A823FC">
      <w:pPr>
        <w:pStyle w:val="NormalIndent"/>
        <w:ind w:left="0"/>
      </w:pPr>
      <w:r>
        <w:t xml:space="preserve">If the </w:t>
      </w:r>
      <w:r w:rsidR="00E93148">
        <w:t xml:space="preserve">item satisfies </w:t>
      </w:r>
      <w:r>
        <w:t xml:space="preserve">the </w:t>
      </w:r>
      <w:r w:rsidR="001818D5">
        <w:t xml:space="preserve">definition of an intangible asset but </w:t>
      </w:r>
      <w:r w:rsidR="001F0529">
        <w:rPr>
          <w:b/>
        </w:rPr>
        <w:t>does not</w:t>
      </w:r>
      <w:r w:rsidR="001818D5">
        <w:t xml:space="preserve"> meet the recognition criteria, then it would not be required to </w:t>
      </w:r>
      <w:r w:rsidR="00773A95">
        <w:t>manage</w:t>
      </w:r>
      <w:r w:rsidR="001818D5">
        <w:t xml:space="preserve"> that </w:t>
      </w:r>
      <w:r w:rsidR="00E93148">
        <w:t xml:space="preserve">item </w:t>
      </w:r>
      <w:r w:rsidR="00773A95">
        <w:t>within its</w:t>
      </w:r>
      <w:r w:rsidR="001818D5">
        <w:t xml:space="preserve"> asset management framework </w:t>
      </w:r>
      <w:proofErr w:type="gramStart"/>
      <w:r w:rsidR="00773A95">
        <w:t>in</w:t>
      </w:r>
      <w:r w:rsidR="001818D5">
        <w:t xml:space="preserve"> order to</w:t>
      </w:r>
      <w:proofErr w:type="gramEnd"/>
      <w:r w:rsidR="001818D5">
        <w:t xml:space="preserve"> satisfy its obligations under the AMAF. However, all organisations should consider the value</w:t>
      </w:r>
      <w:r w:rsidR="00E93148">
        <w:t>/benefit</w:t>
      </w:r>
      <w:r w:rsidR="001818D5">
        <w:t xml:space="preserve"> of </w:t>
      </w:r>
      <w:r w:rsidR="00E93148">
        <w:t>the item</w:t>
      </w:r>
      <w:r w:rsidR="001818D5">
        <w:t xml:space="preserve"> to the organisation and determine if it should be managed within the asset management framework anyway.</w:t>
      </w:r>
    </w:p>
    <w:bookmarkEnd w:id="21"/>
    <w:bookmarkEnd w:id="22"/>
    <w:p w14:paraId="4C6DB641" w14:textId="7B5B8EF1" w:rsidR="008E1A53" w:rsidRDefault="00E93148" w:rsidP="00927BD3">
      <w:pPr>
        <w:pStyle w:val="NormalIndent"/>
        <w:ind w:left="0"/>
      </w:pPr>
      <w:r>
        <w:t xml:space="preserve"> </w:t>
      </w:r>
    </w:p>
    <w:sectPr w:rsidR="008E1A53" w:rsidSect="00593B38">
      <w:headerReference w:type="default" r:id="rId19"/>
      <w:footerReference w:type="even" r:id="rId20"/>
      <w:footerReference w:type="default" r:id="rId21"/>
      <w:pgSz w:w="11906" w:h="16838" w:code="9"/>
      <w:pgMar w:top="1980" w:right="1440" w:bottom="135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29373" w14:textId="77777777" w:rsidR="009A59C4" w:rsidRDefault="009A59C4" w:rsidP="002D711A">
      <w:pPr>
        <w:spacing w:after="0" w:line="240" w:lineRule="auto"/>
      </w:pPr>
      <w:r>
        <w:separator/>
      </w:r>
    </w:p>
  </w:endnote>
  <w:endnote w:type="continuationSeparator" w:id="0">
    <w:p w14:paraId="1AC4D9D1" w14:textId="77777777" w:rsidR="009A59C4" w:rsidRDefault="009A59C4"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98EE9" w14:textId="77777777" w:rsidR="009775A6" w:rsidRPr="00014213" w:rsidRDefault="009775A6" w:rsidP="00C022F9">
    <w:pPr>
      <w:pStyle w:val="Footer"/>
    </w:pPr>
    <w:r>
      <w:drawing>
        <wp:anchor distT="0" distB="0" distL="114300" distR="114300" simplePos="0" relativeHeight="251667456" behindDoc="0" locked="0" layoutInCell="1" allowOverlap="1" wp14:anchorId="698953B1" wp14:editId="545C8A23">
          <wp:simplePos x="0" y="0"/>
          <wp:positionH relativeFrom="column">
            <wp:posOffset>4240861</wp:posOffset>
          </wp:positionH>
          <wp:positionV relativeFrom="page">
            <wp:posOffset>9493250</wp:posOffset>
          </wp:positionV>
          <wp:extent cx="1956435" cy="582930"/>
          <wp:effectExtent l="0" t="0" r="5715" b="7620"/>
          <wp:wrapNone/>
          <wp:docPr id="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BB109" w14:textId="77777777" w:rsidR="009775A6" w:rsidRDefault="009775A6" w:rsidP="006D0C59">
    <w:pPr>
      <w:pStyle w:val="Spacer"/>
    </w:pPr>
  </w:p>
  <w:p w14:paraId="514360F0" w14:textId="77777777" w:rsidR="009775A6" w:rsidRPr="00C022F9" w:rsidRDefault="009775A6" w:rsidP="0041689E">
    <w:pPr>
      <w:pStyle w:val="Footer"/>
      <w:spacing w:before="0"/>
    </w:pP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C510B" w14:textId="77777777" w:rsidR="009A59C4" w:rsidRDefault="009A59C4" w:rsidP="002D711A">
      <w:pPr>
        <w:spacing w:after="0" w:line="240" w:lineRule="auto"/>
      </w:pPr>
      <w:r>
        <w:separator/>
      </w:r>
    </w:p>
  </w:footnote>
  <w:footnote w:type="continuationSeparator" w:id="0">
    <w:p w14:paraId="0F00476B" w14:textId="77777777" w:rsidR="009A59C4" w:rsidRDefault="009A59C4" w:rsidP="002D711A">
      <w:pPr>
        <w:spacing w:after="0" w:line="240" w:lineRule="auto"/>
      </w:pPr>
      <w:r>
        <w:continuationSeparator/>
      </w:r>
    </w:p>
  </w:footnote>
  <w:footnote w:id="1">
    <w:p w14:paraId="68DEED13" w14:textId="1B8B575B" w:rsidR="009775A6" w:rsidRDefault="009775A6" w:rsidP="0049630C">
      <w:pPr>
        <w:pStyle w:val="CommentText"/>
        <w:ind w:left="720"/>
      </w:pPr>
      <w:r>
        <w:rPr>
          <w:rStyle w:val="FootnoteReference"/>
        </w:rPr>
        <w:footnoteRef/>
      </w:r>
      <w:r>
        <w:t xml:space="preserve"> </w:t>
      </w:r>
      <w:r w:rsidRPr="0049630C">
        <w:rPr>
          <w:sz w:val="16"/>
          <w:szCs w:val="16"/>
        </w:rPr>
        <w:t xml:space="preserve">Asset managers are generally not </w:t>
      </w:r>
      <w:proofErr w:type="gramStart"/>
      <w:r w:rsidRPr="0049630C">
        <w:rPr>
          <w:sz w:val="16"/>
          <w:szCs w:val="16"/>
        </w:rPr>
        <w:t>in a position</w:t>
      </w:r>
      <w:proofErr w:type="gramEnd"/>
      <w:r w:rsidRPr="0049630C">
        <w:rPr>
          <w:sz w:val="16"/>
          <w:szCs w:val="16"/>
        </w:rPr>
        <w:t xml:space="preserve"> to assess whether or not an item is an intangible asset. </w:t>
      </w:r>
      <w:r>
        <w:rPr>
          <w:sz w:val="16"/>
          <w:szCs w:val="16"/>
        </w:rPr>
        <w:t>The </w:t>
      </w:r>
      <w:r w:rsidRPr="0049630C">
        <w:rPr>
          <w:sz w:val="16"/>
          <w:szCs w:val="16"/>
        </w:rPr>
        <w:t>finance department will already have identified and approved the valuation of the entity’s intangible assets.</w:t>
      </w:r>
    </w:p>
    <w:p w14:paraId="2D177C60" w14:textId="3E1FE69D" w:rsidR="009775A6" w:rsidRDefault="009775A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F788D" w14:textId="77777777" w:rsidR="009775A6" w:rsidRPr="0041689E" w:rsidRDefault="009775A6">
    <w:pPr>
      <w:pStyle w:val="Header"/>
    </w:pPr>
    <w:r>
      <w:rPr>
        <w:noProof/>
      </w:rPr>
      <w:drawing>
        <wp:anchor distT="0" distB="0" distL="114300" distR="114300" simplePos="0" relativeHeight="251670528" behindDoc="0" locked="0" layoutInCell="1" allowOverlap="1" wp14:anchorId="33A647CC" wp14:editId="0D1D300F">
          <wp:simplePos x="0" y="0"/>
          <wp:positionH relativeFrom="column">
            <wp:posOffset>-319405</wp:posOffset>
          </wp:positionH>
          <wp:positionV relativeFrom="page">
            <wp:posOffset>299085</wp:posOffset>
          </wp:positionV>
          <wp:extent cx="1380490" cy="4114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3C965D9" wp14:editId="50550ABA">
          <wp:simplePos x="0" y="0"/>
          <wp:positionH relativeFrom="column">
            <wp:posOffset>-914400</wp:posOffset>
          </wp:positionH>
          <wp:positionV relativeFrom="page">
            <wp:posOffset>125095</wp:posOffset>
          </wp:positionV>
          <wp:extent cx="7589520" cy="740410"/>
          <wp:effectExtent l="0" t="0" r="0" b="2540"/>
          <wp:wrapNone/>
          <wp:docPr id="6"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A051B"/>
    <w:multiLevelType w:val="hybridMultilevel"/>
    <w:tmpl w:val="03320F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896B73"/>
    <w:multiLevelType w:val="hybridMultilevel"/>
    <w:tmpl w:val="B08A4322"/>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2" w15:restartNumberingAfterBreak="0">
    <w:nsid w:val="17AB425B"/>
    <w:multiLevelType w:val="hybridMultilevel"/>
    <w:tmpl w:val="D00A86E2"/>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3366" w:hanging="360"/>
      </w:pPr>
      <w:rPr>
        <w:rFonts w:ascii="Courier New" w:hAnsi="Courier New" w:cs="Courier New" w:hint="default"/>
      </w:rPr>
    </w:lvl>
    <w:lvl w:ilvl="2" w:tplc="0C090005" w:tentative="1">
      <w:start w:val="1"/>
      <w:numFmt w:val="bullet"/>
      <w:lvlText w:val=""/>
      <w:lvlJc w:val="left"/>
      <w:pPr>
        <w:ind w:left="4086" w:hanging="360"/>
      </w:pPr>
      <w:rPr>
        <w:rFonts w:ascii="Wingdings" w:hAnsi="Wingdings" w:hint="default"/>
      </w:rPr>
    </w:lvl>
    <w:lvl w:ilvl="3" w:tplc="0C090001" w:tentative="1">
      <w:start w:val="1"/>
      <w:numFmt w:val="bullet"/>
      <w:lvlText w:val=""/>
      <w:lvlJc w:val="left"/>
      <w:pPr>
        <w:ind w:left="4806" w:hanging="360"/>
      </w:pPr>
      <w:rPr>
        <w:rFonts w:ascii="Symbol" w:hAnsi="Symbol" w:hint="default"/>
      </w:rPr>
    </w:lvl>
    <w:lvl w:ilvl="4" w:tplc="0C090003" w:tentative="1">
      <w:start w:val="1"/>
      <w:numFmt w:val="bullet"/>
      <w:lvlText w:val="o"/>
      <w:lvlJc w:val="left"/>
      <w:pPr>
        <w:ind w:left="5526" w:hanging="360"/>
      </w:pPr>
      <w:rPr>
        <w:rFonts w:ascii="Courier New" w:hAnsi="Courier New" w:cs="Courier New" w:hint="default"/>
      </w:rPr>
    </w:lvl>
    <w:lvl w:ilvl="5" w:tplc="0C090005" w:tentative="1">
      <w:start w:val="1"/>
      <w:numFmt w:val="bullet"/>
      <w:lvlText w:val=""/>
      <w:lvlJc w:val="left"/>
      <w:pPr>
        <w:ind w:left="6246" w:hanging="360"/>
      </w:pPr>
      <w:rPr>
        <w:rFonts w:ascii="Wingdings" w:hAnsi="Wingdings" w:hint="default"/>
      </w:rPr>
    </w:lvl>
    <w:lvl w:ilvl="6" w:tplc="0C090001" w:tentative="1">
      <w:start w:val="1"/>
      <w:numFmt w:val="bullet"/>
      <w:lvlText w:val=""/>
      <w:lvlJc w:val="left"/>
      <w:pPr>
        <w:ind w:left="6966" w:hanging="360"/>
      </w:pPr>
      <w:rPr>
        <w:rFonts w:ascii="Symbol" w:hAnsi="Symbol" w:hint="default"/>
      </w:rPr>
    </w:lvl>
    <w:lvl w:ilvl="7" w:tplc="0C090003" w:tentative="1">
      <w:start w:val="1"/>
      <w:numFmt w:val="bullet"/>
      <w:lvlText w:val="o"/>
      <w:lvlJc w:val="left"/>
      <w:pPr>
        <w:ind w:left="7686" w:hanging="360"/>
      </w:pPr>
      <w:rPr>
        <w:rFonts w:ascii="Courier New" w:hAnsi="Courier New" w:cs="Courier New" w:hint="default"/>
      </w:rPr>
    </w:lvl>
    <w:lvl w:ilvl="8" w:tplc="0C090005" w:tentative="1">
      <w:start w:val="1"/>
      <w:numFmt w:val="bullet"/>
      <w:lvlText w:val=""/>
      <w:lvlJc w:val="left"/>
      <w:pPr>
        <w:ind w:left="8406" w:hanging="360"/>
      </w:pPr>
      <w:rPr>
        <w:rFonts w:ascii="Wingdings" w:hAnsi="Wingdings" w:hint="default"/>
      </w:rPr>
    </w:lvl>
  </w:abstractNum>
  <w:abstractNum w:abstractNumId="3"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8416E0B"/>
    <w:multiLevelType w:val="hybridMultilevel"/>
    <w:tmpl w:val="BBC62D94"/>
    <w:lvl w:ilvl="0" w:tplc="0C09000F">
      <w:start w:val="1"/>
      <w:numFmt w:val="decimal"/>
      <w:lvlText w:val="%1."/>
      <w:lvlJc w:val="left"/>
      <w:pPr>
        <w:ind w:left="1512" w:hanging="360"/>
      </w:pPr>
    </w:lvl>
    <w:lvl w:ilvl="1" w:tplc="0C090019" w:tentative="1">
      <w:start w:val="1"/>
      <w:numFmt w:val="lowerLetter"/>
      <w:lvlText w:val="%2."/>
      <w:lvlJc w:val="left"/>
      <w:pPr>
        <w:ind w:left="2232" w:hanging="360"/>
      </w:pPr>
    </w:lvl>
    <w:lvl w:ilvl="2" w:tplc="0C09001B" w:tentative="1">
      <w:start w:val="1"/>
      <w:numFmt w:val="lowerRoman"/>
      <w:lvlText w:val="%3."/>
      <w:lvlJc w:val="right"/>
      <w:pPr>
        <w:ind w:left="2952" w:hanging="180"/>
      </w:pPr>
    </w:lvl>
    <w:lvl w:ilvl="3" w:tplc="0C09000F" w:tentative="1">
      <w:start w:val="1"/>
      <w:numFmt w:val="decimal"/>
      <w:lvlText w:val="%4."/>
      <w:lvlJc w:val="left"/>
      <w:pPr>
        <w:ind w:left="3672" w:hanging="360"/>
      </w:pPr>
    </w:lvl>
    <w:lvl w:ilvl="4" w:tplc="0C090019" w:tentative="1">
      <w:start w:val="1"/>
      <w:numFmt w:val="lowerLetter"/>
      <w:lvlText w:val="%5."/>
      <w:lvlJc w:val="left"/>
      <w:pPr>
        <w:ind w:left="4392" w:hanging="360"/>
      </w:pPr>
    </w:lvl>
    <w:lvl w:ilvl="5" w:tplc="0C09001B" w:tentative="1">
      <w:start w:val="1"/>
      <w:numFmt w:val="lowerRoman"/>
      <w:lvlText w:val="%6."/>
      <w:lvlJc w:val="right"/>
      <w:pPr>
        <w:ind w:left="5112" w:hanging="180"/>
      </w:pPr>
    </w:lvl>
    <w:lvl w:ilvl="6" w:tplc="0C09000F" w:tentative="1">
      <w:start w:val="1"/>
      <w:numFmt w:val="decimal"/>
      <w:lvlText w:val="%7."/>
      <w:lvlJc w:val="left"/>
      <w:pPr>
        <w:ind w:left="5832" w:hanging="360"/>
      </w:pPr>
    </w:lvl>
    <w:lvl w:ilvl="7" w:tplc="0C090019" w:tentative="1">
      <w:start w:val="1"/>
      <w:numFmt w:val="lowerLetter"/>
      <w:lvlText w:val="%8."/>
      <w:lvlJc w:val="left"/>
      <w:pPr>
        <w:ind w:left="6552" w:hanging="360"/>
      </w:pPr>
    </w:lvl>
    <w:lvl w:ilvl="8" w:tplc="0C09001B" w:tentative="1">
      <w:start w:val="1"/>
      <w:numFmt w:val="lowerRoman"/>
      <w:lvlText w:val="%9."/>
      <w:lvlJc w:val="right"/>
      <w:pPr>
        <w:ind w:left="7272" w:hanging="180"/>
      </w:pPr>
    </w:lvl>
  </w:abstractNum>
  <w:abstractNum w:abstractNumId="5" w15:restartNumberingAfterBreak="0">
    <w:nsid w:val="446D3A6A"/>
    <w:multiLevelType w:val="multilevel"/>
    <w:tmpl w:val="301CFAB6"/>
    <w:lvl w:ilvl="0">
      <w:start w:val="1"/>
      <w:numFmt w:val="bullet"/>
      <w:pStyle w:val="Bullet1"/>
      <w:lvlText w:val=""/>
      <w:lvlJc w:val="left"/>
      <w:pPr>
        <w:tabs>
          <w:tab w:val="num" w:pos="1214"/>
        </w:tabs>
        <w:ind w:left="1214" w:hanging="504"/>
      </w:pPr>
      <w:rPr>
        <w:rFonts w:ascii="Symbol" w:hAnsi="Symbol" w:hint="default"/>
        <w:b w:val="0"/>
        <w:i w:val="0"/>
        <w:vanish w:val="0"/>
        <w:color w:val="auto"/>
        <w:sz w:val="22"/>
      </w:rPr>
    </w:lvl>
    <w:lvl w:ilvl="1">
      <w:start w:val="1"/>
      <w:numFmt w:val="bullet"/>
      <w:pStyle w:val="Bullet2"/>
      <w:lvlText w:val="–"/>
      <w:lvlJc w:val="left"/>
      <w:pPr>
        <w:tabs>
          <w:tab w:val="num" w:pos="1574"/>
        </w:tabs>
        <w:ind w:left="1574" w:hanging="360"/>
      </w:pPr>
      <w:rPr>
        <w:rFonts w:ascii="Calibri" w:hAnsi="Calibri" w:hint="default"/>
        <w:b w:val="0"/>
        <w:i w:val="0"/>
        <w:vanish w:val="0"/>
        <w:color w:val="auto"/>
        <w:sz w:val="22"/>
      </w:rPr>
    </w:lvl>
    <w:lvl w:ilvl="2">
      <w:start w:val="1"/>
      <w:numFmt w:val="bullet"/>
      <w:pStyle w:val="Bulletindent"/>
      <w:lvlText w:val=""/>
      <w:lvlJc w:val="left"/>
      <w:pPr>
        <w:tabs>
          <w:tab w:val="num" w:pos="1862"/>
        </w:tabs>
        <w:ind w:left="1862" w:hanging="360"/>
      </w:pPr>
      <w:rPr>
        <w:rFonts w:ascii="Symbol" w:hAnsi="Symbol" w:hint="default"/>
        <w:b w:val="0"/>
        <w:i w:val="0"/>
        <w:vanish w:val="0"/>
        <w:color w:val="auto"/>
        <w:sz w:val="22"/>
      </w:rPr>
    </w:lvl>
    <w:lvl w:ilvl="3">
      <w:start w:val="1"/>
      <w:numFmt w:val="bullet"/>
      <w:pStyle w:val="Bulletindent2"/>
      <w:lvlText w:val="–"/>
      <w:lvlJc w:val="left"/>
      <w:pPr>
        <w:tabs>
          <w:tab w:val="num" w:pos="2222"/>
        </w:tabs>
        <w:ind w:left="2222" w:hanging="360"/>
      </w:pPr>
      <w:rPr>
        <w:rFonts w:ascii="Calibri" w:hAnsi="Calibri" w:hint="default"/>
        <w:b w:val="0"/>
        <w:i w:val="0"/>
        <w:vanish w:val="0"/>
        <w:color w:val="auto"/>
        <w:sz w:val="22"/>
      </w:rPr>
    </w:lvl>
    <w:lvl w:ilvl="4">
      <w:start w:val="1"/>
      <w:numFmt w:val="bullet"/>
      <w:lvlText w:val=""/>
      <w:lvlJc w:val="left"/>
      <w:pPr>
        <w:tabs>
          <w:tab w:val="num" w:pos="2921"/>
        </w:tabs>
        <w:ind w:left="2921" w:hanging="283"/>
      </w:pPr>
      <w:rPr>
        <w:rFonts w:ascii="Symbol" w:hAnsi="Symbol" w:hint="default"/>
        <w:b w:val="0"/>
        <w:i w:val="0"/>
        <w:vanish w:val="0"/>
        <w:color w:val="auto"/>
        <w:sz w:val="22"/>
      </w:rPr>
    </w:lvl>
    <w:lvl w:ilvl="5">
      <w:start w:val="1"/>
      <w:numFmt w:val="bullet"/>
      <w:lvlText w:val=""/>
      <w:lvlJc w:val="left"/>
      <w:pPr>
        <w:tabs>
          <w:tab w:val="num" w:pos="3205"/>
        </w:tabs>
        <w:ind w:left="3205" w:hanging="284"/>
      </w:pPr>
      <w:rPr>
        <w:rFonts w:ascii="Symbol" w:hAnsi="Symbol" w:hint="default"/>
        <w:b w:val="0"/>
        <w:i w:val="0"/>
        <w:vanish w:val="0"/>
        <w:color w:val="auto"/>
        <w:sz w:val="22"/>
      </w:rPr>
    </w:lvl>
    <w:lvl w:ilvl="6">
      <w:start w:val="1"/>
      <w:numFmt w:val="bullet"/>
      <w:lvlText w:val=""/>
      <w:lvlJc w:val="left"/>
      <w:pPr>
        <w:tabs>
          <w:tab w:val="num" w:pos="3488"/>
        </w:tabs>
        <w:ind w:left="3488" w:hanging="283"/>
      </w:pPr>
      <w:rPr>
        <w:rFonts w:ascii="Symbol" w:hAnsi="Symbol" w:hint="default"/>
        <w:b w:val="0"/>
        <w:i w:val="0"/>
        <w:vanish w:val="0"/>
        <w:color w:val="auto"/>
        <w:sz w:val="22"/>
      </w:rPr>
    </w:lvl>
    <w:lvl w:ilvl="7">
      <w:start w:val="1"/>
      <w:numFmt w:val="bullet"/>
      <w:lvlText w:val=""/>
      <w:lvlJc w:val="left"/>
      <w:pPr>
        <w:tabs>
          <w:tab w:val="num" w:pos="3772"/>
        </w:tabs>
        <w:ind w:left="3772" w:hanging="284"/>
      </w:pPr>
      <w:rPr>
        <w:rFonts w:ascii="Symbol" w:hAnsi="Symbol" w:hint="default"/>
        <w:b w:val="0"/>
        <w:i w:val="0"/>
        <w:vanish w:val="0"/>
        <w:color w:val="auto"/>
        <w:sz w:val="22"/>
      </w:rPr>
    </w:lvl>
    <w:lvl w:ilvl="8">
      <w:start w:val="1"/>
      <w:numFmt w:val="bullet"/>
      <w:lvlText w:val=""/>
      <w:lvlJc w:val="left"/>
      <w:pPr>
        <w:tabs>
          <w:tab w:val="num" w:pos="4055"/>
        </w:tabs>
        <w:ind w:left="4055" w:hanging="283"/>
      </w:pPr>
      <w:rPr>
        <w:rFonts w:ascii="Symbol" w:hAnsi="Symbol" w:hint="default"/>
        <w:b w:val="0"/>
        <w:i w:val="0"/>
        <w:vanish w:val="0"/>
        <w:color w:val="auto"/>
        <w:sz w:val="22"/>
      </w:rPr>
    </w:lvl>
  </w:abstractNum>
  <w:abstractNum w:abstractNumId="6" w15:restartNumberingAfterBreak="0">
    <w:nsid w:val="63335D85"/>
    <w:multiLevelType w:val="hybridMultilevel"/>
    <w:tmpl w:val="A1DE367C"/>
    <w:lvl w:ilvl="0" w:tplc="DFB827B4">
      <w:start w:val="1"/>
      <w:numFmt w:val="decimal"/>
      <w:lvlText w:val="%1."/>
      <w:lvlJc w:val="left"/>
      <w:pPr>
        <w:ind w:left="1070"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7" w15:restartNumberingAfterBreak="0">
    <w:nsid w:val="6E172FD4"/>
    <w:multiLevelType w:val="multilevel"/>
    <w:tmpl w:val="5A3A002C"/>
    <w:lvl w:ilvl="0">
      <w:start w:val="1"/>
      <w:numFmt w:val="lowerLetter"/>
      <w:lvlText w:val="%1)"/>
      <w:lvlJc w:val="left"/>
      <w:pPr>
        <w:tabs>
          <w:tab w:val="num" w:pos="1077"/>
        </w:tabs>
        <w:ind w:left="1077" w:hanging="283"/>
      </w:pPr>
      <w:rPr>
        <w:rFonts w:hint="default"/>
        <w:b w:val="0"/>
        <w:i w:val="0"/>
        <w:vanish w:val="0"/>
        <w:color w:val="auto"/>
        <w:sz w:val="22"/>
      </w:rPr>
    </w:lvl>
    <w:lvl w:ilvl="1">
      <w:start w:val="1"/>
      <w:numFmt w:val="bullet"/>
      <w:lvlText w:val="–"/>
      <w:lvlJc w:val="left"/>
      <w:pPr>
        <w:tabs>
          <w:tab w:val="num" w:pos="1361"/>
        </w:tabs>
        <w:ind w:left="1361" w:hanging="284"/>
      </w:pPr>
      <w:rPr>
        <w:rFonts w:ascii="Calibri" w:hAnsi="Calibri" w:hint="default"/>
        <w:b w:val="0"/>
        <w:i w:val="0"/>
        <w:vanish w:val="0"/>
        <w:color w:val="auto"/>
        <w:sz w:val="22"/>
      </w:rPr>
    </w:lvl>
    <w:lvl w:ilvl="2">
      <w:start w:val="1"/>
      <w:numFmt w:val="bullet"/>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8" w15:restartNumberingAfterBreak="0">
    <w:nsid w:val="7A7E12E5"/>
    <w:multiLevelType w:val="hybridMultilevel"/>
    <w:tmpl w:val="10F4A700"/>
    <w:lvl w:ilvl="0" w:tplc="5F50E45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num w:numId="1">
    <w:abstractNumId w:val="5"/>
  </w:num>
  <w:num w:numId="2">
    <w:abstractNumId w:val="5"/>
  </w:num>
  <w:num w:numId="3">
    <w:abstractNumId w:val="8"/>
  </w:num>
  <w:num w:numId="4">
    <w:abstractNumId w:val="9"/>
  </w:num>
  <w:num w:numId="5">
    <w:abstractNumId w:val="3"/>
  </w:num>
  <w:num w:numId="6">
    <w:abstractNumId w:val="1"/>
  </w:num>
  <w:num w:numId="7">
    <w:abstractNumId w:val="7"/>
  </w:num>
  <w:num w:numId="8">
    <w:abstractNumId w:val="2"/>
  </w:num>
  <w:num w:numId="9">
    <w:abstractNumId w:val="6"/>
  </w:num>
  <w:num w:numId="10">
    <w:abstractNumId w:val="4"/>
  </w:num>
  <w:num w:numId="1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06"/>
    <w:rsid w:val="000022B9"/>
    <w:rsid w:val="00012F6F"/>
    <w:rsid w:val="00014213"/>
    <w:rsid w:val="00014B55"/>
    <w:rsid w:val="000205A2"/>
    <w:rsid w:val="00020E3E"/>
    <w:rsid w:val="00023BF3"/>
    <w:rsid w:val="00026811"/>
    <w:rsid w:val="00034817"/>
    <w:rsid w:val="0004356D"/>
    <w:rsid w:val="00045296"/>
    <w:rsid w:val="00052DD1"/>
    <w:rsid w:val="00055D71"/>
    <w:rsid w:val="00072DE5"/>
    <w:rsid w:val="0007445A"/>
    <w:rsid w:val="00075E6C"/>
    <w:rsid w:val="00084460"/>
    <w:rsid w:val="00091385"/>
    <w:rsid w:val="00094ED5"/>
    <w:rsid w:val="000B29AD"/>
    <w:rsid w:val="000B5E72"/>
    <w:rsid w:val="000C4A17"/>
    <w:rsid w:val="000C6372"/>
    <w:rsid w:val="000E392D"/>
    <w:rsid w:val="000F4288"/>
    <w:rsid w:val="000F7165"/>
    <w:rsid w:val="00102379"/>
    <w:rsid w:val="001065D6"/>
    <w:rsid w:val="00117332"/>
    <w:rsid w:val="00121252"/>
    <w:rsid w:val="00124609"/>
    <w:rsid w:val="001254CE"/>
    <w:rsid w:val="00127795"/>
    <w:rsid w:val="00130C13"/>
    <w:rsid w:val="001334F3"/>
    <w:rsid w:val="00134CEA"/>
    <w:rsid w:val="0014110C"/>
    <w:rsid w:val="001422CC"/>
    <w:rsid w:val="00143320"/>
    <w:rsid w:val="00157A05"/>
    <w:rsid w:val="001607DE"/>
    <w:rsid w:val="001617B6"/>
    <w:rsid w:val="00165E66"/>
    <w:rsid w:val="001727DA"/>
    <w:rsid w:val="001818D5"/>
    <w:rsid w:val="0019080A"/>
    <w:rsid w:val="001941DD"/>
    <w:rsid w:val="001A43E6"/>
    <w:rsid w:val="001C7BAE"/>
    <w:rsid w:val="001E2ADF"/>
    <w:rsid w:val="001E31FA"/>
    <w:rsid w:val="001E64F6"/>
    <w:rsid w:val="001F0529"/>
    <w:rsid w:val="001F279D"/>
    <w:rsid w:val="00204DF7"/>
    <w:rsid w:val="00206D99"/>
    <w:rsid w:val="00222BEB"/>
    <w:rsid w:val="00225E60"/>
    <w:rsid w:val="002263CF"/>
    <w:rsid w:val="0023202C"/>
    <w:rsid w:val="00236203"/>
    <w:rsid w:val="002371C8"/>
    <w:rsid w:val="00243DA4"/>
    <w:rsid w:val="00245043"/>
    <w:rsid w:val="00257760"/>
    <w:rsid w:val="00260667"/>
    <w:rsid w:val="00267723"/>
    <w:rsid w:val="00272579"/>
    <w:rsid w:val="00280953"/>
    <w:rsid w:val="00292D36"/>
    <w:rsid w:val="00296B07"/>
    <w:rsid w:val="00297281"/>
    <w:rsid w:val="002C2E78"/>
    <w:rsid w:val="002C31EE"/>
    <w:rsid w:val="002C54E0"/>
    <w:rsid w:val="002D711A"/>
    <w:rsid w:val="002D7336"/>
    <w:rsid w:val="002E07B4"/>
    <w:rsid w:val="002E17BD"/>
    <w:rsid w:val="002E3396"/>
    <w:rsid w:val="0031149C"/>
    <w:rsid w:val="00312498"/>
    <w:rsid w:val="0031564C"/>
    <w:rsid w:val="00317D1E"/>
    <w:rsid w:val="00334FFF"/>
    <w:rsid w:val="003565B0"/>
    <w:rsid w:val="00367C0E"/>
    <w:rsid w:val="0038771C"/>
    <w:rsid w:val="00393B35"/>
    <w:rsid w:val="0039405B"/>
    <w:rsid w:val="00396B4E"/>
    <w:rsid w:val="00397798"/>
    <w:rsid w:val="003A1C92"/>
    <w:rsid w:val="003A541A"/>
    <w:rsid w:val="003A6923"/>
    <w:rsid w:val="003B577A"/>
    <w:rsid w:val="003C2C67"/>
    <w:rsid w:val="003C3BC9"/>
    <w:rsid w:val="003C5BA4"/>
    <w:rsid w:val="003C662D"/>
    <w:rsid w:val="003D094A"/>
    <w:rsid w:val="003D0C21"/>
    <w:rsid w:val="003D440B"/>
    <w:rsid w:val="003D4BB0"/>
    <w:rsid w:val="003E3E26"/>
    <w:rsid w:val="003E5A86"/>
    <w:rsid w:val="003F1295"/>
    <w:rsid w:val="003F76FC"/>
    <w:rsid w:val="004002EB"/>
    <w:rsid w:val="004113BD"/>
    <w:rsid w:val="0041232A"/>
    <w:rsid w:val="0041689E"/>
    <w:rsid w:val="0041781E"/>
    <w:rsid w:val="00423052"/>
    <w:rsid w:val="004236C8"/>
    <w:rsid w:val="004240A0"/>
    <w:rsid w:val="00427681"/>
    <w:rsid w:val="00432A89"/>
    <w:rsid w:val="00433DB7"/>
    <w:rsid w:val="00453750"/>
    <w:rsid w:val="00456941"/>
    <w:rsid w:val="00456994"/>
    <w:rsid w:val="00460EE6"/>
    <w:rsid w:val="004643D4"/>
    <w:rsid w:val="004702EA"/>
    <w:rsid w:val="00482D02"/>
    <w:rsid w:val="00493EC0"/>
    <w:rsid w:val="004946C9"/>
    <w:rsid w:val="0049630C"/>
    <w:rsid w:val="004A11D2"/>
    <w:rsid w:val="004A2BBC"/>
    <w:rsid w:val="004A3952"/>
    <w:rsid w:val="004A7519"/>
    <w:rsid w:val="004D3518"/>
    <w:rsid w:val="004D62D6"/>
    <w:rsid w:val="004F3241"/>
    <w:rsid w:val="00524AE3"/>
    <w:rsid w:val="005262AF"/>
    <w:rsid w:val="0053416C"/>
    <w:rsid w:val="005357F5"/>
    <w:rsid w:val="005372CD"/>
    <w:rsid w:val="00541C2F"/>
    <w:rsid w:val="00546513"/>
    <w:rsid w:val="00563527"/>
    <w:rsid w:val="0058124E"/>
    <w:rsid w:val="005875A3"/>
    <w:rsid w:val="00593B38"/>
    <w:rsid w:val="005A3416"/>
    <w:rsid w:val="005B02D8"/>
    <w:rsid w:val="005B247F"/>
    <w:rsid w:val="005B27FE"/>
    <w:rsid w:val="005C3841"/>
    <w:rsid w:val="005C3A15"/>
    <w:rsid w:val="005C3E6D"/>
    <w:rsid w:val="005C7649"/>
    <w:rsid w:val="005D7C29"/>
    <w:rsid w:val="005E2AAD"/>
    <w:rsid w:val="005E2FDE"/>
    <w:rsid w:val="005E38AA"/>
    <w:rsid w:val="005F61DF"/>
    <w:rsid w:val="006010CA"/>
    <w:rsid w:val="006023F9"/>
    <w:rsid w:val="006034CF"/>
    <w:rsid w:val="0060593A"/>
    <w:rsid w:val="00610559"/>
    <w:rsid w:val="006178DE"/>
    <w:rsid w:val="006212CF"/>
    <w:rsid w:val="00624E5B"/>
    <w:rsid w:val="006309E2"/>
    <w:rsid w:val="006332F6"/>
    <w:rsid w:val="0064643D"/>
    <w:rsid w:val="00652625"/>
    <w:rsid w:val="006534B2"/>
    <w:rsid w:val="0065615D"/>
    <w:rsid w:val="00657011"/>
    <w:rsid w:val="006650B5"/>
    <w:rsid w:val="006651B1"/>
    <w:rsid w:val="00665440"/>
    <w:rsid w:val="00665778"/>
    <w:rsid w:val="006A5B34"/>
    <w:rsid w:val="006A6ABD"/>
    <w:rsid w:val="006B49EB"/>
    <w:rsid w:val="006C77A9"/>
    <w:rsid w:val="006D0C59"/>
    <w:rsid w:val="006F6693"/>
    <w:rsid w:val="00707FE8"/>
    <w:rsid w:val="00724962"/>
    <w:rsid w:val="00724A0F"/>
    <w:rsid w:val="00732162"/>
    <w:rsid w:val="00736732"/>
    <w:rsid w:val="00746B77"/>
    <w:rsid w:val="00750CBE"/>
    <w:rsid w:val="00765B05"/>
    <w:rsid w:val="00766B5A"/>
    <w:rsid w:val="00767786"/>
    <w:rsid w:val="00773A95"/>
    <w:rsid w:val="00774AD4"/>
    <w:rsid w:val="00775A3B"/>
    <w:rsid w:val="00780E39"/>
    <w:rsid w:val="007834F2"/>
    <w:rsid w:val="007862EE"/>
    <w:rsid w:val="00791020"/>
    <w:rsid w:val="00795CCB"/>
    <w:rsid w:val="00795CEF"/>
    <w:rsid w:val="007A2CC7"/>
    <w:rsid w:val="007A55CA"/>
    <w:rsid w:val="007A5F82"/>
    <w:rsid w:val="007A6CA8"/>
    <w:rsid w:val="007F1A4C"/>
    <w:rsid w:val="007F2AEB"/>
    <w:rsid w:val="007F6970"/>
    <w:rsid w:val="008022C3"/>
    <w:rsid w:val="00803571"/>
    <w:rsid w:val="008041E6"/>
    <w:rsid w:val="008049B4"/>
    <w:rsid w:val="008065D2"/>
    <w:rsid w:val="00813C77"/>
    <w:rsid w:val="0082194C"/>
    <w:rsid w:val="008220C4"/>
    <w:rsid w:val="008222FF"/>
    <w:rsid w:val="008241FF"/>
    <w:rsid w:val="008333D5"/>
    <w:rsid w:val="008411E9"/>
    <w:rsid w:val="0084200F"/>
    <w:rsid w:val="00843B2C"/>
    <w:rsid w:val="00850481"/>
    <w:rsid w:val="00855A28"/>
    <w:rsid w:val="00857379"/>
    <w:rsid w:val="00861CFA"/>
    <w:rsid w:val="008660AE"/>
    <w:rsid w:val="00866C1F"/>
    <w:rsid w:val="00871254"/>
    <w:rsid w:val="00877777"/>
    <w:rsid w:val="008810D2"/>
    <w:rsid w:val="008A4900"/>
    <w:rsid w:val="008A6738"/>
    <w:rsid w:val="008B5D72"/>
    <w:rsid w:val="008D0281"/>
    <w:rsid w:val="008D3154"/>
    <w:rsid w:val="008D3276"/>
    <w:rsid w:val="008D3CBC"/>
    <w:rsid w:val="008E1973"/>
    <w:rsid w:val="008E1A53"/>
    <w:rsid w:val="008E3C4E"/>
    <w:rsid w:val="008F6D45"/>
    <w:rsid w:val="0091646C"/>
    <w:rsid w:val="009234DF"/>
    <w:rsid w:val="00927BD3"/>
    <w:rsid w:val="00971477"/>
    <w:rsid w:val="009742DB"/>
    <w:rsid w:val="009775A6"/>
    <w:rsid w:val="00977C67"/>
    <w:rsid w:val="009834C0"/>
    <w:rsid w:val="00983AC4"/>
    <w:rsid w:val="00986AAC"/>
    <w:rsid w:val="00992B36"/>
    <w:rsid w:val="009A1DA2"/>
    <w:rsid w:val="009A3704"/>
    <w:rsid w:val="009A4739"/>
    <w:rsid w:val="009A59C4"/>
    <w:rsid w:val="009A674F"/>
    <w:rsid w:val="009B199C"/>
    <w:rsid w:val="009B54C8"/>
    <w:rsid w:val="009B61F1"/>
    <w:rsid w:val="009B62E0"/>
    <w:rsid w:val="009C3D88"/>
    <w:rsid w:val="009E3858"/>
    <w:rsid w:val="009E70DD"/>
    <w:rsid w:val="009F2ED9"/>
    <w:rsid w:val="009F3231"/>
    <w:rsid w:val="009F5C58"/>
    <w:rsid w:val="00A01FB7"/>
    <w:rsid w:val="00A023A0"/>
    <w:rsid w:val="00A10513"/>
    <w:rsid w:val="00A12715"/>
    <w:rsid w:val="00A13C8C"/>
    <w:rsid w:val="00A1562B"/>
    <w:rsid w:val="00A170F4"/>
    <w:rsid w:val="00A17F92"/>
    <w:rsid w:val="00A2559E"/>
    <w:rsid w:val="00A25FD9"/>
    <w:rsid w:val="00A31E86"/>
    <w:rsid w:val="00A358A9"/>
    <w:rsid w:val="00A46BA8"/>
    <w:rsid w:val="00A47634"/>
    <w:rsid w:val="00A519E9"/>
    <w:rsid w:val="00A612FE"/>
    <w:rsid w:val="00A823FC"/>
    <w:rsid w:val="00A914CE"/>
    <w:rsid w:val="00A94BD1"/>
    <w:rsid w:val="00AA26B8"/>
    <w:rsid w:val="00AA6921"/>
    <w:rsid w:val="00AB3FE2"/>
    <w:rsid w:val="00AB7120"/>
    <w:rsid w:val="00AC1868"/>
    <w:rsid w:val="00AD3322"/>
    <w:rsid w:val="00AD37CB"/>
    <w:rsid w:val="00AD7E4E"/>
    <w:rsid w:val="00AE4511"/>
    <w:rsid w:val="00AF4D58"/>
    <w:rsid w:val="00AF6666"/>
    <w:rsid w:val="00AF6DC4"/>
    <w:rsid w:val="00B10154"/>
    <w:rsid w:val="00B26FA5"/>
    <w:rsid w:val="00B40DEF"/>
    <w:rsid w:val="00B46AEB"/>
    <w:rsid w:val="00B70431"/>
    <w:rsid w:val="00B73B8C"/>
    <w:rsid w:val="00B81B44"/>
    <w:rsid w:val="00B9053B"/>
    <w:rsid w:val="00B9696B"/>
    <w:rsid w:val="00BA2406"/>
    <w:rsid w:val="00BC1CAF"/>
    <w:rsid w:val="00BC3422"/>
    <w:rsid w:val="00BD3D54"/>
    <w:rsid w:val="00BD4E3C"/>
    <w:rsid w:val="00BD78AC"/>
    <w:rsid w:val="00BE1C4C"/>
    <w:rsid w:val="00BE7066"/>
    <w:rsid w:val="00C015B9"/>
    <w:rsid w:val="00C022F9"/>
    <w:rsid w:val="00C032EA"/>
    <w:rsid w:val="00C06EB5"/>
    <w:rsid w:val="00C1145F"/>
    <w:rsid w:val="00C15F98"/>
    <w:rsid w:val="00C32A38"/>
    <w:rsid w:val="00C35A03"/>
    <w:rsid w:val="00C533D2"/>
    <w:rsid w:val="00C54971"/>
    <w:rsid w:val="00C637E1"/>
    <w:rsid w:val="00C65FB2"/>
    <w:rsid w:val="00C70D50"/>
    <w:rsid w:val="00C86EEE"/>
    <w:rsid w:val="00C901FD"/>
    <w:rsid w:val="00C907D7"/>
    <w:rsid w:val="00C92338"/>
    <w:rsid w:val="00C951F4"/>
    <w:rsid w:val="00C96147"/>
    <w:rsid w:val="00C97DF3"/>
    <w:rsid w:val="00CA4745"/>
    <w:rsid w:val="00CA7C3A"/>
    <w:rsid w:val="00CB40B4"/>
    <w:rsid w:val="00CB6C45"/>
    <w:rsid w:val="00CC2DB2"/>
    <w:rsid w:val="00CC443B"/>
    <w:rsid w:val="00CC4F65"/>
    <w:rsid w:val="00CD0307"/>
    <w:rsid w:val="00CD3D1B"/>
    <w:rsid w:val="00CD5B45"/>
    <w:rsid w:val="00CE29CC"/>
    <w:rsid w:val="00CE66C8"/>
    <w:rsid w:val="00CF7DCA"/>
    <w:rsid w:val="00D211E9"/>
    <w:rsid w:val="00D2312F"/>
    <w:rsid w:val="00D252C0"/>
    <w:rsid w:val="00D269C1"/>
    <w:rsid w:val="00D32733"/>
    <w:rsid w:val="00D32BBC"/>
    <w:rsid w:val="00D44953"/>
    <w:rsid w:val="00D50155"/>
    <w:rsid w:val="00D542F3"/>
    <w:rsid w:val="00D5644B"/>
    <w:rsid w:val="00D56E25"/>
    <w:rsid w:val="00D718D7"/>
    <w:rsid w:val="00D814B7"/>
    <w:rsid w:val="00D90688"/>
    <w:rsid w:val="00DA1803"/>
    <w:rsid w:val="00DA3AAD"/>
    <w:rsid w:val="00DB312B"/>
    <w:rsid w:val="00DC5654"/>
    <w:rsid w:val="00DC658F"/>
    <w:rsid w:val="00DE60CC"/>
    <w:rsid w:val="00E06EFC"/>
    <w:rsid w:val="00E151CA"/>
    <w:rsid w:val="00E208D2"/>
    <w:rsid w:val="00E26B32"/>
    <w:rsid w:val="00E36DF6"/>
    <w:rsid w:val="00E407B6"/>
    <w:rsid w:val="00E41EF1"/>
    <w:rsid w:val="00E42942"/>
    <w:rsid w:val="00E4335C"/>
    <w:rsid w:val="00E468A6"/>
    <w:rsid w:val="00E6740A"/>
    <w:rsid w:val="00E71BDF"/>
    <w:rsid w:val="00E7202F"/>
    <w:rsid w:val="00E749B3"/>
    <w:rsid w:val="00E83CA7"/>
    <w:rsid w:val="00E93148"/>
    <w:rsid w:val="00EA0439"/>
    <w:rsid w:val="00EA625A"/>
    <w:rsid w:val="00EC171D"/>
    <w:rsid w:val="00ED487E"/>
    <w:rsid w:val="00ED6543"/>
    <w:rsid w:val="00EE526B"/>
    <w:rsid w:val="00EE7A0D"/>
    <w:rsid w:val="00EF08EC"/>
    <w:rsid w:val="00F17CE1"/>
    <w:rsid w:val="00F17EC2"/>
    <w:rsid w:val="00F2115C"/>
    <w:rsid w:val="00F22ABA"/>
    <w:rsid w:val="00F337CC"/>
    <w:rsid w:val="00F36B12"/>
    <w:rsid w:val="00F3735D"/>
    <w:rsid w:val="00F50C69"/>
    <w:rsid w:val="00F60F9F"/>
    <w:rsid w:val="00F615AB"/>
    <w:rsid w:val="00F64F08"/>
    <w:rsid w:val="00F67C16"/>
    <w:rsid w:val="00F734F5"/>
    <w:rsid w:val="00F86D92"/>
    <w:rsid w:val="00F966B1"/>
    <w:rsid w:val="00F97D48"/>
    <w:rsid w:val="00FA0311"/>
    <w:rsid w:val="00FA467C"/>
    <w:rsid w:val="00FC42E5"/>
    <w:rsid w:val="00FD0022"/>
    <w:rsid w:val="00FD2AE4"/>
    <w:rsid w:val="00FD640F"/>
    <w:rsid w:val="00FD6B4C"/>
    <w:rsid w:val="00FE28C0"/>
    <w:rsid w:val="00FE3DAB"/>
    <w:rsid w:val="00FE6ECF"/>
    <w:rsid w:val="00FF4E9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B7DCE"/>
  <w15:docId w15:val="{F26C090A-BC6D-4A7D-A7D7-F525CBEE6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4" w:unhideWhenUsed="1" w:qFormat="1"/>
    <w:lsdException w:name="footnote text" w:semiHidden="1" w:unhideWhenUsed="1"/>
    <w:lsdException w:name="annotation text" w:semiHidden="1" w:unhideWhenUsed="1"/>
    <w:lsdException w:name="header" w:unhideWhenUsed="1"/>
    <w:lsdException w:name="footer" w:uiPriority="24"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2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3C662D"/>
    <w:pPr>
      <w:spacing w:before="160" w:after="100"/>
    </w:pPr>
    <w:rPr>
      <w:spacing w:val="2"/>
    </w:rPr>
  </w:style>
  <w:style w:type="paragraph" w:styleId="Heading1">
    <w:name w:val="heading 1"/>
    <w:next w:val="Normal"/>
    <w:link w:val="Heading1Char"/>
    <w:qFormat/>
    <w:rsid w:val="00EC171D"/>
    <w:pPr>
      <w:keepNext/>
      <w:keepLines/>
      <w:spacing w:before="600" w:after="88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C171D"/>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C171D"/>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EC171D"/>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Para0"/>
    <w:next w:val="Para0"/>
    <w:link w:val="Heading5Char"/>
    <w:rsid w:val="00D252C0"/>
    <w:pPr>
      <w:keepNext/>
      <w:keepLines/>
      <w:ind w:left="851" w:hanging="851"/>
      <w:outlineLvl w:val="4"/>
    </w:pPr>
    <w:rPr>
      <w:b/>
    </w:rPr>
  </w:style>
  <w:style w:type="paragraph" w:styleId="Heading6">
    <w:name w:val="heading 6"/>
    <w:basedOn w:val="Para0"/>
    <w:next w:val="Para0"/>
    <w:link w:val="Heading6Char"/>
    <w:rsid w:val="00D252C0"/>
    <w:pPr>
      <w:keepNext/>
      <w:keepLines/>
      <w:ind w:left="851" w:hanging="851"/>
      <w:outlineLvl w:val="5"/>
    </w:pPr>
    <w:rPr>
      <w:b/>
      <w:iCs/>
    </w:rPr>
  </w:style>
  <w:style w:type="paragraph" w:styleId="Heading7">
    <w:name w:val="heading 7"/>
    <w:basedOn w:val="Normal"/>
    <w:next w:val="Para0"/>
    <w:link w:val="Heading7Char"/>
    <w:rsid w:val="00D252C0"/>
    <w:pPr>
      <w:spacing w:before="240" w:after="120" w:line="360" w:lineRule="exact"/>
      <w:ind w:left="851" w:hanging="851"/>
      <w:outlineLvl w:val="6"/>
    </w:pPr>
    <w:rPr>
      <w:rFonts w:ascii="Arial" w:eastAsia="Times New Roman" w:hAnsi="Arial" w:cs="Times New Roman"/>
      <w:b/>
      <w:color w:val="00338D"/>
      <w:spacing w:val="0"/>
      <w:szCs w:val="24"/>
      <w:lang w:val="en-US" w:eastAsia="en-US"/>
    </w:rPr>
  </w:style>
  <w:style w:type="paragraph" w:styleId="Heading8">
    <w:name w:val="heading 8"/>
    <w:basedOn w:val="Heading2"/>
    <w:next w:val="Para0"/>
    <w:link w:val="Heading8Char"/>
    <w:qFormat/>
    <w:rsid w:val="00D252C0"/>
    <w:pPr>
      <w:spacing w:before="240" w:after="120" w:line="240" w:lineRule="atLeast"/>
      <w:ind w:left="851" w:hanging="851"/>
      <w:outlineLvl w:val="7"/>
    </w:pPr>
    <w:rPr>
      <w:rFonts w:ascii="Arial" w:eastAsia="Times New Roman" w:hAnsi="Arial" w:cs="Times New Roman"/>
      <w:color w:val="00338D"/>
      <w:spacing w:val="0"/>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C17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C171D"/>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C171D"/>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C171D"/>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8333D5"/>
    <w:pPr>
      <w:tabs>
        <w:tab w:val="left" w:pos="540"/>
        <w:tab w:val="right" w:leader="dot" w:pos="9000"/>
      </w:tabs>
      <w:spacing w:before="100"/>
      <w:ind w:right="432"/>
    </w:pPr>
    <w:rPr>
      <w:noProof/>
      <w:color w:val="4C4C4C"/>
      <w:sz w:val="24"/>
      <w:szCs w:val="28"/>
    </w:rPr>
  </w:style>
  <w:style w:type="paragraph" w:styleId="TOC2">
    <w:name w:val="toc 2"/>
    <w:next w:val="Normal"/>
    <w:uiPriority w:val="39"/>
    <w:rsid w:val="00EC171D"/>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EC171D"/>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C171D"/>
    <w:pPr>
      <w:spacing w:after="60" w:line="240" w:lineRule="auto"/>
    </w:pPr>
    <w:rPr>
      <w:sz w:val="16"/>
    </w:rPr>
  </w:style>
  <w:style w:type="paragraph" w:styleId="Index2">
    <w:name w:val="index 2"/>
    <w:basedOn w:val="Normal"/>
    <w:next w:val="Normal"/>
    <w:uiPriority w:val="99"/>
    <w:semiHidden/>
    <w:rsid w:val="00EC171D"/>
    <w:pPr>
      <w:spacing w:after="0" w:line="240" w:lineRule="auto"/>
      <w:ind w:left="216"/>
    </w:pPr>
    <w:rPr>
      <w:sz w:val="16"/>
      <w:szCs w:val="16"/>
    </w:rPr>
  </w:style>
  <w:style w:type="character" w:styleId="Hyperlink">
    <w:name w:val="Hyperlink"/>
    <w:basedOn w:val="DefaultParagraphFont"/>
    <w:uiPriority w:val="99"/>
    <w:rsid w:val="00EC171D"/>
    <w:rPr>
      <w:color w:val="53565A" w:themeColor="hyperlink"/>
      <w:u w:val="none"/>
    </w:rPr>
  </w:style>
  <w:style w:type="character" w:customStyle="1" w:styleId="Heading1Char">
    <w:name w:val="Heading 1 Char"/>
    <w:basedOn w:val="DefaultParagraphFont"/>
    <w:link w:val="Heading1"/>
    <w:semiHidden/>
    <w:rsid w:val="005E2FDE"/>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5E2FDE"/>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EC171D"/>
    <w:pPr>
      <w:numPr>
        <w:numId w:val="2"/>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EC171D"/>
    <w:pPr>
      <w:numPr>
        <w:ilvl w:val="1"/>
      </w:numPr>
    </w:pPr>
  </w:style>
  <w:style w:type="paragraph" w:customStyle="1" w:styleId="Bulletindent">
    <w:name w:val="Bullet indent"/>
    <w:basedOn w:val="Bullet2"/>
    <w:uiPriority w:val="5"/>
    <w:qFormat/>
    <w:rsid w:val="00EC171D"/>
    <w:pPr>
      <w:numPr>
        <w:ilvl w:val="2"/>
      </w:numPr>
    </w:pPr>
  </w:style>
  <w:style w:type="paragraph" w:customStyle="1" w:styleId="Heading1numbered">
    <w:name w:val="Heading 1 numbered"/>
    <w:basedOn w:val="Heading1"/>
    <w:next w:val="NormalIndent"/>
    <w:uiPriority w:val="4"/>
    <w:qFormat/>
    <w:rsid w:val="005E2FDE"/>
    <w:pPr>
      <w:numPr>
        <w:ilvl w:val="2"/>
        <w:numId w:val="4"/>
      </w:numPr>
      <w:spacing w:before="200" w:after="180"/>
    </w:pPr>
    <w:rPr>
      <w:rFonts w:eastAsia="Times New Roman"/>
      <w:sz w:val="30"/>
      <w:szCs w:val="30"/>
    </w:rPr>
  </w:style>
  <w:style w:type="paragraph" w:customStyle="1" w:styleId="Heading2numbered">
    <w:name w:val="Heading 2 numbered"/>
    <w:basedOn w:val="Heading2"/>
    <w:next w:val="NormalIndent"/>
    <w:uiPriority w:val="4"/>
    <w:qFormat/>
    <w:rsid w:val="00EC171D"/>
    <w:pPr>
      <w:numPr>
        <w:ilvl w:val="3"/>
        <w:numId w:val="4"/>
      </w:numPr>
    </w:pPr>
  </w:style>
  <w:style w:type="paragraph" w:customStyle="1" w:styleId="Heading3numbered">
    <w:name w:val="Heading 3 numbered"/>
    <w:basedOn w:val="Heading3"/>
    <w:next w:val="NormalIndent"/>
    <w:uiPriority w:val="4"/>
    <w:qFormat/>
    <w:rsid w:val="00EC171D"/>
    <w:pPr>
      <w:numPr>
        <w:ilvl w:val="4"/>
        <w:numId w:val="4"/>
      </w:numPr>
    </w:pPr>
  </w:style>
  <w:style w:type="character" w:customStyle="1" w:styleId="Heading3Char">
    <w:name w:val="Heading 3 Char"/>
    <w:basedOn w:val="DefaultParagraphFont"/>
    <w:link w:val="Heading3"/>
    <w:semiHidden/>
    <w:rsid w:val="005E2FDE"/>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4"/>
    <w:qFormat/>
    <w:rsid w:val="00EC171D"/>
    <w:pPr>
      <w:numPr>
        <w:ilvl w:val="5"/>
        <w:numId w:val="4"/>
      </w:numPr>
    </w:pPr>
  </w:style>
  <w:style w:type="character" w:customStyle="1" w:styleId="Heading4Char">
    <w:name w:val="Heading 4 Char"/>
    <w:basedOn w:val="DefaultParagraphFont"/>
    <w:link w:val="Heading4"/>
    <w:semiHidden/>
    <w:rsid w:val="005E2FDE"/>
    <w:rPr>
      <w:rFonts w:asciiTheme="majorHAnsi" w:eastAsiaTheme="majorEastAsia" w:hAnsiTheme="majorHAnsi" w:cstheme="majorBidi"/>
      <w:b/>
      <w:bCs/>
      <w:iCs/>
      <w:color w:val="53565A"/>
      <w:spacing w:val="2"/>
    </w:rPr>
  </w:style>
  <w:style w:type="paragraph" w:styleId="NormalIndent">
    <w:name w:val="Normal Indent"/>
    <w:basedOn w:val="Normal"/>
    <w:uiPriority w:val="4"/>
    <w:qFormat/>
    <w:rsid w:val="00EC171D"/>
    <w:pPr>
      <w:spacing w:line="252" w:lineRule="auto"/>
      <w:ind w:left="792"/>
    </w:pPr>
  </w:style>
  <w:style w:type="paragraph" w:customStyle="1" w:styleId="NoteNormal">
    <w:name w:val="Note Normal"/>
    <w:basedOn w:val="Normal"/>
    <w:uiPriority w:val="9"/>
    <w:rsid w:val="00EC171D"/>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C171D"/>
    <w:pPr>
      <w:spacing w:before="0" w:after="0" w:line="120" w:lineRule="atLeast"/>
    </w:pPr>
    <w:rPr>
      <w:rFonts w:eastAsia="Times New Roman" w:cs="Calibri"/>
      <w:spacing w:val="0"/>
      <w:sz w:val="10"/>
      <w:szCs w:val="22"/>
    </w:rPr>
  </w:style>
  <w:style w:type="paragraph" w:styleId="Subtitle">
    <w:name w:val="Subtitle"/>
    <w:link w:val="SubtitleChar"/>
    <w:uiPriority w:val="99"/>
    <w:rsid w:val="004946C9"/>
    <w:pPr>
      <w:spacing w:after="160" w:line="440" w:lineRule="exact"/>
    </w:pPr>
    <w:rPr>
      <w:rFonts w:asciiTheme="majorHAnsi" w:eastAsia="Times New Roman" w:hAnsiTheme="majorHAnsi" w:cstheme="majorHAnsi"/>
      <w:color w:val="0063A6" w:themeColor="accent1"/>
      <w:spacing w:val="-2"/>
      <w:sz w:val="32"/>
      <w:szCs w:val="32"/>
    </w:rPr>
  </w:style>
  <w:style w:type="character" w:customStyle="1" w:styleId="SubtitleChar">
    <w:name w:val="Subtitle Char"/>
    <w:basedOn w:val="DefaultParagraphFont"/>
    <w:link w:val="Subtitle"/>
    <w:uiPriority w:val="99"/>
    <w:rsid w:val="004946C9"/>
    <w:rPr>
      <w:rFonts w:asciiTheme="majorHAnsi" w:eastAsia="Times New Roman" w:hAnsiTheme="majorHAnsi" w:cstheme="majorHAnsi"/>
      <w:color w:val="0063A6" w:themeColor="accent1"/>
      <w:spacing w:val="-2"/>
      <w:sz w:val="32"/>
      <w:szCs w:val="32"/>
    </w:rPr>
  </w:style>
  <w:style w:type="paragraph" w:customStyle="1" w:styleId="TertiaryTitle">
    <w:name w:val="Tertiary Title"/>
    <w:next w:val="Normal"/>
    <w:uiPriority w:val="99"/>
    <w:rsid w:val="00EC171D"/>
    <w:pPr>
      <w:spacing w:after="0" w:line="440" w:lineRule="exact"/>
    </w:pPr>
    <w:rPr>
      <w:rFonts w:asciiTheme="majorHAnsi" w:eastAsia="Times New Roman" w:hAnsiTheme="majorHAnsi" w:cstheme="majorHAnsi"/>
      <w:color w:val="0063A6" w:themeColor="accent1"/>
      <w:spacing w:val="-2"/>
      <w:sz w:val="36"/>
      <w:szCs w:val="40"/>
      <w:lang w:eastAsia="en-US"/>
    </w:rPr>
  </w:style>
  <w:style w:type="paragraph" w:styleId="Title">
    <w:name w:val="Title"/>
    <w:link w:val="TitleChar"/>
    <w:uiPriority w:val="99"/>
    <w:rsid w:val="004946C9"/>
    <w:pPr>
      <w:spacing w:line="252" w:lineRule="auto"/>
    </w:pPr>
    <w:rPr>
      <w:rFonts w:asciiTheme="majorHAnsi" w:eastAsia="Times New Roman" w:hAnsiTheme="majorHAnsi" w:cstheme="majorHAnsi"/>
      <w:b/>
      <w:color w:val="0063A6" w:themeColor="accent1"/>
      <w:spacing w:val="-2"/>
      <w:sz w:val="60"/>
      <w:szCs w:val="22"/>
    </w:rPr>
  </w:style>
  <w:style w:type="character" w:customStyle="1" w:styleId="TitleChar">
    <w:name w:val="Title Char"/>
    <w:basedOn w:val="DefaultParagraphFont"/>
    <w:link w:val="Title"/>
    <w:uiPriority w:val="99"/>
    <w:rsid w:val="004946C9"/>
    <w:rPr>
      <w:rFonts w:asciiTheme="majorHAnsi" w:eastAsia="Times New Roman" w:hAnsiTheme="majorHAnsi" w:cstheme="majorHAnsi"/>
      <w:b/>
      <w:color w:val="0063A6" w:themeColor="accent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5"/>
    <w:qFormat/>
    <w:rsid w:val="00EC171D"/>
    <w:pPr>
      <w:numPr>
        <w:ilvl w:val="3"/>
        <w:numId w:val="2"/>
      </w:numPr>
      <w:spacing w:before="100"/>
      <w:contextualSpacing/>
    </w:pPr>
  </w:style>
  <w:style w:type="paragraph" w:styleId="IndexHeading">
    <w:name w:val="index heading"/>
    <w:basedOn w:val="Normal"/>
    <w:next w:val="Index1"/>
    <w:uiPriority w:val="99"/>
    <w:semiHidden/>
    <w:rsid w:val="00EC171D"/>
    <w:rPr>
      <w:rFonts w:asciiTheme="majorHAnsi" w:eastAsiaTheme="majorEastAsia" w:hAnsiTheme="majorHAnsi" w:cstheme="majorBidi"/>
      <w:b/>
      <w:bCs/>
    </w:rPr>
  </w:style>
  <w:style w:type="paragraph" w:styleId="Header">
    <w:name w:val="header"/>
    <w:basedOn w:val="Normal"/>
    <w:link w:val="HeaderChar"/>
    <w:uiPriority w:val="99"/>
    <w:semiHidden/>
    <w:rsid w:val="00EC171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C171D"/>
    <w:rPr>
      <w:spacing w:val="2"/>
    </w:rPr>
  </w:style>
  <w:style w:type="paragraph" w:styleId="Footer">
    <w:name w:val="footer"/>
    <w:basedOn w:val="Normal"/>
    <w:link w:val="FooterChar"/>
    <w:uiPriority w:val="24"/>
    <w:rsid w:val="00EC171D"/>
    <w:pPr>
      <w:tabs>
        <w:tab w:val="right" w:pos="9026"/>
      </w:tabs>
      <w:spacing w:after="0" w:line="240" w:lineRule="auto"/>
    </w:pPr>
    <w:rPr>
      <w:noProof/>
      <w:sz w:val="18"/>
      <w:szCs w:val="18"/>
    </w:rPr>
  </w:style>
  <w:style w:type="character" w:customStyle="1" w:styleId="FooterChar">
    <w:name w:val="Footer Char"/>
    <w:basedOn w:val="DefaultParagraphFont"/>
    <w:link w:val="Footer"/>
    <w:uiPriority w:val="24"/>
    <w:rsid w:val="00EC171D"/>
    <w:rPr>
      <w:noProof/>
      <w:spacing w:val="2"/>
      <w:sz w:val="18"/>
      <w:szCs w:val="18"/>
    </w:rPr>
  </w:style>
  <w:style w:type="character" w:styleId="PageNumber">
    <w:name w:val="page number"/>
    <w:uiPriority w:val="49"/>
    <w:semiHidden/>
    <w:rsid w:val="003C3BC9"/>
    <w:rPr>
      <w:b w:val="0"/>
      <w:color w:val="000000" w:themeColor="text1"/>
    </w:rPr>
  </w:style>
  <w:style w:type="paragraph" w:styleId="TOCHeading">
    <w:name w:val="TOC Heading"/>
    <w:basedOn w:val="Heading1"/>
    <w:next w:val="Normal"/>
    <w:uiPriority w:val="29"/>
    <w:qFormat/>
    <w:rsid w:val="00524AE3"/>
    <w:pPr>
      <w:keepNext w:val="0"/>
      <w:keepLines w:val="0"/>
      <w:spacing w:before="120" w:after="240" w:line="240" w:lineRule="auto"/>
      <w:outlineLvl w:val="9"/>
    </w:pPr>
    <w:rPr>
      <w:rFonts w:asciiTheme="minorHAnsi" w:eastAsia="Times New Roman" w:hAnsiTheme="minorHAnsi" w:cstheme="minorHAnsi"/>
      <w:bCs w:val="0"/>
      <w:color w:val="0063A6" w:themeColor="accent1"/>
      <w:spacing w:val="2"/>
      <w:szCs w:val="36"/>
    </w:rPr>
  </w:style>
  <w:style w:type="paragraph" w:customStyle="1" w:styleId="NormalTight">
    <w:name w:val="Normal Tight"/>
    <w:uiPriority w:val="99"/>
    <w:semiHidden/>
    <w:rsid w:val="00EC171D"/>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C171D"/>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C171D"/>
    <w:pPr>
      <w:spacing w:before="5800"/>
      <w:ind w:right="1382"/>
    </w:pPr>
  </w:style>
  <w:style w:type="paragraph" w:styleId="TOC4">
    <w:name w:val="toc 4"/>
    <w:basedOn w:val="TOC1"/>
    <w:next w:val="Normal"/>
    <w:uiPriority w:val="39"/>
    <w:rsid w:val="008333D5"/>
    <w:pPr>
      <w:tabs>
        <w:tab w:val="clear" w:pos="540"/>
        <w:tab w:val="left" w:pos="504"/>
      </w:tabs>
      <w:ind w:left="450" w:hanging="450"/>
    </w:pPr>
    <w:rPr>
      <w:lang w:eastAsia="en-US"/>
    </w:rPr>
  </w:style>
  <w:style w:type="paragraph" w:styleId="TOC5">
    <w:name w:val="toc 5"/>
    <w:basedOn w:val="TOC2"/>
    <w:next w:val="Normal"/>
    <w:uiPriority w:val="39"/>
    <w:rsid w:val="00EC171D"/>
    <w:pPr>
      <w:ind w:left="1080" w:hanging="634"/>
    </w:pPr>
    <w:rPr>
      <w:lang w:eastAsia="en-US"/>
    </w:rPr>
  </w:style>
  <w:style w:type="paragraph" w:styleId="TOC6">
    <w:name w:val="toc 6"/>
    <w:basedOn w:val="TOC3"/>
    <w:next w:val="Normal"/>
    <w:uiPriority w:val="39"/>
    <w:rsid w:val="00EC171D"/>
    <w:pPr>
      <w:ind w:left="1800" w:hanging="720"/>
    </w:pPr>
    <w:rPr>
      <w:lang w:eastAsia="en-US"/>
    </w:rPr>
  </w:style>
  <w:style w:type="table" w:customStyle="1" w:styleId="DTFtexttable">
    <w:name w:val="DTF text table"/>
    <w:basedOn w:val="TableGrid"/>
    <w:uiPriority w:val="99"/>
    <w:rsid w:val="00C15F98"/>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rPr>
        <w:b/>
      </w:r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Pr/>
      <w:tcPr>
        <w:shd w:val="clear" w:color="auto" w:fill="E3EBF4" w:themeFill="accent3" w:themeFillTint="33"/>
      </w:tc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5B247F"/>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6"/>
    <w:qFormat/>
    <w:rsid w:val="00652625"/>
    <w:pPr>
      <w:spacing w:before="60" w:after="60" w:line="264" w:lineRule="auto"/>
    </w:pPr>
    <w:rPr>
      <w:sz w:val="17"/>
    </w:rPr>
  </w:style>
  <w:style w:type="paragraph" w:customStyle="1" w:styleId="Tabletextright">
    <w:name w:val="Table text right"/>
    <w:basedOn w:val="Tabletext"/>
    <w:uiPriority w:val="6"/>
    <w:qFormat/>
    <w:rsid w:val="00EC171D"/>
    <w:pPr>
      <w:jc w:val="right"/>
    </w:pPr>
  </w:style>
  <w:style w:type="paragraph" w:customStyle="1" w:styleId="Listnumindent2">
    <w:name w:val="List num indent 2"/>
    <w:basedOn w:val="Normal"/>
    <w:uiPriority w:val="5"/>
    <w:qFormat/>
    <w:rsid w:val="00EC171D"/>
    <w:pPr>
      <w:numPr>
        <w:ilvl w:val="7"/>
        <w:numId w:val="4"/>
      </w:numPr>
      <w:spacing w:before="100"/>
      <w:contextualSpacing/>
    </w:pPr>
  </w:style>
  <w:style w:type="paragraph" w:customStyle="1" w:styleId="Listnumindent">
    <w:name w:val="List num indent"/>
    <w:basedOn w:val="Normal"/>
    <w:uiPriority w:val="5"/>
    <w:qFormat/>
    <w:rsid w:val="00EC171D"/>
    <w:pPr>
      <w:numPr>
        <w:ilvl w:val="6"/>
        <w:numId w:val="4"/>
      </w:numPr>
      <w:spacing w:before="100"/>
    </w:pPr>
  </w:style>
  <w:style w:type="paragraph" w:customStyle="1" w:styleId="Listnum">
    <w:name w:val="List num"/>
    <w:basedOn w:val="Normal"/>
    <w:uiPriority w:val="1"/>
    <w:semiHidden/>
    <w:qFormat/>
    <w:rsid w:val="00EC171D"/>
    <w:pPr>
      <w:numPr>
        <w:numId w:val="4"/>
      </w:numPr>
    </w:pPr>
  </w:style>
  <w:style w:type="paragraph" w:customStyle="1" w:styleId="Listnum2">
    <w:name w:val="List num 2"/>
    <w:basedOn w:val="Normal"/>
    <w:uiPriority w:val="1"/>
    <w:semiHidden/>
    <w:qFormat/>
    <w:rsid w:val="00EC171D"/>
    <w:pPr>
      <w:numPr>
        <w:ilvl w:val="1"/>
        <w:numId w:val="4"/>
      </w:numPr>
    </w:pPr>
  </w:style>
  <w:style w:type="paragraph" w:customStyle="1" w:styleId="Tabletextcentred">
    <w:name w:val="Table text centred"/>
    <w:basedOn w:val="Tabletext"/>
    <w:uiPriority w:val="6"/>
    <w:qFormat/>
    <w:rsid w:val="00EC171D"/>
    <w:pPr>
      <w:jc w:val="center"/>
    </w:pPr>
  </w:style>
  <w:style w:type="paragraph" w:customStyle="1" w:styleId="Tableheader">
    <w:name w:val="Table header"/>
    <w:basedOn w:val="Tabletext"/>
    <w:uiPriority w:val="6"/>
    <w:qFormat/>
    <w:rsid w:val="00EC171D"/>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7"/>
    <w:rsid w:val="00D211E9"/>
    <w:pPr>
      <w:numPr>
        <w:numId w:val="5"/>
      </w:numPr>
    </w:pPr>
  </w:style>
  <w:style w:type="paragraph" w:customStyle="1" w:styleId="Tabledash">
    <w:name w:val="Table dash"/>
    <w:basedOn w:val="Tablebullet"/>
    <w:uiPriority w:val="7"/>
    <w:rsid w:val="00D211E9"/>
    <w:pPr>
      <w:numPr>
        <w:ilvl w:val="1"/>
      </w:numPr>
    </w:pPr>
  </w:style>
  <w:style w:type="paragraph" w:customStyle="1" w:styleId="Tabletextindent">
    <w:name w:val="Table text indent"/>
    <w:basedOn w:val="Tabletext"/>
    <w:uiPriority w:val="6"/>
    <w:qFormat/>
    <w:rsid w:val="00D211E9"/>
    <w:pPr>
      <w:ind w:left="288"/>
    </w:pPr>
  </w:style>
  <w:style w:type="paragraph" w:styleId="FootnoteText">
    <w:name w:val="footnote text"/>
    <w:basedOn w:val="Normal"/>
    <w:link w:val="FootnoteTextChar"/>
    <w:uiPriority w:val="99"/>
    <w:semiHidden/>
    <w:rsid w:val="008E1973"/>
    <w:pPr>
      <w:spacing w:before="0" w:after="0" w:line="240" w:lineRule="auto"/>
    </w:pPr>
    <w:rPr>
      <w:sz w:val="17"/>
    </w:rPr>
  </w:style>
  <w:style w:type="character" w:customStyle="1" w:styleId="FootnoteTextChar">
    <w:name w:val="Footnote Text Char"/>
    <w:basedOn w:val="DefaultParagraphFont"/>
    <w:link w:val="FootnoteText"/>
    <w:uiPriority w:val="99"/>
    <w:semiHidden/>
    <w:rsid w:val="008E1973"/>
    <w:rPr>
      <w:spacing w:val="2"/>
      <w:sz w:val="17"/>
    </w:rPr>
  </w:style>
  <w:style w:type="character" w:styleId="FootnoteReference">
    <w:name w:val="footnote reference"/>
    <w:basedOn w:val="DefaultParagraphFont"/>
    <w:uiPriority w:val="99"/>
    <w:semiHidden/>
    <w:rsid w:val="008E1973"/>
    <w:rPr>
      <w:vertAlign w:val="superscript"/>
    </w:rPr>
  </w:style>
  <w:style w:type="paragraph" w:customStyle="1" w:styleId="Tablechartdiagramheading">
    <w:name w:val="Table/chart/diagram heading"/>
    <w:uiPriority w:val="6"/>
    <w:qFormat/>
    <w:rsid w:val="000022B9"/>
    <w:pPr>
      <w:tabs>
        <w:tab w:val="left" w:pos="1080"/>
      </w:tabs>
      <w:spacing w:before="160" w:after="100"/>
    </w:pPr>
    <w:rPr>
      <w:b/>
      <w:bCs/>
      <w:color w:val="0063A6" w:themeColor="accent1"/>
      <w:spacing w:val="2"/>
      <w:sz w:val="18"/>
      <w:szCs w:val="18"/>
    </w:rPr>
  </w:style>
  <w:style w:type="paragraph" w:styleId="Caption">
    <w:name w:val="caption"/>
    <w:basedOn w:val="Normal"/>
    <w:next w:val="Normal"/>
    <w:uiPriority w:val="35"/>
    <w:rsid w:val="00F337CC"/>
    <w:pPr>
      <w:spacing w:before="0" w:after="200" w:line="240" w:lineRule="auto"/>
    </w:pPr>
    <w:rPr>
      <w:b/>
      <w:bCs/>
      <w:color w:val="383834" w:themeColor="background2" w:themeShade="40"/>
      <w:sz w:val="18"/>
      <w:szCs w:val="18"/>
    </w:rPr>
  </w:style>
  <w:style w:type="table" w:customStyle="1" w:styleId="DTFtexttableindent">
    <w:name w:val="DTF text table indent"/>
    <w:basedOn w:val="DTFtexttable"/>
    <w:uiPriority w:val="99"/>
    <w:rsid w:val="00857379"/>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rPr>
        <w:b/>
      </w:r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Pr/>
      <w:tcPr>
        <w:shd w:val="clear" w:color="auto" w:fill="E3EBF4" w:themeFill="accent3" w:themeFillTint="33"/>
      </w:tc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
    <w:name w:val="Num para"/>
    <w:basedOn w:val="ListParagraph"/>
    <w:uiPriority w:val="6"/>
    <w:qFormat/>
    <w:rsid w:val="00A12715"/>
    <w:pPr>
      <w:numPr>
        <w:numId w:val="3"/>
      </w:numPr>
      <w:tabs>
        <w:tab w:val="left" w:pos="1170"/>
      </w:tabs>
      <w:ind w:left="1152"/>
    </w:pPr>
  </w:style>
  <w:style w:type="paragraph" w:styleId="ListParagraph">
    <w:name w:val="List Paragraph"/>
    <w:basedOn w:val="Normal"/>
    <w:uiPriority w:val="34"/>
    <w:semiHidden/>
    <w:qFormat/>
    <w:rsid w:val="00857379"/>
    <w:pPr>
      <w:ind w:left="720"/>
      <w:contextualSpacing/>
    </w:pPr>
  </w:style>
  <w:style w:type="paragraph" w:customStyle="1" w:styleId="NoteNormalindent">
    <w:name w:val="Note Normal indent"/>
    <w:basedOn w:val="NoteNormal"/>
    <w:uiPriority w:val="9"/>
    <w:rsid w:val="003C662D"/>
    <w:pPr>
      <w:ind w:left="792"/>
    </w:pPr>
  </w:style>
  <w:style w:type="paragraph" w:customStyle="1" w:styleId="Tablenum1">
    <w:name w:val="Table num 1"/>
    <w:basedOn w:val="Normal"/>
    <w:uiPriority w:val="6"/>
    <w:rsid w:val="00857379"/>
    <w:pPr>
      <w:numPr>
        <w:ilvl w:val="2"/>
        <w:numId w:val="5"/>
      </w:numPr>
    </w:pPr>
    <w:rPr>
      <w:sz w:val="17"/>
    </w:rPr>
  </w:style>
  <w:style w:type="paragraph" w:customStyle="1" w:styleId="Tablenum2">
    <w:name w:val="Table num 2"/>
    <w:basedOn w:val="Normal"/>
    <w:uiPriority w:val="6"/>
    <w:rsid w:val="00857379"/>
    <w:pPr>
      <w:numPr>
        <w:ilvl w:val="3"/>
        <w:numId w:val="5"/>
      </w:numPr>
    </w:pPr>
    <w:rPr>
      <w:sz w:val="17"/>
    </w:rPr>
  </w:style>
  <w:style w:type="character" w:styleId="CommentReference">
    <w:name w:val="annotation reference"/>
    <w:basedOn w:val="DefaultParagraphFont"/>
    <w:uiPriority w:val="99"/>
    <w:semiHidden/>
    <w:unhideWhenUsed/>
    <w:rsid w:val="00C901FD"/>
    <w:rPr>
      <w:sz w:val="16"/>
      <w:szCs w:val="16"/>
    </w:rPr>
  </w:style>
  <w:style w:type="paragraph" w:styleId="CommentText">
    <w:name w:val="annotation text"/>
    <w:basedOn w:val="Normal"/>
    <w:link w:val="CommentTextChar"/>
    <w:uiPriority w:val="99"/>
    <w:unhideWhenUsed/>
    <w:rsid w:val="00C901FD"/>
    <w:pPr>
      <w:spacing w:line="240" w:lineRule="auto"/>
    </w:pPr>
  </w:style>
  <w:style w:type="character" w:customStyle="1" w:styleId="CommentTextChar">
    <w:name w:val="Comment Text Char"/>
    <w:basedOn w:val="DefaultParagraphFont"/>
    <w:link w:val="CommentText"/>
    <w:uiPriority w:val="99"/>
    <w:rsid w:val="00C901FD"/>
    <w:rPr>
      <w:spacing w:val="2"/>
    </w:rPr>
  </w:style>
  <w:style w:type="paragraph" w:styleId="CommentSubject">
    <w:name w:val="annotation subject"/>
    <w:basedOn w:val="CommentText"/>
    <w:next w:val="CommentText"/>
    <w:link w:val="CommentSubjectChar"/>
    <w:uiPriority w:val="99"/>
    <w:semiHidden/>
    <w:unhideWhenUsed/>
    <w:rsid w:val="00C901FD"/>
    <w:rPr>
      <w:b/>
      <w:bCs/>
    </w:rPr>
  </w:style>
  <w:style w:type="character" w:customStyle="1" w:styleId="CommentSubjectChar">
    <w:name w:val="Comment Subject Char"/>
    <w:basedOn w:val="CommentTextChar"/>
    <w:link w:val="CommentSubject"/>
    <w:uiPriority w:val="99"/>
    <w:semiHidden/>
    <w:rsid w:val="00C901FD"/>
    <w:rPr>
      <w:b/>
      <w:bCs/>
      <w:spacing w:val="2"/>
    </w:rPr>
  </w:style>
  <w:style w:type="paragraph" w:customStyle="1" w:styleId="Para0">
    <w:name w:val="Para 0"/>
    <w:aliases w:val="Auto,After:  3 pt"/>
    <w:basedOn w:val="Normal"/>
    <w:link w:val="Para0Char"/>
    <w:uiPriority w:val="4"/>
    <w:qFormat/>
    <w:rsid w:val="0091646C"/>
    <w:pPr>
      <w:spacing w:before="240" w:after="120" w:line="240" w:lineRule="atLeast"/>
    </w:pPr>
    <w:rPr>
      <w:rFonts w:ascii="Arial" w:eastAsia="Times New Roman" w:hAnsi="Arial" w:cs="Times New Roman"/>
      <w:spacing w:val="0"/>
      <w:szCs w:val="24"/>
      <w:lang w:val="en-US" w:eastAsia="en-US"/>
    </w:rPr>
  </w:style>
  <w:style w:type="character" w:customStyle="1" w:styleId="Para0Char">
    <w:name w:val="Para 0 Char"/>
    <w:aliases w:val="Auto Char,After:  3 pt Char Char"/>
    <w:link w:val="Para0"/>
    <w:uiPriority w:val="4"/>
    <w:rsid w:val="0091646C"/>
    <w:rPr>
      <w:rFonts w:ascii="Arial" w:eastAsia="Times New Roman" w:hAnsi="Arial" w:cs="Times New Roman"/>
      <w:szCs w:val="24"/>
      <w:lang w:val="en-US" w:eastAsia="en-US"/>
    </w:rPr>
  </w:style>
  <w:style w:type="paragraph" w:customStyle="1" w:styleId="Bullet3">
    <w:name w:val="Bullet 3"/>
    <w:basedOn w:val="Bullet2"/>
    <w:rsid w:val="00BD3D54"/>
    <w:pPr>
      <w:numPr>
        <w:ilvl w:val="0"/>
        <w:numId w:val="0"/>
      </w:numPr>
      <w:tabs>
        <w:tab w:val="num" w:pos="1644"/>
      </w:tabs>
      <w:spacing w:before="80" w:after="80"/>
      <w:ind w:left="1644" w:hanging="283"/>
      <w:contextualSpacing w:val="0"/>
    </w:pPr>
    <w:rPr>
      <w:rFonts w:ascii="Calibri" w:hAnsi="Calibri"/>
      <w:spacing w:val="0"/>
      <w:sz w:val="22"/>
      <w:szCs w:val="22"/>
    </w:rPr>
  </w:style>
  <w:style w:type="paragraph" w:customStyle="1" w:styleId="CopyrightInfo">
    <w:name w:val="Copyright Info"/>
    <w:basedOn w:val="Normal"/>
    <w:next w:val="Para0"/>
    <w:semiHidden/>
    <w:rsid w:val="00D252C0"/>
    <w:pPr>
      <w:spacing w:before="200" w:after="30" w:line="180" w:lineRule="exact"/>
      <w:ind w:right="851"/>
      <w:jc w:val="both"/>
    </w:pPr>
    <w:rPr>
      <w:rFonts w:ascii="Arial" w:eastAsia="Times New Roman" w:hAnsi="Arial" w:cs="Times New Roman"/>
      <w:spacing w:val="0"/>
      <w:sz w:val="14"/>
      <w:szCs w:val="24"/>
      <w:lang w:val="en-US" w:eastAsia="en-US"/>
    </w:rPr>
  </w:style>
  <w:style w:type="character" w:customStyle="1" w:styleId="Heading5Char">
    <w:name w:val="Heading 5 Char"/>
    <w:basedOn w:val="DefaultParagraphFont"/>
    <w:link w:val="Heading5"/>
    <w:rsid w:val="00D252C0"/>
    <w:rPr>
      <w:rFonts w:ascii="Arial" w:eastAsia="Times New Roman" w:hAnsi="Arial" w:cs="Times New Roman"/>
      <w:b/>
      <w:szCs w:val="24"/>
      <w:lang w:val="en-US" w:eastAsia="en-US"/>
    </w:rPr>
  </w:style>
  <w:style w:type="character" w:customStyle="1" w:styleId="Heading6Char">
    <w:name w:val="Heading 6 Char"/>
    <w:basedOn w:val="DefaultParagraphFont"/>
    <w:link w:val="Heading6"/>
    <w:rsid w:val="00D252C0"/>
    <w:rPr>
      <w:rFonts w:ascii="Arial" w:eastAsia="Times New Roman" w:hAnsi="Arial" w:cs="Times New Roman"/>
      <w:b/>
      <w:iCs/>
      <w:szCs w:val="24"/>
      <w:lang w:val="en-US" w:eastAsia="en-US"/>
    </w:rPr>
  </w:style>
  <w:style w:type="character" w:customStyle="1" w:styleId="Heading7Char">
    <w:name w:val="Heading 7 Char"/>
    <w:basedOn w:val="DefaultParagraphFont"/>
    <w:link w:val="Heading7"/>
    <w:rsid w:val="00D252C0"/>
    <w:rPr>
      <w:rFonts w:ascii="Arial" w:eastAsia="Times New Roman" w:hAnsi="Arial" w:cs="Times New Roman"/>
      <w:b/>
      <w:color w:val="00338D"/>
      <w:szCs w:val="24"/>
      <w:lang w:val="en-US" w:eastAsia="en-US"/>
    </w:rPr>
  </w:style>
  <w:style w:type="character" w:customStyle="1" w:styleId="Heading8Char">
    <w:name w:val="Heading 8 Char"/>
    <w:basedOn w:val="DefaultParagraphFont"/>
    <w:link w:val="Heading8"/>
    <w:rsid w:val="00D252C0"/>
    <w:rPr>
      <w:rFonts w:ascii="Arial" w:eastAsia="Times New Roman" w:hAnsi="Arial" w:cs="Times New Roman"/>
      <w:b/>
      <w:bCs/>
      <w:color w:val="00338D"/>
      <w:sz w:val="24"/>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603356">
      <w:bodyDiv w:val="1"/>
      <w:marLeft w:val="0"/>
      <w:marRight w:val="0"/>
      <w:marTop w:val="0"/>
      <w:marBottom w:val="0"/>
      <w:divBdr>
        <w:top w:val="none" w:sz="0" w:space="0" w:color="auto"/>
        <w:left w:val="none" w:sz="0" w:space="0" w:color="auto"/>
        <w:bottom w:val="none" w:sz="0" w:space="0" w:color="auto"/>
        <w:right w:val="none" w:sz="0" w:space="0" w:color="auto"/>
      </w:divBdr>
      <w:divsChild>
        <w:div w:id="2017919958">
          <w:marLeft w:val="0"/>
          <w:marRight w:val="0"/>
          <w:marTop w:val="0"/>
          <w:marBottom w:val="0"/>
          <w:divBdr>
            <w:top w:val="single" w:sz="2" w:space="0" w:color="938A8A"/>
            <w:left w:val="single" w:sz="2" w:space="0" w:color="938A8A"/>
            <w:bottom w:val="single" w:sz="2" w:space="0" w:color="938A8A"/>
            <w:right w:val="single" w:sz="2" w:space="0" w:color="938A8A"/>
          </w:divBdr>
          <w:divsChild>
            <w:div w:id="1580872027">
              <w:marLeft w:val="0"/>
              <w:marRight w:val="0"/>
              <w:marTop w:val="0"/>
              <w:marBottom w:val="0"/>
              <w:divBdr>
                <w:top w:val="none" w:sz="0" w:space="0" w:color="auto"/>
                <w:left w:val="none" w:sz="0" w:space="0" w:color="auto"/>
                <w:bottom w:val="none" w:sz="0" w:space="0" w:color="auto"/>
                <w:right w:val="none" w:sz="0" w:space="0" w:color="auto"/>
              </w:divBdr>
              <w:divsChild>
                <w:div w:id="1375420766">
                  <w:marLeft w:val="0"/>
                  <w:marRight w:val="0"/>
                  <w:marTop w:val="0"/>
                  <w:marBottom w:val="0"/>
                  <w:divBdr>
                    <w:top w:val="none" w:sz="0" w:space="0" w:color="auto"/>
                    <w:left w:val="none" w:sz="0" w:space="0" w:color="auto"/>
                    <w:bottom w:val="none" w:sz="0" w:space="0" w:color="auto"/>
                    <w:right w:val="none" w:sz="0" w:space="0" w:color="auto"/>
                  </w:divBdr>
                  <w:divsChild>
                    <w:div w:id="873078391">
                      <w:marLeft w:val="0"/>
                      <w:marRight w:val="0"/>
                      <w:marTop w:val="100"/>
                      <w:marBottom w:val="100"/>
                      <w:divBdr>
                        <w:top w:val="none" w:sz="0" w:space="0" w:color="auto"/>
                        <w:left w:val="none" w:sz="0" w:space="0" w:color="auto"/>
                        <w:bottom w:val="none" w:sz="0" w:space="0" w:color="auto"/>
                        <w:right w:val="none" w:sz="0" w:space="0" w:color="auto"/>
                      </w:divBdr>
                      <w:divsChild>
                        <w:div w:id="1696612905">
                          <w:marLeft w:val="0"/>
                          <w:marRight w:val="0"/>
                          <w:marTop w:val="100"/>
                          <w:marBottom w:val="100"/>
                          <w:divBdr>
                            <w:top w:val="none" w:sz="0" w:space="0" w:color="auto"/>
                            <w:left w:val="none" w:sz="0" w:space="0" w:color="auto"/>
                            <w:bottom w:val="none" w:sz="0" w:space="0" w:color="auto"/>
                            <w:right w:val="none" w:sz="0" w:space="0" w:color="auto"/>
                          </w:divBdr>
                          <w:divsChild>
                            <w:div w:id="231551295">
                              <w:marLeft w:val="0"/>
                              <w:marRight w:val="0"/>
                              <w:marTop w:val="0"/>
                              <w:marBottom w:val="0"/>
                              <w:divBdr>
                                <w:top w:val="none" w:sz="0" w:space="0" w:color="auto"/>
                                <w:left w:val="none" w:sz="0" w:space="0" w:color="auto"/>
                                <w:bottom w:val="none" w:sz="0" w:space="0" w:color="auto"/>
                                <w:right w:val="none" w:sz="0" w:space="0" w:color="auto"/>
                              </w:divBdr>
                              <w:divsChild>
                                <w:div w:id="1221331405">
                                  <w:marLeft w:val="0"/>
                                  <w:marRight w:val="0"/>
                                  <w:marTop w:val="0"/>
                                  <w:marBottom w:val="0"/>
                                  <w:divBdr>
                                    <w:top w:val="none" w:sz="0" w:space="0" w:color="auto"/>
                                    <w:left w:val="none" w:sz="0" w:space="0" w:color="auto"/>
                                    <w:bottom w:val="none" w:sz="0" w:space="0" w:color="auto"/>
                                    <w:right w:val="none" w:sz="0" w:space="0" w:color="auto"/>
                                  </w:divBdr>
                                  <w:divsChild>
                                    <w:div w:id="785466872">
                                      <w:marLeft w:val="0"/>
                                      <w:marRight w:val="0"/>
                                      <w:marTop w:val="0"/>
                                      <w:marBottom w:val="0"/>
                                      <w:divBdr>
                                        <w:top w:val="none" w:sz="0" w:space="0" w:color="auto"/>
                                        <w:left w:val="none" w:sz="0" w:space="0" w:color="auto"/>
                                        <w:bottom w:val="none" w:sz="0" w:space="0" w:color="auto"/>
                                        <w:right w:val="none" w:sz="0" w:space="0" w:color="auto"/>
                                      </w:divBdr>
                                      <w:divsChild>
                                        <w:div w:id="18702467">
                                          <w:marLeft w:val="0"/>
                                          <w:marRight w:val="0"/>
                                          <w:marTop w:val="0"/>
                                          <w:marBottom w:val="0"/>
                                          <w:divBdr>
                                            <w:top w:val="none" w:sz="0" w:space="0" w:color="auto"/>
                                            <w:left w:val="none" w:sz="0" w:space="0" w:color="auto"/>
                                            <w:bottom w:val="none" w:sz="0" w:space="0" w:color="auto"/>
                                            <w:right w:val="none" w:sz="0" w:space="0" w:color="auto"/>
                                          </w:divBdr>
                                          <w:divsChild>
                                            <w:div w:id="718358503">
                                              <w:marLeft w:val="0"/>
                                              <w:marRight w:val="0"/>
                                              <w:marTop w:val="0"/>
                                              <w:marBottom w:val="0"/>
                                              <w:divBdr>
                                                <w:top w:val="none" w:sz="0" w:space="0" w:color="auto"/>
                                                <w:left w:val="none" w:sz="0" w:space="0" w:color="auto"/>
                                                <w:bottom w:val="none" w:sz="0" w:space="0" w:color="auto"/>
                                                <w:right w:val="none" w:sz="0" w:space="0" w:color="auto"/>
                                              </w:divBdr>
                                              <w:divsChild>
                                                <w:div w:id="1191650688">
                                                  <w:marLeft w:val="0"/>
                                                  <w:marRight w:val="0"/>
                                                  <w:marTop w:val="0"/>
                                                  <w:marBottom w:val="0"/>
                                                  <w:divBdr>
                                                    <w:top w:val="none" w:sz="0" w:space="0" w:color="auto"/>
                                                    <w:left w:val="none" w:sz="0" w:space="0" w:color="auto"/>
                                                    <w:bottom w:val="none" w:sz="0" w:space="0" w:color="auto"/>
                                                    <w:right w:val="none" w:sz="0" w:space="0" w:color="auto"/>
                                                  </w:divBdr>
                                                  <w:divsChild>
                                                    <w:div w:id="1538395662">
                                                      <w:marLeft w:val="0"/>
                                                      <w:marRight w:val="0"/>
                                                      <w:marTop w:val="0"/>
                                                      <w:marBottom w:val="0"/>
                                                      <w:divBdr>
                                                        <w:top w:val="none" w:sz="0" w:space="0" w:color="auto"/>
                                                        <w:left w:val="none" w:sz="0" w:space="0" w:color="auto"/>
                                                        <w:bottom w:val="none" w:sz="0" w:space="0" w:color="auto"/>
                                                        <w:right w:val="none" w:sz="0" w:space="0" w:color="auto"/>
                                                      </w:divBdr>
                                                      <w:divsChild>
                                                        <w:div w:id="776750030">
                                                          <w:marLeft w:val="0"/>
                                                          <w:marRight w:val="0"/>
                                                          <w:marTop w:val="0"/>
                                                          <w:marBottom w:val="0"/>
                                                          <w:divBdr>
                                                            <w:top w:val="none" w:sz="0" w:space="0" w:color="auto"/>
                                                            <w:left w:val="none" w:sz="0" w:space="0" w:color="auto"/>
                                                            <w:bottom w:val="none" w:sz="0" w:space="0" w:color="auto"/>
                                                            <w:right w:val="none" w:sz="0" w:space="0" w:color="auto"/>
                                                          </w:divBdr>
                                                          <w:divsChild>
                                                            <w:div w:id="458032977">
                                                              <w:marLeft w:val="0"/>
                                                              <w:marRight w:val="0"/>
                                                              <w:marTop w:val="0"/>
                                                              <w:marBottom w:val="0"/>
                                                              <w:divBdr>
                                                                <w:top w:val="none" w:sz="0" w:space="0" w:color="auto"/>
                                                                <w:left w:val="none" w:sz="0" w:space="0" w:color="auto"/>
                                                                <w:bottom w:val="none" w:sz="0" w:space="0" w:color="auto"/>
                                                                <w:right w:val="none" w:sz="0" w:space="0" w:color="auto"/>
                                                              </w:divBdr>
                                                              <w:divsChild>
                                                                <w:div w:id="10540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8525693">
      <w:bodyDiv w:val="1"/>
      <w:marLeft w:val="0"/>
      <w:marRight w:val="0"/>
      <w:marTop w:val="0"/>
      <w:marBottom w:val="0"/>
      <w:divBdr>
        <w:top w:val="none" w:sz="0" w:space="0" w:color="auto"/>
        <w:left w:val="none" w:sz="0" w:space="0" w:color="auto"/>
        <w:bottom w:val="none" w:sz="0" w:space="0" w:color="auto"/>
        <w:right w:val="none" w:sz="0" w:space="0" w:color="auto"/>
      </w:divBdr>
      <w:divsChild>
        <w:div w:id="1821534645">
          <w:marLeft w:val="0"/>
          <w:marRight w:val="0"/>
          <w:marTop w:val="0"/>
          <w:marBottom w:val="0"/>
          <w:divBdr>
            <w:top w:val="single" w:sz="2" w:space="0" w:color="938A8A"/>
            <w:left w:val="single" w:sz="2" w:space="0" w:color="938A8A"/>
            <w:bottom w:val="single" w:sz="2" w:space="0" w:color="938A8A"/>
            <w:right w:val="single" w:sz="2" w:space="0" w:color="938A8A"/>
          </w:divBdr>
          <w:divsChild>
            <w:div w:id="2129203577">
              <w:marLeft w:val="0"/>
              <w:marRight w:val="0"/>
              <w:marTop w:val="0"/>
              <w:marBottom w:val="0"/>
              <w:divBdr>
                <w:top w:val="none" w:sz="0" w:space="0" w:color="auto"/>
                <w:left w:val="none" w:sz="0" w:space="0" w:color="auto"/>
                <w:bottom w:val="none" w:sz="0" w:space="0" w:color="auto"/>
                <w:right w:val="none" w:sz="0" w:space="0" w:color="auto"/>
              </w:divBdr>
              <w:divsChild>
                <w:div w:id="1248031742">
                  <w:marLeft w:val="0"/>
                  <w:marRight w:val="0"/>
                  <w:marTop w:val="0"/>
                  <w:marBottom w:val="0"/>
                  <w:divBdr>
                    <w:top w:val="none" w:sz="0" w:space="0" w:color="auto"/>
                    <w:left w:val="none" w:sz="0" w:space="0" w:color="auto"/>
                    <w:bottom w:val="none" w:sz="0" w:space="0" w:color="auto"/>
                    <w:right w:val="none" w:sz="0" w:space="0" w:color="auto"/>
                  </w:divBdr>
                  <w:divsChild>
                    <w:div w:id="763190387">
                      <w:marLeft w:val="0"/>
                      <w:marRight w:val="0"/>
                      <w:marTop w:val="100"/>
                      <w:marBottom w:val="100"/>
                      <w:divBdr>
                        <w:top w:val="none" w:sz="0" w:space="0" w:color="auto"/>
                        <w:left w:val="none" w:sz="0" w:space="0" w:color="auto"/>
                        <w:bottom w:val="none" w:sz="0" w:space="0" w:color="auto"/>
                        <w:right w:val="none" w:sz="0" w:space="0" w:color="auto"/>
                      </w:divBdr>
                      <w:divsChild>
                        <w:div w:id="1428694990">
                          <w:marLeft w:val="0"/>
                          <w:marRight w:val="0"/>
                          <w:marTop w:val="100"/>
                          <w:marBottom w:val="100"/>
                          <w:divBdr>
                            <w:top w:val="none" w:sz="0" w:space="0" w:color="auto"/>
                            <w:left w:val="none" w:sz="0" w:space="0" w:color="auto"/>
                            <w:bottom w:val="none" w:sz="0" w:space="0" w:color="auto"/>
                            <w:right w:val="none" w:sz="0" w:space="0" w:color="auto"/>
                          </w:divBdr>
                          <w:divsChild>
                            <w:div w:id="1602224314">
                              <w:marLeft w:val="0"/>
                              <w:marRight w:val="0"/>
                              <w:marTop w:val="0"/>
                              <w:marBottom w:val="0"/>
                              <w:divBdr>
                                <w:top w:val="none" w:sz="0" w:space="0" w:color="auto"/>
                                <w:left w:val="none" w:sz="0" w:space="0" w:color="auto"/>
                                <w:bottom w:val="none" w:sz="0" w:space="0" w:color="auto"/>
                                <w:right w:val="none" w:sz="0" w:space="0" w:color="auto"/>
                              </w:divBdr>
                              <w:divsChild>
                                <w:div w:id="1332441492">
                                  <w:marLeft w:val="0"/>
                                  <w:marRight w:val="0"/>
                                  <w:marTop w:val="0"/>
                                  <w:marBottom w:val="0"/>
                                  <w:divBdr>
                                    <w:top w:val="none" w:sz="0" w:space="0" w:color="auto"/>
                                    <w:left w:val="none" w:sz="0" w:space="0" w:color="auto"/>
                                    <w:bottom w:val="none" w:sz="0" w:space="0" w:color="auto"/>
                                    <w:right w:val="none" w:sz="0" w:space="0" w:color="auto"/>
                                  </w:divBdr>
                                  <w:divsChild>
                                    <w:div w:id="1358390368">
                                      <w:marLeft w:val="0"/>
                                      <w:marRight w:val="0"/>
                                      <w:marTop w:val="0"/>
                                      <w:marBottom w:val="0"/>
                                      <w:divBdr>
                                        <w:top w:val="none" w:sz="0" w:space="0" w:color="auto"/>
                                        <w:left w:val="none" w:sz="0" w:space="0" w:color="auto"/>
                                        <w:bottom w:val="none" w:sz="0" w:space="0" w:color="auto"/>
                                        <w:right w:val="none" w:sz="0" w:space="0" w:color="auto"/>
                                      </w:divBdr>
                                      <w:divsChild>
                                        <w:div w:id="2002344728">
                                          <w:marLeft w:val="0"/>
                                          <w:marRight w:val="0"/>
                                          <w:marTop w:val="0"/>
                                          <w:marBottom w:val="0"/>
                                          <w:divBdr>
                                            <w:top w:val="none" w:sz="0" w:space="0" w:color="auto"/>
                                            <w:left w:val="none" w:sz="0" w:space="0" w:color="auto"/>
                                            <w:bottom w:val="none" w:sz="0" w:space="0" w:color="auto"/>
                                            <w:right w:val="none" w:sz="0" w:space="0" w:color="auto"/>
                                          </w:divBdr>
                                          <w:divsChild>
                                            <w:div w:id="1100756532">
                                              <w:marLeft w:val="0"/>
                                              <w:marRight w:val="0"/>
                                              <w:marTop w:val="0"/>
                                              <w:marBottom w:val="0"/>
                                              <w:divBdr>
                                                <w:top w:val="none" w:sz="0" w:space="0" w:color="auto"/>
                                                <w:left w:val="none" w:sz="0" w:space="0" w:color="auto"/>
                                                <w:bottom w:val="none" w:sz="0" w:space="0" w:color="auto"/>
                                                <w:right w:val="none" w:sz="0" w:space="0" w:color="auto"/>
                                              </w:divBdr>
                                              <w:divsChild>
                                                <w:div w:id="2042052314">
                                                  <w:marLeft w:val="0"/>
                                                  <w:marRight w:val="0"/>
                                                  <w:marTop w:val="0"/>
                                                  <w:marBottom w:val="0"/>
                                                  <w:divBdr>
                                                    <w:top w:val="none" w:sz="0" w:space="0" w:color="auto"/>
                                                    <w:left w:val="none" w:sz="0" w:space="0" w:color="auto"/>
                                                    <w:bottom w:val="none" w:sz="0" w:space="0" w:color="auto"/>
                                                    <w:right w:val="none" w:sz="0" w:space="0" w:color="auto"/>
                                                  </w:divBdr>
                                                  <w:divsChild>
                                                    <w:div w:id="538056569">
                                                      <w:marLeft w:val="0"/>
                                                      <w:marRight w:val="0"/>
                                                      <w:marTop w:val="0"/>
                                                      <w:marBottom w:val="0"/>
                                                      <w:divBdr>
                                                        <w:top w:val="none" w:sz="0" w:space="0" w:color="auto"/>
                                                        <w:left w:val="none" w:sz="0" w:space="0" w:color="auto"/>
                                                        <w:bottom w:val="none" w:sz="0" w:space="0" w:color="auto"/>
                                                        <w:right w:val="none" w:sz="0" w:space="0" w:color="auto"/>
                                                      </w:divBdr>
                                                      <w:divsChild>
                                                        <w:div w:id="862785408">
                                                          <w:marLeft w:val="0"/>
                                                          <w:marRight w:val="0"/>
                                                          <w:marTop w:val="0"/>
                                                          <w:marBottom w:val="0"/>
                                                          <w:divBdr>
                                                            <w:top w:val="none" w:sz="0" w:space="0" w:color="auto"/>
                                                            <w:left w:val="none" w:sz="0" w:space="0" w:color="auto"/>
                                                            <w:bottom w:val="none" w:sz="0" w:space="0" w:color="auto"/>
                                                            <w:right w:val="none" w:sz="0" w:space="0" w:color="auto"/>
                                                          </w:divBdr>
                                                          <w:divsChild>
                                                            <w:div w:id="1239099533">
                                                              <w:marLeft w:val="0"/>
                                                              <w:marRight w:val="0"/>
                                                              <w:marTop w:val="0"/>
                                                              <w:marBottom w:val="0"/>
                                                              <w:divBdr>
                                                                <w:top w:val="none" w:sz="0" w:space="0" w:color="auto"/>
                                                                <w:left w:val="none" w:sz="0" w:space="0" w:color="auto"/>
                                                                <w:bottom w:val="none" w:sz="0" w:space="0" w:color="auto"/>
                                                                <w:right w:val="none" w:sz="0" w:space="0" w:color="auto"/>
                                                              </w:divBdr>
                                                              <w:divsChild>
                                                                <w:div w:id="14542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cpaaustralia.com.au/~/media/corporate/allfiles/document/professional-resources/reporting/reporting-ifrsfactsheet-intangible-assets.pdf?la=en" TargetMode="External"/><Relationship Id="rId18" Type="http://schemas.openxmlformats.org/officeDocument/2006/relationships/hyperlink" Target="https://www.ipwea.org/publications/ipweabookshop/iim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www.amcouncil.com.au/knowledge/publications/ambok-publications.html" TargetMode="External"/><Relationship Id="rId2" Type="http://schemas.openxmlformats.org/officeDocument/2006/relationships/numbering" Target="numbering.xml"/><Relationship Id="rId16" Type="http://schemas.openxmlformats.org/officeDocument/2006/relationships/hyperlink" Target="https://www.dtf.vic.gov.au/infrastructure-investment/asset-management-accountability-framewor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861F89-AAD8-4174-92FD-4E7DD8C8910E}" type="doc">
      <dgm:prSet loTypeId="urn:microsoft.com/office/officeart/2005/8/layout/list1" loCatId="list" qsTypeId="urn:microsoft.com/office/officeart/2005/8/quickstyle/simple1" qsCatId="simple" csTypeId="urn:microsoft.com/office/officeart/2005/8/colors/accent1_4" csCatId="accent1" phldr="1"/>
      <dgm:spPr/>
      <dgm:t>
        <a:bodyPr/>
        <a:lstStyle/>
        <a:p>
          <a:endParaRPr lang="en-US"/>
        </a:p>
      </dgm:t>
    </dgm:pt>
    <dgm:pt modelId="{0ECD1DC0-D905-4015-BA32-D3A4EDB01FA0}">
      <dgm:prSet phldrT="[Text]"/>
      <dgm:spPr>
        <a:xfrm>
          <a:off x="317373" y="74099"/>
          <a:ext cx="4443222" cy="295200"/>
        </a:xfrm>
        <a:prstGeom prst="roundRect">
          <a:avLst/>
        </a:prstGeom>
        <a:solidFill>
          <a:srgbClr val="00338D">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Identifiability</a:t>
          </a:r>
        </a:p>
      </dgm:t>
    </dgm:pt>
    <dgm:pt modelId="{5673D7E5-6AA5-4411-9C26-889D8FF39EDF}" type="parTrans" cxnId="{1781B057-0227-44B1-BDA3-8849EB138B0A}">
      <dgm:prSet/>
      <dgm:spPr/>
      <dgm:t>
        <a:bodyPr/>
        <a:lstStyle/>
        <a:p>
          <a:endParaRPr lang="en-US"/>
        </a:p>
      </dgm:t>
    </dgm:pt>
    <dgm:pt modelId="{B3CB0F3B-0107-4371-A22A-45BB8B9E14C2}" type="sibTrans" cxnId="{1781B057-0227-44B1-BDA3-8849EB138B0A}">
      <dgm:prSet/>
      <dgm:spPr/>
      <dgm:t>
        <a:bodyPr/>
        <a:lstStyle/>
        <a:p>
          <a:endParaRPr lang="en-US"/>
        </a:p>
      </dgm:t>
    </dgm:pt>
    <dgm:pt modelId="{91696840-35E9-4E8C-BDC8-8ECAFCF07543}">
      <dgm:prSet phldrT="[Text]"/>
      <dgm:spPr>
        <a:xfrm>
          <a:off x="317373" y="527699"/>
          <a:ext cx="4443222" cy="295200"/>
        </a:xfrm>
        <a:prstGeom prst="roundRect">
          <a:avLst/>
        </a:prstGeom>
        <a:solidFill>
          <a:srgbClr val="00338D">
            <a:shade val="50000"/>
            <a:hueOff val="296636"/>
            <a:satOff val="-32504"/>
            <a:lumOff val="21933"/>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Non-Monetary</a:t>
          </a:r>
        </a:p>
      </dgm:t>
    </dgm:pt>
    <dgm:pt modelId="{456A0707-E6C5-426A-BFB7-B095AD43E511}" type="parTrans" cxnId="{14847949-6805-4F3C-99EF-3C433799CD2A}">
      <dgm:prSet/>
      <dgm:spPr/>
      <dgm:t>
        <a:bodyPr/>
        <a:lstStyle/>
        <a:p>
          <a:endParaRPr lang="en-US"/>
        </a:p>
      </dgm:t>
    </dgm:pt>
    <dgm:pt modelId="{26D6B8F5-F0D6-487D-8513-81B62FF4A2DB}" type="sibTrans" cxnId="{14847949-6805-4F3C-99EF-3C433799CD2A}">
      <dgm:prSet/>
      <dgm:spPr/>
      <dgm:t>
        <a:bodyPr/>
        <a:lstStyle/>
        <a:p>
          <a:endParaRPr lang="en-US"/>
        </a:p>
      </dgm:t>
    </dgm:pt>
    <dgm:pt modelId="{4A4665F3-5C21-4A37-BCAE-AA3E2D890CAF}">
      <dgm:prSet phldrT="[Text]"/>
      <dgm:spPr>
        <a:xfrm>
          <a:off x="317373" y="981299"/>
          <a:ext cx="4443222" cy="295200"/>
        </a:xfrm>
        <a:prstGeom prst="roundRect">
          <a:avLst/>
        </a:prstGeom>
        <a:solidFill>
          <a:srgbClr val="00338D">
            <a:shade val="50000"/>
            <a:hueOff val="593272"/>
            <a:satOff val="-65008"/>
            <a:lumOff val="43866"/>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Lack of Physical Substance</a:t>
          </a:r>
        </a:p>
      </dgm:t>
    </dgm:pt>
    <dgm:pt modelId="{861BE49C-348C-4CE8-A096-5046B21C288C}" type="parTrans" cxnId="{CD92341D-EA35-4182-A9D0-0CE6C0EDC72B}">
      <dgm:prSet/>
      <dgm:spPr/>
      <dgm:t>
        <a:bodyPr/>
        <a:lstStyle/>
        <a:p>
          <a:endParaRPr lang="en-US"/>
        </a:p>
      </dgm:t>
    </dgm:pt>
    <dgm:pt modelId="{831E8450-00DC-4129-A569-2E812D125702}" type="sibTrans" cxnId="{CD92341D-EA35-4182-A9D0-0CE6C0EDC72B}">
      <dgm:prSet/>
      <dgm:spPr/>
      <dgm:t>
        <a:bodyPr/>
        <a:lstStyle/>
        <a:p>
          <a:endParaRPr lang="en-US"/>
        </a:p>
      </dgm:t>
    </dgm:pt>
    <dgm:pt modelId="{5760DA44-BB3F-40D4-994F-EF860F7A467E}">
      <dgm:prSet phldrT="[Text]"/>
      <dgm:spPr>
        <a:xfrm>
          <a:off x="317373" y="1888500"/>
          <a:ext cx="4443222" cy="295200"/>
        </a:xfrm>
        <a:prstGeom prst="roundRect">
          <a:avLst/>
        </a:prstGeom>
        <a:solidFill>
          <a:srgbClr val="00338D">
            <a:shade val="50000"/>
            <a:hueOff val="296636"/>
            <a:satOff val="-32504"/>
            <a:lumOff val="21933"/>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Future Economic Benefit</a:t>
          </a:r>
        </a:p>
      </dgm:t>
    </dgm:pt>
    <dgm:pt modelId="{E465EAC9-83A0-46C2-A53A-9602EAB99901}" type="parTrans" cxnId="{8C05558F-7DE8-441A-AD81-E569F96E64C0}">
      <dgm:prSet/>
      <dgm:spPr/>
      <dgm:t>
        <a:bodyPr/>
        <a:lstStyle/>
        <a:p>
          <a:endParaRPr lang="en-US"/>
        </a:p>
      </dgm:t>
    </dgm:pt>
    <dgm:pt modelId="{FFD07D58-B740-4CA3-95AB-42751E2F8B6B}" type="sibTrans" cxnId="{8C05558F-7DE8-441A-AD81-E569F96E64C0}">
      <dgm:prSet/>
      <dgm:spPr/>
      <dgm:t>
        <a:bodyPr/>
        <a:lstStyle/>
        <a:p>
          <a:endParaRPr lang="en-US"/>
        </a:p>
      </dgm:t>
    </dgm:pt>
    <dgm:pt modelId="{C7CA0D6E-1921-4843-8C19-DB2353FDF63F}">
      <dgm:prSet phldrT="[Text]"/>
      <dgm:spPr>
        <a:xfrm>
          <a:off x="317373" y="1434900"/>
          <a:ext cx="4443222" cy="295200"/>
        </a:xfrm>
        <a:prstGeom prst="roundRect">
          <a:avLst/>
        </a:prstGeom>
        <a:solidFill>
          <a:srgbClr val="00338D">
            <a:shade val="50000"/>
            <a:hueOff val="593272"/>
            <a:satOff val="-65008"/>
            <a:lumOff val="43866"/>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Control</a:t>
          </a:r>
        </a:p>
      </dgm:t>
    </dgm:pt>
    <dgm:pt modelId="{A80A6B2D-02DD-4877-8BB3-BE1778A0C70B}" type="parTrans" cxnId="{9CF42625-1703-4E07-8797-362D1353DA55}">
      <dgm:prSet/>
      <dgm:spPr/>
      <dgm:t>
        <a:bodyPr/>
        <a:lstStyle/>
        <a:p>
          <a:endParaRPr lang="en-US"/>
        </a:p>
      </dgm:t>
    </dgm:pt>
    <dgm:pt modelId="{C9035D57-E1C5-49F3-9586-BBFC3749C584}" type="sibTrans" cxnId="{9CF42625-1703-4E07-8797-362D1353DA55}">
      <dgm:prSet/>
      <dgm:spPr/>
      <dgm:t>
        <a:bodyPr/>
        <a:lstStyle/>
        <a:p>
          <a:endParaRPr lang="en-US"/>
        </a:p>
      </dgm:t>
    </dgm:pt>
    <dgm:pt modelId="{7A89D2B2-27E1-40A7-A93E-3B1301D77C57}" type="pres">
      <dgm:prSet presAssocID="{FC861F89-AAD8-4174-92FD-4E7DD8C8910E}" presName="linear" presStyleCnt="0">
        <dgm:presLayoutVars>
          <dgm:dir/>
          <dgm:animLvl val="lvl"/>
          <dgm:resizeHandles val="exact"/>
        </dgm:presLayoutVars>
      </dgm:prSet>
      <dgm:spPr/>
    </dgm:pt>
    <dgm:pt modelId="{750AAE4E-0EDE-4A6E-91EB-6EA8F02E7133}" type="pres">
      <dgm:prSet presAssocID="{0ECD1DC0-D905-4015-BA32-D3A4EDB01FA0}" presName="parentLin" presStyleCnt="0"/>
      <dgm:spPr/>
    </dgm:pt>
    <dgm:pt modelId="{9BFE99F9-C89E-4DE0-AFB0-1855AC4A9549}" type="pres">
      <dgm:prSet presAssocID="{0ECD1DC0-D905-4015-BA32-D3A4EDB01FA0}" presName="parentLeftMargin" presStyleLbl="node1" presStyleIdx="0" presStyleCnt="5"/>
      <dgm:spPr/>
    </dgm:pt>
    <dgm:pt modelId="{8389E5B0-AFC5-434A-8C0A-222A0E4E7682}" type="pres">
      <dgm:prSet presAssocID="{0ECD1DC0-D905-4015-BA32-D3A4EDB01FA0}" presName="parentText" presStyleLbl="node1" presStyleIdx="0" presStyleCnt="5">
        <dgm:presLayoutVars>
          <dgm:chMax val="0"/>
          <dgm:bulletEnabled val="1"/>
        </dgm:presLayoutVars>
      </dgm:prSet>
      <dgm:spPr/>
    </dgm:pt>
    <dgm:pt modelId="{27D6B426-849B-4803-9AF2-AAB00384DDBC}" type="pres">
      <dgm:prSet presAssocID="{0ECD1DC0-D905-4015-BA32-D3A4EDB01FA0}" presName="negativeSpace" presStyleCnt="0"/>
      <dgm:spPr/>
    </dgm:pt>
    <dgm:pt modelId="{6829E52A-782A-46E3-A4C1-B5F61B17393F}" type="pres">
      <dgm:prSet presAssocID="{0ECD1DC0-D905-4015-BA32-D3A4EDB01FA0}" presName="childText" presStyleLbl="conFgAcc1" presStyleIdx="0" presStyleCnt="5">
        <dgm:presLayoutVars>
          <dgm:bulletEnabled val="1"/>
        </dgm:presLayoutVars>
      </dgm:prSet>
      <dgm:spPr>
        <a:xfrm>
          <a:off x="0" y="221699"/>
          <a:ext cx="6347460" cy="252000"/>
        </a:xfrm>
        <a:prstGeom prst="rect">
          <a:avLst/>
        </a:prstGeom>
        <a:solidFill>
          <a:sysClr val="window" lastClr="FFFFFF">
            <a:alpha val="90000"/>
            <a:hueOff val="0"/>
            <a:satOff val="0"/>
            <a:lumOff val="0"/>
            <a:alphaOff val="0"/>
          </a:sysClr>
        </a:solidFill>
        <a:ln w="25400" cap="flat" cmpd="sng" algn="ctr">
          <a:solidFill>
            <a:srgbClr val="00338D">
              <a:shade val="50000"/>
              <a:hueOff val="0"/>
              <a:satOff val="0"/>
              <a:lumOff val="0"/>
              <a:alphaOff val="0"/>
            </a:srgbClr>
          </a:solidFill>
          <a:prstDash val="solid"/>
        </a:ln>
        <a:effectLst/>
      </dgm:spPr>
    </dgm:pt>
    <dgm:pt modelId="{C0D68442-A61E-496E-B45C-F70168503ADD}" type="pres">
      <dgm:prSet presAssocID="{B3CB0F3B-0107-4371-A22A-45BB8B9E14C2}" presName="spaceBetweenRectangles" presStyleCnt="0"/>
      <dgm:spPr/>
    </dgm:pt>
    <dgm:pt modelId="{901CAEE2-27DD-4764-8D4D-B13EE857EEC9}" type="pres">
      <dgm:prSet presAssocID="{91696840-35E9-4E8C-BDC8-8ECAFCF07543}" presName="parentLin" presStyleCnt="0"/>
      <dgm:spPr/>
    </dgm:pt>
    <dgm:pt modelId="{60048BBE-D6B2-4A40-8962-389A2C8195A8}" type="pres">
      <dgm:prSet presAssocID="{91696840-35E9-4E8C-BDC8-8ECAFCF07543}" presName="parentLeftMargin" presStyleLbl="node1" presStyleIdx="0" presStyleCnt="5"/>
      <dgm:spPr/>
    </dgm:pt>
    <dgm:pt modelId="{5708D2FF-05B2-4FE2-8B07-4B802B9F0E50}" type="pres">
      <dgm:prSet presAssocID="{91696840-35E9-4E8C-BDC8-8ECAFCF07543}" presName="parentText" presStyleLbl="node1" presStyleIdx="1" presStyleCnt="5">
        <dgm:presLayoutVars>
          <dgm:chMax val="0"/>
          <dgm:bulletEnabled val="1"/>
        </dgm:presLayoutVars>
      </dgm:prSet>
      <dgm:spPr/>
    </dgm:pt>
    <dgm:pt modelId="{2B62BE9F-E421-4D1C-B7E7-AEEC0DCED67B}" type="pres">
      <dgm:prSet presAssocID="{91696840-35E9-4E8C-BDC8-8ECAFCF07543}" presName="negativeSpace" presStyleCnt="0"/>
      <dgm:spPr/>
    </dgm:pt>
    <dgm:pt modelId="{F71838D9-D670-46FB-9D19-C36115F17D7C}" type="pres">
      <dgm:prSet presAssocID="{91696840-35E9-4E8C-BDC8-8ECAFCF07543}" presName="childText" presStyleLbl="conFgAcc1" presStyleIdx="1" presStyleCnt="5">
        <dgm:presLayoutVars>
          <dgm:bulletEnabled val="1"/>
        </dgm:presLayoutVars>
      </dgm:prSet>
      <dgm:spPr>
        <a:xfrm>
          <a:off x="0" y="675299"/>
          <a:ext cx="6347460" cy="252000"/>
        </a:xfrm>
        <a:prstGeom prst="rect">
          <a:avLst/>
        </a:prstGeom>
        <a:solidFill>
          <a:sysClr val="window" lastClr="FFFFFF">
            <a:alpha val="90000"/>
            <a:hueOff val="0"/>
            <a:satOff val="0"/>
            <a:lumOff val="0"/>
            <a:alphaOff val="0"/>
          </a:sysClr>
        </a:solidFill>
        <a:ln w="25400" cap="flat" cmpd="sng" algn="ctr">
          <a:solidFill>
            <a:srgbClr val="00338D">
              <a:shade val="50000"/>
              <a:hueOff val="296636"/>
              <a:satOff val="-32504"/>
              <a:lumOff val="21933"/>
              <a:alphaOff val="0"/>
            </a:srgbClr>
          </a:solidFill>
          <a:prstDash val="solid"/>
        </a:ln>
        <a:effectLst/>
      </dgm:spPr>
    </dgm:pt>
    <dgm:pt modelId="{971C34DF-4A69-41F4-8B8D-82460A88392B}" type="pres">
      <dgm:prSet presAssocID="{26D6B8F5-F0D6-487D-8513-81B62FF4A2DB}" presName="spaceBetweenRectangles" presStyleCnt="0"/>
      <dgm:spPr/>
    </dgm:pt>
    <dgm:pt modelId="{DD263A8D-7E48-4F1A-B328-37300FA9EF41}" type="pres">
      <dgm:prSet presAssocID="{4A4665F3-5C21-4A37-BCAE-AA3E2D890CAF}" presName="parentLin" presStyleCnt="0"/>
      <dgm:spPr/>
    </dgm:pt>
    <dgm:pt modelId="{BB8C6531-682E-4884-AE8A-7D6F42130EA8}" type="pres">
      <dgm:prSet presAssocID="{4A4665F3-5C21-4A37-BCAE-AA3E2D890CAF}" presName="parentLeftMargin" presStyleLbl="node1" presStyleIdx="1" presStyleCnt="5"/>
      <dgm:spPr/>
    </dgm:pt>
    <dgm:pt modelId="{6E800A4A-4E1A-4A4A-B621-D163D31F5F93}" type="pres">
      <dgm:prSet presAssocID="{4A4665F3-5C21-4A37-BCAE-AA3E2D890CAF}" presName="parentText" presStyleLbl="node1" presStyleIdx="2" presStyleCnt="5">
        <dgm:presLayoutVars>
          <dgm:chMax val="0"/>
          <dgm:bulletEnabled val="1"/>
        </dgm:presLayoutVars>
      </dgm:prSet>
      <dgm:spPr/>
    </dgm:pt>
    <dgm:pt modelId="{EAEB248B-73FA-4CF9-99B1-9A9BF00ABDF3}" type="pres">
      <dgm:prSet presAssocID="{4A4665F3-5C21-4A37-BCAE-AA3E2D890CAF}" presName="negativeSpace" presStyleCnt="0"/>
      <dgm:spPr/>
    </dgm:pt>
    <dgm:pt modelId="{230BF14A-1701-49D8-991D-BA0AF48F448D}" type="pres">
      <dgm:prSet presAssocID="{4A4665F3-5C21-4A37-BCAE-AA3E2D890CAF}" presName="childText" presStyleLbl="conFgAcc1" presStyleIdx="2" presStyleCnt="5">
        <dgm:presLayoutVars>
          <dgm:bulletEnabled val="1"/>
        </dgm:presLayoutVars>
      </dgm:prSet>
      <dgm:spPr>
        <a:xfrm>
          <a:off x="0" y="1128899"/>
          <a:ext cx="6347460" cy="252000"/>
        </a:xfrm>
        <a:prstGeom prst="rect">
          <a:avLst/>
        </a:prstGeom>
        <a:solidFill>
          <a:sysClr val="window" lastClr="FFFFFF">
            <a:alpha val="90000"/>
            <a:hueOff val="0"/>
            <a:satOff val="0"/>
            <a:lumOff val="0"/>
            <a:alphaOff val="0"/>
          </a:sysClr>
        </a:solidFill>
        <a:ln w="25400" cap="flat" cmpd="sng" algn="ctr">
          <a:solidFill>
            <a:srgbClr val="00338D">
              <a:shade val="50000"/>
              <a:hueOff val="593272"/>
              <a:satOff val="-65008"/>
              <a:lumOff val="43866"/>
              <a:alphaOff val="0"/>
            </a:srgbClr>
          </a:solidFill>
          <a:prstDash val="solid"/>
        </a:ln>
        <a:effectLst/>
      </dgm:spPr>
    </dgm:pt>
    <dgm:pt modelId="{B2F25418-280F-4392-8504-898FDE4CF2C6}" type="pres">
      <dgm:prSet presAssocID="{831E8450-00DC-4129-A569-2E812D125702}" presName="spaceBetweenRectangles" presStyleCnt="0"/>
      <dgm:spPr/>
    </dgm:pt>
    <dgm:pt modelId="{29044FD9-41ED-4315-81AF-7CAD5BC54A63}" type="pres">
      <dgm:prSet presAssocID="{C7CA0D6E-1921-4843-8C19-DB2353FDF63F}" presName="parentLin" presStyleCnt="0"/>
      <dgm:spPr/>
    </dgm:pt>
    <dgm:pt modelId="{9E843AE5-FFC4-4E06-BA03-2EA4D5BBDBA3}" type="pres">
      <dgm:prSet presAssocID="{C7CA0D6E-1921-4843-8C19-DB2353FDF63F}" presName="parentLeftMargin" presStyleLbl="node1" presStyleIdx="2" presStyleCnt="5"/>
      <dgm:spPr/>
    </dgm:pt>
    <dgm:pt modelId="{57D2EC95-CBB2-44AB-8D67-B61512B932EB}" type="pres">
      <dgm:prSet presAssocID="{C7CA0D6E-1921-4843-8C19-DB2353FDF63F}" presName="parentText" presStyleLbl="node1" presStyleIdx="3" presStyleCnt="5">
        <dgm:presLayoutVars>
          <dgm:chMax val="0"/>
          <dgm:bulletEnabled val="1"/>
        </dgm:presLayoutVars>
      </dgm:prSet>
      <dgm:spPr/>
    </dgm:pt>
    <dgm:pt modelId="{592FD256-643B-4C3E-B144-4EF12BDE81F6}" type="pres">
      <dgm:prSet presAssocID="{C7CA0D6E-1921-4843-8C19-DB2353FDF63F}" presName="negativeSpace" presStyleCnt="0"/>
      <dgm:spPr/>
    </dgm:pt>
    <dgm:pt modelId="{2FE81465-11E2-456B-83E5-FF3AD056105B}" type="pres">
      <dgm:prSet presAssocID="{C7CA0D6E-1921-4843-8C19-DB2353FDF63F}" presName="childText" presStyleLbl="conFgAcc1" presStyleIdx="3" presStyleCnt="5">
        <dgm:presLayoutVars>
          <dgm:bulletEnabled val="1"/>
        </dgm:presLayoutVars>
      </dgm:prSet>
      <dgm:spPr>
        <a:xfrm>
          <a:off x="0" y="1582499"/>
          <a:ext cx="6347460" cy="252000"/>
        </a:xfrm>
        <a:prstGeom prst="rect">
          <a:avLst/>
        </a:prstGeom>
        <a:solidFill>
          <a:sysClr val="window" lastClr="FFFFFF">
            <a:alpha val="90000"/>
            <a:hueOff val="0"/>
            <a:satOff val="0"/>
            <a:lumOff val="0"/>
            <a:alphaOff val="0"/>
          </a:sysClr>
        </a:solidFill>
        <a:ln w="25400" cap="flat" cmpd="sng" algn="ctr">
          <a:solidFill>
            <a:srgbClr val="00338D">
              <a:shade val="50000"/>
              <a:hueOff val="593272"/>
              <a:satOff val="-65008"/>
              <a:lumOff val="43866"/>
              <a:alphaOff val="0"/>
            </a:srgbClr>
          </a:solidFill>
          <a:prstDash val="solid"/>
        </a:ln>
        <a:effectLst/>
      </dgm:spPr>
    </dgm:pt>
    <dgm:pt modelId="{A6814129-C4AB-4102-90A9-C66C399A0DBC}" type="pres">
      <dgm:prSet presAssocID="{C9035D57-E1C5-49F3-9586-BBFC3749C584}" presName="spaceBetweenRectangles" presStyleCnt="0"/>
      <dgm:spPr/>
    </dgm:pt>
    <dgm:pt modelId="{5EB27712-45BE-4D3B-9D02-408280F723C8}" type="pres">
      <dgm:prSet presAssocID="{5760DA44-BB3F-40D4-994F-EF860F7A467E}" presName="parentLin" presStyleCnt="0"/>
      <dgm:spPr/>
    </dgm:pt>
    <dgm:pt modelId="{6563EC8B-4FE6-49EA-BABB-86188C1E301F}" type="pres">
      <dgm:prSet presAssocID="{5760DA44-BB3F-40D4-994F-EF860F7A467E}" presName="parentLeftMargin" presStyleLbl="node1" presStyleIdx="3" presStyleCnt="5"/>
      <dgm:spPr/>
    </dgm:pt>
    <dgm:pt modelId="{2FFF3C71-1BCD-41E9-9F14-B39EA01EAAC6}" type="pres">
      <dgm:prSet presAssocID="{5760DA44-BB3F-40D4-994F-EF860F7A467E}" presName="parentText" presStyleLbl="node1" presStyleIdx="4" presStyleCnt="5">
        <dgm:presLayoutVars>
          <dgm:chMax val="0"/>
          <dgm:bulletEnabled val="1"/>
        </dgm:presLayoutVars>
      </dgm:prSet>
      <dgm:spPr/>
    </dgm:pt>
    <dgm:pt modelId="{E5E33901-FF8D-4EB2-9915-BC97690A24D0}" type="pres">
      <dgm:prSet presAssocID="{5760DA44-BB3F-40D4-994F-EF860F7A467E}" presName="negativeSpace" presStyleCnt="0"/>
      <dgm:spPr/>
    </dgm:pt>
    <dgm:pt modelId="{D3F45EB0-9285-43BB-B897-6D59BA9E7D85}" type="pres">
      <dgm:prSet presAssocID="{5760DA44-BB3F-40D4-994F-EF860F7A467E}" presName="childText" presStyleLbl="conFgAcc1" presStyleIdx="4" presStyleCnt="5">
        <dgm:presLayoutVars>
          <dgm:bulletEnabled val="1"/>
        </dgm:presLayoutVars>
      </dgm:prSet>
      <dgm:spPr>
        <a:xfrm>
          <a:off x="0" y="2036100"/>
          <a:ext cx="6347460" cy="252000"/>
        </a:xfrm>
        <a:prstGeom prst="rect">
          <a:avLst/>
        </a:prstGeom>
        <a:solidFill>
          <a:sysClr val="window" lastClr="FFFFFF">
            <a:alpha val="90000"/>
            <a:hueOff val="0"/>
            <a:satOff val="0"/>
            <a:lumOff val="0"/>
            <a:alphaOff val="0"/>
          </a:sysClr>
        </a:solidFill>
        <a:ln w="25400" cap="flat" cmpd="sng" algn="ctr">
          <a:solidFill>
            <a:srgbClr val="00338D">
              <a:shade val="50000"/>
              <a:hueOff val="296636"/>
              <a:satOff val="-32504"/>
              <a:lumOff val="21933"/>
              <a:alphaOff val="0"/>
            </a:srgbClr>
          </a:solidFill>
          <a:prstDash val="solid"/>
        </a:ln>
        <a:effectLst/>
      </dgm:spPr>
    </dgm:pt>
  </dgm:ptLst>
  <dgm:cxnLst>
    <dgm:cxn modelId="{CD92341D-EA35-4182-A9D0-0CE6C0EDC72B}" srcId="{FC861F89-AAD8-4174-92FD-4E7DD8C8910E}" destId="{4A4665F3-5C21-4A37-BCAE-AA3E2D890CAF}" srcOrd="2" destOrd="0" parTransId="{861BE49C-348C-4CE8-A096-5046B21C288C}" sibTransId="{831E8450-00DC-4129-A569-2E812D125702}"/>
    <dgm:cxn modelId="{9CF42625-1703-4E07-8797-362D1353DA55}" srcId="{FC861F89-AAD8-4174-92FD-4E7DD8C8910E}" destId="{C7CA0D6E-1921-4843-8C19-DB2353FDF63F}" srcOrd="3" destOrd="0" parTransId="{A80A6B2D-02DD-4877-8BB3-BE1778A0C70B}" sibTransId="{C9035D57-E1C5-49F3-9586-BBFC3749C584}"/>
    <dgm:cxn modelId="{83A48928-AC93-4554-ABC0-2F71A5417503}" type="presOf" srcId="{0ECD1DC0-D905-4015-BA32-D3A4EDB01FA0}" destId="{9BFE99F9-C89E-4DE0-AFB0-1855AC4A9549}" srcOrd="0" destOrd="0" presId="urn:microsoft.com/office/officeart/2005/8/layout/list1"/>
    <dgm:cxn modelId="{1B37BB2B-15D7-48E8-965A-BB1E59DE7D22}" type="presOf" srcId="{4A4665F3-5C21-4A37-BCAE-AA3E2D890CAF}" destId="{6E800A4A-4E1A-4A4A-B621-D163D31F5F93}" srcOrd="1" destOrd="0" presId="urn:microsoft.com/office/officeart/2005/8/layout/list1"/>
    <dgm:cxn modelId="{C06AAF2C-7834-4403-AF8F-5ECBE2D71E32}" type="presOf" srcId="{5760DA44-BB3F-40D4-994F-EF860F7A467E}" destId="{6563EC8B-4FE6-49EA-BABB-86188C1E301F}" srcOrd="0" destOrd="0" presId="urn:microsoft.com/office/officeart/2005/8/layout/list1"/>
    <dgm:cxn modelId="{869D2636-B34E-4ECB-8CC4-D72C4F5E5D10}" type="presOf" srcId="{C7CA0D6E-1921-4843-8C19-DB2353FDF63F}" destId="{57D2EC95-CBB2-44AB-8D67-B61512B932EB}" srcOrd="1" destOrd="0" presId="urn:microsoft.com/office/officeart/2005/8/layout/list1"/>
    <dgm:cxn modelId="{14847949-6805-4F3C-99EF-3C433799CD2A}" srcId="{FC861F89-AAD8-4174-92FD-4E7DD8C8910E}" destId="{91696840-35E9-4E8C-BDC8-8ECAFCF07543}" srcOrd="1" destOrd="0" parTransId="{456A0707-E6C5-426A-BFB7-B095AD43E511}" sibTransId="{26D6B8F5-F0D6-487D-8513-81B62FF4A2DB}"/>
    <dgm:cxn modelId="{28CE284E-A234-46C3-8D36-BAFDAD8892C0}" type="presOf" srcId="{C7CA0D6E-1921-4843-8C19-DB2353FDF63F}" destId="{9E843AE5-FFC4-4E06-BA03-2EA4D5BBDBA3}" srcOrd="0" destOrd="0" presId="urn:microsoft.com/office/officeart/2005/8/layout/list1"/>
    <dgm:cxn modelId="{8B4D8070-D8FB-43E4-A271-E748E3277223}" type="presOf" srcId="{91696840-35E9-4E8C-BDC8-8ECAFCF07543}" destId="{60048BBE-D6B2-4A40-8962-389A2C8195A8}" srcOrd="0" destOrd="0" presId="urn:microsoft.com/office/officeart/2005/8/layout/list1"/>
    <dgm:cxn modelId="{D8E6FD75-4A9B-4053-8088-E10F895A096C}" type="presOf" srcId="{91696840-35E9-4E8C-BDC8-8ECAFCF07543}" destId="{5708D2FF-05B2-4FE2-8B07-4B802B9F0E50}" srcOrd="1" destOrd="0" presId="urn:microsoft.com/office/officeart/2005/8/layout/list1"/>
    <dgm:cxn modelId="{1781B057-0227-44B1-BDA3-8849EB138B0A}" srcId="{FC861F89-AAD8-4174-92FD-4E7DD8C8910E}" destId="{0ECD1DC0-D905-4015-BA32-D3A4EDB01FA0}" srcOrd="0" destOrd="0" parTransId="{5673D7E5-6AA5-4411-9C26-889D8FF39EDF}" sibTransId="{B3CB0F3B-0107-4371-A22A-45BB8B9E14C2}"/>
    <dgm:cxn modelId="{8C05558F-7DE8-441A-AD81-E569F96E64C0}" srcId="{FC861F89-AAD8-4174-92FD-4E7DD8C8910E}" destId="{5760DA44-BB3F-40D4-994F-EF860F7A467E}" srcOrd="4" destOrd="0" parTransId="{E465EAC9-83A0-46C2-A53A-9602EAB99901}" sibTransId="{FFD07D58-B740-4CA3-95AB-42751E2F8B6B}"/>
    <dgm:cxn modelId="{77B718A4-B2F4-4007-8633-A588C53BDD14}" type="presOf" srcId="{5760DA44-BB3F-40D4-994F-EF860F7A467E}" destId="{2FFF3C71-1BCD-41E9-9F14-B39EA01EAAC6}" srcOrd="1" destOrd="0" presId="urn:microsoft.com/office/officeart/2005/8/layout/list1"/>
    <dgm:cxn modelId="{725C07AE-747D-4885-89F2-C5CB21F72D3C}" type="presOf" srcId="{FC861F89-AAD8-4174-92FD-4E7DD8C8910E}" destId="{7A89D2B2-27E1-40A7-A93E-3B1301D77C57}" srcOrd="0" destOrd="0" presId="urn:microsoft.com/office/officeart/2005/8/layout/list1"/>
    <dgm:cxn modelId="{AE8B27C8-8458-466E-B419-0E410A03ACC8}" type="presOf" srcId="{0ECD1DC0-D905-4015-BA32-D3A4EDB01FA0}" destId="{8389E5B0-AFC5-434A-8C0A-222A0E4E7682}" srcOrd="1" destOrd="0" presId="urn:microsoft.com/office/officeart/2005/8/layout/list1"/>
    <dgm:cxn modelId="{4D0972EB-9874-45E4-A6B2-B70518960B0B}" type="presOf" srcId="{4A4665F3-5C21-4A37-BCAE-AA3E2D890CAF}" destId="{BB8C6531-682E-4884-AE8A-7D6F42130EA8}" srcOrd="0" destOrd="0" presId="urn:microsoft.com/office/officeart/2005/8/layout/list1"/>
    <dgm:cxn modelId="{E5A2A5F9-A80E-4FE7-8056-BA4259813BFE}" type="presParOf" srcId="{7A89D2B2-27E1-40A7-A93E-3B1301D77C57}" destId="{750AAE4E-0EDE-4A6E-91EB-6EA8F02E7133}" srcOrd="0" destOrd="0" presId="urn:microsoft.com/office/officeart/2005/8/layout/list1"/>
    <dgm:cxn modelId="{69F7DF9A-BEA4-4988-BDBE-C5D07AFBD37F}" type="presParOf" srcId="{750AAE4E-0EDE-4A6E-91EB-6EA8F02E7133}" destId="{9BFE99F9-C89E-4DE0-AFB0-1855AC4A9549}" srcOrd="0" destOrd="0" presId="urn:microsoft.com/office/officeart/2005/8/layout/list1"/>
    <dgm:cxn modelId="{F58ABABC-E6D8-4472-AFE9-E39DF10C6170}" type="presParOf" srcId="{750AAE4E-0EDE-4A6E-91EB-6EA8F02E7133}" destId="{8389E5B0-AFC5-434A-8C0A-222A0E4E7682}" srcOrd="1" destOrd="0" presId="urn:microsoft.com/office/officeart/2005/8/layout/list1"/>
    <dgm:cxn modelId="{727AF05B-68A6-4F1E-AD03-98A743B8E12C}" type="presParOf" srcId="{7A89D2B2-27E1-40A7-A93E-3B1301D77C57}" destId="{27D6B426-849B-4803-9AF2-AAB00384DDBC}" srcOrd="1" destOrd="0" presId="urn:microsoft.com/office/officeart/2005/8/layout/list1"/>
    <dgm:cxn modelId="{BF1DE884-1A0D-48E9-A00F-5DB1E8699BDA}" type="presParOf" srcId="{7A89D2B2-27E1-40A7-A93E-3B1301D77C57}" destId="{6829E52A-782A-46E3-A4C1-B5F61B17393F}" srcOrd="2" destOrd="0" presId="urn:microsoft.com/office/officeart/2005/8/layout/list1"/>
    <dgm:cxn modelId="{AB66A5FD-2B94-4E16-853A-7875A7353556}" type="presParOf" srcId="{7A89D2B2-27E1-40A7-A93E-3B1301D77C57}" destId="{C0D68442-A61E-496E-B45C-F70168503ADD}" srcOrd="3" destOrd="0" presId="urn:microsoft.com/office/officeart/2005/8/layout/list1"/>
    <dgm:cxn modelId="{6D7FF7B6-9B0F-4E63-8CF1-82892BE2FC45}" type="presParOf" srcId="{7A89D2B2-27E1-40A7-A93E-3B1301D77C57}" destId="{901CAEE2-27DD-4764-8D4D-B13EE857EEC9}" srcOrd="4" destOrd="0" presId="urn:microsoft.com/office/officeart/2005/8/layout/list1"/>
    <dgm:cxn modelId="{7DD9B6FA-DBF8-4C25-A028-0183780A2B62}" type="presParOf" srcId="{901CAEE2-27DD-4764-8D4D-B13EE857EEC9}" destId="{60048BBE-D6B2-4A40-8962-389A2C8195A8}" srcOrd="0" destOrd="0" presId="urn:microsoft.com/office/officeart/2005/8/layout/list1"/>
    <dgm:cxn modelId="{AFA52A97-6E96-4F5D-A525-1ABF4C6C5168}" type="presParOf" srcId="{901CAEE2-27DD-4764-8D4D-B13EE857EEC9}" destId="{5708D2FF-05B2-4FE2-8B07-4B802B9F0E50}" srcOrd="1" destOrd="0" presId="urn:microsoft.com/office/officeart/2005/8/layout/list1"/>
    <dgm:cxn modelId="{EE8CE02A-D252-4A86-B987-99082257E07F}" type="presParOf" srcId="{7A89D2B2-27E1-40A7-A93E-3B1301D77C57}" destId="{2B62BE9F-E421-4D1C-B7E7-AEEC0DCED67B}" srcOrd="5" destOrd="0" presId="urn:microsoft.com/office/officeart/2005/8/layout/list1"/>
    <dgm:cxn modelId="{5D89456C-23BD-41D3-8A47-DAF0F439C875}" type="presParOf" srcId="{7A89D2B2-27E1-40A7-A93E-3B1301D77C57}" destId="{F71838D9-D670-46FB-9D19-C36115F17D7C}" srcOrd="6" destOrd="0" presId="urn:microsoft.com/office/officeart/2005/8/layout/list1"/>
    <dgm:cxn modelId="{5D62AEF0-640E-48BA-919E-54C4CAD354AB}" type="presParOf" srcId="{7A89D2B2-27E1-40A7-A93E-3B1301D77C57}" destId="{971C34DF-4A69-41F4-8B8D-82460A88392B}" srcOrd="7" destOrd="0" presId="urn:microsoft.com/office/officeart/2005/8/layout/list1"/>
    <dgm:cxn modelId="{2B76CE52-360D-4C9E-9CA0-B32481DFE86C}" type="presParOf" srcId="{7A89D2B2-27E1-40A7-A93E-3B1301D77C57}" destId="{DD263A8D-7E48-4F1A-B328-37300FA9EF41}" srcOrd="8" destOrd="0" presId="urn:microsoft.com/office/officeart/2005/8/layout/list1"/>
    <dgm:cxn modelId="{F1699371-E81A-4D71-8D41-709BAEF632DD}" type="presParOf" srcId="{DD263A8D-7E48-4F1A-B328-37300FA9EF41}" destId="{BB8C6531-682E-4884-AE8A-7D6F42130EA8}" srcOrd="0" destOrd="0" presId="urn:microsoft.com/office/officeart/2005/8/layout/list1"/>
    <dgm:cxn modelId="{1A3459DA-CB4E-44F9-B8A2-AC52D7AA455D}" type="presParOf" srcId="{DD263A8D-7E48-4F1A-B328-37300FA9EF41}" destId="{6E800A4A-4E1A-4A4A-B621-D163D31F5F93}" srcOrd="1" destOrd="0" presId="urn:microsoft.com/office/officeart/2005/8/layout/list1"/>
    <dgm:cxn modelId="{0335D023-606D-4180-99E9-7E977DE71E53}" type="presParOf" srcId="{7A89D2B2-27E1-40A7-A93E-3B1301D77C57}" destId="{EAEB248B-73FA-4CF9-99B1-9A9BF00ABDF3}" srcOrd="9" destOrd="0" presId="urn:microsoft.com/office/officeart/2005/8/layout/list1"/>
    <dgm:cxn modelId="{8946A132-FC7C-411D-A336-1A71A2123670}" type="presParOf" srcId="{7A89D2B2-27E1-40A7-A93E-3B1301D77C57}" destId="{230BF14A-1701-49D8-991D-BA0AF48F448D}" srcOrd="10" destOrd="0" presId="urn:microsoft.com/office/officeart/2005/8/layout/list1"/>
    <dgm:cxn modelId="{E7692D5D-990F-4894-AC9E-0AA935CD8429}" type="presParOf" srcId="{7A89D2B2-27E1-40A7-A93E-3B1301D77C57}" destId="{B2F25418-280F-4392-8504-898FDE4CF2C6}" srcOrd="11" destOrd="0" presId="urn:microsoft.com/office/officeart/2005/8/layout/list1"/>
    <dgm:cxn modelId="{D2CCCF17-F279-48F7-AF77-9F23E9FF0739}" type="presParOf" srcId="{7A89D2B2-27E1-40A7-A93E-3B1301D77C57}" destId="{29044FD9-41ED-4315-81AF-7CAD5BC54A63}" srcOrd="12" destOrd="0" presId="urn:microsoft.com/office/officeart/2005/8/layout/list1"/>
    <dgm:cxn modelId="{9CB252CD-FED3-42A6-918A-579DF0BEA9C2}" type="presParOf" srcId="{29044FD9-41ED-4315-81AF-7CAD5BC54A63}" destId="{9E843AE5-FFC4-4E06-BA03-2EA4D5BBDBA3}" srcOrd="0" destOrd="0" presId="urn:microsoft.com/office/officeart/2005/8/layout/list1"/>
    <dgm:cxn modelId="{AAB508E8-B474-43F6-9D83-6BD2A709F5D4}" type="presParOf" srcId="{29044FD9-41ED-4315-81AF-7CAD5BC54A63}" destId="{57D2EC95-CBB2-44AB-8D67-B61512B932EB}" srcOrd="1" destOrd="0" presId="urn:microsoft.com/office/officeart/2005/8/layout/list1"/>
    <dgm:cxn modelId="{6D108E92-58FC-4DF6-8831-2E7CBA3457F0}" type="presParOf" srcId="{7A89D2B2-27E1-40A7-A93E-3B1301D77C57}" destId="{592FD256-643B-4C3E-B144-4EF12BDE81F6}" srcOrd="13" destOrd="0" presId="urn:microsoft.com/office/officeart/2005/8/layout/list1"/>
    <dgm:cxn modelId="{2EA49DA2-5797-4594-9898-2EE86F8DBAF5}" type="presParOf" srcId="{7A89D2B2-27E1-40A7-A93E-3B1301D77C57}" destId="{2FE81465-11E2-456B-83E5-FF3AD056105B}" srcOrd="14" destOrd="0" presId="urn:microsoft.com/office/officeart/2005/8/layout/list1"/>
    <dgm:cxn modelId="{8277C033-63A1-43EB-88AA-1566012AF977}" type="presParOf" srcId="{7A89D2B2-27E1-40A7-A93E-3B1301D77C57}" destId="{A6814129-C4AB-4102-90A9-C66C399A0DBC}" srcOrd="15" destOrd="0" presId="urn:microsoft.com/office/officeart/2005/8/layout/list1"/>
    <dgm:cxn modelId="{F4AB74C2-3B84-4E1D-B030-88DA6C02D2EE}" type="presParOf" srcId="{7A89D2B2-27E1-40A7-A93E-3B1301D77C57}" destId="{5EB27712-45BE-4D3B-9D02-408280F723C8}" srcOrd="16" destOrd="0" presId="urn:microsoft.com/office/officeart/2005/8/layout/list1"/>
    <dgm:cxn modelId="{C25CF06E-8CA7-490A-B426-FFD2AACA7000}" type="presParOf" srcId="{5EB27712-45BE-4D3B-9D02-408280F723C8}" destId="{6563EC8B-4FE6-49EA-BABB-86188C1E301F}" srcOrd="0" destOrd="0" presId="urn:microsoft.com/office/officeart/2005/8/layout/list1"/>
    <dgm:cxn modelId="{E4DDC3D1-B0AA-4E0A-8186-CF06CA57C972}" type="presParOf" srcId="{5EB27712-45BE-4D3B-9D02-408280F723C8}" destId="{2FFF3C71-1BCD-41E9-9F14-B39EA01EAAC6}" srcOrd="1" destOrd="0" presId="urn:microsoft.com/office/officeart/2005/8/layout/list1"/>
    <dgm:cxn modelId="{902858C4-9E58-46F1-85AF-D6932645C349}" type="presParOf" srcId="{7A89D2B2-27E1-40A7-A93E-3B1301D77C57}" destId="{E5E33901-FF8D-4EB2-9915-BC97690A24D0}" srcOrd="17" destOrd="0" presId="urn:microsoft.com/office/officeart/2005/8/layout/list1"/>
    <dgm:cxn modelId="{74C984DC-BCBB-480C-B7FC-76925BA697E3}" type="presParOf" srcId="{7A89D2B2-27E1-40A7-A93E-3B1301D77C57}" destId="{D3F45EB0-9285-43BB-B897-6D59BA9E7D85}" srcOrd="18"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9E52A-782A-46E3-A4C1-B5F61B17393F}">
      <dsp:nvSpPr>
        <dsp:cNvPr id="0" name=""/>
        <dsp:cNvSpPr/>
      </dsp:nvSpPr>
      <dsp:spPr>
        <a:xfrm>
          <a:off x="0" y="179573"/>
          <a:ext cx="5731510" cy="226800"/>
        </a:xfrm>
        <a:prstGeom prst="rect">
          <a:avLst/>
        </a:prstGeom>
        <a:solidFill>
          <a:sysClr val="window" lastClr="FFFFFF">
            <a:alpha val="90000"/>
            <a:hueOff val="0"/>
            <a:satOff val="0"/>
            <a:lumOff val="0"/>
            <a:alphaOff val="0"/>
          </a:sysClr>
        </a:solidFill>
        <a:ln w="25400" cap="flat" cmpd="sng" algn="ctr">
          <a:solidFill>
            <a:srgbClr val="00338D">
              <a:shade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389E5B0-AFC5-434A-8C0A-222A0E4E7682}">
      <dsp:nvSpPr>
        <dsp:cNvPr id="0" name=""/>
        <dsp:cNvSpPr/>
      </dsp:nvSpPr>
      <dsp:spPr>
        <a:xfrm>
          <a:off x="286575" y="46733"/>
          <a:ext cx="4012057" cy="265680"/>
        </a:xfrm>
        <a:prstGeom prst="roundRect">
          <a:avLst/>
        </a:prstGeom>
        <a:solidFill>
          <a:srgbClr val="00338D">
            <a:shade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a:ea typeface="+mn-ea"/>
              <a:cs typeface="+mn-cs"/>
            </a:rPr>
            <a:t>Identifiability</a:t>
          </a:r>
        </a:p>
      </dsp:txBody>
      <dsp:txXfrm>
        <a:off x="299544" y="59702"/>
        <a:ext cx="3986119" cy="239742"/>
      </dsp:txXfrm>
    </dsp:sp>
    <dsp:sp modelId="{F71838D9-D670-46FB-9D19-C36115F17D7C}">
      <dsp:nvSpPr>
        <dsp:cNvPr id="0" name=""/>
        <dsp:cNvSpPr/>
      </dsp:nvSpPr>
      <dsp:spPr>
        <a:xfrm>
          <a:off x="0" y="587813"/>
          <a:ext cx="5731510" cy="226800"/>
        </a:xfrm>
        <a:prstGeom prst="rect">
          <a:avLst/>
        </a:prstGeom>
        <a:solidFill>
          <a:sysClr val="window" lastClr="FFFFFF">
            <a:alpha val="90000"/>
            <a:hueOff val="0"/>
            <a:satOff val="0"/>
            <a:lumOff val="0"/>
            <a:alphaOff val="0"/>
          </a:sysClr>
        </a:solidFill>
        <a:ln w="25400" cap="flat" cmpd="sng" algn="ctr">
          <a:solidFill>
            <a:srgbClr val="00338D">
              <a:shade val="50000"/>
              <a:hueOff val="296636"/>
              <a:satOff val="-32504"/>
              <a:lumOff val="21933"/>
              <a:alphaOff val="0"/>
            </a:srgbClr>
          </a:solidFill>
          <a:prstDash val="solid"/>
        </a:ln>
        <a:effectLst/>
      </dsp:spPr>
      <dsp:style>
        <a:lnRef idx="2">
          <a:scrgbClr r="0" g="0" b="0"/>
        </a:lnRef>
        <a:fillRef idx="1">
          <a:scrgbClr r="0" g="0" b="0"/>
        </a:fillRef>
        <a:effectRef idx="0">
          <a:scrgbClr r="0" g="0" b="0"/>
        </a:effectRef>
        <a:fontRef idx="minor"/>
      </dsp:style>
    </dsp:sp>
    <dsp:sp modelId="{5708D2FF-05B2-4FE2-8B07-4B802B9F0E50}">
      <dsp:nvSpPr>
        <dsp:cNvPr id="0" name=""/>
        <dsp:cNvSpPr/>
      </dsp:nvSpPr>
      <dsp:spPr>
        <a:xfrm>
          <a:off x="286575" y="454973"/>
          <a:ext cx="4012057" cy="265680"/>
        </a:xfrm>
        <a:prstGeom prst="roundRect">
          <a:avLst/>
        </a:prstGeom>
        <a:solidFill>
          <a:srgbClr val="00338D">
            <a:shade val="50000"/>
            <a:hueOff val="296636"/>
            <a:satOff val="-32504"/>
            <a:lumOff val="2193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a:ea typeface="+mn-ea"/>
              <a:cs typeface="+mn-cs"/>
            </a:rPr>
            <a:t>Non-Monetary</a:t>
          </a:r>
        </a:p>
      </dsp:txBody>
      <dsp:txXfrm>
        <a:off x="299544" y="467942"/>
        <a:ext cx="3986119" cy="239742"/>
      </dsp:txXfrm>
    </dsp:sp>
    <dsp:sp modelId="{230BF14A-1701-49D8-991D-BA0AF48F448D}">
      <dsp:nvSpPr>
        <dsp:cNvPr id="0" name=""/>
        <dsp:cNvSpPr/>
      </dsp:nvSpPr>
      <dsp:spPr>
        <a:xfrm>
          <a:off x="0" y="996054"/>
          <a:ext cx="5731510" cy="226800"/>
        </a:xfrm>
        <a:prstGeom prst="rect">
          <a:avLst/>
        </a:prstGeom>
        <a:solidFill>
          <a:sysClr val="window" lastClr="FFFFFF">
            <a:alpha val="90000"/>
            <a:hueOff val="0"/>
            <a:satOff val="0"/>
            <a:lumOff val="0"/>
            <a:alphaOff val="0"/>
          </a:sysClr>
        </a:solidFill>
        <a:ln w="25400" cap="flat" cmpd="sng" algn="ctr">
          <a:solidFill>
            <a:srgbClr val="00338D">
              <a:shade val="50000"/>
              <a:hueOff val="593272"/>
              <a:satOff val="-65008"/>
              <a:lumOff val="43866"/>
              <a:alphaOff val="0"/>
            </a:srgbClr>
          </a:solidFill>
          <a:prstDash val="solid"/>
        </a:ln>
        <a:effectLst/>
      </dsp:spPr>
      <dsp:style>
        <a:lnRef idx="2">
          <a:scrgbClr r="0" g="0" b="0"/>
        </a:lnRef>
        <a:fillRef idx="1">
          <a:scrgbClr r="0" g="0" b="0"/>
        </a:fillRef>
        <a:effectRef idx="0">
          <a:scrgbClr r="0" g="0" b="0"/>
        </a:effectRef>
        <a:fontRef idx="minor"/>
      </dsp:style>
    </dsp:sp>
    <dsp:sp modelId="{6E800A4A-4E1A-4A4A-B621-D163D31F5F93}">
      <dsp:nvSpPr>
        <dsp:cNvPr id="0" name=""/>
        <dsp:cNvSpPr/>
      </dsp:nvSpPr>
      <dsp:spPr>
        <a:xfrm>
          <a:off x="286575" y="863214"/>
          <a:ext cx="4012057" cy="265680"/>
        </a:xfrm>
        <a:prstGeom prst="roundRect">
          <a:avLst/>
        </a:prstGeom>
        <a:solidFill>
          <a:srgbClr val="00338D">
            <a:shade val="50000"/>
            <a:hueOff val="593272"/>
            <a:satOff val="-65008"/>
            <a:lumOff val="4386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a:ea typeface="+mn-ea"/>
              <a:cs typeface="+mn-cs"/>
            </a:rPr>
            <a:t>Lack of Physical Substance</a:t>
          </a:r>
        </a:p>
      </dsp:txBody>
      <dsp:txXfrm>
        <a:off x="299544" y="876183"/>
        <a:ext cx="3986119" cy="239742"/>
      </dsp:txXfrm>
    </dsp:sp>
    <dsp:sp modelId="{2FE81465-11E2-456B-83E5-FF3AD056105B}">
      <dsp:nvSpPr>
        <dsp:cNvPr id="0" name=""/>
        <dsp:cNvSpPr/>
      </dsp:nvSpPr>
      <dsp:spPr>
        <a:xfrm>
          <a:off x="0" y="1404294"/>
          <a:ext cx="5731510" cy="226800"/>
        </a:xfrm>
        <a:prstGeom prst="rect">
          <a:avLst/>
        </a:prstGeom>
        <a:solidFill>
          <a:sysClr val="window" lastClr="FFFFFF">
            <a:alpha val="90000"/>
            <a:hueOff val="0"/>
            <a:satOff val="0"/>
            <a:lumOff val="0"/>
            <a:alphaOff val="0"/>
          </a:sysClr>
        </a:solidFill>
        <a:ln w="25400" cap="flat" cmpd="sng" algn="ctr">
          <a:solidFill>
            <a:srgbClr val="00338D">
              <a:shade val="50000"/>
              <a:hueOff val="593272"/>
              <a:satOff val="-65008"/>
              <a:lumOff val="43866"/>
              <a:alphaOff val="0"/>
            </a:srgbClr>
          </a:solidFill>
          <a:prstDash val="solid"/>
        </a:ln>
        <a:effectLst/>
      </dsp:spPr>
      <dsp:style>
        <a:lnRef idx="2">
          <a:scrgbClr r="0" g="0" b="0"/>
        </a:lnRef>
        <a:fillRef idx="1">
          <a:scrgbClr r="0" g="0" b="0"/>
        </a:fillRef>
        <a:effectRef idx="0">
          <a:scrgbClr r="0" g="0" b="0"/>
        </a:effectRef>
        <a:fontRef idx="minor"/>
      </dsp:style>
    </dsp:sp>
    <dsp:sp modelId="{57D2EC95-CBB2-44AB-8D67-B61512B932EB}">
      <dsp:nvSpPr>
        <dsp:cNvPr id="0" name=""/>
        <dsp:cNvSpPr/>
      </dsp:nvSpPr>
      <dsp:spPr>
        <a:xfrm>
          <a:off x="286575" y="1271454"/>
          <a:ext cx="4012057" cy="265680"/>
        </a:xfrm>
        <a:prstGeom prst="roundRect">
          <a:avLst/>
        </a:prstGeom>
        <a:solidFill>
          <a:srgbClr val="00338D">
            <a:shade val="50000"/>
            <a:hueOff val="593272"/>
            <a:satOff val="-65008"/>
            <a:lumOff val="4386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a:ea typeface="+mn-ea"/>
              <a:cs typeface="+mn-cs"/>
            </a:rPr>
            <a:t>Control</a:t>
          </a:r>
        </a:p>
      </dsp:txBody>
      <dsp:txXfrm>
        <a:off x="299544" y="1284423"/>
        <a:ext cx="3986119" cy="239742"/>
      </dsp:txXfrm>
    </dsp:sp>
    <dsp:sp modelId="{D3F45EB0-9285-43BB-B897-6D59BA9E7D85}">
      <dsp:nvSpPr>
        <dsp:cNvPr id="0" name=""/>
        <dsp:cNvSpPr/>
      </dsp:nvSpPr>
      <dsp:spPr>
        <a:xfrm>
          <a:off x="0" y="1812534"/>
          <a:ext cx="5731510" cy="226800"/>
        </a:xfrm>
        <a:prstGeom prst="rect">
          <a:avLst/>
        </a:prstGeom>
        <a:solidFill>
          <a:sysClr val="window" lastClr="FFFFFF">
            <a:alpha val="90000"/>
            <a:hueOff val="0"/>
            <a:satOff val="0"/>
            <a:lumOff val="0"/>
            <a:alphaOff val="0"/>
          </a:sysClr>
        </a:solidFill>
        <a:ln w="25400" cap="flat" cmpd="sng" algn="ctr">
          <a:solidFill>
            <a:srgbClr val="00338D">
              <a:shade val="50000"/>
              <a:hueOff val="296636"/>
              <a:satOff val="-32504"/>
              <a:lumOff val="21933"/>
              <a:alphaOff val="0"/>
            </a:srgbClr>
          </a:solidFill>
          <a:prstDash val="solid"/>
        </a:ln>
        <a:effectLst/>
      </dsp:spPr>
      <dsp:style>
        <a:lnRef idx="2">
          <a:scrgbClr r="0" g="0" b="0"/>
        </a:lnRef>
        <a:fillRef idx="1">
          <a:scrgbClr r="0" g="0" b="0"/>
        </a:fillRef>
        <a:effectRef idx="0">
          <a:scrgbClr r="0" g="0" b="0"/>
        </a:effectRef>
        <a:fontRef idx="minor"/>
      </dsp:style>
    </dsp:sp>
    <dsp:sp modelId="{2FFF3C71-1BCD-41E9-9F14-B39EA01EAAC6}">
      <dsp:nvSpPr>
        <dsp:cNvPr id="0" name=""/>
        <dsp:cNvSpPr/>
      </dsp:nvSpPr>
      <dsp:spPr>
        <a:xfrm>
          <a:off x="286575" y="1679694"/>
          <a:ext cx="4012057" cy="265680"/>
        </a:xfrm>
        <a:prstGeom prst="roundRect">
          <a:avLst/>
        </a:prstGeom>
        <a:solidFill>
          <a:srgbClr val="00338D">
            <a:shade val="50000"/>
            <a:hueOff val="296636"/>
            <a:satOff val="-32504"/>
            <a:lumOff val="2193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a:ea typeface="+mn-ea"/>
              <a:cs typeface="+mn-cs"/>
            </a:rPr>
            <a:t>Future Economic Benefit</a:t>
          </a:r>
        </a:p>
      </dsp:txBody>
      <dsp:txXfrm>
        <a:off x="299544" y="1692663"/>
        <a:ext cx="3986119"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DDB17-51C1-461A-A7FC-85816491F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11</Pages>
  <Words>3647</Words>
  <Characters>20790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24389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Skok</dc:creator>
  <cp:keywords/>
  <dc:description/>
  <cp:lastModifiedBy>Benjamin Skok (DTF)</cp:lastModifiedBy>
  <cp:revision>17</cp:revision>
  <cp:lastPrinted>2018-11-13T00:45:00Z</cp:lastPrinted>
  <dcterms:created xsi:type="dcterms:W3CDTF">2018-10-31T05:28:00Z</dcterms:created>
  <dcterms:modified xsi:type="dcterms:W3CDTF">2018-11-21T22:43:00Z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Classification">
    <vt:lpwstr>Do Not Mark</vt:lpwstr>
  </property>
</Properties>
</file>