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E6D57" w14:textId="4D81EA97" w:rsidR="00045296" w:rsidRPr="0027122F" w:rsidRDefault="004C7125" w:rsidP="00AD60C7">
      <w:pPr>
        <w:pStyle w:val="Title"/>
        <w:rPr>
          <w:sz w:val="44"/>
        </w:rPr>
      </w:pPr>
      <w:bookmarkStart w:id="0" w:name="_Toc442780672"/>
      <w:r w:rsidRPr="0027122F">
        <w:rPr>
          <w:noProof/>
          <w:sz w:val="44"/>
        </w:rPr>
        <mc:AlternateContent>
          <mc:Choice Requires="wpg">
            <w:drawing>
              <wp:anchor distT="0" distB="0" distL="114300" distR="114300" simplePos="0" relativeHeight="251659264"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D70B3D" id="Page banner" o:spid="_x0000_s1026" alt="&quot;&quot;" style="position:absolute;margin-left:-46.8pt;margin-top:-40.5pt;width:409.5pt;height:233.25pt;z-index:-251657216"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1535A69C" w:rsidR="00522F8A" w:rsidRPr="00AD60C7" w:rsidRDefault="00AD60C7" w:rsidP="00A06F34">
      <w:pPr>
        <w:pStyle w:val="Subtitle"/>
        <w:spacing w:line="240" w:lineRule="auto"/>
        <w:ind w:left="2966"/>
      </w:pPr>
      <w:r>
        <w:t>Edition No. 40</w:t>
      </w:r>
      <w:r w:rsidR="00A06F34">
        <w:t xml:space="preserve"> </w:t>
      </w:r>
      <w:r>
        <w:t>July 2021</w:t>
      </w:r>
    </w:p>
    <w:p w14:paraId="0EB165FD" w14:textId="33CD91DD" w:rsidR="00522F8A" w:rsidRPr="007B141C" w:rsidRDefault="00522F8A" w:rsidP="00AD60C7">
      <w:pPr>
        <w:pStyle w:val="CM"/>
        <w:shd w:val="clear" w:color="auto" w:fill="232B39" w:themeFill="text1"/>
        <w:spacing w:after="1400"/>
      </w:pPr>
    </w:p>
    <w:p w14:paraId="46A24877" w14:textId="77777777" w:rsidR="00822DEC" w:rsidRDefault="00822DEC" w:rsidP="0027122F">
      <w:pPr>
        <w:pStyle w:val="Heading1"/>
        <w:sectPr w:rsidR="00822DEC" w:rsidSect="00126CC7">
          <w:headerReference w:type="even" r:id="rId9"/>
          <w:headerReference w:type="default" r:id="rId10"/>
          <w:footerReference w:type="even" r:id="rId11"/>
          <w:footerReference w:type="default" r:id="rId12"/>
          <w:headerReference w:type="first" r:id="rId13"/>
          <w:footerReference w:type="first" r:id="rId14"/>
          <w:pgSz w:w="11906" w:h="16838" w:code="9"/>
          <w:pgMar w:top="810" w:right="936" w:bottom="1728" w:left="936" w:header="450" w:footer="461" w:gutter="0"/>
          <w:cols w:space="708"/>
          <w:titlePg/>
          <w:docGrid w:linePitch="360"/>
        </w:sectPr>
      </w:pPr>
    </w:p>
    <w:p w14:paraId="7985DCE7" w14:textId="351EB8A5" w:rsidR="00045296" w:rsidRDefault="00AD60C7" w:rsidP="00AD60C7">
      <w:pPr>
        <w:spacing w:before="400"/>
        <w:rPr>
          <w:rFonts w:asciiTheme="majorHAnsi" w:eastAsia="Times New Roman" w:hAnsiTheme="majorHAnsi"/>
        </w:rPr>
      </w:pPr>
      <w:r w:rsidRPr="00AD60C7">
        <w:rPr>
          <w:rFonts w:asciiTheme="majorHAnsi" w:eastAsia="Times New Roman" w:hAnsiTheme="majorHAnsi"/>
        </w:rPr>
        <w:t>Scope: This biannual newsletter outlines areas of importance in public sector financial reporting. Please distribute to both budget and financial reporting areas of Victorian public sector entities.</w:t>
      </w:r>
    </w:p>
    <w:p w14:paraId="769E597F" w14:textId="77777777" w:rsidR="0027122F" w:rsidRPr="00AD60C7" w:rsidRDefault="0027122F" w:rsidP="00AD60C7">
      <w:pPr>
        <w:spacing w:before="400"/>
        <w:rPr>
          <w:rFonts w:asciiTheme="majorHAnsi" w:eastAsia="Times New Roman" w:hAnsiTheme="majorHAnsi"/>
        </w:rPr>
      </w:pPr>
    </w:p>
    <w:p w14:paraId="0F92213C" w14:textId="3DBECEAD" w:rsidR="00AD60C7" w:rsidRDefault="00AD60C7" w:rsidP="00AD60C7">
      <w:pPr>
        <w:pStyle w:val="Heading3"/>
      </w:pPr>
      <w:r>
        <w:t>Inside this edition</w:t>
      </w:r>
    </w:p>
    <w:p w14:paraId="19E44789" w14:textId="75161C48" w:rsidR="004229CE" w:rsidRDefault="00AD60C7" w:rsidP="004229CE">
      <w:pPr>
        <w:pStyle w:val="TOC1"/>
        <w:rPr>
          <w:color w:val="auto"/>
          <w:sz w:val="22"/>
          <w:szCs w:val="22"/>
        </w:rPr>
      </w:pPr>
      <w:r w:rsidRPr="00B90E28">
        <w:fldChar w:fldCharType="begin"/>
      </w:r>
      <w:r w:rsidRPr="00B90E28">
        <w:instrText xml:space="preserve"> TOC \h \z \t "Heading 1,1" </w:instrText>
      </w:r>
      <w:r w:rsidRPr="00B90E28">
        <w:fldChar w:fldCharType="separate"/>
      </w:r>
      <w:hyperlink w:anchor="_Toc76554642" w:history="1">
        <w:r w:rsidR="004229CE" w:rsidRPr="0045475C">
          <w:rPr>
            <w:rStyle w:val="Hyperlink"/>
            <w:rFonts w:eastAsia="Times New Roman"/>
          </w:rPr>
          <w:t>Overview</w:t>
        </w:r>
        <w:r w:rsidR="004229CE">
          <w:rPr>
            <w:webHidden/>
          </w:rPr>
          <w:tab/>
        </w:r>
        <w:r w:rsidR="004229CE">
          <w:rPr>
            <w:webHidden/>
          </w:rPr>
          <w:fldChar w:fldCharType="begin"/>
        </w:r>
        <w:r w:rsidR="004229CE">
          <w:rPr>
            <w:webHidden/>
          </w:rPr>
          <w:instrText xml:space="preserve"> PAGEREF _Toc76554642 \h </w:instrText>
        </w:r>
        <w:r w:rsidR="004229CE">
          <w:rPr>
            <w:webHidden/>
          </w:rPr>
        </w:r>
        <w:r w:rsidR="004229CE">
          <w:rPr>
            <w:webHidden/>
          </w:rPr>
          <w:fldChar w:fldCharType="separate"/>
        </w:r>
        <w:r w:rsidR="00617D5D">
          <w:rPr>
            <w:webHidden/>
          </w:rPr>
          <w:t>1</w:t>
        </w:r>
        <w:r w:rsidR="004229CE">
          <w:rPr>
            <w:webHidden/>
          </w:rPr>
          <w:fldChar w:fldCharType="end"/>
        </w:r>
      </w:hyperlink>
    </w:p>
    <w:p w14:paraId="659910A9" w14:textId="4D6B0201" w:rsidR="004229CE" w:rsidRDefault="00617D5D" w:rsidP="004229CE">
      <w:pPr>
        <w:pStyle w:val="TOC1"/>
        <w:rPr>
          <w:color w:val="auto"/>
          <w:sz w:val="22"/>
          <w:szCs w:val="22"/>
        </w:rPr>
      </w:pPr>
      <w:hyperlink w:anchor="_Toc76554643" w:history="1">
        <w:r w:rsidR="004229CE" w:rsidRPr="0045475C">
          <w:rPr>
            <w:rStyle w:val="Hyperlink"/>
            <w:rFonts w:eastAsia="Times New Roman"/>
          </w:rPr>
          <w:t>Financial reporting legislation</w:t>
        </w:r>
        <w:r w:rsidR="004229CE">
          <w:rPr>
            <w:webHidden/>
          </w:rPr>
          <w:tab/>
        </w:r>
        <w:r w:rsidR="004229CE">
          <w:rPr>
            <w:webHidden/>
          </w:rPr>
          <w:fldChar w:fldCharType="begin"/>
        </w:r>
        <w:r w:rsidR="004229CE">
          <w:rPr>
            <w:webHidden/>
          </w:rPr>
          <w:instrText xml:space="preserve"> PAGEREF _Toc76554643 \h </w:instrText>
        </w:r>
        <w:r w:rsidR="004229CE">
          <w:rPr>
            <w:webHidden/>
          </w:rPr>
        </w:r>
        <w:r w:rsidR="004229CE">
          <w:rPr>
            <w:webHidden/>
          </w:rPr>
          <w:fldChar w:fldCharType="separate"/>
        </w:r>
        <w:r>
          <w:rPr>
            <w:webHidden/>
          </w:rPr>
          <w:t>4</w:t>
        </w:r>
        <w:r w:rsidR="004229CE">
          <w:rPr>
            <w:webHidden/>
          </w:rPr>
          <w:fldChar w:fldCharType="end"/>
        </w:r>
      </w:hyperlink>
    </w:p>
    <w:p w14:paraId="3C20FE95" w14:textId="140D949F" w:rsidR="004229CE" w:rsidRDefault="00617D5D" w:rsidP="004229CE">
      <w:pPr>
        <w:pStyle w:val="TOC1"/>
        <w:rPr>
          <w:color w:val="auto"/>
          <w:sz w:val="22"/>
          <w:szCs w:val="22"/>
        </w:rPr>
      </w:pPr>
      <w:hyperlink w:anchor="_Toc76554644" w:history="1">
        <w:r w:rsidR="004229CE" w:rsidRPr="0045475C">
          <w:rPr>
            <w:rStyle w:val="Hyperlink"/>
            <w:rFonts w:eastAsia="Times New Roman"/>
          </w:rPr>
          <w:t>AASB update</w:t>
        </w:r>
        <w:r w:rsidR="004229CE">
          <w:rPr>
            <w:webHidden/>
          </w:rPr>
          <w:tab/>
        </w:r>
        <w:r w:rsidR="004229CE">
          <w:rPr>
            <w:webHidden/>
          </w:rPr>
          <w:fldChar w:fldCharType="begin"/>
        </w:r>
        <w:r w:rsidR="004229CE">
          <w:rPr>
            <w:webHidden/>
          </w:rPr>
          <w:instrText xml:space="preserve"> PAGEREF _Toc76554644 \h </w:instrText>
        </w:r>
        <w:r w:rsidR="004229CE">
          <w:rPr>
            <w:webHidden/>
          </w:rPr>
        </w:r>
        <w:r w:rsidR="004229CE">
          <w:rPr>
            <w:webHidden/>
          </w:rPr>
          <w:fldChar w:fldCharType="separate"/>
        </w:r>
        <w:r>
          <w:rPr>
            <w:webHidden/>
          </w:rPr>
          <w:t>7</w:t>
        </w:r>
        <w:r w:rsidR="004229CE">
          <w:rPr>
            <w:webHidden/>
          </w:rPr>
          <w:fldChar w:fldCharType="end"/>
        </w:r>
      </w:hyperlink>
    </w:p>
    <w:p w14:paraId="58D37624" w14:textId="69DB5054" w:rsidR="004229CE" w:rsidRPr="004229CE" w:rsidRDefault="00617D5D" w:rsidP="004229CE">
      <w:pPr>
        <w:pStyle w:val="TOC1"/>
      </w:pPr>
      <w:hyperlink w:anchor="_Toc76554645" w:history="1">
        <w:r w:rsidR="004229CE" w:rsidRPr="004229CE">
          <w:rPr>
            <w:rStyle w:val="Hyperlink"/>
            <w:color w:val="232B39" w:themeColor="text1"/>
          </w:rPr>
          <w:t>Other developments</w:t>
        </w:r>
        <w:r w:rsidR="004229CE" w:rsidRPr="004229CE">
          <w:rPr>
            <w:webHidden/>
          </w:rPr>
          <w:tab/>
        </w:r>
        <w:r w:rsidR="004229CE" w:rsidRPr="004229CE">
          <w:rPr>
            <w:webHidden/>
          </w:rPr>
          <w:fldChar w:fldCharType="begin"/>
        </w:r>
        <w:r w:rsidR="004229CE" w:rsidRPr="004229CE">
          <w:rPr>
            <w:webHidden/>
          </w:rPr>
          <w:instrText xml:space="preserve"> PAGEREF _Toc76554645 \h </w:instrText>
        </w:r>
        <w:r w:rsidR="004229CE" w:rsidRPr="004229CE">
          <w:rPr>
            <w:webHidden/>
          </w:rPr>
        </w:r>
        <w:r w:rsidR="004229CE" w:rsidRPr="004229CE">
          <w:rPr>
            <w:webHidden/>
          </w:rPr>
          <w:fldChar w:fldCharType="separate"/>
        </w:r>
        <w:r>
          <w:rPr>
            <w:webHidden/>
          </w:rPr>
          <w:t>8</w:t>
        </w:r>
        <w:r w:rsidR="004229CE" w:rsidRPr="004229CE">
          <w:rPr>
            <w:webHidden/>
          </w:rPr>
          <w:fldChar w:fldCharType="end"/>
        </w:r>
      </w:hyperlink>
    </w:p>
    <w:p w14:paraId="43681F04" w14:textId="3D20741B" w:rsidR="004229CE" w:rsidRPr="004229CE" w:rsidRDefault="00617D5D" w:rsidP="004229CE">
      <w:pPr>
        <w:pStyle w:val="TOC1"/>
      </w:pPr>
      <w:hyperlink w:anchor="_Toc76554646" w:history="1">
        <w:r w:rsidR="004229CE" w:rsidRPr="004229CE">
          <w:rPr>
            <w:rStyle w:val="Hyperlink"/>
            <w:color w:val="232B39" w:themeColor="text1"/>
          </w:rPr>
          <w:t>How to contact us</w:t>
        </w:r>
        <w:r w:rsidR="004229CE" w:rsidRPr="004229CE">
          <w:rPr>
            <w:webHidden/>
          </w:rPr>
          <w:tab/>
        </w:r>
        <w:r w:rsidR="004229CE" w:rsidRPr="004229CE">
          <w:rPr>
            <w:webHidden/>
          </w:rPr>
          <w:fldChar w:fldCharType="begin"/>
        </w:r>
        <w:r w:rsidR="004229CE" w:rsidRPr="004229CE">
          <w:rPr>
            <w:webHidden/>
          </w:rPr>
          <w:instrText xml:space="preserve"> PAGEREF _Toc76554646 \h </w:instrText>
        </w:r>
        <w:r w:rsidR="004229CE" w:rsidRPr="004229CE">
          <w:rPr>
            <w:webHidden/>
          </w:rPr>
        </w:r>
        <w:r w:rsidR="004229CE" w:rsidRPr="004229CE">
          <w:rPr>
            <w:webHidden/>
          </w:rPr>
          <w:fldChar w:fldCharType="separate"/>
        </w:r>
        <w:r>
          <w:rPr>
            <w:webHidden/>
          </w:rPr>
          <w:t>10</w:t>
        </w:r>
        <w:r w:rsidR="004229CE" w:rsidRPr="004229CE">
          <w:rPr>
            <w:webHidden/>
          </w:rPr>
          <w:fldChar w:fldCharType="end"/>
        </w:r>
      </w:hyperlink>
    </w:p>
    <w:p w14:paraId="5C0B9AE3" w14:textId="0C7AB16D" w:rsidR="00AD60C7" w:rsidRDefault="00AD60C7" w:rsidP="00AD60C7">
      <w:r w:rsidRPr="00B90E28">
        <w:fldChar w:fldCharType="end"/>
      </w:r>
    </w:p>
    <w:p w14:paraId="7D999847" w14:textId="33708B7E" w:rsidR="00AD60C7" w:rsidRPr="00000C9B" w:rsidRDefault="005129A3" w:rsidP="0027122F">
      <w:pPr>
        <w:pStyle w:val="Heading1"/>
        <w:spacing w:before="300"/>
      </w:pPr>
      <w:r>
        <w:br w:type="column"/>
      </w:r>
      <w:bookmarkStart w:id="1" w:name="_Toc33614830"/>
      <w:bookmarkStart w:id="2" w:name="_Toc75950898"/>
      <w:bookmarkStart w:id="3" w:name="_Toc76554642"/>
      <w:r w:rsidR="00AD60C7" w:rsidRPr="00923519">
        <w:t>Overview</w:t>
      </w:r>
      <w:bookmarkEnd w:id="1"/>
      <w:bookmarkEnd w:id="2"/>
      <w:bookmarkEnd w:id="3"/>
    </w:p>
    <w:p w14:paraId="0873DA80" w14:textId="77777777" w:rsidR="00AD60C7" w:rsidRPr="00E74EE1" w:rsidRDefault="00AD60C7" w:rsidP="00AD60C7">
      <w:pPr>
        <w:rPr>
          <w:rFonts w:eastAsia="Times New Roman"/>
        </w:rPr>
      </w:pPr>
      <w:r w:rsidRPr="00E74EE1">
        <w:rPr>
          <w:rFonts w:eastAsia="Times New Roman"/>
        </w:rPr>
        <w:t>As most of our controlled public sector entities and departments prepare for their 30 June 202</w:t>
      </w:r>
      <w:r>
        <w:rPr>
          <w:rFonts w:eastAsia="Times New Roman"/>
        </w:rPr>
        <w:t>1</w:t>
      </w:r>
      <w:r w:rsidRPr="00E74EE1">
        <w:rPr>
          <w:rFonts w:eastAsia="Times New Roman"/>
        </w:rPr>
        <w:t xml:space="preserve"> financial year end reporting requirements, we </w:t>
      </w:r>
      <w:r>
        <w:rPr>
          <w:rFonts w:eastAsia="Times New Roman"/>
        </w:rPr>
        <w:t>give</w:t>
      </w:r>
      <w:r w:rsidRPr="00E74EE1">
        <w:rPr>
          <w:rFonts w:eastAsia="Times New Roman"/>
        </w:rPr>
        <w:t xml:space="preserve"> an update of the key changes that are relevant to the reporting period.</w:t>
      </w:r>
    </w:p>
    <w:p w14:paraId="5F9219F8" w14:textId="6D8620D2" w:rsidR="00AD60C7" w:rsidRDefault="00AD60C7" w:rsidP="00AD60C7">
      <w:pPr>
        <w:rPr>
          <w:rFonts w:eastAsia="Times New Roman"/>
        </w:rPr>
      </w:pPr>
      <w:r w:rsidRPr="00E74EE1">
        <w:rPr>
          <w:rFonts w:eastAsia="Times New Roman"/>
        </w:rPr>
        <w:t xml:space="preserve">The </w:t>
      </w:r>
      <w:hyperlink r:id="rId15" w:history="1">
        <w:r w:rsidRPr="00AD60C7">
          <w:rPr>
            <w:i/>
            <w:iCs/>
          </w:rPr>
          <w:t>2020-21 Model Report for Victorian Government Departments</w:t>
        </w:r>
      </w:hyperlink>
      <w:r w:rsidRPr="00691A34">
        <w:rPr>
          <w:rFonts w:eastAsia="Times New Roman"/>
          <w:color w:val="auto"/>
        </w:rPr>
        <w:t xml:space="preserve"> </w:t>
      </w:r>
      <w:r>
        <w:rPr>
          <w:rFonts w:eastAsia="Times New Roman"/>
        </w:rPr>
        <w:t>was</w:t>
      </w:r>
      <w:r w:rsidRPr="00E74EE1">
        <w:rPr>
          <w:rFonts w:eastAsia="Times New Roman"/>
        </w:rPr>
        <w:t xml:space="preserve"> released </w:t>
      </w:r>
      <w:r>
        <w:rPr>
          <w:rFonts w:eastAsia="Times New Roman"/>
        </w:rPr>
        <w:t xml:space="preserve">in March 2021 </w:t>
      </w:r>
      <w:r w:rsidRPr="00E74EE1">
        <w:rPr>
          <w:rFonts w:eastAsia="Times New Roman"/>
        </w:rPr>
        <w:t>and is available from the DTF website. The major changes made in this edition</w:t>
      </w:r>
      <w:r>
        <w:rPr>
          <w:rFonts w:eastAsia="Times New Roman"/>
        </w:rPr>
        <w:t xml:space="preserve"> relate to the Asset Management and Accountability Framework (AMAF) reporting requirements and a new appendix containing supplementary disclosure guidance on the ongoing </w:t>
      </w:r>
      <w:r w:rsidRPr="001A0B1C">
        <w:t xml:space="preserve">application of AASB 1059 </w:t>
      </w:r>
      <w:r w:rsidRPr="00C2210B">
        <w:rPr>
          <w:i/>
          <w:iCs/>
        </w:rPr>
        <w:t>Service Concession Arrangements: Grantors</w:t>
      </w:r>
      <w:r w:rsidRPr="00E74EE1">
        <w:rPr>
          <w:rFonts w:eastAsia="Times New Roman"/>
        </w:rPr>
        <w:t xml:space="preserve">. </w:t>
      </w:r>
    </w:p>
    <w:p w14:paraId="02FB2526" w14:textId="77777777" w:rsidR="00AD60C7" w:rsidRDefault="00AD60C7" w:rsidP="00AD60C7">
      <w:pPr>
        <w:spacing w:after="0"/>
        <w:rPr>
          <w:rFonts w:eastAsia="Times New Roman"/>
        </w:rPr>
      </w:pPr>
      <w:r>
        <w:rPr>
          <w:rFonts w:eastAsia="Times New Roman"/>
        </w:rPr>
        <w:t>As we are at the end of the financial year entities are to be reminded of the following:</w:t>
      </w:r>
    </w:p>
    <w:p w14:paraId="43F8915B" w14:textId="77777777" w:rsidR="00AD60C7" w:rsidRPr="008E3B13" w:rsidRDefault="00AD60C7" w:rsidP="00AD60C7">
      <w:pPr>
        <w:pStyle w:val="Bullet1"/>
      </w:pPr>
      <w:r w:rsidRPr="00425AA3">
        <w:t xml:space="preserve">finalise their valuation assessments </w:t>
      </w:r>
      <w:r>
        <w:t>ensuring their non</w:t>
      </w:r>
      <w:r>
        <w:noBreakHyphen/>
        <w:t>financial assets are reflected at fair value, taking all relevant factors into consideration, including the Valuer</w:t>
      </w:r>
      <w:r>
        <w:noBreakHyphen/>
        <w:t>General Victoria (VGV) indices released in May. This newsletter also provides guidance on subsequent measurement of right-of-use assets</w:t>
      </w:r>
    </w:p>
    <w:p w14:paraId="31ED36B6" w14:textId="25A58F79" w:rsidR="00AD60C7" w:rsidRDefault="00AD60C7" w:rsidP="00AD60C7">
      <w:pPr>
        <w:pStyle w:val="Bullet1"/>
      </w:pPr>
      <w:r>
        <w:t>review Financial Reporting Directions that have been updated since the last newsletter:</w:t>
      </w:r>
    </w:p>
    <w:p w14:paraId="541289B6" w14:textId="70379C88" w:rsidR="00AD60C7" w:rsidRDefault="00AD60C7" w:rsidP="00AD60C7">
      <w:pPr>
        <w:pStyle w:val="Bullet2"/>
      </w:pPr>
      <w:r>
        <w:t xml:space="preserve">FRD 22I – </w:t>
      </w:r>
      <w:r w:rsidRPr="00AD60C7">
        <w:rPr>
          <w:i/>
          <w:iCs/>
        </w:rPr>
        <w:t>Standard disclosures in the Report Operations</w:t>
      </w:r>
    </w:p>
    <w:p w14:paraId="6639E8A0" w14:textId="5768F2CE" w:rsidR="00AD60C7" w:rsidRDefault="00AD60C7" w:rsidP="00AD60C7">
      <w:pPr>
        <w:pStyle w:val="Bullet2"/>
      </w:pPr>
      <w:r>
        <w:t xml:space="preserve">FRD 103I – </w:t>
      </w:r>
      <w:r w:rsidRPr="00AD60C7">
        <w:rPr>
          <w:i/>
          <w:iCs/>
        </w:rPr>
        <w:t>Non-financial physical assets</w:t>
      </w:r>
    </w:p>
    <w:p w14:paraId="569E3656" w14:textId="77777777" w:rsidR="00AD60C7" w:rsidRPr="008E3B13" w:rsidRDefault="00AD60C7" w:rsidP="00AD60C7">
      <w:pPr>
        <w:pStyle w:val="Bullet2"/>
      </w:pPr>
      <w:r>
        <w:t xml:space="preserve">FRD 120O – </w:t>
      </w:r>
      <w:r w:rsidRPr="00AD60C7">
        <w:rPr>
          <w:i/>
          <w:iCs/>
        </w:rPr>
        <w:t>Accounting and Reporting Pronouncements Applicable to 2020-21 Reporting Period</w:t>
      </w:r>
    </w:p>
    <w:p w14:paraId="7182C2BA" w14:textId="084AC822" w:rsidR="00AD60C7" w:rsidRDefault="00AD60C7" w:rsidP="00AD60C7">
      <w:pPr>
        <w:pStyle w:val="Bullet1"/>
      </w:pPr>
      <w:r>
        <w:t xml:space="preserve">complete annual report attestations for the 2020-21 financial reporting period in relation to all applicable </w:t>
      </w:r>
      <w:r w:rsidRPr="005E16B6">
        <w:rPr>
          <w:iCs/>
        </w:rPr>
        <w:t>Standing Directions 2018 and Instructions</w:t>
      </w:r>
      <w:r>
        <w:t xml:space="preserve"> </w:t>
      </w:r>
    </w:p>
    <w:p w14:paraId="4075549A" w14:textId="77777777" w:rsidR="00AD60C7" w:rsidRDefault="00AD60C7" w:rsidP="00AD60C7">
      <w:pPr>
        <w:pStyle w:val="Bullet1"/>
      </w:pPr>
      <w:r>
        <w:t>review wage inflation rates issued on 1 July 2021.</w:t>
      </w:r>
    </w:p>
    <w:p w14:paraId="334FA0FA" w14:textId="4F8A11F7" w:rsidR="00AD60C7" w:rsidRDefault="00AD60C7" w:rsidP="00AD60C7">
      <w:r>
        <w:rPr>
          <w:rFonts w:eastAsia="Times New Roman"/>
        </w:rPr>
        <w:t>We note changes on the horizon from the AASB on page</w:t>
      </w:r>
      <w:r w:rsidR="002C4F4A">
        <w:rPr>
          <w:rFonts w:eastAsia="Times New Roman"/>
        </w:rPr>
        <w:t xml:space="preserve"> 7 </w:t>
      </w:r>
      <w:r>
        <w:rPr>
          <w:rFonts w:eastAsia="Times New Roman"/>
        </w:rPr>
        <w:t>that may impact your annual reporting requirements</w:t>
      </w:r>
    </w:p>
    <w:p w14:paraId="5D3CB3B2" w14:textId="7BB9F5F8" w:rsidR="00AD60C7" w:rsidRPr="00AD60C7" w:rsidRDefault="00AD60C7" w:rsidP="006805B9">
      <w:pPr>
        <w:rPr>
          <w:rFonts w:eastAsia="Times New Roman"/>
        </w:rPr>
      </w:pPr>
      <w:r>
        <w:rPr>
          <w:rFonts w:eastAsia="Times New Roman"/>
        </w:rPr>
        <w:t>Finally, a table of k</w:t>
      </w:r>
      <w:r w:rsidRPr="00E74EE1">
        <w:rPr>
          <w:rFonts w:eastAsia="Times New Roman"/>
        </w:rPr>
        <w:t xml:space="preserve">ey financial publication dates </w:t>
      </w:r>
      <w:r>
        <w:rPr>
          <w:rFonts w:eastAsia="Times New Roman"/>
        </w:rPr>
        <w:t xml:space="preserve">is included in this newsletter, along with information on other developments for the </w:t>
      </w:r>
      <w:r w:rsidRPr="00923519">
        <w:rPr>
          <w:rFonts w:eastAsia="Times New Roman"/>
        </w:rPr>
        <w:t>20</w:t>
      </w:r>
      <w:r>
        <w:rPr>
          <w:rFonts w:eastAsia="Times New Roman"/>
        </w:rPr>
        <w:t>20–</w:t>
      </w:r>
      <w:r w:rsidRPr="00923519">
        <w:rPr>
          <w:rFonts w:eastAsia="Times New Roman"/>
        </w:rPr>
        <w:t>2</w:t>
      </w:r>
      <w:r>
        <w:rPr>
          <w:rFonts w:eastAsia="Times New Roman"/>
        </w:rPr>
        <w:t>1</w:t>
      </w:r>
      <w:r w:rsidRPr="00923519">
        <w:rPr>
          <w:rFonts w:eastAsia="Times New Roman"/>
        </w:rPr>
        <w:t xml:space="preserve"> reporting year</w:t>
      </w:r>
      <w:r>
        <w:rPr>
          <w:rFonts w:eastAsia="Times New Roman"/>
        </w:rPr>
        <w:t>.</w:t>
      </w:r>
    </w:p>
    <w:p w14:paraId="6F2F2F62" w14:textId="77777777" w:rsidR="00822DEC" w:rsidRDefault="00822DEC" w:rsidP="006805B9">
      <w:pPr>
        <w:pStyle w:val="Caption"/>
        <w:sectPr w:rsidR="00822DEC" w:rsidSect="00AD60C7">
          <w:type w:val="continuous"/>
          <w:pgSz w:w="11906" w:h="16838" w:code="9"/>
          <w:pgMar w:top="648" w:right="1152" w:bottom="1728" w:left="1152" w:header="706" w:footer="461" w:gutter="0"/>
          <w:cols w:num="2" w:space="534" w:equalWidth="0">
            <w:col w:w="2631" w:space="533"/>
            <w:col w:w="6438"/>
          </w:cols>
          <w:titlePg/>
          <w:docGrid w:linePitch="360"/>
        </w:sectPr>
      </w:pPr>
      <w:bookmarkStart w:id="4" w:name="_Hlk49950924"/>
      <w:bookmarkEnd w:id="0"/>
    </w:p>
    <w:p w14:paraId="18A95F3D" w14:textId="77777777" w:rsidR="00AD60C7" w:rsidRPr="00923519" w:rsidRDefault="00AD60C7" w:rsidP="00AD60C7">
      <w:pPr>
        <w:pStyle w:val="Heading2"/>
        <w:rPr>
          <w:rFonts w:eastAsia="Times New Roman"/>
        </w:rPr>
      </w:pPr>
      <w:bookmarkStart w:id="5" w:name="_Hlk531073932"/>
      <w:bookmarkEnd w:id="4"/>
      <w:r w:rsidRPr="00923519">
        <w:rPr>
          <w:rFonts w:eastAsia="Times New Roman"/>
        </w:rPr>
        <w:lastRenderedPageBreak/>
        <w:t>Major updates</w:t>
      </w:r>
      <w:r>
        <w:rPr>
          <w:rFonts w:eastAsia="Times New Roman"/>
        </w:rPr>
        <w:t xml:space="preserve"> and </w:t>
      </w:r>
      <w:r w:rsidRPr="00923519">
        <w:rPr>
          <w:rFonts w:eastAsia="Times New Roman"/>
        </w:rPr>
        <w:t>reminders</w:t>
      </w:r>
    </w:p>
    <w:p w14:paraId="34B7656D" w14:textId="77777777" w:rsidR="00AD60C7" w:rsidRPr="00AD60C7" w:rsidRDefault="00AD60C7" w:rsidP="00AD60C7">
      <w:pPr>
        <w:pStyle w:val="Heading3"/>
        <w:rPr>
          <w:rFonts w:eastAsia="Times New Roman"/>
          <w:i/>
          <w:iCs/>
        </w:rPr>
      </w:pPr>
      <w:r w:rsidRPr="00AD60C7">
        <w:rPr>
          <w:rFonts w:eastAsia="Times New Roman"/>
          <w:i/>
          <w:iCs/>
        </w:rPr>
        <w:t>2020</w:t>
      </w:r>
      <w:r w:rsidRPr="00AD60C7">
        <w:rPr>
          <w:rFonts w:eastAsia="Times New Roman"/>
          <w:i/>
          <w:iCs/>
        </w:rPr>
        <w:noBreakHyphen/>
        <w:t>21 Model Report for Victorian Government Departments</w:t>
      </w:r>
    </w:p>
    <w:p w14:paraId="7ABADE43" w14:textId="77777777" w:rsidR="00AD60C7" w:rsidRPr="00923A09" w:rsidRDefault="00AD60C7" w:rsidP="00AD60C7">
      <w:pPr>
        <w:rPr>
          <w:rFonts w:eastAsia="Times New Roman"/>
        </w:rPr>
      </w:pPr>
      <w:r w:rsidRPr="00923A09">
        <w:rPr>
          <w:rFonts w:eastAsia="Times New Roman"/>
        </w:rPr>
        <w:t xml:space="preserve">The Department of Treasury and Finance (DTF) released the </w:t>
      </w:r>
      <w:r w:rsidRPr="00923A09">
        <w:rPr>
          <w:rFonts w:eastAsia="Times New Roman"/>
          <w:i/>
          <w:iCs/>
        </w:rPr>
        <w:t>2020-21 Model Report for Victorian Government Departments</w:t>
      </w:r>
      <w:r w:rsidRPr="00923A09">
        <w:rPr>
          <w:rFonts w:eastAsia="Times New Roman"/>
        </w:rPr>
        <w:t xml:space="preserve"> (Model Report) </w:t>
      </w:r>
      <w:r>
        <w:rPr>
          <w:rFonts w:eastAsia="Times New Roman"/>
        </w:rPr>
        <w:t xml:space="preserve">in March 2021 </w:t>
      </w:r>
      <w:r w:rsidRPr="00923A09">
        <w:rPr>
          <w:rFonts w:eastAsia="Times New Roman"/>
        </w:rPr>
        <w:t xml:space="preserve">and made it available on the DTF website – </w:t>
      </w:r>
      <w:hyperlink r:id="rId16" w:history="1">
        <w:r w:rsidRPr="00AD60C7">
          <w:rPr>
            <w:rStyle w:val="Hyperlink"/>
          </w:rPr>
          <w:t>https://www.dtf.vic.gov.au/model-report/2020-21-model-report</w:t>
        </w:r>
      </w:hyperlink>
      <w:r w:rsidRPr="00923A09">
        <w:rPr>
          <w:rFonts w:eastAsia="Times New Roman"/>
        </w:rPr>
        <w:t xml:space="preserve">, including a list of the key changes from the previous year’s publication. </w:t>
      </w:r>
    </w:p>
    <w:p w14:paraId="6DED9E1B" w14:textId="77777777" w:rsidR="00AD60C7" w:rsidRPr="00923A09" w:rsidRDefault="00AD60C7" w:rsidP="00AD60C7">
      <w:pPr>
        <w:rPr>
          <w:rFonts w:eastAsia="Times New Roman"/>
        </w:rPr>
      </w:pPr>
      <w:r w:rsidRPr="00923A09">
        <w:rPr>
          <w:rFonts w:eastAsia="Times New Roman"/>
        </w:rPr>
        <w:t>The key changes include:</w:t>
      </w:r>
    </w:p>
    <w:p w14:paraId="4FD7760E" w14:textId="77777777" w:rsidR="00AD60C7" w:rsidRPr="001A0B1C" w:rsidRDefault="00AD60C7" w:rsidP="00AD60C7">
      <w:pPr>
        <w:pStyle w:val="Bullet1"/>
        <w:keepLines w:val="0"/>
        <w:numPr>
          <w:ilvl w:val="0"/>
          <w:numId w:val="1"/>
        </w:numPr>
        <w:spacing w:line="240" w:lineRule="auto"/>
      </w:pPr>
      <w:r w:rsidRPr="001A0B1C">
        <w:t>Illustration and guidance related to the Asset Management Accountability Framework (AMAF) reporting requirement</w:t>
      </w:r>
      <w:r>
        <w:t>s</w:t>
      </w:r>
    </w:p>
    <w:p w14:paraId="17D8E7DB" w14:textId="77777777" w:rsidR="00AD60C7" w:rsidRPr="001A0B1C" w:rsidRDefault="00AD60C7" w:rsidP="00AD60C7">
      <w:pPr>
        <w:pStyle w:val="Bullet1"/>
        <w:keepLines w:val="0"/>
        <w:numPr>
          <w:ilvl w:val="0"/>
          <w:numId w:val="1"/>
        </w:numPr>
        <w:spacing w:line="240" w:lineRule="auto"/>
      </w:pPr>
      <w:r w:rsidRPr="001A0B1C">
        <w:t xml:space="preserve">A new appendix containing supplementary disclosure guidance on the ongoing application of </w:t>
      </w:r>
      <w:r w:rsidRPr="009705D1">
        <w:t>AASB 1059</w:t>
      </w:r>
      <w:r w:rsidRPr="00AF5D62">
        <w:rPr>
          <w:i/>
        </w:rPr>
        <w:t xml:space="preserve"> Service Concession Arrangements: Grantors</w:t>
      </w:r>
    </w:p>
    <w:p w14:paraId="77437E31" w14:textId="77777777" w:rsidR="00AD60C7" w:rsidRPr="001A0B1C" w:rsidRDefault="00AD60C7" w:rsidP="00AD60C7">
      <w:pPr>
        <w:pStyle w:val="Bullet1"/>
        <w:keepLines w:val="0"/>
        <w:numPr>
          <w:ilvl w:val="0"/>
          <w:numId w:val="1"/>
        </w:numPr>
        <w:spacing w:line="240" w:lineRule="auto"/>
      </w:pPr>
      <w:r w:rsidRPr="001A0B1C">
        <w:t>Removal of transitional disclosures and guidance that were included in the 2019-20 Model Report for the initial application of AASB 15</w:t>
      </w:r>
      <w:r w:rsidRPr="00AF5D62">
        <w:rPr>
          <w:i/>
        </w:rPr>
        <w:t xml:space="preserve"> Revenue from Contracts with Customers</w:t>
      </w:r>
      <w:r w:rsidRPr="001A0B1C">
        <w:t xml:space="preserve">, AASB 16 </w:t>
      </w:r>
      <w:r w:rsidRPr="00AF5D62">
        <w:rPr>
          <w:i/>
        </w:rPr>
        <w:t>Leases</w:t>
      </w:r>
      <w:r>
        <w:t>,</w:t>
      </w:r>
      <w:r w:rsidRPr="00AF5D62">
        <w:rPr>
          <w:i/>
        </w:rPr>
        <w:t xml:space="preserve"> </w:t>
      </w:r>
      <w:r w:rsidRPr="001A0B1C">
        <w:t>AASB 1058</w:t>
      </w:r>
      <w:r>
        <w:t xml:space="preserve"> </w:t>
      </w:r>
      <w:r w:rsidRPr="00AF5D62">
        <w:rPr>
          <w:i/>
        </w:rPr>
        <w:t xml:space="preserve">Income of Not-for-Profit </w:t>
      </w:r>
      <w:r w:rsidRPr="00AF5D62">
        <w:rPr>
          <w:i/>
          <w:iCs/>
        </w:rPr>
        <w:t>Entities</w:t>
      </w:r>
      <w:r>
        <w:t xml:space="preserve"> </w:t>
      </w:r>
      <w:r w:rsidRPr="00AF5D62">
        <w:rPr>
          <w:i/>
        </w:rPr>
        <w:t xml:space="preserve">and </w:t>
      </w:r>
      <w:r w:rsidRPr="00CB5DA6">
        <w:t>AASB 1059</w:t>
      </w:r>
      <w:r w:rsidRPr="00CF3AF8">
        <w:rPr>
          <w:i/>
        </w:rPr>
        <w:t xml:space="preserve"> Service Concession Arrangements: Grantors</w:t>
      </w:r>
      <w:r>
        <w:rPr>
          <w:i/>
          <w:iCs/>
        </w:rPr>
        <w:t xml:space="preserve">. </w:t>
      </w:r>
      <w:r>
        <w:t>Transition disclosures are not required in years following adoption</w:t>
      </w:r>
    </w:p>
    <w:p w14:paraId="734D227F" w14:textId="77777777" w:rsidR="00AD60C7" w:rsidRPr="001A0B1C" w:rsidRDefault="00AD60C7" w:rsidP="00AD60C7">
      <w:pPr>
        <w:pStyle w:val="Bullet1"/>
        <w:keepLines w:val="0"/>
        <w:numPr>
          <w:ilvl w:val="0"/>
          <w:numId w:val="1"/>
        </w:numPr>
        <w:spacing w:line="240" w:lineRule="auto"/>
      </w:pPr>
      <w:r>
        <w:t>General e</w:t>
      </w:r>
      <w:r w:rsidRPr="001A0B1C">
        <w:t xml:space="preserve">ditorial changes and enhancements. </w:t>
      </w:r>
    </w:p>
    <w:bookmarkEnd w:id="5"/>
    <w:p w14:paraId="71315659" w14:textId="0501BD67" w:rsidR="00AD60C7" w:rsidRPr="00923519" w:rsidRDefault="00AD60C7" w:rsidP="00AD60C7">
      <w:pPr>
        <w:pStyle w:val="Heading2"/>
        <w:rPr>
          <w:rFonts w:eastAsia="Times New Roman"/>
          <w:highlight w:val="yellow"/>
        </w:rPr>
      </w:pPr>
      <w:r w:rsidRPr="00923519">
        <w:rPr>
          <w:rFonts w:eastAsia="Times New Roman"/>
        </w:rPr>
        <w:t>AASB</w:t>
      </w:r>
      <w:r>
        <w:rPr>
          <w:rFonts w:eastAsia="Times New Roman"/>
        </w:rPr>
        <w:t xml:space="preserve"> </w:t>
      </w:r>
      <w:r w:rsidRPr="00923519">
        <w:rPr>
          <w:rFonts w:eastAsia="Times New Roman"/>
        </w:rPr>
        <w:t xml:space="preserve">124 </w:t>
      </w:r>
      <w:r w:rsidRPr="007269A0">
        <w:rPr>
          <w:rFonts w:eastAsia="Times New Roman"/>
          <w:i/>
          <w:iCs/>
        </w:rPr>
        <w:t>Related Party Disclosures</w:t>
      </w:r>
      <w:r w:rsidRPr="00923519">
        <w:rPr>
          <w:rFonts w:eastAsia="Times New Roman"/>
        </w:rPr>
        <w:t xml:space="preserve"> </w:t>
      </w:r>
    </w:p>
    <w:p w14:paraId="0CCA8A0C" w14:textId="77777777" w:rsidR="00AD60C7" w:rsidRPr="0075117E" w:rsidRDefault="00AD60C7" w:rsidP="00AD60C7">
      <w:pPr>
        <w:pStyle w:val="Heading3"/>
        <w:rPr>
          <w:rFonts w:eastAsia="Times New Roman"/>
        </w:rPr>
      </w:pPr>
      <w:r w:rsidRPr="0075117E">
        <w:rPr>
          <w:rFonts w:eastAsia="Times New Roman"/>
        </w:rPr>
        <w:t>Ministerial declarations for the 20</w:t>
      </w:r>
      <w:r>
        <w:rPr>
          <w:rFonts w:eastAsia="Times New Roman"/>
        </w:rPr>
        <w:t>20</w:t>
      </w:r>
      <w:r w:rsidRPr="0075117E">
        <w:rPr>
          <w:rFonts w:eastAsia="Times New Roman"/>
        </w:rPr>
        <w:noBreakHyphen/>
        <w:t>2</w:t>
      </w:r>
      <w:r>
        <w:rPr>
          <w:rFonts w:eastAsia="Times New Roman"/>
        </w:rPr>
        <w:t>1</w:t>
      </w:r>
      <w:r w:rsidRPr="0075117E">
        <w:rPr>
          <w:rFonts w:eastAsia="Times New Roman"/>
        </w:rPr>
        <w:t xml:space="preserve"> reporting period</w:t>
      </w:r>
    </w:p>
    <w:p w14:paraId="511EAF9F" w14:textId="405D136B" w:rsidR="00AD60C7" w:rsidRPr="00AF2694" w:rsidRDefault="00AD60C7" w:rsidP="00AD60C7">
      <w:pPr>
        <w:rPr>
          <w:rFonts w:eastAsia="Times New Roman"/>
        </w:rPr>
      </w:pPr>
      <w:r w:rsidRPr="00AF2694">
        <w:rPr>
          <w:rFonts w:eastAsia="Times New Roman"/>
        </w:rPr>
        <w:t>To support the compliance and preparation of financial reports by not</w:t>
      </w:r>
      <w:r w:rsidRPr="00AF2694">
        <w:rPr>
          <w:rFonts w:eastAsia="Times New Roman"/>
        </w:rPr>
        <w:noBreakHyphen/>
        <w:t>for</w:t>
      </w:r>
      <w:r w:rsidRPr="00AF2694">
        <w:rPr>
          <w:rFonts w:eastAsia="Times New Roman"/>
        </w:rPr>
        <w:noBreakHyphen/>
        <w:t xml:space="preserve">profit public sector entities, information consistent with the requirements of AASB 124 </w:t>
      </w:r>
      <w:r w:rsidRPr="00AF2694">
        <w:rPr>
          <w:rFonts w:eastAsia="Times New Roman"/>
          <w:i/>
        </w:rPr>
        <w:t>Related Party Disclosures</w:t>
      </w:r>
      <w:r w:rsidRPr="00AF2694">
        <w:rPr>
          <w:rFonts w:eastAsia="Times New Roman"/>
        </w:rPr>
        <w:t xml:space="preserve"> is collected twice in each financial year from Cabinet ministers, as not all Victorian public sector entities have a 30</w:t>
      </w:r>
      <w:r>
        <w:rPr>
          <w:rFonts w:eastAsia="Times New Roman"/>
        </w:rPr>
        <w:t xml:space="preserve"> </w:t>
      </w:r>
      <w:r w:rsidRPr="00AF2694">
        <w:rPr>
          <w:rFonts w:eastAsia="Times New Roman"/>
        </w:rPr>
        <w:t>June year</w:t>
      </w:r>
      <w:r>
        <w:rPr>
          <w:rFonts w:eastAsia="Times New Roman"/>
        </w:rPr>
        <w:noBreakHyphen/>
      </w:r>
      <w:r w:rsidRPr="00AF2694">
        <w:rPr>
          <w:rFonts w:eastAsia="Times New Roman"/>
        </w:rPr>
        <w:t>end. For example, the year-end for Alpine Resort entities, TAFEs and schools is 31</w:t>
      </w:r>
      <w:r>
        <w:rPr>
          <w:rFonts w:eastAsia="Times New Roman"/>
        </w:rPr>
        <w:t xml:space="preserve"> </w:t>
      </w:r>
      <w:r w:rsidRPr="00AF2694">
        <w:rPr>
          <w:rFonts w:eastAsia="Times New Roman"/>
        </w:rPr>
        <w:t>December.</w:t>
      </w:r>
    </w:p>
    <w:p w14:paraId="2144489F" w14:textId="77777777" w:rsidR="00AD60C7" w:rsidRPr="00EE73AA" w:rsidRDefault="00AD60C7" w:rsidP="00AD60C7">
      <w:pPr>
        <w:rPr>
          <w:rFonts w:eastAsia="Times New Roman"/>
        </w:rPr>
      </w:pPr>
      <w:r w:rsidRPr="00EE73AA">
        <w:rPr>
          <w:rFonts w:eastAsia="Times New Roman"/>
        </w:rPr>
        <w:t>The second submission of declarations in relation to related party transactions by Ministers for 2020</w:t>
      </w:r>
      <w:r>
        <w:rPr>
          <w:rFonts w:eastAsia="Times New Roman"/>
        </w:rPr>
        <w:noBreakHyphen/>
      </w:r>
      <w:r w:rsidRPr="00EE73AA">
        <w:rPr>
          <w:rFonts w:eastAsia="Times New Roman"/>
        </w:rPr>
        <w:t xml:space="preserve">21 covers the period 1 January </w:t>
      </w:r>
      <w:r>
        <w:rPr>
          <w:rFonts w:eastAsia="Times New Roman"/>
        </w:rPr>
        <w:t xml:space="preserve">2021 </w:t>
      </w:r>
      <w:r w:rsidRPr="00EE73AA">
        <w:rPr>
          <w:rFonts w:eastAsia="Times New Roman"/>
        </w:rPr>
        <w:t>to 30 June 2021 and is expected to be completed by mid-July 2021.</w:t>
      </w:r>
    </w:p>
    <w:p w14:paraId="53A2B7C7" w14:textId="77777777" w:rsidR="00AD60C7" w:rsidRPr="00EE73AA" w:rsidRDefault="00AD60C7" w:rsidP="00AD60C7">
      <w:pPr>
        <w:rPr>
          <w:rFonts w:eastAsia="Times New Roman"/>
        </w:rPr>
      </w:pPr>
      <w:r w:rsidRPr="00EE73AA">
        <w:rPr>
          <w:rFonts w:eastAsia="Times New Roman"/>
        </w:rPr>
        <w:t xml:space="preserve">Consistent with previous reporting periods, where there are any transactions reported, DTF will </w:t>
      </w:r>
      <w:r>
        <w:rPr>
          <w:rFonts w:eastAsia="Times New Roman"/>
        </w:rPr>
        <w:t xml:space="preserve">give </w:t>
      </w:r>
      <w:r w:rsidRPr="00EE73AA">
        <w:rPr>
          <w:rFonts w:eastAsia="Times New Roman"/>
        </w:rPr>
        <w:t xml:space="preserve">the relevant information extracted from ministerial declarations to the relevant portfolio entities to perform a ‘significance’ and a ‘materiality’ assessment of the nature and amount of the related party transactions for disclosure, where relevant, in the entities’ annual financial reports. </w:t>
      </w:r>
    </w:p>
    <w:p w14:paraId="24713A17" w14:textId="77777777" w:rsidR="00AD60C7" w:rsidRPr="00EE73AA" w:rsidRDefault="00AD60C7" w:rsidP="00AD60C7">
      <w:pPr>
        <w:rPr>
          <w:rFonts w:eastAsia="Times New Roman"/>
        </w:rPr>
      </w:pPr>
      <w:r w:rsidRPr="00EE73AA">
        <w:rPr>
          <w:rFonts w:eastAsia="Times New Roman"/>
        </w:rPr>
        <w:t>Entities are reminded that, under the agreed protocols, consultation is required with the relevant Minister(s) and DTF, where disclosures are proposed.</w:t>
      </w:r>
    </w:p>
    <w:p w14:paraId="26CE544E" w14:textId="77777777" w:rsidR="00AD60C7" w:rsidRPr="005344B3" w:rsidRDefault="00AD60C7" w:rsidP="00AD60C7">
      <w:pPr>
        <w:pStyle w:val="Heading3"/>
        <w:rPr>
          <w:rFonts w:eastAsia="Times New Roman"/>
        </w:rPr>
      </w:pPr>
      <w:r w:rsidRPr="005344B3">
        <w:rPr>
          <w:rFonts w:eastAsia="Times New Roman"/>
        </w:rPr>
        <w:t xml:space="preserve">Movements in key management personnel for departments and agencies </w:t>
      </w:r>
    </w:p>
    <w:p w14:paraId="548506E8" w14:textId="77777777" w:rsidR="00AD60C7" w:rsidRPr="005344B3" w:rsidRDefault="00AD60C7" w:rsidP="00AD60C7">
      <w:pPr>
        <w:rPr>
          <w:rFonts w:eastAsia="Times New Roman"/>
          <w:b/>
          <w:bCs/>
        </w:rPr>
      </w:pPr>
      <w:r w:rsidRPr="002D723E">
        <w:rPr>
          <w:rFonts w:eastAsia="Times New Roman"/>
        </w:rPr>
        <w:t>Disclosure for the 20</w:t>
      </w:r>
      <w:r w:rsidRPr="005344B3">
        <w:rPr>
          <w:rFonts w:eastAsia="Times New Roman"/>
        </w:rPr>
        <w:t>20</w:t>
      </w:r>
      <w:r w:rsidRPr="002D723E">
        <w:rPr>
          <w:rFonts w:eastAsia="Times New Roman"/>
        </w:rPr>
        <w:t>-2</w:t>
      </w:r>
      <w:r w:rsidRPr="005344B3">
        <w:rPr>
          <w:rFonts w:eastAsia="Times New Roman"/>
        </w:rPr>
        <w:t>1</w:t>
      </w:r>
      <w:r w:rsidRPr="002D723E">
        <w:rPr>
          <w:rFonts w:eastAsia="Times New Roman"/>
        </w:rPr>
        <w:t xml:space="preserve"> reporting period will need to include information relevant to all key management personnel </w:t>
      </w:r>
      <w:r w:rsidRPr="00572E4E">
        <w:rPr>
          <w:rFonts w:eastAsia="Times New Roman"/>
        </w:rPr>
        <w:t>appointed during the period, including any executive appointments and departures during the relevant financial reporting period</w:t>
      </w:r>
      <w:r w:rsidRPr="00D574E4">
        <w:rPr>
          <w:rFonts w:eastAsia="Times New Roman"/>
          <w:b/>
          <w:bCs/>
        </w:rPr>
        <w:t>.</w:t>
      </w:r>
      <w:r w:rsidRPr="009723DD">
        <w:rPr>
          <w:rFonts w:eastAsia="Times New Roman"/>
          <w:b/>
          <w:bCs/>
        </w:rPr>
        <w:t xml:space="preserve"> </w:t>
      </w:r>
    </w:p>
    <w:p w14:paraId="0E66D291" w14:textId="77777777" w:rsidR="00AD60C7" w:rsidRPr="005344B3" w:rsidRDefault="00AD60C7" w:rsidP="00AD60C7">
      <w:pPr>
        <w:pStyle w:val="Heading3"/>
        <w:rPr>
          <w:rFonts w:eastAsia="Times New Roman"/>
        </w:rPr>
      </w:pPr>
      <w:r w:rsidRPr="005344B3">
        <w:rPr>
          <w:rFonts w:eastAsia="Times New Roman"/>
        </w:rPr>
        <w:t>Guidance information</w:t>
      </w:r>
    </w:p>
    <w:p w14:paraId="19A8C7D0" w14:textId="07FA103E" w:rsidR="00AD60C7" w:rsidRDefault="00AD60C7" w:rsidP="00AD60C7">
      <w:r w:rsidRPr="002D723E">
        <w:rPr>
          <w:rFonts w:eastAsia="Times New Roman"/>
        </w:rPr>
        <w:t xml:space="preserve">A declaration certificate, checklist and </w:t>
      </w:r>
      <w:r w:rsidRPr="00572E4E">
        <w:rPr>
          <w:rFonts w:eastAsia="Times New Roman"/>
        </w:rPr>
        <w:t xml:space="preserve">comprehensive guidance </w:t>
      </w:r>
      <w:r w:rsidRPr="00D574E4">
        <w:rPr>
          <w:rFonts w:eastAsia="Times New Roman"/>
        </w:rPr>
        <w:t>are included</w:t>
      </w:r>
      <w:r w:rsidRPr="009723DD">
        <w:rPr>
          <w:rFonts w:eastAsia="Times New Roman"/>
        </w:rPr>
        <w:t xml:space="preserve"> on DTF’s website </w:t>
      </w:r>
      <w:r w:rsidRPr="005344B3">
        <w:rPr>
          <w:rFonts w:eastAsia="Times New Roman"/>
        </w:rPr>
        <w:t xml:space="preserve">to assist entities to comply with AASB 124 at: </w:t>
      </w:r>
      <w:hyperlink r:id="rId17" w:history="1">
        <w:r w:rsidRPr="00AD60C7">
          <w:rPr>
            <w:rStyle w:val="Hyperlink"/>
          </w:rPr>
          <w:t>https://www.dtf.vic.gov.au/financial-reporting-policy/aasb-124-related-party-disclosures</w:t>
        </w:r>
      </w:hyperlink>
    </w:p>
    <w:p w14:paraId="485E69BF" w14:textId="77777777" w:rsidR="00AD60C7" w:rsidRPr="00DE7169" w:rsidRDefault="00AD60C7" w:rsidP="00AD60C7">
      <w:pPr>
        <w:pStyle w:val="Heading2"/>
        <w:rPr>
          <w:rFonts w:eastAsia="Times New Roman"/>
          <w:sz w:val="18"/>
          <w:szCs w:val="20"/>
        </w:rPr>
      </w:pPr>
      <w:r w:rsidRPr="00DE7169">
        <w:lastRenderedPageBreak/>
        <w:t>Interim valuation assessments</w:t>
      </w:r>
    </w:p>
    <w:p w14:paraId="690B99BA" w14:textId="77777777" w:rsidR="00AD60C7" w:rsidRPr="0033638F" w:rsidRDefault="00AD60C7" w:rsidP="00A06F34">
      <w:pPr>
        <w:keepNext/>
        <w:rPr>
          <w:rFonts w:eastAsia="Times New Roman" w:cs="Times New Roman"/>
        </w:rPr>
      </w:pPr>
      <w:r w:rsidRPr="0033638F">
        <w:rPr>
          <w:rFonts w:eastAsia="Times New Roman"/>
        </w:rPr>
        <w:t xml:space="preserve">Entities are reminded to ensure they have conducted their interim valuation assessments in preparation for year-end. </w:t>
      </w:r>
    </w:p>
    <w:p w14:paraId="7D157080" w14:textId="47E643C0" w:rsidR="00AD60C7" w:rsidRDefault="00AD60C7" w:rsidP="00AD60C7">
      <w:pPr>
        <w:rPr>
          <w:rFonts w:eastAsia="Times New Roman"/>
        </w:rPr>
      </w:pPr>
      <w:r w:rsidRPr="0033638F">
        <w:rPr>
          <w:rFonts w:eastAsia="Times New Roman"/>
        </w:rPr>
        <w:t xml:space="preserve">You would have already conducted your 2020-21 interim valuation assessments using the </w:t>
      </w:r>
      <w:r>
        <w:rPr>
          <w:rFonts w:eastAsia="Times New Roman"/>
        </w:rPr>
        <w:t xml:space="preserve">31 December 2020 </w:t>
      </w:r>
      <w:r w:rsidRPr="0033638F">
        <w:rPr>
          <w:rFonts w:eastAsia="Times New Roman"/>
        </w:rPr>
        <w:t>indices that were released in November 2020 as a preliminary indicator to assess how the fair values for land have moved for the period</w:t>
      </w:r>
      <w:r>
        <w:rPr>
          <w:rFonts w:eastAsia="Times New Roman"/>
        </w:rPr>
        <w:t xml:space="preserve">. For 30 June 2020, please </w:t>
      </w:r>
      <w:r w:rsidRPr="0033638F">
        <w:rPr>
          <w:rFonts w:eastAsia="Times New Roman"/>
        </w:rPr>
        <w:t>finalis</w:t>
      </w:r>
      <w:r>
        <w:rPr>
          <w:rFonts w:eastAsia="Times New Roman"/>
        </w:rPr>
        <w:t>e</w:t>
      </w:r>
      <w:r w:rsidRPr="0033638F">
        <w:rPr>
          <w:rFonts w:eastAsia="Times New Roman"/>
        </w:rPr>
        <w:t xml:space="preserve"> your valuation assessment</w:t>
      </w:r>
      <w:r>
        <w:rPr>
          <w:rFonts w:eastAsia="Times New Roman"/>
        </w:rPr>
        <w:t>s</w:t>
      </w:r>
      <w:r w:rsidRPr="0033638F">
        <w:rPr>
          <w:rFonts w:eastAsia="Times New Roman"/>
        </w:rPr>
        <w:t xml:space="preserve"> using the </w:t>
      </w:r>
      <w:r>
        <w:rPr>
          <w:rFonts w:eastAsia="Times New Roman"/>
        </w:rPr>
        <w:t>30</w:t>
      </w:r>
      <w:r w:rsidR="00001BF1">
        <w:rPr>
          <w:rFonts w:ascii="Calibri" w:eastAsia="Times New Roman" w:hAnsi="Calibri" w:cs="Calibri"/>
        </w:rPr>
        <w:t> </w:t>
      </w:r>
      <w:r>
        <w:rPr>
          <w:rFonts w:eastAsia="Times New Roman"/>
        </w:rPr>
        <w:t>June</w:t>
      </w:r>
      <w:r w:rsidR="00001BF1">
        <w:rPr>
          <w:rFonts w:ascii="Calibri" w:eastAsia="Times New Roman" w:hAnsi="Calibri" w:cs="Calibri"/>
        </w:rPr>
        <w:t> </w:t>
      </w:r>
      <w:r w:rsidRPr="0033638F">
        <w:rPr>
          <w:rFonts w:eastAsia="Times New Roman"/>
        </w:rPr>
        <w:t>2021</w:t>
      </w:r>
      <w:r>
        <w:rPr>
          <w:rFonts w:eastAsia="Times New Roman"/>
        </w:rPr>
        <w:t xml:space="preserve"> </w:t>
      </w:r>
      <w:r w:rsidRPr="0033638F">
        <w:rPr>
          <w:rFonts w:eastAsia="Times New Roman"/>
        </w:rPr>
        <w:t xml:space="preserve">indices released in May 2021. </w:t>
      </w:r>
    </w:p>
    <w:p w14:paraId="3A89C8F9" w14:textId="77777777" w:rsidR="00AD60C7" w:rsidRPr="0033638F" w:rsidRDefault="00AD60C7" w:rsidP="00AD60C7">
      <w:pPr>
        <w:rPr>
          <w:rFonts w:eastAsia="Times New Roman" w:cs="Times New Roman"/>
        </w:rPr>
      </w:pPr>
      <w:r w:rsidRPr="0033638F">
        <w:rPr>
          <w:rFonts w:eastAsia="Times New Roman"/>
        </w:rPr>
        <w:t xml:space="preserve">In instances where the cumulative fair value movements have </w:t>
      </w:r>
      <w:r>
        <w:rPr>
          <w:rFonts w:eastAsia="Times New Roman"/>
        </w:rPr>
        <w:t>changed</w:t>
      </w:r>
      <w:r w:rsidRPr="0033638F">
        <w:rPr>
          <w:rFonts w:eastAsia="Times New Roman"/>
        </w:rPr>
        <w:t xml:space="preserve"> substantially, and </w:t>
      </w:r>
      <w:r>
        <w:rPr>
          <w:rFonts w:eastAsia="Times New Roman"/>
        </w:rPr>
        <w:t xml:space="preserve">these </w:t>
      </w:r>
      <w:r w:rsidRPr="0033638F">
        <w:rPr>
          <w:rFonts w:eastAsia="Times New Roman"/>
        </w:rPr>
        <w:t>movements are greater than 30 per cent but less than 40 per cent</w:t>
      </w:r>
      <w:r>
        <w:rPr>
          <w:rFonts w:eastAsia="Times New Roman"/>
        </w:rPr>
        <w:t xml:space="preserve"> as per FRD 103I</w:t>
      </w:r>
      <w:r w:rsidRPr="0033638F">
        <w:rPr>
          <w:rFonts w:eastAsia="Times New Roman"/>
        </w:rPr>
        <w:t>, we strongly recommend you alert the Valuer-General Victoria (VGV) in anticipation that the 40 per cent threshold may be triggered before the formal fifth valuation year, requiring a formal valuation for that class of assets</w:t>
      </w:r>
      <w:r>
        <w:rPr>
          <w:rFonts w:eastAsia="Times New Roman"/>
        </w:rPr>
        <w:t>.</w:t>
      </w:r>
      <w:r w:rsidRPr="0033638F">
        <w:rPr>
          <w:rFonts w:eastAsia="Times New Roman"/>
        </w:rPr>
        <w:t xml:space="preserve"> </w:t>
      </w:r>
    </w:p>
    <w:p w14:paraId="52EFD6A4" w14:textId="77777777" w:rsidR="00AD60C7" w:rsidRPr="0033638F" w:rsidRDefault="00AD60C7" w:rsidP="00AD60C7">
      <w:pPr>
        <w:rPr>
          <w:rFonts w:eastAsia="Times New Roman" w:cs="Times New Roman"/>
        </w:rPr>
      </w:pPr>
      <w:r w:rsidRPr="0033638F">
        <w:rPr>
          <w:rFonts w:eastAsia="Times New Roman"/>
        </w:rPr>
        <w:t xml:space="preserve">The Valuer-General’s land indices can be found at: </w:t>
      </w:r>
      <w:hyperlink r:id="rId18" w:history="1">
        <w:r w:rsidRPr="00CF3AF8">
          <w:rPr>
            <w:rFonts w:eastAsia="Times New Roman"/>
            <w:i/>
          </w:rPr>
          <w:t>https://www.dtf.vic.gov.au/financial-reporting-policy/valuer-general-land-indices</w:t>
        </w:r>
      </w:hyperlink>
      <w:r w:rsidRPr="0033638F">
        <w:rPr>
          <w:rFonts w:eastAsia="Times New Roman"/>
        </w:rPr>
        <w:t>.</w:t>
      </w:r>
    </w:p>
    <w:p w14:paraId="560A37C7" w14:textId="77777777" w:rsidR="00AD60C7" w:rsidRPr="0033638F" w:rsidRDefault="00AD60C7" w:rsidP="00AD60C7">
      <w:pPr>
        <w:rPr>
          <w:rFonts w:eastAsia="Times New Roman" w:cs="Times New Roman"/>
        </w:rPr>
      </w:pPr>
      <w:r w:rsidRPr="0033638F">
        <w:rPr>
          <w:rFonts w:eastAsia="Times New Roman"/>
        </w:rPr>
        <w:t xml:space="preserve">Victorian </w:t>
      </w:r>
      <w:r>
        <w:rPr>
          <w:rFonts w:eastAsia="Times New Roman"/>
        </w:rPr>
        <w:t>g</w:t>
      </w:r>
      <w:r w:rsidRPr="0033638F">
        <w:rPr>
          <w:rFonts w:eastAsia="Times New Roman"/>
        </w:rPr>
        <w:t xml:space="preserve">overnment departments, agencies and entities should contact their portfolio department in the first instance for the login details to access the land indices. Our December 2016 Newsletter, Edition No. 31 contains information on interim valuation assessments, including an example of how to assess fair value movements on a cumulative basis. The publication can be found at </w:t>
      </w:r>
      <w:hyperlink r:id="rId19" w:history="1">
        <w:r w:rsidRPr="00FE1E31">
          <w:rPr>
            <w:rStyle w:val="Hyperlink"/>
          </w:rPr>
          <w:t>www.dtf.vic.gov.au/Accounting-policy-newsletters</w:t>
        </w:r>
      </w:hyperlink>
      <w:r w:rsidRPr="0033638F">
        <w:rPr>
          <w:rFonts w:eastAsia="Times New Roman"/>
        </w:rPr>
        <w:t>.</w:t>
      </w:r>
    </w:p>
    <w:p w14:paraId="610AC434" w14:textId="77777777" w:rsidR="00AD60C7" w:rsidRPr="00D7372C" w:rsidRDefault="00AD60C7" w:rsidP="00AD60C7">
      <w:pPr>
        <w:pStyle w:val="Heading2"/>
        <w:rPr>
          <w:rFonts w:eastAsia="Times New Roman"/>
        </w:rPr>
      </w:pPr>
      <w:r w:rsidRPr="00D7372C">
        <w:rPr>
          <w:rFonts w:eastAsia="Times New Roman"/>
        </w:rPr>
        <w:t xml:space="preserve">Subsequent </w:t>
      </w:r>
      <w:r>
        <w:rPr>
          <w:rFonts w:eastAsia="Times New Roman"/>
        </w:rPr>
        <w:t>m</w:t>
      </w:r>
      <w:r w:rsidRPr="00D7372C">
        <w:rPr>
          <w:rFonts w:eastAsia="Times New Roman"/>
        </w:rPr>
        <w:t xml:space="preserve">easurement of </w:t>
      </w:r>
      <w:r>
        <w:rPr>
          <w:rFonts w:eastAsia="Times New Roman"/>
        </w:rPr>
        <w:t>r</w:t>
      </w:r>
      <w:r w:rsidRPr="00D7372C">
        <w:rPr>
          <w:rFonts w:eastAsia="Times New Roman"/>
        </w:rPr>
        <w:t xml:space="preserve">ight-of-use </w:t>
      </w:r>
      <w:r>
        <w:rPr>
          <w:rFonts w:eastAsia="Times New Roman"/>
        </w:rPr>
        <w:t>a</w:t>
      </w:r>
      <w:r w:rsidRPr="00D7372C">
        <w:rPr>
          <w:rFonts w:eastAsia="Times New Roman"/>
        </w:rPr>
        <w:t>ssets</w:t>
      </w:r>
    </w:p>
    <w:p w14:paraId="7515E2D8" w14:textId="77777777" w:rsidR="00AD60C7" w:rsidRPr="00D7372C" w:rsidRDefault="00AD60C7" w:rsidP="00FE1E31">
      <w:pPr>
        <w:ind w:right="152"/>
        <w:rPr>
          <w:rFonts w:eastAsiaTheme="minorHAnsi"/>
          <w:color w:val="auto"/>
          <w:sz w:val="22"/>
        </w:rPr>
      </w:pPr>
      <w:r w:rsidRPr="00D7372C">
        <w:t xml:space="preserve">The policy to value right-of-use assets (ROUA) at fair value </w:t>
      </w:r>
      <w:r>
        <w:t>(with the exception of below market or peppercorn leases)</w:t>
      </w:r>
      <w:r w:rsidRPr="00D7372C">
        <w:t xml:space="preserve"> has not changed from previous year</w:t>
      </w:r>
      <w:r>
        <w:t>s</w:t>
      </w:r>
      <w:r w:rsidRPr="00D7372C">
        <w:t xml:space="preserve">. </w:t>
      </w:r>
      <w:r>
        <w:t>While</w:t>
      </w:r>
      <w:r w:rsidRPr="00D7372C">
        <w:t xml:space="preserve"> a practical expedient was provided last financial year, </w:t>
      </w:r>
      <w:r>
        <w:t>for these ROUA to be carried at cost (unless management became aware of instances requiring adjustment)</w:t>
      </w:r>
      <w:r w:rsidRPr="00D7372C">
        <w:t>, a similar expedient cannot be used this year. Although we appreciate it is not straightforward to determine fair value, it would have needed to have been done for impairment purposes in any event.</w:t>
      </w:r>
    </w:p>
    <w:p w14:paraId="63AC5E25" w14:textId="77777777" w:rsidR="00AD60C7" w:rsidRDefault="00AD60C7" w:rsidP="00AD60C7">
      <w:r w:rsidRPr="00D7372C">
        <w:t>This area is very judgemental, but the fair values of R</w:t>
      </w:r>
      <w:r>
        <w:t>O</w:t>
      </w:r>
      <w:r w:rsidRPr="00D7372C">
        <w:t xml:space="preserve">UAs are linked to lease payments. Management therefore need to assess if the current lease payments under the contract approximate current market rentals for equivalent properties that would be paid in the current environment. </w:t>
      </w:r>
    </w:p>
    <w:p w14:paraId="66A49E03" w14:textId="77777777" w:rsidR="00AD60C7" w:rsidRDefault="00AD60C7" w:rsidP="00AD60C7">
      <w:r w:rsidRPr="00D7372C">
        <w:t xml:space="preserve">In the </w:t>
      </w:r>
      <w:r>
        <w:t>general government sector</w:t>
      </w:r>
      <w:r w:rsidRPr="00D7372C">
        <w:t xml:space="preserve">, the fair values of most (if not all) of </w:t>
      </w:r>
      <w:r>
        <w:t>non-financial</w:t>
      </w:r>
      <w:r w:rsidRPr="00D7372C">
        <w:t xml:space="preserve"> assets are determined with reference to the amounts that will have to be paid to replace the current service capacity of th</w:t>
      </w:r>
      <w:r>
        <w:t>ose</w:t>
      </w:r>
      <w:r w:rsidRPr="00D7372C">
        <w:t xml:space="preserve"> asset</w:t>
      </w:r>
      <w:r>
        <w:t>s</w:t>
      </w:r>
      <w:r w:rsidRPr="00D7372C">
        <w:t xml:space="preserve">. </w:t>
      </w:r>
    </w:p>
    <w:p w14:paraId="544EBA7F" w14:textId="77777777" w:rsidR="00AD60C7" w:rsidRPr="00D7372C" w:rsidRDefault="00AD60C7" w:rsidP="00AD60C7">
      <w:r>
        <w:t>T</w:t>
      </w:r>
      <w:r w:rsidRPr="00D7372C">
        <w:t xml:space="preserve">he amounts that would need to be paid to replace the current service potential of </w:t>
      </w:r>
      <w:r>
        <w:t>ROUA</w:t>
      </w:r>
      <w:r w:rsidRPr="00D7372C">
        <w:t xml:space="preserve"> (the floor place used to provide the public sector service) would be the current rentals that would need to be paid to a landlord for a similar space.</w:t>
      </w:r>
    </w:p>
    <w:p w14:paraId="6B557912" w14:textId="77777777" w:rsidR="00AD60C7" w:rsidRPr="00D7372C" w:rsidRDefault="00AD60C7" w:rsidP="00AD60C7">
      <w:r>
        <w:t>M</w:t>
      </w:r>
      <w:r w:rsidRPr="00D7372C">
        <w:t xml:space="preserve">anagement </w:t>
      </w:r>
      <w:r>
        <w:t>could</w:t>
      </w:r>
      <w:r w:rsidRPr="00D7372C">
        <w:t>:</w:t>
      </w:r>
    </w:p>
    <w:p w14:paraId="72B8884A" w14:textId="105BDB8A" w:rsidR="00AD60C7" w:rsidRPr="00D7372C" w:rsidRDefault="00AD60C7" w:rsidP="00001BF1">
      <w:pPr>
        <w:pStyle w:val="Bullet1"/>
        <w:contextualSpacing w:val="0"/>
      </w:pPr>
      <w:r>
        <w:t>o</w:t>
      </w:r>
      <w:r w:rsidRPr="00D7372C">
        <w:t>btain/develop a best estimate of the current market rentals in connection with the particular lease</w:t>
      </w:r>
      <w:r>
        <w:t>,</w:t>
      </w:r>
      <w:r w:rsidRPr="00D7372C">
        <w:t xml:space="preserve"> for instance by obtaining rentals for similar/equivalent properties through enquiring from lessors and/or rental agents</w:t>
      </w:r>
      <w:r>
        <w:t>,</w:t>
      </w:r>
      <w:r w:rsidR="00283809">
        <w:t xml:space="preserve"> </w:t>
      </w:r>
      <w:r w:rsidRPr="00D7372C">
        <w:t>VGV etc</w:t>
      </w:r>
      <w:r w:rsidR="00001BF1">
        <w:t>.</w:t>
      </w:r>
    </w:p>
    <w:p w14:paraId="2C517532" w14:textId="77777777" w:rsidR="00AD60C7" w:rsidRPr="00D7372C" w:rsidRDefault="00AD60C7" w:rsidP="00001BF1">
      <w:pPr>
        <w:pStyle w:val="Bullet1"/>
        <w:contextualSpacing w:val="0"/>
      </w:pPr>
      <w:r>
        <w:t>c</w:t>
      </w:r>
      <w:r w:rsidRPr="00D7372C">
        <w:t xml:space="preserve">ompare the </w:t>
      </w:r>
      <w:r>
        <w:t xml:space="preserve">present value of the </w:t>
      </w:r>
      <w:r w:rsidRPr="00D7372C">
        <w:t xml:space="preserve">estimate of current market rentals to the </w:t>
      </w:r>
      <w:r>
        <w:t>carrying amount of the ROUA</w:t>
      </w:r>
      <w:r w:rsidRPr="00D7372C">
        <w:t xml:space="preserve"> and if they differ by more than 10</w:t>
      </w:r>
      <w:r>
        <w:t xml:space="preserve"> per cent </w:t>
      </w:r>
      <w:r w:rsidRPr="00D7372C">
        <w:t>, perform a recalculation of the ROUA and adjust the value of the ROUA to the calculated value</w:t>
      </w:r>
    </w:p>
    <w:p w14:paraId="0A210A79" w14:textId="77777777" w:rsidR="00AD60C7" w:rsidRPr="00D7372C" w:rsidRDefault="00AD60C7" w:rsidP="00001BF1">
      <w:pPr>
        <w:pStyle w:val="Bullet1"/>
        <w:contextualSpacing w:val="0"/>
      </w:pPr>
      <w:r w:rsidRPr="00D7372C">
        <w:lastRenderedPageBreak/>
        <w:t xml:space="preserve">If the difference between the </w:t>
      </w:r>
      <w:r>
        <w:t xml:space="preserve">present value of the </w:t>
      </w:r>
      <w:r w:rsidRPr="00D7372C">
        <w:t xml:space="preserve">estimate of current market rentals </w:t>
      </w:r>
      <w:r>
        <w:t>and</w:t>
      </w:r>
      <w:r w:rsidRPr="00D7372C">
        <w:t xml:space="preserve"> the</w:t>
      </w:r>
      <w:r>
        <w:t xml:space="preserve"> carrying amount of the ROUA</w:t>
      </w:r>
      <w:r w:rsidRPr="00D7372C">
        <w:t xml:space="preserve"> does not exceed 10</w:t>
      </w:r>
      <w:r>
        <w:t xml:space="preserve"> per cent</w:t>
      </w:r>
      <w:r w:rsidRPr="00D7372C">
        <w:t>, a remeasurement adjustment is not required.</w:t>
      </w:r>
    </w:p>
    <w:p w14:paraId="472D2382" w14:textId="77777777" w:rsidR="00AD60C7" w:rsidRDefault="00AD60C7" w:rsidP="00AD60C7">
      <w:r w:rsidRPr="00D7372C">
        <w:t>In addition, if management is aware of any factor that would impact the value of the ROUA (impairment or otherwise), we recommend that the value of the ROUA be adjusted to reflect fair value.</w:t>
      </w:r>
      <w:r>
        <w:t xml:space="preserve"> </w:t>
      </w:r>
      <w:bookmarkStart w:id="6" w:name="_Toc424822614"/>
      <w:bookmarkStart w:id="7" w:name="_Toc452724750"/>
    </w:p>
    <w:p w14:paraId="29B81655" w14:textId="77777777" w:rsidR="00AD60C7" w:rsidRPr="00923519" w:rsidRDefault="00AD60C7" w:rsidP="00AD60C7">
      <w:pPr>
        <w:pStyle w:val="Heading2"/>
        <w:rPr>
          <w:rFonts w:eastAsia="Times New Roman"/>
        </w:rPr>
      </w:pPr>
      <w:r w:rsidRPr="00923519">
        <w:rPr>
          <w:rFonts w:eastAsia="Times New Roman"/>
        </w:rPr>
        <w:t xml:space="preserve">Financial reporting directions and guidance notes </w:t>
      </w:r>
    </w:p>
    <w:p w14:paraId="163D8822" w14:textId="77777777" w:rsidR="00AD60C7" w:rsidRPr="008F611F" w:rsidRDefault="00AD60C7" w:rsidP="00AD60C7">
      <w:pPr>
        <w:rPr>
          <w:rFonts w:eastAsia="Times New Roman"/>
        </w:rPr>
      </w:pPr>
      <w:r w:rsidRPr="008F611F">
        <w:rPr>
          <w:rFonts w:eastAsia="Times New Roman"/>
        </w:rPr>
        <w:t>The following FRDs have been updated during the period:</w:t>
      </w:r>
    </w:p>
    <w:p w14:paraId="519C3E3E" w14:textId="77777777" w:rsidR="00AD60C7" w:rsidRPr="008F611F" w:rsidRDefault="00AD60C7" w:rsidP="00001BF1">
      <w:pPr>
        <w:pStyle w:val="Heading3"/>
        <w:rPr>
          <w:rFonts w:eastAsia="Times New Roman"/>
        </w:rPr>
      </w:pPr>
      <w:r w:rsidRPr="008F611F">
        <w:rPr>
          <w:rFonts w:eastAsia="Times New Roman"/>
        </w:rPr>
        <w:t xml:space="preserve">FRD 22I </w:t>
      </w:r>
      <w:r w:rsidRPr="00001BF1">
        <w:rPr>
          <w:rFonts w:eastAsia="Times New Roman"/>
          <w:i/>
          <w:iCs/>
        </w:rPr>
        <w:t>Standard disclosures in the Report of Operations</w:t>
      </w:r>
    </w:p>
    <w:p w14:paraId="720CABB5" w14:textId="77E58D14" w:rsidR="00AD60C7" w:rsidRPr="00467931" w:rsidRDefault="00AD60C7" w:rsidP="00001BF1">
      <w:pPr>
        <w:rPr>
          <w:rFonts w:eastAsia="Times New Roman"/>
        </w:rPr>
      </w:pPr>
      <w:r w:rsidRPr="00467931">
        <w:rPr>
          <w:rFonts w:eastAsia="Times New Roman"/>
        </w:rPr>
        <w:t>The FRD has been revised to incorporate the annual reporting disclosure requirements for preparers under</w:t>
      </w:r>
      <w:r w:rsidR="004229CE">
        <w:rPr>
          <w:rFonts w:ascii="Calibri" w:eastAsia="Times New Roman" w:hAnsi="Calibri"/>
        </w:rPr>
        <w:t> </w:t>
      </w:r>
      <w:r w:rsidRPr="00467931">
        <w:rPr>
          <w:rFonts w:eastAsia="Times New Roman"/>
        </w:rPr>
        <w:t>AMAF.</w:t>
      </w:r>
    </w:p>
    <w:p w14:paraId="6B244120" w14:textId="77777777" w:rsidR="00AD60C7" w:rsidRPr="00467931" w:rsidRDefault="00AD60C7" w:rsidP="00001BF1">
      <w:pPr>
        <w:rPr>
          <w:rFonts w:eastAsia="Times New Roman"/>
        </w:rPr>
      </w:pPr>
      <w:r w:rsidRPr="00467931">
        <w:rPr>
          <w:rFonts w:eastAsia="Times New Roman"/>
        </w:rPr>
        <w:t>Published in 2016, the Asset Management Accountability Framework (AMAF) is a mandatory, non</w:t>
      </w:r>
      <w:r>
        <w:rPr>
          <w:rFonts w:eastAsia="Times New Roman"/>
        </w:rPr>
        <w:noBreakHyphen/>
      </w:r>
      <w:r w:rsidRPr="00467931">
        <w:rPr>
          <w:rFonts w:eastAsia="Times New Roman"/>
        </w:rPr>
        <w:t>prescriptive framework for managing public assets in Victoria. Commencing in 2020-21, the AMAF requires departments and agencies to conduct a self-assessment of the level of asset management maturity within their organisation and report this in their annual reports, with further disclosures every three years. The AMAF disclosure is mandatory for all departments and recommended for agencies, with a view to become mandatory in the 2023-24 reporting cycle</w:t>
      </w:r>
      <w:r>
        <w:rPr>
          <w:rFonts w:eastAsia="Times New Roman"/>
        </w:rPr>
        <w:t xml:space="preserve"> for all public bodies</w:t>
      </w:r>
      <w:r w:rsidRPr="00467931">
        <w:rPr>
          <w:rFonts w:eastAsia="Times New Roman"/>
        </w:rPr>
        <w:t>.</w:t>
      </w:r>
    </w:p>
    <w:p w14:paraId="68E36AEC" w14:textId="77777777" w:rsidR="00AD60C7" w:rsidRPr="008F611F" w:rsidRDefault="00AD60C7" w:rsidP="00001BF1">
      <w:pPr>
        <w:pStyle w:val="Heading3"/>
        <w:rPr>
          <w:rFonts w:eastAsia="Times New Roman"/>
        </w:rPr>
      </w:pPr>
      <w:r w:rsidRPr="00184756">
        <w:rPr>
          <w:rFonts w:eastAsia="Times New Roman"/>
        </w:rPr>
        <w:t>FRD</w:t>
      </w:r>
      <w:r w:rsidRPr="00184756">
        <w:rPr>
          <w:rFonts w:ascii="Calibri" w:eastAsia="Times New Roman" w:hAnsi="Calibri" w:cs="Calibri"/>
        </w:rPr>
        <w:t> </w:t>
      </w:r>
      <w:r w:rsidRPr="00184756">
        <w:rPr>
          <w:rFonts w:eastAsia="Times New Roman"/>
        </w:rPr>
        <w:t>103</w:t>
      </w:r>
      <w:r w:rsidRPr="008F611F">
        <w:rPr>
          <w:rFonts w:eastAsia="Times New Roman"/>
        </w:rPr>
        <w:t>I</w:t>
      </w:r>
      <w:r w:rsidRPr="00184756">
        <w:rPr>
          <w:rFonts w:eastAsia="Times New Roman"/>
        </w:rPr>
        <w:t xml:space="preserve"> </w:t>
      </w:r>
      <w:r w:rsidRPr="00001BF1">
        <w:rPr>
          <w:rFonts w:eastAsia="Times New Roman"/>
          <w:i/>
          <w:iCs/>
        </w:rPr>
        <w:t>Non-financial physical assets</w:t>
      </w:r>
      <w:r w:rsidRPr="00184756">
        <w:rPr>
          <w:rFonts w:eastAsia="Times New Roman"/>
        </w:rPr>
        <w:t xml:space="preserve"> </w:t>
      </w:r>
    </w:p>
    <w:p w14:paraId="7789DB23" w14:textId="77777777" w:rsidR="00AD60C7" w:rsidRPr="000169C1" w:rsidRDefault="00AD60C7" w:rsidP="00001BF1">
      <w:pPr>
        <w:rPr>
          <w:rFonts w:eastAsia="Times New Roman"/>
        </w:rPr>
      </w:pPr>
      <w:r w:rsidRPr="000169C1">
        <w:rPr>
          <w:rFonts w:eastAsia="Times New Roman"/>
        </w:rPr>
        <w:t>The following amendments have been made to FRD 103I:</w:t>
      </w:r>
    </w:p>
    <w:p w14:paraId="7EA8D422" w14:textId="77777777" w:rsidR="00AD60C7" w:rsidRPr="000169C1" w:rsidRDefault="00AD60C7" w:rsidP="00A06F34">
      <w:pPr>
        <w:pStyle w:val="Bullet1"/>
      </w:pPr>
      <w:bookmarkStart w:id="8" w:name="_Toc29545248"/>
      <w:r w:rsidRPr="000169C1">
        <w:t>Right-of-use assets has been incorporated into the Direction and also clarifies that an approved valuer is not required to be used for right-of-use asset valuations. These requirements were in place before, but the FRD now specifically references these requirements.</w:t>
      </w:r>
    </w:p>
    <w:p w14:paraId="2DDF1776" w14:textId="77777777" w:rsidR="00AD60C7" w:rsidRPr="000169C1" w:rsidRDefault="00AD60C7" w:rsidP="00A06F34">
      <w:pPr>
        <w:pStyle w:val="Bullet1"/>
      </w:pPr>
      <w:r w:rsidRPr="000169C1">
        <w:t>Editorial changes have also been made to enhance clarity of FRD 103I including applicability to joint ventures.</w:t>
      </w:r>
    </w:p>
    <w:p w14:paraId="6293CE20" w14:textId="77777777" w:rsidR="00AD60C7" w:rsidRPr="00163F02" w:rsidRDefault="00AD60C7" w:rsidP="00A06F34">
      <w:pPr>
        <w:pStyle w:val="Heading3"/>
        <w:rPr>
          <w:rFonts w:eastAsia="Times New Roman"/>
        </w:rPr>
      </w:pPr>
      <w:r w:rsidRPr="00163F02">
        <w:rPr>
          <w:rFonts w:eastAsia="Times New Roman"/>
        </w:rPr>
        <w:t>FRD</w:t>
      </w:r>
      <w:r w:rsidRPr="00163F02">
        <w:rPr>
          <w:rFonts w:ascii="Calibri" w:eastAsia="Times New Roman" w:hAnsi="Calibri" w:cs="Calibri"/>
        </w:rPr>
        <w:t> </w:t>
      </w:r>
      <w:r w:rsidRPr="00163F02">
        <w:rPr>
          <w:rFonts w:eastAsia="Times New Roman"/>
        </w:rPr>
        <w:t>120</w:t>
      </w:r>
      <w:r>
        <w:rPr>
          <w:rFonts w:eastAsia="Times New Roman"/>
        </w:rPr>
        <w:t>O</w:t>
      </w:r>
      <w:r w:rsidRPr="00163F02">
        <w:rPr>
          <w:rFonts w:eastAsia="Times New Roman"/>
        </w:rPr>
        <w:t xml:space="preserve"> </w:t>
      </w:r>
      <w:r w:rsidRPr="00A06F34">
        <w:rPr>
          <w:rFonts w:eastAsia="Times New Roman"/>
          <w:i/>
          <w:iCs/>
        </w:rPr>
        <w:t>Accounting and Reporting pronouncements</w:t>
      </w:r>
      <w:r w:rsidRPr="00163F02">
        <w:rPr>
          <w:rFonts w:eastAsia="Times New Roman"/>
        </w:rPr>
        <w:t xml:space="preserve"> </w:t>
      </w:r>
    </w:p>
    <w:p w14:paraId="5B578DAC" w14:textId="77777777" w:rsidR="00AD60C7" w:rsidRPr="00163F02" w:rsidRDefault="00AD60C7" w:rsidP="00001BF1">
      <w:pPr>
        <w:rPr>
          <w:rFonts w:eastAsia="Times New Roman"/>
        </w:rPr>
      </w:pPr>
      <w:r w:rsidRPr="00163F02">
        <w:rPr>
          <w:rFonts w:eastAsia="Times New Roman"/>
        </w:rPr>
        <w:t>FRD 12</w:t>
      </w:r>
      <w:r w:rsidRPr="00DC1AB2">
        <w:rPr>
          <w:rFonts w:eastAsia="Times New Roman"/>
        </w:rPr>
        <w:t>0</w:t>
      </w:r>
      <w:r>
        <w:rPr>
          <w:rFonts w:eastAsia="Times New Roman"/>
        </w:rPr>
        <w:t>O</w:t>
      </w:r>
      <w:r w:rsidRPr="00163F02">
        <w:rPr>
          <w:rFonts w:eastAsia="Times New Roman"/>
        </w:rPr>
        <w:t xml:space="preserve"> includes the accounting and reporting pronouncements applicable to departments and public bodies for the </w:t>
      </w:r>
      <w:r w:rsidRPr="00DC1AB2">
        <w:rPr>
          <w:rFonts w:eastAsia="Times New Roman"/>
        </w:rPr>
        <w:t xml:space="preserve">2020-21 </w:t>
      </w:r>
      <w:r w:rsidRPr="00163F02">
        <w:rPr>
          <w:rFonts w:eastAsia="Times New Roman"/>
        </w:rPr>
        <w:t xml:space="preserve">reporting period. This includes the </w:t>
      </w:r>
      <w:r>
        <w:rPr>
          <w:rFonts w:eastAsia="Times New Roman"/>
        </w:rPr>
        <w:t>amended FRDs</w:t>
      </w:r>
      <w:r w:rsidRPr="00163F02">
        <w:rPr>
          <w:rFonts w:eastAsia="Times New Roman"/>
        </w:rPr>
        <w:t xml:space="preserve"> outlined above, as well as the Accounting Standards and Standing Directions. It also includes details of new and amending standards that will apply in future reporting periods. </w:t>
      </w:r>
    </w:p>
    <w:p w14:paraId="48E2D67A" w14:textId="11A64899" w:rsidR="00AD60C7" w:rsidRPr="00923519" w:rsidRDefault="00AD60C7" w:rsidP="0027122F">
      <w:pPr>
        <w:pStyle w:val="Heading1"/>
      </w:pPr>
      <w:bookmarkStart w:id="9" w:name="_Toc33614832"/>
      <w:bookmarkStart w:id="10" w:name="_Toc48907917"/>
      <w:bookmarkStart w:id="11" w:name="_Toc75950900"/>
      <w:bookmarkStart w:id="12" w:name="_Toc76554643"/>
      <w:bookmarkEnd w:id="8"/>
      <w:r w:rsidRPr="0027122F">
        <w:t>Financial</w:t>
      </w:r>
      <w:r w:rsidRPr="00923519">
        <w:t xml:space="preserve"> reporting legislation</w:t>
      </w:r>
      <w:bookmarkEnd w:id="6"/>
      <w:bookmarkEnd w:id="7"/>
      <w:bookmarkEnd w:id="9"/>
      <w:bookmarkEnd w:id="10"/>
      <w:bookmarkEnd w:id="11"/>
      <w:bookmarkEnd w:id="12"/>
      <w:r w:rsidRPr="00923519">
        <w:t xml:space="preserve"> </w:t>
      </w:r>
    </w:p>
    <w:p w14:paraId="414ADBBD" w14:textId="77777777" w:rsidR="00AD60C7" w:rsidRPr="00BE58A4" w:rsidRDefault="00AD60C7" w:rsidP="00AD60C7">
      <w:pPr>
        <w:pStyle w:val="Heading2"/>
        <w:rPr>
          <w:rFonts w:eastAsia="Times New Roman"/>
        </w:rPr>
      </w:pPr>
      <w:r w:rsidRPr="00BE58A4">
        <w:rPr>
          <w:rFonts w:eastAsia="Times New Roman"/>
        </w:rPr>
        <w:t xml:space="preserve">Standing Directions – annual report attestation </w:t>
      </w:r>
    </w:p>
    <w:p w14:paraId="6FDCBE32" w14:textId="24BBC14A" w:rsidR="00AD60C7" w:rsidRPr="00C95717" w:rsidRDefault="00AD60C7" w:rsidP="00AD60C7">
      <w:pPr>
        <w:rPr>
          <w:color w:val="auto"/>
        </w:rPr>
      </w:pPr>
      <w:r w:rsidRPr="00C95717">
        <w:rPr>
          <w:color w:val="auto"/>
        </w:rPr>
        <w:t xml:space="preserve">The Standing Directions 2018 under the </w:t>
      </w:r>
      <w:r w:rsidRPr="00C95717">
        <w:rPr>
          <w:i/>
          <w:iCs/>
          <w:color w:val="auto"/>
        </w:rPr>
        <w:t>Financial Management Act 1994</w:t>
      </w:r>
      <w:r w:rsidRPr="00C95717">
        <w:rPr>
          <w:color w:val="auto"/>
        </w:rPr>
        <w:t xml:space="preserve"> (2018 Standing Directions) require a formal attestation statement in your annual reports. All agencies with a 30 June reporting date must complete an attestation statement for the period</w:t>
      </w:r>
      <w:r w:rsidRPr="00C95717">
        <w:rPr>
          <w:b/>
          <w:bCs/>
          <w:color w:val="auto"/>
        </w:rPr>
        <w:t xml:space="preserve"> 1</w:t>
      </w:r>
      <w:r>
        <w:rPr>
          <w:rFonts w:ascii="Calibri" w:hAnsi="Calibri" w:cs="Calibri"/>
          <w:b/>
          <w:bCs/>
          <w:color w:val="auto"/>
        </w:rPr>
        <w:t> </w:t>
      </w:r>
      <w:r w:rsidRPr="00C95717">
        <w:rPr>
          <w:b/>
          <w:bCs/>
          <w:color w:val="auto"/>
        </w:rPr>
        <w:t xml:space="preserve">July 2020 </w:t>
      </w:r>
      <w:r w:rsidRPr="00C95717">
        <w:rPr>
          <w:bCs/>
          <w:color w:val="auto"/>
        </w:rPr>
        <w:t>to</w:t>
      </w:r>
      <w:r w:rsidRPr="00C95717">
        <w:rPr>
          <w:b/>
          <w:bCs/>
          <w:color w:val="auto"/>
        </w:rPr>
        <w:t xml:space="preserve"> 30</w:t>
      </w:r>
      <w:r>
        <w:rPr>
          <w:rFonts w:ascii="Calibri" w:hAnsi="Calibri" w:cs="Calibri"/>
          <w:b/>
          <w:bCs/>
          <w:color w:val="auto"/>
        </w:rPr>
        <w:t> </w:t>
      </w:r>
      <w:r w:rsidRPr="00C95717">
        <w:rPr>
          <w:b/>
          <w:bCs/>
          <w:color w:val="auto"/>
        </w:rPr>
        <w:t xml:space="preserve">June 2021, </w:t>
      </w:r>
      <w:r w:rsidRPr="00C95717">
        <w:rPr>
          <w:color w:val="auto"/>
        </w:rPr>
        <w:t>covering</w:t>
      </w:r>
      <w:r w:rsidRPr="00C95717">
        <w:rPr>
          <w:b/>
          <w:bCs/>
          <w:color w:val="auto"/>
        </w:rPr>
        <w:t xml:space="preserve"> all </w:t>
      </w:r>
      <w:r w:rsidRPr="00C95717">
        <w:rPr>
          <w:color w:val="auto"/>
        </w:rPr>
        <w:t xml:space="preserve">applicable 2018 Standing Directions and Instructions as required and in a form prescribed by </w:t>
      </w:r>
      <w:hyperlink r:id="rId20" w:history="1">
        <w:r w:rsidRPr="00AD60C7">
          <w:rPr>
            <w:b/>
            <w:bCs/>
          </w:rPr>
          <w:t>Instruction</w:t>
        </w:r>
        <w:r w:rsidRPr="00AD60C7">
          <w:rPr>
            <w:rFonts w:ascii="Calibri" w:hAnsi="Calibri" w:cs="Calibri"/>
            <w:b/>
            <w:bCs/>
          </w:rPr>
          <w:t> </w:t>
        </w:r>
        <w:r w:rsidRPr="00AD60C7">
          <w:rPr>
            <w:b/>
            <w:bCs/>
          </w:rPr>
          <w:t>5.1, clause 2</w:t>
        </w:r>
      </w:hyperlink>
      <w:r w:rsidRPr="00AD60C7">
        <w:rPr>
          <w:b/>
          <w:bCs/>
        </w:rPr>
        <w:t>.2</w:t>
      </w:r>
      <w:r w:rsidRPr="00C95717">
        <w:rPr>
          <w:color w:val="auto"/>
        </w:rPr>
        <w:t>.</w:t>
      </w:r>
    </w:p>
    <w:p w14:paraId="02796A85" w14:textId="77777777" w:rsidR="00AD60C7" w:rsidRPr="00C95717" w:rsidRDefault="00AD60C7" w:rsidP="004229CE">
      <w:pPr>
        <w:keepNext/>
        <w:rPr>
          <w:color w:val="auto"/>
        </w:rPr>
      </w:pPr>
      <w:r w:rsidRPr="00C95717">
        <w:rPr>
          <w:color w:val="auto"/>
        </w:rPr>
        <w:lastRenderedPageBreak/>
        <w:t xml:space="preserve">However, please note that in light of the </w:t>
      </w:r>
      <w:r>
        <w:rPr>
          <w:color w:val="auto"/>
        </w:rPr>
        <w:t>coronavirus (</w:t>
      </w:r>
      <w:r w:rsidRPr="00C95717">
        <w:rPr>
          <w:color w:val="auto"/>
        </w:rPr>
        <w:t>COVID-19</w:t>
      </w:r>
      <w:r>
        <w:rPr>
          <w:color w:val="auto"/>
        </w:rPr>
        <w:t>)</w:t>
      </w:r>
      <w:r w:rsidRPr="00C95717">
        <w:rPr>
          <w:color w:val="auto"/>
        </w:rPr>
        <w:t xml:space="preserve"> pandemic and its impacts on the operations of agencies, specific advice on the 2020</w:t>
      </w:r>
      <w:r w:rsidRPr="00C95717">
        <w:rPr>
          <w:rFonts w:eastAsia="Times New Roman"/>
          <w:color w:val="auto"/>
        </w:rPr>
        <w:t>-</w:t>
      </w:r>
      <w:r w:rsidRPr="00C95717">
        <w:rPr>
          <w:color w:val="auto"/>
        </w:rPr>
        <w:t>21 timing and other requirements for attestation is being provided to agencies by the DTF Financial Frameworks team.</w:t>
      </w:r>
    </w:p>
    <w:p w14:paraId="3E32FAA6" w14:textId="6829AF69" w:rsidR="00AD60C7" w:rsidRPr="00AD60C7" w:rsidRDefault="00AD60C7" w:rsidP="00AD60C7">
      <w:r w:rsidRPr="00C95717">
        <w:rPr>
          <w:color w:val="auto"/>
        </w:rPr>
        <w:t>If you have any further queries on the Standing Directions, please direct your queries to the DTF Financial Frameworks team mailbox</w:t>
      </w:r>
      <w:r w:rsidRPr="00AD60C7">
        <w:t xml:space="preserve">: </w:t>
      </w:r>
      <w:hyperlink r:id="rId21" w:history="1">
        <w:r w:rsidRPr="00AD60C7">
          <w:rPr>
            <w:rStyle w:val="Hyperlink"/>
          </w:rPr>
          <w:t>standing.directions@dtf.vic.gov.au</w:t>
        </w:r>
      </w:hyperlink>
      <w:r w:rsidRPr="00AD60C7">
        <w:t>.</w:t>
      </w:r>
    </w:p>
    <w:p w14:paraId="44C688EC" w14:textId="77777777" w:rsidR="00AD60C7" w:rsidRPr="002C4F4A" w:rsidRDefault="00AD60C7" w:rsidP="00AD60C7">
      <w:pPr>
        <w:pStyle w:val="Heading2"/>
      </w:pPr>
      <w:r w:rsidRPr="00923519">
        <w:rPr>
          <w:rFonts w:eastAsia="Times New Roman"/>
        </w:rPr>
        <w:t xml:space="preserve">Superannuation </w:t>
      </w:r>
      <w:r w:rsidRPr="002C4F4A">
        <w:t>Guarantee Levy</w:t>
      </w:r>
    </w:p>
    <w:p w14:paraId="0F7F9EAD" w14:textId="5A86E53D" w:rsidR="00AD60C7" w:rsidRPr="00412D9E" w:rsidRDefault="00AD60C7" w:rsidP="00AD60C7">
      <w:pPr>
        <w:rPr>
          <w:rFonts w:eastAsia="Times New Roman"/>
          <w:color w:val="auto"/>
        </w:rPr>
      </w:pPr>
      <w:r w:rsidRPr="00412D9E">
        <w:rPr>
          <w:rFonts w:eastAsia="Times New Roman"/>
          <w:color w:val="auto"/>
        </w:rPr>
        <w:t xml:space="preserve">Consistent with the </w:t>
      </w:r>
      <w:r w:rsidRPr="00412D9E">
        <w:rPr>
          <w:rFonts w:eastAsia="Times New Roman"/>
          <w:i/>
          <w:color w:val="auto"/>
        </w:rPr>
        <w:t>Minerals Resource Rent Tax Repeal and Other Measures Act 2014</w:t>
      </w:r>
      <w:r w:rsidRPr="00412D9E">
        <w:rPr>
          <w:rFonts w:eastAsia="Times New Roman"/>
          <w:color w:val="auto"/>
        </w:rPr>
        <w:t xml:space="preserve"> passed in September</w:t>
      </w:r>
      <w:r>
        <w:rPr>
          <w:rFonts w:ascii="Calibri" w:eastAsia="Times New Roman" w:hAnsi="Calibri" w:cs="Calibri"/>
          <w:color w:val="auto"/>
        </w:rPr>
        <w:t> </w:t>
      </w:r>
      <w:r w:rsidRPr="00412D9E">
        <w:rPr>
          <w:rFonts w:eastAsia="Times New Roman"/>
          <w:color w:val="auto"/>
        </w:rPr>
        <w:t>2014, the SGL rates will increase by 0.5 per cent to 10</w:t>
      </w:r>
      <w:r>
        <w:rPr>
          <w:rFonts w:ascii="Calibri" w:eastAsia="Times New Roman" w:hAnsi="Calibri" w:cs="Calibri"/>
          <w:color w:val="auto"/>
        </w:rPr>
        <w:t> </w:t>
      </w:r>
      <w:r w:rsidRPr="00412D9E">
        <w:rPr>
          <w:rFonts w:eastAsia="Times New Roman"/>
          <w:color w:val="auto"/>
        </w:rPr>
        <w:t>per</w:t>
      </w:r>
      <w:r>
        <w:rPr>
          <w:rFonts w:ascii="Calibri" w:eastAsia="Times New Roman" w:hAnsi="Calibri" w:cs="Calibri"/>
          <w:color w:val="auto"/>
        </w:rPr>
        <w:t> </w:t>
      </w:r>
      <w:r w:rsidRPr="00412D9E">
        <w:rPr>
          <w:rFonts w:eastAsia="Times New Roman"/>
          <w:color w:val="auto"/>
        </w:rPr>
        <w:t xml:space="preserve">cent on 1 July 2021. </w:t>
      </w:r>
    </w:p>
    <w:p w14:paraId="2DF71DA1" w14:textId="410ED442" w:rsidR="00AD60C7" w:rsidRPr="00412D9E" w:rsidRDefault="00AD60C7" w:rsidP="00AD60C7">
      <w:pPr>
        <w:rPr>
          <w:rFonts w:eastAsia="Times New Roman"/>
          <w:color w:val="auto"/>
        </w:rPr>
      </w:pPr>
      <w:r w:rsidRPr="00412D9E">
        <w:rPr>
          <w:rFonts w:eastAsia="Times New Roman"/>
          <w:color w:val="auto"/>
        </w:rPr>
        <w:t xml:space="preserve">The next </w:t>
      </w:r>
      <w:r>
        <w:rPr>
          <w:rFonts w:eastAsia="Times New Roman"/>
          <w:color w:val="auto"/>
        </w:rPr>
        <w:t>Superannuation Guarantee Levy (</w:t>
      </w:r>
      <w:r w:rsidRPr="00412D9E">
        <w:rPr>
          <w:rFonts w:eastAsia="Times New Roman"/>
          <w:color w:val="auto"/>
        </w:rPr>
        <w:t>SGL</w:t>
      </w:r>
      <w:r>
        <w:rPr>
          <w:rFonts w:eastAsia="Times New Roman"/>
          <w:color w:val="auto"/>
        </w:rPr>
        <w:t>)</w:t>
      </w:r>
      <w:r w:rsidRPr="00412D9E">
        <w:rPr>
          <w:rFonts w:eastAsia="Times New Roman"/>
          <w:color w:val="auto"/>
        </w:rPr>
        <w:t xml:space="preserve"> rate change for departments and agencies will be effective from 1 July 2022 when the rate will increase to 10.5</w:t>
      </w:r>
      <w:r>
        <w:rPr>
          <w:rFonts w:ascii="Calibri" w:eastAsia="Times New Roman" w:hAnsi="Calibri" w:cs="Calibri"/>
          <w:color w:val="auto"/>
        </w:rPr>
        <w:t> </w:t>
      </w:r>
      <w:r w:rsidRPr="00412D9E">
        <w:rPr>
          <w:rFonts w:eastAsia="Times New Roman"/>
          <w:color w:val="auto"/>
        </w:rPr>
        <w:t>per</w:t>
      </w:r>
      <w:r>
        <w:rPr>
          <w:rFonts w:ascii="Calibri" w:eastAsia="Times New Roman" w:hAnsi="Calibri" w:cs="Calibri"/>
          <w:color w:val="auto"/>
        </w:rPr>
        <w:t> </w:t>
      </w:r>
      <w:r w:rsidRPr="00412D9E">
        <w:rPr>
          <w:rFonts w:eastAsia="Times New Roman"/>
          <w:color w:val="auto"/>
        </w:rPr>
        <w:t xml:space="preserve">cent. </w:t>
      </w:r>
      <w:r>
        <w:rPr>
          <w:rFonts w:eastAsia="Times New Roman"/>
          <w:color w:val="auto"/>
        </w:rPr>
        <w:t>These annual increases of 0.5 per cent will continue until the SGL reaches 12 per cent on 1 July 2025.</w:t>
      </w:r>
    </w:p>
    <w:p w14:paraId="7C38679A" w14:textId="77777777" w:rsidR="00AD60C7" w:rsidRPr="00923519" w:rsidRDefault="00AD60C7" w:rsidP="00AD60C7">
      <w:pPr>
        <w:pStyle w:val="Heading2"/>
        <w:rPr>
          <w:rFonts w:eastAsia="Times New Roman"/>
        </w:rPr>
      </w:pPr>
      <w:r w:rsidRPr="00923519">
        <w:rPr>
          <w:rFonts w:eastAsia="Times New Roman"/>
        </w:rPr>
        <w:t>Wage inflation and discount rates</w:t>
      </w:r>
    </w:p>
    <w:p w14:paraId="1AEB6F0A" w14:textId="77777777" w:rsidR="00AD60C7" w:rsidRPr="00923519" w:rsidRDefault="00AD60C7" w:rsidP="00AD60C7">
      <w:pPr>
        <w:rPr>
          <w:rFonts w:eastAsia="Times New Roman"/>
        </w:rPr>
      </w:pPr>
      <w:r w:rsidRPr="00923519">
        <w:rPr>
          <w:rFonts w:eastAsia="Times New Roman"/>
        </w:rPr>
        <w:t xml:space="preserve">DTF publishes the wage inflation and discount rates quarterly for the September, December, and March quarters. </w:t>
      </w:r>
      <w:r w:rsidRPr="001F7713">
        <w:rPr>
          <w:rFonts w:eastAsia="Times New Roman"/>
        </w:rPr>
        <w:t>Rates are released monthly for the June quarter of each financial year.</w:t>
      </w:r>
      <w:r>
        <w:rPr>
          <w:rFonts w:eastAsia="Times New Roman"/>
        </w:rPr>
        <w:t xml:space="preserve"> The most recently published rates (i.e. June 2021) should be used by entities to remeasure their employee benefit provisions for the 2020-21 reporting period.</w:t>
      </w:r>
    </w:p>
    <w:p w14:paraId="550FA248" w14:textId="77777777" w:rsidR="00AD60C7" w:rsidRDefault="00AD60C7" w:rsidP="00AD60C7">
      <w:pPr>
        <w:rPr>
          <w:rFonts w:eastAsia="Times New Roman" w:cs="Times New Roman"/>
          <w:noProof/>
        </w:rPr>
      </w:pPr>
      <w:r w:rsidRPr="00923519">
        <w:rPr>
          <w:rFonts w:eastAsia="Times New Roman"/>
        </w:rPr>
        <w:t xml:space="preserve">The wage inflation and discount rates are published for both the 2004 and 2008 Long Service Leave Models. Wage inflation rates reflect current economic assumptions made in the preparation of the Budget. The discount rates are representative of the yield of Commonwealth Treasury bonds, </w:t>
      </w:r>
      <w:r>
        <w:rPr>
          <w:rFonts w:eastAsia="Times New Roman"/>
        </w:rPr>
        <w:t>p</w:t>
      </w:r>
      <w:r w:rsidRPr="00923519">
        <w:rPr>
          <w:rFonts w:eastAsia="Times New Roman"/>
        </w:rPr>
        <w:t>ublished by the Reserve Bank of Australia.</w:t>
      </w:r>
      <w:r w:rsidRPr="00923519">
        <w:rPr>
          <w:rFonts w:eastAsia="Times New Roman" w:cs="Times New Roman"/>
          <w:noProof/>
        </w:rPr>
        <w:t xml:space="preserve"> </w:t>
      </w:r>
    </w:p>
    <w:p w14:paraId="512B84D7" w14:textId="44C51952" w:rsidR="00AD60C7" w:rsidRPr="005344B3" w:rsidRDefault="00AD60C7" w:rsidP="00AD60C7">
      <w:pPr>
        <w:rPr>
          <w:rFonts w:eastAsia="Times New Roman"/>
        </w:rPr>
      </w:pPr>
      <w:r w:rsidRPr="00001BF1">
        <w:rPr>
          <w:noProof/>
        </w:rPr>
        <w:drawing>
          <wp:inline distT="0" distB="0" distL="0" distR="0" wp14:anchorId="586927C5" wp14:editId="6915E420">
            <wp:extent cx="5648325" cy="2781300"/>
            <wp:effectExtent l="0" t="0" r="0" b="0"/>
            <wp:docPr id="7" name="Chart 7">
              <a:extLst xmlns:a="http://schemas.openxmlformats.org/drawingml/2006/main">
                <a:ext uri="{FF2B5EF4-FFF2-40B4-BE49-F238E27FC236}">
                  <a16:creationId xmlns:a16="http://schemas.microsoft.com/office/drawing/2014/main" id="{11AFEE46-2475-49BE-816F-D85350E1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1298EC" w14:textId="55120C0E" w:rsidR="00841100" w:rsidRDefault="00841100" w:rsidP="006805B9"/>
    <w:p w14:paraId="4924C9CB" w14:textId="77777777" w:rsidR="00001BF1" w:rsidRPr="00923519" w:rsidRDefault="00001BF1" w:rsidP="00001BF1">
      <w:pPr>
        <w:rPr>
          <w:rFonts w:eastAsia="Times New Roman"/>
        </w:rPr>
      </w:pPr>
      <w:r>
        <w:rPr>
          <w:rFonts w:eastAsia="Times New Roman"/>
        </w:rPr>
        <w:t xml:space="preserve">Despite the slightly downward trend observed in the June quarter, the annual discount rate has experienced an overall increase during </w:t>
      </w:r>
      <w:r w:rsidRPr="00923519">
        <w:rPr>
          <w:rFonts w:eastAsia="Times New Roman"/>
        </w:rPr>
        <w:t>20</w:t>
      </w:r>
      <w:r>
        <w:rPr>
          <w:rFonts w:eastAsia="Times New Roman"/>
        </w:rPr>
        <w:t>20-21</w:t>
      </w:r>
      <w:r w:rsidRPr="00923519">
        <w:rPr>
          <w:rFonts w:eastAsia="Times New Roman"/>
        </w:rPr>
        <w:t xml:space="preserve"> (</w:t>
      </w:r>
      <w:r>
        <w:rPr>
          <w:rFonts w:eastAsia="Times New Roman"/>
        </w:rPr>
        <w:t xml:space="preserve">a </w:t>
      </w:r>
      <w:r w:rsidRPr="00923519">
        <w:rPr>
          <w:rFonts w:eastAsia="Times New Roman"/>
        </w:rPr>
        <w:t xml:space="preserve">considerable decrease of </w:t>
      </w:r>
      <w:r>
        <w:rPr>
          <w:rFonts w:eastAsia="Times New Roman"/>
        </w:rPr>
        <w:t>61</w:t>
      </w:r>
      <w:r w:rsidRPr="00A062EE">
        <w:rPr>
          <w:rFonts w:eastAsia="Times New Roman"/>
        </w:rPr>
        <w:t>.</w:t>
      </w:r>
      <w:r>
        <w:rPr>
          <w:rFonts w:eastAsia="Times New Roman"/>
        </w:rPr>
        <w:t>9</w:t>
      </w:r>
      <w:r w:rsidRPr="00A062EE">
        <w:rPr>
          <w:rFonts w:eastAsia="Times New Roman"/>
        </w:rPr>
        <w:t xml:space="preserve"> basis points since 30 June 20</w:t>
      </w:r>
      <w:r>
        <w:rPr>
          <w:rFonts w:eastAsia="Times New Roman"/>
        </w:rPr>
        <w:t>20</w:t>
      </w:r>
      <w:r w:rsidRPr="00923519">
        <w:rPr>
          <w:rFonts w:eastAsia="Times New Roman"/>
        </w:rPr>
        <w:t xml:space="preserve">) </w:t>
      </w:r>
      <w:r>
        <w:rPr>
          <w:rFonts w:eastAsia="Times New Roman"/>
        </w:rPr>
        <w:t xml:space="preserve">that, all else being equal, will reduce </w:t>
      </w:r>
      <w:r w:rsidRPr="00923519">
        <w:rPr>
          <w:rFonts w:eastAsia="Times New Roman"/>
        </w:rPr>
        <w:t>the present value of the annual and long service leave liabilities.</w:t>
      </w:r>
    </w:p>
    <w:p w14:paraId="235E5EAB" w14:textId="77777777" w:rsidR="00001BF1" w:rsidRPr="00CD4657" w:rsidRDefault="00001BF1" w:rsidP="00001BF1">
      <w:pPr>
        <w:rPr>
          <w:rFonts w:eastAsia="Times New Roman"/>
        </w:rPr>
      </w:pPr>
      <w:r>
        <w:rPr>
          <w:rFonts w:eastAsia="Times New Roman"/>
        </w:rPr>
        <w:t xml:space="preserve">The wage inflation rate has remained stable and currently </w:t>
      </w:r>
      <w:r w:rsidRPr="00AF5906">
        <w:t>sit</w:t>
      </w:r>
      <w:r>
        <w:t>s</w:t>
      </w:r>
      <w:r w:rsidRPr="00AF5906">
        <w:t xml:space="preserve"> at </w:t>
      </w:r>
      <w:r>
        <w:t>2</w:t>
      </w:r>
      <w:r w:rsidRPr="00AF5906">
        <w:t>.</w:t>
      </w:r>
      <w:r>
        <w:t>95</w:t>
      </w:r>
      <w:r>
        <w:rPr>
          <w:rFonts w:ascii="Calibri" w:hAnsi="Calibri" w:cs="Calibri"/>
        </w:rPr>
        <w:t> </w:t>
      </w:r>
      <w:r>
        <w:t>per</w:t>
      </w:r>
      <w:r>
        <w:rPr>
          <w:rFonts w:ascii="Calibri" w:hAnsi="Calibri" w:cs="Calibri"/>
        </w:rPr>
        <w:t> </w:t>
      </w:r>
      <w:r>
        <w:t xml:space="preserve">cent. This is based on the forward estimates for the wage price index published in the 2021-22 Budget, plus 1 per cent for promotion and progression. </w:t>
      </w:r>
    </w:p>
    <w:p w14:paraId="26945888" w14:textId="77777777" w:rsidR="00001BF1" w:rsidRPr="008942FF" w:rsidRDefault="00001BF1" w:rsidP="00001BF1">
      <w:pPr>
        <w:pStyle w:val="Heading2"/>
      </w:pPr>
      <w:r w:rsidRPr="008942FF">
        <w:lastRenderedPageBreak/>
        <w:t xml:space="preserve">Proposed amendments to financial management legislation </w:t>
      </w:r>
      <w:r w:rsidRPr="008942FF">
        <w:rPr>
          <w:rStyle w:val="Heading1Char"/>
          <w:rFonts w:eastAsiaTheme="majorEastAsia"/>
          <w:b/>
          <w:bCs/>
          <w:sz w:val="28"/>
          <w:szCs w:val="26"/>
        </w:rPr>
        <w:t>financial framework</w:t>
      </w:r>
    </w:p>
    <w:p w14:paraId="24152204" w14:textId="77777777" w:rsidR="00001BF1" w:rsidRDefault="00001BF1" w:rsidP="00001BF1">
      <w:pPr>
        <w:rPr>
          <w:rFonts w:eastAsia="Times New Roman"/>
        </w:rPr>
      </w:pPr>
      <w:r w:rsidRPr="007A665D">
        <w:rPr>
          <w:rFonts w:eastAsia="Times New Roman"/>
        </w:rPr>
        <w:t>DTF is currently developing options for financial management reform, which may result in proposals for legislative change. Departments will be consulted on any such proposals as applicable.</w:t>
      </w:r>
    </w:p>
    <w:p w14:paraId="59C6A74D" w14:textId="77777777" w:rsidR="00001BF1" w:rsidRDefault="00001BF1" w:rsidP="00001BF1">
      <w:pPr>
        <w:pStyle w:val="Heading2"/>
      </w:pPr>
      <w:r w:rsidRPr="004F25BD">
        <w:t xml:space="preserve">Resource Management Framework </w:t>
      </w:r>
    </w:p>
    <w:p w14:paraId="350D297D" w14:textId="77777777" w:rsidR="00001BF1" w:rsidRPr="00E82CDF" w:rsidRDefault="00001BF1" w:rsidP="00001BF1">
      <w:pPr>
        <w:rPr>
          <w:i/>
          <w:color w:val="auto"/>
        </w:rPr>
      </w:pPr>
      <w:r>
        <w:t>The Resource Management Framework (RMF) assists Victorian government departments in understanding and implementing the legislative and administrative policies for the State’s financial management framework, encompassing the areas of goal setting, public sector planning, budgeting, service delivery, accountability, and review. The RMF has been updated and the new version is now available on the DTF website, at this link</w:t>
      </w:r>
      <w:r w:rsidRPr="00E82CDF">
        <w:rPr>
          <w:i/>
          <w:color w:val="auto"/>
        </w:rPr>
        <w:t xml:space="preserve">: </w:t>
      </w:r>
      <w:hyperlink r:id="rId23" w:history="1">
        <w:r w:rsidRPr="00E82CDF">
          <w:rPr>
            <w:rStyle w:val="Hyperlink"/>
            <w:i/>
            <w:color w:val="auto"/>
          </w:rPr>
          <w:t>https://www.dtf.vic.gov.au/planning-budgeting-and-financial-reporting-frameworks/resource-management-framework</w:t>
        </w:r>
      </w:hyperlink>
    </w:p>
    <w:p w14:paraId="54FD6532" w14:textId="77777777" w:rsidR="00001BF1" w:rsidRDefault="00001BF1" w:rsidP="00001BF1">
      <w:r>
        <w:t>This RMF update comprises a number of changes, resulting from updated legal advice, changes relating to the Departmental Funding Model Review work, and other clarifications of existing policies.</w:t>
      </w:r>
    </w:p>
    <w:p w14:paraId="181FFF44" w14:textId="77777777" w:rsidR="00001BF1" w:rsidRPr="00FC6550" w:rsidRDefault="00001BF1" w:rsidP="00001BF1">
      <w:pPr>
        <w:pStyle w:val="Heading2"/>
      </w:pPr>
      <w:r w:rsidRPr="00AF2694">
        <w:t>Key financial publication dates for the State of Victoria</w:t>
      </w:r>
    </w:p>
    <w:p w14:paraId="1E908DDA" w14:textId="77777777" w:rsidR="00001BF1" w:rsidRDefault="00001BF1" w:rsidP="00001BF1">
      <w:pPr>
        <w:rPr>
          <w:rFonts w:eastAsia="Times New Roman"/>
        </w:rPr>
      </w:pPr>
      <w:r w:rsidRPr="00923519">
        <w:rPr>
          <w:rFonts w:eastAsia="Times New Roman"/>
        </w:rPr>
        <w:t xml:space="preserve">The following table shows the indicative key publication tabling dates for some of the State’s upcoming financial publications. </w:t>
      </w:r>
    </w:p>
    <w:tbl>
      <w:tblPr>
        <w:tblStyle w:val="DTFtexttable"/>
        <w:tblW w:w="9000" w:type="dxa"/>
        <w:tblLook w:val="06A0" w:firstRow="1" w:lastRow="0" w:firstColumn="1" w:lastColumn="0" w:noHBand="1" w:noVBand="1"/>
      </w:tblPr>
      <w:tblGrid>
        <w:gridCol w:w="1170"/>
        <w:gridCol w:w="3915"/>
        <w:gridCol w:w="3915"/>
      </w:tblGrid>
      <w:tr w:rsidR="00001BF1" w:rsidRPr="00EF3E32" w14:paraId="48159018" w14:textId="77777777" w:rsidTr="00001B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dxa"/>
          </w:tcPr>
          <w:p w14:paraId="72B0915A" w14:textId="77777777" w:rsidR="00001BF1" w:rsidRPr="00EF3E32" w:rsidRDefault="00001BF1" w:rsidP="00B06AF3">
            <w:pPr>
              <w:pStyle w:val="Tableheader"/>
              <w:rPr>
                <w:noProof/>
              </w:rPr>
            </w:pPr>
            <w:r w:rsidRPr="00EF3E32">
              <w:rPr>
                <w:noProof/>
              </w:rPr>
              <w:t>Reporting year</w:t>
            </w:r>
          </w:p>
        </w:tc>
        <w:tc>
          <w:tcPr>
            <w:tcW w:w="3915" w:type="dxa"/>
          </w:tcPr>
          <w:p w14:paraId="7AC52F97" w14:textId="77777777" w:rsidR="00001BF1" w:rsidRPr="00EF3E32" w:rsidRDefault="00001BF1" w:rsidP="00B06AF3">
            <w:pPr>
              <w:pStyle w:val="Tableheader"/>
              <w:cnfStyle w:val="100000000000" w:firstRow="1" w:lastRow="0" w:firstColumn="0" w:lastColumn="0" w:oddVBand="0" w:evenVBand="0" w:oddHBand="0" w:evenHBand="0" w:firstRowFirstColumn="0" w:firstRowLastColumn="0" w:lastRowFirstColumn="0" w:lastRowLastColumn="0"/>
              <w:rPr>
                <w:noProof/>
              </w:rPr>
            </w:pPr>
            <w:r w:rsidRPr="00EF3E32">
              <w:rPr>
                <w:noProof/>
              </w:rPr>
              <w:t>Publication</w:t>
            </w:r>
          </w:p>
        </w:tc>
        <w:tc>
          <w:tcPr>
            <w:tcW w:w="3915" w:type="dxa"/>
          </w:tcPr>
          <w:p w14:paraId="79BFA478" w14:textId="77777777" w:rsidR="00001BF1" w:rsidRPr="00EF3E32" w:rsidRDefault="00001BF1" w:rsidP="00B06AF3">
            <w:pPr>
              <w:pStyle w:val="Tableheader"/>
              <w:cnfStyle w:val="100000000000" w:firstRow="1" w:lastRow="0" w:firstColumn="0" w:lastColumn="0" w:oddVBand="0" w:evenVBand="0" w:oddHBand="0" w:evenHBand="0" w:firstRowFirstColumn="0" w:firstRowLastColumn="0" w:lastRowFirstColumn="0" w:lastRowLastColumn="0"/>
              <w:rPr>
                <w:noProof/>
              </w:rPr>
            </w:pPr>
            <w:r w:rsidRPr="00EF3E32">
              <w:rPr>
                <w:noProof/>
              </w:rPr>
              <w:t>Anticipated release dates – actual dates to be confirmed</w:t>
            </w:r>
          </w:p>
        </w:tc>
      </w:tr>
      <w:tr w:rsidR="00001BF1" w:rsidRPr="00092F57" w14:paraId="441F35AA"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7E45D656" w14:textId="77777777" w:rsidR="00001BF1" w:rsidRPr="00EF3E32" w:rsidRDefault="00001BF1" w:rsidP="00B06AF3">
            <w:pPr>
              <w:pStyle w:val="Tabletext"/>
              <w:rPr>
                <w:rFonts w:eastAsia="Times New Roman"/>
                <w:b/>
                <w:bCs/>
                <w:noProof/>
              </w:rPr>
            </w:pPr>
            <w:r w:rsidRPr="00EF3E32">
              <w:rPr>
                <w:b/>
                <w:bCs/>
              </w:rPr>
              <w:t>20</w:t>
            </w:r>
            <w:r>
              <w:rPr>
                <w:b/>
                <w:bCs/>
              </w:rPr>
              <w:t>20</w:t>
            </w:r>
            <w:r>
              <w:rPr>
                <w:rFonts w:eastAsia="Times New Roman"/>
              </w:rPr>
              <w:t>-</w:t>
            </w:r>
            <w:r w:rsidRPr="00EF3E32">
              <w:rPr>
                <w:b/>
                <w:bCs/>
              </w:rPr>
              <w:t>2</w:t>
            </w:r>
            <w:r>
              <w:rPr>
                <w:b/>
                <w:bCs/>
              </w:rPr>
              <w:t>1</w:t>
            </w:r>
          </w:p>
        </w:tc>
        <w:tc>
          <w:tcPr>
            <w:tcW w:w="3915" w:type="dxa"/>
          </w:tcPr>
          <w:p w14:paraId="583C977A"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Annual Financial Report</w:t>
            </w:r>
          </w:p>
        </w:tc>
        <w:tc>
          <w:tcPr>
            <w:tcW w:w="3915" w:type="dxa"/>
          </w:tcPr>
          <w:p w14:paraId="278C1570"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t xml:space="preserve"> </w:t>
            </w:r>
            <w:r w:rsidRPr="00092F57">
              <w:t>15</w:t>
            </w:r>
            <w:r>
              <w:t xml:space="preserve"> </w:t>
            </w:r>
            <w:r w:rsidRPr="00092F57">
              <w:t>October 202</w:t>
            </w:r>
            <w:r>
              <w:t>1</w:t>
            </w:r>
          </w:p>
        </w:tc>
      </w:tr>
      <w:tr w:rsidR="00001BF1" w:rsidRPr="00092F57" w14:paraId="642A1DA6"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7C5A9BA3" w14:textId="77777777" w:rsidR="00001BF1" w:rsidRPr="00EF3E32" w:rsidRDefault="00001BF1" w:rsidP="00B06AF3">
            <w:pPr>
              <w:pStyle w:val="Tabletext"/>
              <w:rPr>
                <w:rFonts w:eastAsia="Times New Roman"/>
                <w:b/>
                <w:bCs/>
                <w:noProof/>
              </w:rPr>
            </w:pPr>
            <w:r w:rsidRPr="00EF3E32">
              <w:rPr>
                <w:b/>
                <w:bCs/>
              </w:rPr>
              <w:t>20</w:t>
            </w:r>
            <w:r>
              <w:rPr>
                <w:b/>
                <w:bCs/>
              </w:rPr>
              <w:t>20-</w:t>
            </w:r>
            <w:r w:rsidRPr="00EF3E32">
              <w:rPr>
                <w:b/>
                <w:bCs/>
              </w:rPr>
              <w:t>2</w:t>
            </w:r>
            <w:r>
              <w:rPr>
                <w:b/>
                <w:bCs/>
              </w:rPr>
              <w:t>1</w:t>
            </w:r>
            <w:r w:rsidRPr="00EF3E32">
              <w:rPr>
                <w:b/>
                <w:bCs/>
              </w:rPr>
              <w:t xml:space="preserve"> </w:t>
            </w:r>
          </w:p>
        </w:tc>
        <w:tc>
          <w:tcPr>
            <w:tcW w:w="3915" w:type="dxa"/>
          </w:tcPr>
          <w:p w14:paraId="3B11B719"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Department and entity</w:t>
            </w:r>
            <w:r>
              <w:t xml:space="preserve"> </w:t>
            </w:r>
            <w:r w:rsidRPr="00092F57">
              <w:t>reporting (for</w:t>
            </w:r>
            <w:r>
              <w:t> </w:t>
            </w:r>
            <w:r w:rsidRPr="00092F57">
              <w:t>entities with a 1</w:t>
            </w:r>
            <w:r>
              <w:t xml:space="preserve"> </w:t>
            </w:r>
            <w:r w:rsidRPr="00092F57">
              <w:t>July</w:t>
            </w:r>
            <w:r>
              <w:t>-</w:t>
            </w:r>
            <w:r w:rsidRPr="00092F57">
              <w:t>30 June reporting period)</w:t>
            </w:r>
          </w:p>
        </w:tc>
        <w:tc>
          <w:tcPr>
            <w:tcW w:w="3915" w:type="dxa"/>
          </w:tcPr>
          <w:p w14:paraId="31AA0FBA"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w:t>
            </w:r>
            <w:r>
              <w:rPr>
                <w:b/>
                <w:bCs/>
              </w:rPr>
              <w:t>ive</w:t>
            </w:r>
            <w:r w:rsidRPr="00EF3E32">
              <w:rPr>
                <w:b/>
                <w:bCs/>
              </w:rPr>
              <w:t xml:space="preserve"> due date</w:t>
            </w:r>
            <w:r w:rsidRPr="00092F57">
              <w:t>: 31</w:t>
            </w:r>
            <w:r>
              <w:t xml:space="preserve"> </w:t>
            </w:r>
            <w:r w:rsidRPr="00092F57">
              <w:t>October 202</w:t>
            </w:r>
            <w:r>
              <w:t>1</w:t>
            </w:r>
            <w:r w:rsidRPr="00092F57">
              <w:t>, and this will</w:t>
            </w:r>
            <w:r>
              <w:t xml:space="preserve"> </w:t>
            </w:r>
            <w:r w:rsidRPr="00092F57">
              <w:t>apply for material entities.</w:t>
            </w:r>
          </w:p>
        </w:tc>
      </w:tr>
      <w:tr w:rsidR="00001BF1" w:rsidRPr="00092F57" w14:paraId="5E7B13CD"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3EC0434B" w14:textId="77777777" w:rsidR="00001BF1" w:rsidRPr="00EF3E32" w:rsidDel="00E55793" w:rsidRDefault="00001BF1" w:rsidP="00B06AF3">
            <w:pPr>
              <w:pStyle w:val="Tabletext"/>
              <w:rPr>
                <w:rFonts w:eastAsia="Times New Roman"/>
                <w:b/>
                <w:bCs/>
                <w:noProof/>
              </w:rPr>
            </w:pPr>
            <w:r w:rsidRPr="00EF3E32">
              <w:rPr>
                <w:b/>
                <w:bCs/>
              </w:rPr>
              <w:t>202</w:t>
            </w:r>
            <w:r>
              <w:rPr>
                <w:b/>
                <w:bCs/>
              </w:rPr>
              <w:t>1-</w:t>
            </w:r>
            <w:r w:rsidRPr="00EF3E32">
              <w:rPr>
                <w:b/>
                <w:bCs/>
              </w:rPr>
              <w:t>2</w:t>
            </w:r>
            <w:r>
              <w:rPr>
                <w:b/>
                <w:bCs/>
              </w:rPr>
              <w:t>2</w:t>
            </w:r>
          </w:p>
        </w:tc>
        <w:tc>
          <w:tcPr>
            <w:tcW w:w="3915" w:type="dxa"/>
          </w:tcPr>
          <w:p w14:paraId="70E273DA"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pPr>
            <w:r w:rsidRPr="00092F57">
              <w:t>September Quarterly Financial Report</w:t>
            </w:r>
          </w:p>
        </w:tc>
        <w:tc>
          <w:tcPr>
            <w:tcW w:w="3915" w:type="dxa"/>
          </w:tcPr>
          <w:p w14:paraId="3A8369B5"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t xml:space="preserve"> </w:t>
            </w:r>
            <w:r w:rsidRPr="00092F57">
              <w:t>15</w:t>
            </w:r>
            <w:r>
              <w:t xml:space="preserve"> </w:t>
            </w:r>
            <w:r w:rsidRPr="00092F57">
              <w:t>November 202</w:t>
            </w:r>
            <w:r>
              <w:t>1</w:t>
            </w:r>
          </w:p>
        </w:tc>
      </w:tr>
      <w:tr w:rsidR="00001BF1" w:rsidRPr="00092F57" w14:paraId="70AE4BA7"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32B39184" w14:textId="77777777" w:rsidR="00001BF1" w:rsidRPr="00EF3E32" w:rsidRDefault="00001BF1" w:rsidP="00B06AF3">
            <w:pPr>
              <w:pStyle w:val="Tabletext"/>
              <w:rPr>
                <w:rFonts w:eastAsia="Times New Roman"/>
                <w:b/>
                <w:bCs/>
                <w:noProof/>
              </w:rPr>
            </w:pPr>
            <w:r w:rsidRPr="00EF3E32">
              <w:rPr>
                <w:b/>
                <w:bCs/>
              </w:rPr>
              <w:t>202</w:t>
            </w:r>
            <w:r>
              <w:rPr>
                <w:b/>
                <w:bCs/>
              </w:rPr>
              <w:t>1-</w:t>
            </w:r>
            <w:r w:rsidRPr="00EF3E32">
              <w:rPr>
                <w:b/>
                <w:bCs/>
              </w:rPr>
              <w:t>2</w:t>
            </w:r>
            <w:r>
              <w:rPr>
                <w:b/>
                <w:bCs/>
              </w:rPr>
              <w:t>2</w:t>
            </w:r>
          </w:p>
        </w:tc>
        <w:tc>
          <w:tcPr>
            <w:tcW w:w="3915" w:type="dxa"/>
          </w:tcPr>
          <w:p w14:paraId="2DE239F7"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Budget Update</w:t>
            </w:r>
          </w:p>
        </w:tc>
        <w:tc>
          <w:tcPr>
            <w:tcW w:w="3915" w:type="dxa"/>
          </w:tcPr>
          <w:p w14:paraId="5AD6775F"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w:t>
            </w:r>
            <w:r>
              <w:t xml:space="preserve"> </w:t>
            </w:r>
            <w:r w:rsidRPr="00092F57">
              <w:t>15</w:t>
            </w:r>
            <w:r>
              <w:t xml:space="preserve"> </w:t>
            </w:r>
            <w:r w:rsidRPr="00092F57">
              <w:t>December 202</w:t>
            </w:r>
            <w:r>
              <w:t>1</w:t>
            </w:r>
          </w:p>
        </w:tc>
      </w:tr>
      <w:tr w:rsidR="00001BF1" w:rsidRPr="00092F57" w14:paraId="6E6CD2E9"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69994532" w14:textId="77777777" w:rsidR="00001BF1" w:rsidRPr="00EF3E32" w:rsidDel="00E55793" w:rsidRDefault="00001BF1" w:rsidP="00B06AF3">
            <w:pPr>
              <w:pStyle w:val="Tabletext"/>
              <w:rPr>
                <w:rFonts w:eastAsia="Times New Roman"/>
                <w:b/>
                <w:bCs/>
                <w:noProof/>
              </w:rPr>
            </w:pPr>
            <w:r w:rsidRPr="00EF3E32">
              <w:rPr>
                <w:b/>
                <w:bCs/>
              </w:rPr>
              <w:t>202</w:t>
            </w:r>
            <w:r>
              <w:rPr>
                <w:b/>
                <w:bCs/>
              </w:rPr>
              <w:t>1-</w:t>
            </w:r>
            <w:r w:rsidRPr="00EF3E32">
              <w:rPr>
                <w:b/>
                <w:bCs/>
              </w:rPr>
              <w:t>2</w:t>
            </w:r>
            <w:r>
              <w:rPr>
                <w:b/>
                <w:bCs/>
              </w:rPr>
              <w:t>2</w:t>
            </w:r>
          </w:p>
        </w:tc>
        <w:tc>
          <w:tcPr>
            <w:tcW w:w="3915" w:type="dxa"/>
          </w:tcPr>
          <w:p w14:paraId="38006F00"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092F57">
              <w:t>Mid-Year Financial Report</w:t>
            </w:r>
          </w:p>
        </w:tc>
        <w:tc>
          <w:tcPr>
            <w:tcW w:w="3915" w:type="dxa"/>
          </w:tcPr>
          <w:p w14:paraId="03AF12B1"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rPr>
                <w:rFonts w:eastAsia="Times New Roman"/>
                <w:noProof/>
              </w:rPr>
            </w:pPr>
            <w:r w:rsidRPr="00EF3E32">
              <w:rPr>
                <w:b/>
                <w:bCs/>
              </w:rPr>
              <w:t>Legislative due date</w:t>
            </w:r>
            <w:r w:rsidRPr="00092F57">
              <w:t>: 15</w:t>
            </w:r>
            <w:r>
              <w:t xml:space="preserve"> </w:t>
            </w:r>
            <w:r w:rsidRPr="00092F57">
              <w:t>March 202</w:t>
            </w:r>
            <w:r>
              <w:t>2</w:t>
            </w:r>
          </w:p>
        </w:tc>
      </w:tr>
      <w:tr w:rsidR="00001BF1" w:rsidRPr="00092F57" w14:paraId="492F25B3" w14:textId="77777777" w:rsidTr="00001BF1">
        <w:tc>
          <w:tcPr>
            <w:cnfStyle w:val="001000000000" w:firstRow="0" w:lastRow="0" w:firstColumn="1" w:lastColumn="0" w:oddVBand="0" w:evenVBand="0" w:oddHBand="0" w:evenHBand="0" w:firstRowFirstColumn="0" w:firstRowLastColumn="0" w:lastRowFirstColumn="0" w:lastRowLastColumn="0"/>
            <w:tcW w:w="1170" w:type="dxa"/>
          </w:tcPr>
          <w:p w14:paraId="5FE420D7" w14:textId="77777777" w:rsidR="00001BF1" w:rsidRPr="00EF3E32" w:rsidRDefault="00001BF1" w:rsidP="00B06AF3">
            <w:pPr>
              <w:pStyle w:val="Tabletext"/>
              <w:rPr>
                <w:b/>
                <w:bCs/>
              </w:rPr>
            </w:pPr>
            <w:r w:rsidRPr="00EF3E32">
              <w:rPr>
                <w:b/>
                <w:bCs/>
              </w:rPr>
              <w:t>202</w:t>
            </w:r>
            <w:r>
              <w:rPr>
                <w:b/>
                <w:bCs/>
              </w:rPr>
              <w:t>2-</w:t>
            </w:r>
            <w:r w:rsidRPr="00EF3E32">
              <w:rPr>
                <w:b/>
                <w:bCs/>
              </w:rPr>
              <w:t>2</w:t>
            </w:r>
            <w:r>
              <w:rPr>
                <w:b/>
                <w:bCs/>
              </w:rPr>
              <w:t>3</w:t>
            </w:r>
            <w:r w:rsidRPr="00EF3E32">
              <w:rPr>
                <w:b/>
                <w:bCs/>
              </w:rPr>
              <w:t xml:space="preserve"> </w:t>
            </w:r>
          </w:p>
        </w:tc>
        <w:tc>
          <w:tcPr>
            <w:tcW w:w="3915" w:type="dxa"/>
          </w:tcPr>
          <w:p w14:paraId="4DCCBD09" w14:textId="77777777" w:rsidR="00001BF1" w:rsidRPr="00092F57" w:rsidRDefault="00001BF1" w:rsidP="00B06AF3">
            <w:pPr>
              <w:pStyle w:val="Tabletext"/>
              <w:cnfStyle w:val="000000000000" w:firstRow="0" w:lastRow="0" w:firstColumn="0" w:lastColumn="0" w:oddVBand="0" w:evenVBand="0" w:oddHBand="0" w:evenHBand="0" w:firstRowFirstColumn="0" w:firstRowLastColumn="0" w:lastRowFirstColumn="0" w:lastRowLastColumn="0"/>
            </w:pPr>
            <w:r w:rsidRPr="00092F57">
              <w:t>Budget papers</w:t>
            </w:r>
          </w:p>
        </w:tc>
        <w:tc>
          <w:tcPr>
            <w:tcW w:w="3915" w:type="dxa"/>
          </w:tcPr>
          <w:p w14:paraId="427CCF72" w14:textId="77777777" w:rsidR="00001BF1" w:rsidRPr="00EF3E32" w:rsidRDefault="00001BF1" w:rsidP="00B06AF3">
            <w:pPr>
              <w:pStyle w:val="Tabletext"/>
              <w:cnfStyle w:val="000000000000" w:firstRow="0" w:lastRow="0" w:firstColumn="0" w:lastColumn="0" w:oddVBand="0" w:evenVBand="0" w:oddHBand="0" w:evenHBand="0" w:firstRowFirstColumn="0" w:firstRowLastColumn="0" w:lastRowFirstColumn="0" w:lastRowLastColumn="0"/>
              <w:rPr>
                <w:b/>
                <w:bCs/>
              </w:rPr>
            </w:pPr>
            <w:r>
              <w:rPr>
                <w:b/>
                <w:bCs/>
              </w:rPr>
              <w:t>TBD</w:t>
            </w:r>
          </w:p>
        </w:tc>
      </w:tr>
    </w:tbl>
    <w:p w14:paraId="24289442" w14:textId="77777777" w:rsidR="00001BF1" w:rsidRDefault="00001BF1" w:rsidP="00001BF1">
      <w:pPr>
        <w:pStyle w:val="Spacer"/>
      </w:pPr>
    </w:p>
    <w:p w14:paraId="25514985" w14:textId="68D3E5ED" w:rsidR="00001BF1" w:rsidRPr="00001BF1" w:rsidRDefault="00001BF1" w:rsidP="00001BF1">
      <w:pPr>
        <w:pStyle w:val="Heading2"/>
      </w:pPr>
      <w:r>
        <w:rPr>
          <w:rFonts w:eastAsia="Times New Roman"/>
        </w:rPr>
        <w:t xml:space="preserve">Termination for convenience </w:t>
      </w:r>
      <w:r w:rsidRPr="00001BF1">
        <w:t xml:space="preserve">clauses </w:t>
      </w:r>
    </w:p>
    <w:p w14:paraId="3A7E3541" w14:textId="77777777" w:rsidR="00001BF1" w:rsidRPr="00E82CDF" w:rsidRDefault="00001BF1" w:rsidP="00001BF1">
      <w:pPr>
        <w:rPr>
          <w:rFonts w:eastAsia="Times New Roman"/>
        </w:rPr>
      </w:pPr>
      <w:r w:rsidRPr="00E82CDF">
        <w:rPr>
          <w:rFonts w:eastAsia="Times New Roman"/>
        </w:rPr>
        <w:t xml:space="preserve">As indicated in a previous newsletter, the accounting treatment </w:t>
      </w:r>
      <w:r>
        <w:rPr>
          <w:rFonts w:eastAsia="Times New Roman"/>
        </w:rPr>
        <w:t>of</w:t>
      </w:r>
      <w:r w:rsidRPr="00E82CDF">
        <w:rPr>
          <w:rFonts w:eastAsia="Times New Roman"/>
        </w:rPr>
        <w:t xml:space="preserve"> </w:t>
      </w:r>
      <w:r>
        <w:rPr>
          <w:rFonts w:eastAsia="Times New Roman"/>
        </w:rPr>
        <w:t>t</w:t>
      </w:r>
      <w:r w:rsidRPr="00E82CDF">
        <w:rPr>
          <w:rFonts w:eastAsia="Times New Roman"/>
        </w:rPr>
        <w:t xml:space="preserve">ermination for </w:t>
      </w:r>
      <w:r>
        <w:rPr>
          <w:rFonts w:eastAsia="Times New Roman"/>
        </w:rPr>
        <w:t>c</w:t>
      </w:r>
      <w:r w:rsidRPr="00E82CDF">
        <w:rPr>
          <w:rFonts w:eastAsia="Times New Roman"/>
        </w:rPr>
        <w:t>onvenience clauses (TFCs), has sparked debate as to whether any unspent funds should be recognised as a financial liability by the receiving party, or recognised as income until such time as the grantor calls for any unspent monies to be repaid.</w:t>
      </w:r>
    </w:p>
    <w:p w14:paraId="16CDD276" w14:textId="635E735A" w:rsidR="00001BF1" w:rsidRPr="00E82CDF" w:rsidRDefault="00001BF1" w:rsidP="00001BF1">
      <w:pPr>
        <w:rPr>
          <w:rFonts w:eastAsia="Times New Roman"/>
        </w:rPr>
      </w:pPr>
      <w:r w:rsidRPr="00E82CDF">
        <w:rPr>
          <w:rFonts w:eastAsia="Times New Roman"/>
        </w:rPr>
        <w:t xml:space="preserve">Following the discussion at the November 2020 AASB Board meeting, where no further guidance was forthcoming, the </w:t>
      </w:r>
      <w:r>
        <w:rPr>
          <w:rFonts w:eastAsia="Times New Roman"/>
        </w:rPr>
        <w:t>A</w:t>
      </w:r>
      <w:r w:rsidRPr="00E82CDF">
        <w:rPr>
          <w:rFonts w:eastAsia="Times New Roman"/>
        </w:rPr>
        <w:t xml:space="preserve">ccounting </w:t>
      </w:r>
      <w:r>
        <w:rPr>
          <w:rFonts w:eastAsia="Times New Roman"/>
        </w:rPr>
        <w:t>P</w:t>
      </w:r>
      <w:r w:rsidRPr="00E82CDF">
        <w:rPr>
          <w:rFonts w:eastAsia="Times New Roman"/>
        </w:rPr>
        <w:t>olicy team reached out to the sector to understand the prevalence of TFCs and their indicative impact.</w:t>
      </w:r>
    </w:p>
    <w:p w14:paraId="710FB628" w14:textId="77777777" w:rsidR="00001BF1" w:rsidRPr="00E82CDF" w:rsidRDefault="00001BF1" w:rsidP="00001BF1">
      <w:pPr>
        <w:rPr>
          <w:rFonts w:eastAsia="Times New Roman"/>
        </w:rPr>
      </w:pPr>
      <w:r>
        <w:rPr>
          <w:rFonts w:eastAsia="Times New Roman"/>
        </w:rPr>
        <w:t>T</w:t>
      </w:r>
      <w:r w:rsidRPr="00E82CDF">
        <w:rPr>
          <w:rFonts w:eastAsia="Times New Roman"/>
        </w:rPr>
        <w:t xml:space="preserve">hank you to the respondents and those that attended the follow up calls. </w:t>
      </w:r>
    </w:p>
    <w:p w14:paraId="02CC0CB4" w14:textId="77777777" w:rsidR="00001BF1" w:rsidRPr="00E82CDF" w:rsidRDefault="00001BF1" w:rsidP="004229CE">
      <w:pPr>
        <w:keepNext/>
        <w:rPr>
          <w:rFonts w:eastAsia="Times New Roman"/>
        </w:rPr>
      </w:pPr>
      <w:r w:rsidRPr="00E82CDF">
        <w:rPr>
          <w:rFonts w:eastAsia="Times New Roman"/>
        </w:rPr>
        <w:lastRenderedPageBreak/>
        <w:t>At this time, we do not believe that TFCs will have a significant impact on the sector for the following reasons:</w:t>
      </w:r>
    </w:p>
    <w:p w14:paraId="5FE16FD2" w14:textId="77777777" w:rsidR="00001BF1" w:rsidRPr="00E82CDF" w:rsidRDefault="00001BF1" w:rsidP="004229CE">
      <w:pPr>
        <w:pStyle w:val="Bullet1"/>
        <w:contextualSpacing w:val="0"/>
      </w:pPr>
      <w:r w:rsidRPr="00E82CDF">
        <w:t>TFCs are included in most contracts but are rarely used in practice. They are protective in nature and allow for government flexibility</w:t>
      </w:r>
      <w:r>
        <w:t>.</w:t>
      </w:r>
    </w:p>
    <w:p w14:paraId="668BB5E9" w14:textId="77777777" w:rsidR="00001BF1" w:rsidRDefault="00001BF1" w:rsidP="004229CE">
      <w:pPr>
        <w:pStyle w:val="Bullet1"/>
        <w:contextualSpacing w:val="0"/>
      </w:pPr>
      <w:r w:rsidRPr="00E82CDF">
        <w:t xml:space="preserve">In most instances, only the State has the right to terminate for convenience and will only need to compensate for the costs of goods or services already received and any other reasonable costs incurred. Given this, we do not </w:t>
      </w:r>
      <w:r>
        <w:t>believe</w:t>
      </w:r>
      <w:r w:rsidRPr="00E82CDF">
        <w:t xml:space="preserve"> a liability for termination should be recognised at contract inception. </w:t>
      </w:r>
      <w:r>
        <w:t>In addition, f</w:t>
      </w:r>
      <w:r w:rsidRPr="00E82CDF">
        <w:t xml:space="preserve">ollowing accrual accounting principles, a liability for goods or services would </w:t>
      </w:r>
      <w:r>
        <w:t xml:space="preserve">already have </w:t>
      </w:r>
      <w:r w:rsidRPr="00E82CDF">
        <w:t>be</w:t>
      </w:r>
      <w:r>
        <w:t>en</w:t>
      </w:r>
      <w:r w:rsidRPr="00E82CDF">
        <w:t xml:space="preserve"> recognised to the extent they have been received but not paid for. </w:t>
      </w:r>
    </w:p>
    <w:p w14:paraId="18CE97B2" w14:textId="77777777" w:rsidR="00001BF1" w:rsidRDefault="00001BF1" w:rsidP="004229CE">
      <w:pPr>
        <w:pStyle w:val="Bullet1"/>
        <w:contextualSpacing w:val="0"/>
      </w:pPr>
      <w:r w:rsidRPr="00E82CDF">
        <w:t xml:space="preserve">There were some instances where penalties are payable for termination, but they haven’t been used except for </w:t>
      </w:r>
      <w:r w:rsidRPr="0045382D">
        <w:t>one instance</w:t>
      </w:r>
      <w:r w:rsidRPr="00E82CDF">
        <w:t xml:space="preserve">. The decision to terminate </w:t>
      </w:r>
      <w:r w:rsidRPr="0045382D">
        <w:t>rests</w:t>
      </w:r>
      <w:r w:rsidRPr="00E82CDF">
        <w:t xml:space="preserve"> with the State</w:t>
      </w:r>
      <w:r w:rsidRPr="0045382D">
        <w:t xml:space="preserve"> and a liability should consequently only be recognised </w:t>
      </w:r>
      <w:r w:rsidRPr="00E82CDF">
        <w:t>when the decision to terminate has been made</w:t>
      </w:r>
      <w:r w:rsidRPr="0045382D">
        <w:t xml:space="preserve">. </w:t>
      </w:r>
    </w:p>
    <w:p w14:paraId="489E384B" w14:textId="77777777" w:rsidR="00001BF1" w:rsidRPr="00E82CDF" w:rsidRDefault="00001BF1" w:rsidP="004229CE">
      <w:pPr>
        <w:pStyle w:val="Bullet1"/>
        <w:contextualSpacing w:val="0"/>
      </w:pPr>
      <w:r w:rsidRPr="00E82CDF">
        <w:t>Revenue recognised under AASB 15</w:t>
      </w:r>
      <w:r>
        <w:t xml:space="preserve"> </w:t>
      </w:r>
      <w:r w:rsidRPr="00E82CDF">
        <w:rPr>
          <w:i/>
          <w:iCs/>
        </w:rPr>
        <w:t>Revenue from Contracts with Customers</w:t>
      </w:r>
      <w:r w:rsidRPr="00E82CDF">
        <w:t xml:space="preserve"> principles will effectively mean that any portion that </w:t>
      </w:r>
      <w:r>
        <w:t>has not been e</w:t>
      </w:r>
      <w:r w:rsidRPr="00E82CDF">
        <w:t xml:space="preserve">arned is deferred as a contract liability </w:t>
      </w:r>
      <w:r>
        <w:t>in any event.</w:t>
      </w:r>
    </w:p>
    <w:p w14:paraId="1239D31C" w14:textId="06B71F68" w:rsidR="00001BF1" w:rsidRDefault="00001BF1" w:rsidP="004229CE">
      <w:pPr>
        <w:pStyle w:val="Bullet1"/>
        <w:contextualSpacing w:val="0"/>
      </w:pPr>
      <w:r>
        <w:t>For i</w:t>
      </w:r>
      <w:r w:rsidRPr="00E82CDF">
        <w:t>ncome recognised under AASB 105</w:t>
      </w:r>
      <w:r>
        <w:t xml:space="preserve">8 </w:t>
      </w:r>
      <w:r w:rsidRPr="00001BF1">
        <w:rPr>
          <w:i/>
          <w:iCs/>
        </w:rPr>
        <w:t>Income of Not-For-Profit Entities</w:t>
      </w:r>
      <w:r>
        <w:t xml:space="preserve">, </w:t>
      </w:r>
      <w:r w:rsidRPr="00E82CDF">
        <w:t xml:space="preserve">there were very few instances where entities would need to </w:t>
      </w:r>
      <w:r>
        <w:t>r</w:t>
      </w:r>
      <w:r w:rsidRPr="00E82CDF">
        <w:t>epa</w:t>
      </w:r>
      <w:r>
        <w:t>y unspent monies</w:t>
      </w:r>
      <w:r w:rsidRPr="00E82CDF">
        <w:t xml:space="preserve"> if the agreements </w:t>
      </w:r>
      <w:r>
        <w:t>were to be</w:t>
      </w:r>
      <w:r w:rsidRPr="00E82CDF">
        <w:t xml:space="preserve"> terminated. </w:t>
      </w:r>
      <w:r>
        <w:t xml:space="preserve">From what we could identify, </w:t>
      </w:r>
      <w:r w:rsidRPr="00E82CDF">
        <w:t>the</w:t>
      </w:r>
      <w:r>
        <w:t>se</w:t>
      </w:r>
      <w:r w:rsidRPr="00E82CDF">
        <w:t xml:space="preserve"> grants </w:t>
      </w:r>
      <w:r>
        <w:t>were</w:t>
      </w:r>
      <w:r w:rsidRPr="00E82CDF">
        <w:t xml:space="preserve"> not paid in advance</w:t>
      </w:r>
      <w:r>
        <w:t xml:space="preserve"> or were only paid on achievement of milestones in any event.</w:t>
      </w:r>
    </w:p>
    <w:p w14:paraId="5E54CE45" w14:textId="77777777" w:rsidR="00001BF1" w:rsidRPr="00E82CDF" w:rsidRDefault="00001BF1" w:rsidP="00001BF1">
      <w:pPr>
        <w:rPr>
          <w:rFonts w:eastAsia="Times New Roman"/>
        </w:rPr>
      </w:pPr>
      <w:r>
        <w:rPr>
          <w:rFonts w:eastAsia="Times New Roman"/>
        </w:rPr>
        <w:t>We understand that it is the Victorian Auditor General’s Office (VAGO) position that either treatment as a liability or income will be accepted, permitted that appropriate disclosures are made in the affected entity’s annual report.</w:t>
      </w:r>
    </w:p>
    <w:p w14:paraId="221AB55C" w14:textId="77777777" w:rsidR="00001BF1" w:rsidRPr="00923519" w:rsidRDefault="00001BF1" w:rsidP="0027122F">
      <w:pPr>
        <w:pStyle w:val="Heading1"/>
      </w:pPr>
      <w:bookmarkStart w:id="13" w:name="_Toc75950901"/>
      <w:bookmarkStart w:id="14" w:name="_Toc76554644"/>
      <w:r w:rsidRPr="00923519">
        <w:t>AASB update</w:t>
      </w:r>
      <w:bookmarkEnd w:id="13"/>
      <w:bookmarkEnd w:id="14"/>
    </w:p>
    <w:p w14:paraId="75AC44DD" w14:textId="77777777" w:rsidR="00001BF1" w:rsidRPr="004F78B1" w:rsidRDefault="00001BF1" w:rsidP="00001BF1">
      <w:pPr>
        <w:pStyle w:val="Heading2"/>
      </w:pPr>
      <w:r w:rsidRPr="004F78B1">
        <w:t xml:space="preserve">Key </w:t>
      </w:r>
      <w:r>
        <w:t xml:space="preserve">AASB </w:t>
      </w:r>
      <w:r w:rsidRPr="004F78B1">
        <w:t>standards effective for 20</w:t>
      </w:r>
      <w:r>
        <w:t>20-21</w:t>
      </w:r>
      <w:r w:rsidRPr="00E554F1">
        <w:t xml:space="preserve"> </w:t>
      </w:r>
    </w:p>
    <w:p w14:paraId="6CDAC632" w14:textId="77777777" w:rsidR="00001BF1" w:rsidRPr="001B09FE" w:rsidRDefault="00001BF1" w:rsidP="00001BF1">
      <w:pPr>
        <w:rPr>
          <w:b/>
        </w:rPr>
      </w:pPr>
      <w:r w:rsidRPr="0028284B">
        <w:t>There</w:t>
      </w:r>
      <w:r>
        <w:t xml:space="preserve"> are no key AASB standards that become effective in 2020-21, noting the State was an early adopter of AASB 1059 </w:t>
      </w:r>
      <w:r>
        <w:rPr>
          <w:i/>
        </w:rPr>
        <w:t xml:space="preserve">Service Concession Arrangements: Grantors </w:t>
      </w:r>
      <w:r>
        <w:t xml:space="preserve">in 2019-20. </w:t>
      </w:r>
    </w:p>
    <w:p w14:paraId="1FF26C5E" w14:textId="0816991F" w:rsidR="00001BF1" w:rsidRDefault="00001BF1" w:rsidP="00001BF1">
      <w:pPr>
        <w:pStyle w:val="Heading2"/>
      </w:pPr>
      <w:r>
        <w:t>Key AASB standards issued but not effective for 2020</w:t>
      </w:r>
      <w:r>
        <w:noBreakHyphen/>
        <w:t>21</w:t>
      </w:r>
    </w:p>
    <w:p w14:paraId="323423E5" w14:textId="77777777" w:rsidR="00001BF1" w:rsidRPr="00477AC4" w:rsidRDefault="00001BF1" w:rsidP="00001BF1">
      <w:pPr>
        <w:pStyle w:val="Heading3"/>
      </w:pPr>
      <w:r>
        <w:t>AASB</w:t>
      </w:r>
      <w:r>
        <w:rPr>
          <w:rFonts w:ascii="Calibri" w:hAnsi="Calibri" w:cs="Calibri"/>
        </w:rPr>
        <w:t> </w:t>
      </w:r>
      <w:r>
        <w:t xml:space="preserve">17 </w:t>
      </w:r>
      <w:r w:rsidRPr="00001BF1">
        <w:rPr>
          <w:i/>
          <w:iCs/>
        </w:rPr>
        <w:t>Insurance Contracts</w:t>
      </w:r>
    </w:p>
    <w:p w14:paraId="1551E88D" w14:textId="77777777" w:rsidR="00001BF1" w:rsidRDefault="00001BF1" w:rsidP="00001BF1">
      <w:r>
        <w:t xml:space="preserve">Information about AASB 17, including implementation issues specific to the public sector, has been included in previous newsletters. Entities should refer to these for details. </w:t>
      </w:r>
    </w:p>
    <w:p w14:paraId="02533355" w14:textId="60F47491" w:rsidR="00001BF1" w:rsidRDefault="00001BF1" w:rsidP="00001BF1">
      <w:r>
        <w:t xml:space="preserve">AASB 2020-5 </w:t>
      </w:r>
      <w:r>
        <w:rPr>
          <w:i/>
          <w:iCs/>
        </w:rPr>
        <w:t>Amendments to Australian Accounting Standards – Insurance Contracts</w:t>
      </w:r>
      <w:r>
        <w:t xml:space="preserve"> was issued in July</w:t>
      </w:r>
      <w:r>
        <w:rPr>
          <w:rFonts w:ascii="Calibri" w:hAnsi="Calibri" w:cs="Calibri"/>
        </w:rPr>
        <w:t> </w:t>
      </w:r>
      <w:r>
        <w:t>2020. The intention of the standard is to reduce the costs of applying AASB 17 by simplifying some of its requirements and ease transition by deferring its effective date to annual periods beginning on or after 1</w:t>
      </w:r>
      <w:r>
        <w:rPr>
          <w:rFonts w:ascii="Calibri" w:hAnsi="Calibri" w:cs="Calibri"/>
        </w:rPr>
        <w:t> </w:t>
      </w:r>
      <w:r>
        <w:t>January</w:t>
      </w:r>
      <w:r>
        <w:rPr>
          <w:rFonts w:ascii="Calibri" w:hAnsi="Calibri" w:cs="Calibri"/>
        </w:rPr>
        <w:t> </w:t>
      </w:r>
      <w:r>
        <w:t>2023 instead of 1 January 2021. It also includes optional relief to reduce the complexity in applying AASB 17 for the first time.</w:t>
      </w:r>
    </w:p>
    <w:p w14:paraId="4CE4E9A4" w14:textId="5F9D547B" w:rsidR="00001BF1" w:rsidRPr="00560C4B" w:rsidRDefault="00001BF1" w:rsidP="00001BF1">
      <w:r>
        <w:t xml:space="preserve">The standard also amends AASB 4 </w:t>
      </w:r>
      <w:r>
        <w:rPr>
          <w:i/>
          <w:iCs/>
        </w:rPr>
        <w:t xml:space="preserve">Insurance Contracts </w:t>
      </w:r>
      <w:r>
        <w:t>to permit eligible insurers to continue to apply AASB</w:t>
      </w:r>
      <w:r>
        <w:rPr>
          <w:rFonts w:ascii="Calibri" w:hAnsi="Calibri" w:cs="Calibri"/>
        </w:rPr>
        <w:t> </w:t>
      </w:r>
      <w:r>
        <w:t xml:space="preserve">139 </w:t>
      </w:r>
      <w:r w:rsidRPr="006C41FC">
        <w:rPr>
          <w:i/>
        </w:rPr>
        <w:t>Financial Instruments: Recognition and Measurement</w:t>
      </w:r>
      <w:r>
        <w:t xml:space="preserve"> until they are required to apply AASB</w:t>
      </w:r>
      <w:r>
        <w:rPr>
          <w:rFonts w:ascii="Calibri" w:hAnsi="Calibri" w:cs="Calibri"/>
        </w:rPr>
        <w:t> </w:t>
      </w:r>
      <w:r>
        <w:t>9</w:t>
      </w:r>
      <w:r>
        <w:rPr>
          <w:rFonts w:ascii="Calibri" w:hAnsi="Calibri" w:cs="Calibri"/>
        </w:rPr>
        <w:t> </w:t>
      </w:r>
      <w:r w:rsidRPr="006C41FC">
        <w:rPr>
          <w:i/>
        </w:rPr>
        <w:t>Financial Instruments</w:t>
      </w:r>
      <w:r>
        <w:t xml:space="preserve"> alongside AASB 17. </w:t>
      </w:r>
    </w:p>
    <w:p w14:paraId="04E42767" w14:textId="0A93C8A1" w:rsidR="00001BF1" w:rsidRPr="00D60FD9" w:rsidRDefault="00001BF1" w:rsidP="00001BF1">
      <w:r>
        <w:t>It is anticipated that AASB</w:t>
      </w:r>
      <w:r>
        <w:rPr>
          <w:rFonts w:ascii="Calibri" w:hAnsi="Calibri" w:cs="Calibri"/>
        </w:rPr>
        <w:t> </w:t>
      </w:r>
      <w:r>
        <w:t xml:space="preserve">17 will have limited impact on Victorian public sector reporting. </w:t>
      </w:r>
    </w:p>
    <w:p w14:paraId="3FC85756" w14:textId="189C4AF4" w:rsidR="00001BF1" w:rsidRDefault="00001BF1" w:rsidP="00001BF1">
      <w:pPr>
        <w:pStyle w:val="Heading2"/>
        <w:rPr>
          <w:i/>
        </w:rPr>
      </w:pPr>
      <w:r>
        <w:lastRenderedPageBreak/>
        <w:t>Other new standards issued since 1 January 2021</w:t>
      </w:r>
    </w:p>
    <w:p w14:paraId="03CB4B92" w14:textId="77777777" w:rsidR="00001BF1" w:rsidRPr="00F80784" w:rsidRDefault="00001BF1" w:rsidP="00001BF1">
      <w:r w:rsidRPr="00F80784">
        <w:t xml:space="preserve">We have only included amending standards below that may have </w:t>
      </w:r>
      <w:r>
        <w:t>a significant</w:t>
      </w:r>
      <w:r w:rsidRPr="00F80784">
        <w:t xml:space="preserve"> impact on Victorian public sector reporting. There have been other amending standards issued by the AASB</w:t>
      </w:r>
      <w:r>
        <w:t xml:space="preserve"> that we view to have limited impact, and these have been omitted from the list below. All amending standards are included on the AASB website, should you have the need to refer to them</w:t>
      </w:r>
      <w:r w:rsidRPr="00F80784">
        <w:t>.</w:t>
      </w:r>
    </w:p>
    <w:p w14:paraId="291EE4E6" w14:textId="77777777" w:rsidR="00001BF1" w:rsidRPr="00F80784" w:rsidRDefault="00001BF1" w:rsidP="00001BF1">
      <w:pPr>
        <w:pStyle w:val="Heading3"/>
      </w:pPr>
      <w:r w:rsidRPr="00F80784">
        <w:t xml:space="preserve">AASB 2020-6 </w:t>
      </w:r>
      <w:r w:rsidRPr="00001BF1">
        <w:rPr>
          <w:i/>
          <w:iCs/>
        </w:rPr>
        <w:t>Amendments to Australian Accounting Standards – Classification of Liabilities as Current or Non-current – Deferral of Effective Date</w:t>
      </w:r>
    </w:p>
    <w:p w14:paraId="214022A0" w14:textId="77777777" w:rsidR="00001BF1" w:rsidRPr="00F80784" w:rsidRDefault="00001BF1" w:rsidP="00001BF1">
      <w:r w:rsidRPr="00F80784">
        <w:t xml:space="preserve">This standard amends AASB 101 </w:t>
      </w:r>
      <w:r w:rsidRPr="00F80784">
        <w:rPr>
          <w:i/>
          <w:iCs/>
        </w:rPr>
        <w:t>Presentation of Financial Statements</w:t>
      </w:r>
      <w:r w:rsidRPr="00F80784">
        <w:t xml:space="preserve"> to defer requirements for the presentation of liabilities in the statement of financial position as current or non-current that were added to AASB 101 in AASB 2020-1 </w:t>
      </w:r>
      <w:r w:rsidRPr="00F80784">
        <w:rPr>
          <w:i/>
          <w:iCs/>
        </w:rPr>
        <w:t xml:space="preserve">Amendments to Australian Accounting Standards – Classification of Liabilities as Current or Non-current </w:t>
      </w:r>
      <w:r w:rsidRPr="00F80784">
        <w:t xml:space="preserve">(refer to June 2020 newsletter for details). </w:t>
      </w:r>
    </w:p>
    <w:p w14:paraId="347D0A26" w14:textId="2DE0EF10" w:rsidR="00001BF1" w:rsidRDefault="00001BF1" w:rsidP="00001BF1">
      <w:r w:rsidRPr="00F80784">
        <w:t>The amendments will now apply to annual reporting periods beginning on or after 1 January 2023 instead of 1</w:t>
      </w:r>
      <w:r w:rsidR="00283809">
        <w:rPr>
          <w:rFonts w:ascii="Calibri" w:hAnsi="Calibri" w:cs="Calibri"/>
        </w:rPr>
        <w:t> </w:t>
      </w:r>
      <w:r w:rsidRPr="00F80784">
        <w:t xml:space="preserve">January 2022, with earlier application permitted. </w:t>
      </w:r>
    </w:p>
    <w:p w14:paraId="3BFB2C38" w14:textId="77777777" w:rsidR="00001BF1" w:rsidRDefault="00001BF1" w:rsidP="00001BF1">
      <w:pPr>
        <w:pStyle w:val="Heading3"/>
      </w:pPr>
      <w:r w:rsidRPr="00F80784">
        <w:t>AASB 20</w:t>
      </w:r>
      <w:r>
        <w:t>21-3</w:t>
      </w:r>
      <w:r w:rsidRPr="00F80784">
        <w:t xml:space="preserve"> </w:t>
      </w:r>
      <w:r w:rsidRPr="00001BF1">
        <w:rPr>
          <w:i/>
          <w:iCs/>
        </w:rPr>
        <w:t>Amendments to Australian Accounting Standards – COVID-19-Related Rent Concessions beyond 30 June 2021</w:t>
      </w:r>
    </w:p>
    <w:p w14:paraId="2DDC4712" w14:textId="77777777" w:rsidR="00001BF1" w:rsidRDefault="00001BF1" w:rsidP="00001BF1">
      <w:r w:rsidRPr="00600917">
        <w:t>Thi</w:t>
      </w:r>
      <w:r>
        <w:t xml:space="preserve">s standard amends AASB 16 to extend by one year the application period of the practical expedient added to AASB 16 by AASB 2020-4 </w:t>
      </w:r>
      <w:r w:rsidRPr="00B719B7">
        <w:rPr>
          <w:i/>
          <w:iCs/>
        </w:rPr>
        <w:t>Amendments to Australian Accounting Standards – COVID-19-Related Rent Concessions</w:t>
      </w:r>
      <w:r>
        <w:t xml:space="preserve">. </w:t>
      </w:r>
    </w:p>
    <w:p w14:paraId="769F5880" w14:textId="77777777" w:rsidR="00001BF1" w:rsidRDefault="00001BF1" w:rsidP="00001BF1">
      <w:r>
        <w:t xml:space="preserve">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w:t>
      </w:r>
    </w:p>
    <w:p w14:paraId="516DCF5C" w14:textId="77777777" w:rsidR="00001BF1" w:rsidRDefault="00001BF1" w:rsidP="00001BF1">
      <w:r>
        <w:t>This standard extends the practical expedient to rent concessions that reduce only lease payments originally due on or before 30 June 2022, provided the other conditions for applying the practical expedient are met. This standard applies to annual periods beginning on or after 1 April 2021. Earlier application is permitted, including in financial statements not authorised for issue at the date this Standard was issued.</w:t>
      </w:r>
    </w:p>
    <w:p w14:paraId="7CB8CB51" w14:textId="77777777" w:rsidR="00001BF1" w:rsidRDefault="00001BF1" w:rsidP="00001BF1">
      <w:r w:rsidRPr="00CE1405">
        <w:t xml:space="preserve">Entities </w:t>
      </w:r>
      <w:r>
        <w:t xml:space="preserve">are also </w:t>
      </w:r>
      <w:r w:rsidRPr="00CE1405">
        <w:t>refer</w:t>
      </w:r>
      <w:r>
        <w:t>red</w:t>
      </w:r>
      <w:r w:rsidRPr="00CE1405">
        <w:t xml:space="preserve"> to FRD 120</w:t>
      </w:r>
      <w:r>
        <w:t>O,</w:t>
      </w:r>
      <w:r w:rsidRPr="00CE1405">
        <w:t xml:space="preserve"> Appendix 2 </w:t>
      </w:r>
      <w:r w:rsidRPr="00CE1405">
        <w:rPr>
          <w:i/>
        </w:rPr>
        <w:t>Issued but not yet effective Australian accounting standards and reporting pronouncements</w:t>
      </w:r>
      <w:r>
        <w:rPr>
          <w:i/>
        </w:rPr>
        <w:t>,</w:t>
      </w:r>
      <w:r w:rsidRPr="00CE1405">
        <w:t xml:space="preserve"> which summarises standards (including amending standards) that have been issued but are not effective for the </w:t>
      </w:r>
      <w:r>
        <w:t>2020-21</w:t>
      </w:r>
      <w:r w:rsidRPr="00CE1405">
        <w:t xml:space="preserve"> reporting period. </w:t>
      </w:r>
    </w:p>
    <w:p w14:paraId="585CECE4" w14:textId="08AFAE8B" w:rsidR="00001BF1" w:rsidRPr="00F126B5" w:rsidRDefault="00001BF1" w:rsidP="0027122F">
      <w:pPr>
        <w:pStyle w:val="Heading1"/>
      </w:pPr>
      <w:bookmarkStart w:id="15" w:name="_Toc75950902"/>
      <w:bookmarkStart w:id="16" w:name="_Toc76554645"/>
      <w:r w:rsidRPr="00F126B5">
        <w:t>Other developments</w:t>
      </w:r>
      <w:bookmarkEnd w:id="15"/>
      <w:bookmarkEnd w:id="16"/>
    </w:p>
    <w:p w14:paraId="7FF8DA70" w14:textId="77777777" w:rsidR="00001BF1" w:rsidRPr="00001BF1" w:rsidRDefault="00001BF1" w:rsidP="00001BF1">
      <w:pPr>
        <w:pStyle w:val="Heading2"/>
      </w:pPr>
      <w:r w:rsidRPr="00001BF1">
        <w:t>Tier 3 reporting</w:t>
      </w:r>
    </w:p>
    <w:p w14:paraId="08E1054F" w14:textId="77777777" w:rsidR="00001BF1" w:rsidRPr="0016516D" w:rsidRDefault="00001BF1" w:rsidP="00001BF1">
      <w:pPr>
        <w:spacing w:line="257" w:lineRule="auto"/>
        <w:rPr>
          <w:rFonts w:eastAsia="Calibri" w:cstheme="minorHAnsi"/>
          <w:szCs w:val="18"/>
        </w:rPr>
      </w:pPr>
      <w:r w:rsidRPr="0016516D">
        <w:rPr>
          <w:rFonts w:eastAsia="Calibri" w:cstheme="minorHAnsi"/>
          <w:szCs w:val="18"/>
        </w:rPr>
        <w:t>The Financial Reporting Council has a working group that is undertaking a review of financial reporting in the public sector</w:t>
      </w:r>
      <w:r>
        <w:rPr>
          <w:rFonts w:eastAsia="Calibri" w:cstheme="minorHAnsi"/>
          <w:szCs w:val="18"/>
        </w:rPr>
        <w:t>,</w:t>
      </w:r>
      <w:r w:rsidRPr="0016516D">
        <w:rPr>
          <w:rFonts w:eastAsia="Calibri" w:cstheme="minorHAnsi"/>
          <w:szCs w:val="18"/>
        </w:rPr>
        <w:t xml:space="preserve"> with a proposal to streamline reporting for smaller entities to reduce cost and complexity in reporting. While the scope of application is yet to be determined, more work will be undertaken by the </w:t>
      </w:r>
      <w:r>
        <w:rPr>
          <w:rFonts w:eastAsia="Calibri" w:cstheme="minorHAnsi"/>
          <w:szCs w:val="18"/>
        </w:rPr>
        <w:t>AASB</w:t>
      </w:r>
      <w:r w:rsidRPr="0016516D">
        <w:rPr>
          <w:rFonts w:eastAsia="Calibri" w:cstheme="minorHAnsi"/>
          <w:szCs w:val="18"/>
        </w:rPr>
        <w:t xml:space="preserve"> to refine the proposal and a further consultation with its constituents is planned.</w:t>
      </w:r>
    </w:p>
    <w:p w14:paraId="3B955CAD" w14:textId="1F7F05CB" w:rsidR="00001BF1" w:rsidRDefault="00001BF1" w:rsidP="00001BF1">
      <w:pPr>
        <w:pStyle w:val="Heading2"/>
      </w:pPr>
      <w:r>
        <w:lastRenderedPageBreak/>
        <w:t>Exposure Draft (ED) 2021/1 Regulatory assets and regulatory liabilities</w:t>
      </w:r>
    </w:p>
    <w:p w14:paraId="6C111C6E" w14:textId="77777777" w:rsidR="00001BF1" w:rsidRDefault="00001BF1" w:rsidP="00001BF1">
      <w:pPr>
        <w:spacing w:line="257" w:lineRule="auto"/>
      </w:pPr>
      <w:r>
        <w:t xml:space="preserve">The International Accounting Standards Board (Board) is proposing an accounting model to supplement the information that an entity already provides by applying IFRS Standards. The proposed model is based on the principle that a rate regulated entity should reflect the total allowed compensation for goods or services supplied in a period as part of its reported financial performance for that period. </w:t>
      </w:r>
    </w:p>
    <w:p w14:paraId="677CA204" w14:textId="77777777" w:rsidR="00001BF1" w:rsidRDefault="00001BF1" w:rsidP="00A06F34">
      <w:pPr>
        <w:keepNext/>
        <w:spacing w:line="257" w:lineRule="auto"/>
      </w:pPr>
      <w:r>
        <w:t xml:space="preserve">To implement that principle, an entity would recognise in its statement of financial position: </w:t>
      </w:r>
    </w:p>
    <w:p w14:paraId="244F71D4" w14:textId="77777777" w:rsidR="00001BF1" w:rsidRDefault="00001BF1" w:rsidP="00A06F34">
      <w:pPr>
        <w:pStyle w:val="Listnum"/>
        <w:keepNext/>
      </w:pPr>
      <w:r>
        <w:t xml:space="preserve">regulatory assets—enforceable present rights to add an amount in determining future regulated rates because part of the total allowed compensation for goods or services already supplied will be included in revenue in the future </w:t>
      </w:r>
    </w:p>
    <w:p w14:paraId="16CE874B" w14:textId="77777777" w:rsidR="00001BF1" w:rsidRDefault="00001BF1" w:rsidP="00001BF1">
      <w:pPr>
        <w:pStyle w:val="Listnum"/>
      </w:pPr>
      <w:r>
        <w:t>regulatory liabilities—enforceable present obligations to deduct an amount in determining future regulated rates because the revenue already recognised includes an amount that will provide part of the total allowed compensation for goods or services to be supplied in the future.</w:t>
      </w:r>
    </w:p>
    <w:p w14:paraId="32D785E0" w14:textId="77777777" w:rsidR="00001BF1" w:rsidRDefault="00001BF1" w:rsidP="00001BF1">
      <w:pPr>
        <w:spacing w:line="257" w:lineRule="auto"/>
      </w:pPr>
      <w:r>
        <w:t xml:space="preserve">As a result, an entity would recognise in its statement(s) of financial performance: </w:t>
      </w:r>
    </w:p>
    <w:p w14:paraId="309D7C47" w14:textId="77777777" w:rsidR="00001BF1" w:rsidRDefault="00001BF1" w:rsidP="004229CE">
      <w:pPr>
        <w:pStyle w:val="Listnum"/>
        <w:keepLines w:val="0"/>
        <w:numPr>
          <w:ilvl w:val="0"/>
          <w:numId w:val="6"/>
        </w:numPr>
        <w:spacing w:line="257" w:lineRule="auto"/>
      </w:pPr>
      <w:r>
        <w:t xml:space="preserve">regulatory income to depict a part of the total allowed compensation for goods or services supplied in the current period that was included in revenue in past periods, or will be included in revenue in future periods </w:t>
      </w:r>
    </w:p>
    <w:p w14:paraId="24B5898F" w14:textId="77777777" w:rsidR="00001BF1" w:rsidRDefault="00001BF1" w:rsidP="004229CE">
      <w:pPr>
        <w:pStyle w:val="Listnum"/>
        <w:keepLines w:val="0"/>
        <w:numPr>
          <w:ilvl w:val="0"/>
          <w:numId w:val="6"/>
        </w:numPr>
        <w:spacing w:line="257" w:lineRule="auto"/>
      </w:pPr>
      <w:r>
        <w:t>regulatory expense to depict an amount included in revenue in the current period that provides part of the total allowed compensation for goods or services that were supplied in past periods or will be supplied in future periods.</w:t>
      </w:r>
    </w:p>
    <w:p w14:paraId="5E089783" w14:textId="77777777" w:rsidR="00001BF1" w:rsidRDefault="00001BF1" w:rsidP="00001BF1">
      <w:pPr>
        <w:spacing w:line="257" w:lineRule="auto"/>
        <w:rPr>
          <w:rFonts w:eastAsia="Calibri" w:cstheme="minorHAnsi"/>
          <w:i/>
          <w:iCs/>
          <w:szCs w:val="18"/>
        </w:rPr>
      </w:pPr>
      <w:r>
        <w:rPr>
          <w:rFonts w:eastAsia="Calibri" w:cstheme="minorHAnsi"/>
          <w:szCs w:val="18"/>
        </w:rPr>
        <w:t xml:space="preserve">We will keep you abreast of any developments in this area, as the ED progresses. </w:t>
      </w:r>
    </w:p>
    <w:p w14:paraId="0AA96C9C" w14:textId="292078B6" w:rsidR="00001BF1" w:rsidRDefault="00001BF1" w:rsidP="00001BF1">
      <w:pPr>
        <w:pStyle w:val="Heading2"/>
      </w:pPr>
      <w:r>
        <w:t xml:space="preserve">Sustainability </w:t>
      </w:r>
      <w:r w:rsidR="00A06F34">
        <w:t>reporting</w:t>
      </w:r>
    </w:p>
    <w:p w14:paraId="52D3CB1D" w14:textId="77777777" w:rsidR="00001BF1" w:rsidRPr="00696F07" w:rsidRDefault="00001BF1" w:rsidP="00001BF1">
      <w:r>
        <w:t>Sustainability Reporting Standards are increasingly becoming a matter of interest at the national and international levels. A new International Sustainability Standards Board (ISSB) is likely to be formally announced in November 2021 and it is likely that the ISSB will develop consistent global reporting standards to replace existing environmental and climate change reporting.</w:t>
      </w:r>
    </w:p>
    <w:p w14:paraId="2223EDC8" w14:textId="77777777" w:rsidR="00001BF1" w:rsidRPr="00696F07" w:rsidRDefault="00001BF1" w:rsidP="00001BF1">
      <w:r>
        <w:t>At this time there are no further updates, but it is expected that when the ISSB is formed, significant change may be introduced.</w:t>
      </w:r>
    </w:p>
    <w:p w14:paraId="5765C7C1" w14:textId="77777777" w:rsidR="00001BF1" w:rsidRPr="00696F07" w:rsidRDefault="00001BF1" w:rsidP="00001BF1">
      <w:r>
        <w:t>We will inform you of developments accordingly.</w:t>
      </w:r>
    </w:p>
    <w:p w14:paraId="76AD167E" w14:textId="77777777" w:rsidR="00001BF1" w:rsidRPr="00D5348E" w:rsidRDefault="00001BF1" w:rsidP="00001BF1">
      <w:pPr>
        <w:pStyle w:val="Heading2"/>
      </w:pPr>
      <w:r>
        <w:t>Streamlining financial statements</w:t>
      </w:r>
    </w:p>
    <w:p w14:paraId="6944E8BD" w14:textId="77777777" w:rsidR="00001BF1" w:rsidRDefault="00001BF1" w:rsidP="00001BF1">
      <w:pPr>
        <w:spacing w:before="0" w:after="200" w:line="276" w:lineRule="auto"/>
        <w:rPr>
          <w:rFonts w:eastAsia="Calibri" w:cstheme="minorHAnsi"/>
          <w:szCs w:val="18"/>
        </w:rPr>
      </w:pPr>
      <w:r w:rsidRPr="00D5348E">
        <w:rPr>
          <w:rFonts w:eastAsia="Calibri" w:cstheme="minorHAnsi"/>
          <w:szCs w:val="18"/>
        </w:rPr>
        <w:t>VAGO released an article associated with streamlining of financial statements</w:t>
      </w:r>
      <w:r>
        <w:rPr>
          <w:rFonts w:eastAsia="Calibri" w:cstheme="minorHAnsi"/>
          <w:szCs w:val="18"/>
        </w:rPr>
        <w:t xml:space="preserve">: </w:t>
      </w:r>
      <w:hyperlink r:id="rId24" w:history="1">
        <w:r w:rsidRPr="000D54DC">
          <w:rPr>
            <w:rStyle w:val="Hyperlink"/>
            <w:rFonts w:eastAsia="Calibri" w:cstheme="minorHAnsi"/>
            <w:szCs w:val="18"/>
          </w:rPr>
          <w:t>https://www.audit.vic.gov.au/news/streamlining-public-sector-financial-statements-tips-and-tricks-20210127</w:t>
        </w:r>
      </w:hyperlink>
      <w:r>
        <w:rPr>
          <w:rFonts w:eastAsia="Calibri" w:cstheme="minorHAnsi"/>
          <w:szCs w:val="18"/>
        </w:rPr>
        <w:t>.</w:t>
      </w:r>
    </w:p>
    <w:p w14:paraId="5AA59407" w14:textId="0B76B656" w:rsidR="00001BF1" w:rsidRDefault="00001BF1" w:rsidP="00001BF1">
      <w:pPr>
        <w:rPr>
          <w:rFonts w:eastAsia="Calibri" w:cstheme="minorHAnsi"/>
          <w:szCs w:val="18"/>
        </w:rPr>
      </w:pPr>
      <w:r w:rsidRPr="00D54EB7">
        <w:rPr>
          <w:rFonts w:eastAsia="Calibri" w:cstheme="minorHAnsi"/>
          <w:szCs w:val="18"/>
        </w:rPr>
        <w:t>Working sessions will be scheduled later in the year on a sector by sector basis, presented by VAGO, to discuss and progress the initiative as deemed appropriate.</w:t>
      </w:r>
    </w:p>
    <w:p w14:paraId="5EE8BC9F" w14:textId="35082481" w:rsidR="00822DEC" w:rsidRPr="00001BF1" w:rsidRDefault="00001BF1" w:rsidP="0027122F">
      <w:pPr>
        <w:pStyle w:val="Heading1"/>
        <w:pageBreakBefore/>
      </w:pPr>
      <w:bookmarkStart w:id="17" w:name="_Toc75950903"/>
      <w:bookmarkStart w:id="18" w:name="_Toc76554646"/>
      <w:r w:rsidRPr="00590A21">
        <w:lastRenderedPageBreak/>
        <w:t>How to contact us</w:t>
      </w:r>
      <w:bookmarkEnd w:id="17"/>
      <w:bookmarkEnd w:id="18"/>
    </w:p>
    <w:p w14:paraId="0C816204" w14:textId="75F1F8F5" w:rsidR="00001BF1" w:rsidRDefault="00001BF1" w:rsidP="006805B9">
      <w:pPr>
        <w:sectPr w:rsidR="00001BF1" w:rsidSect="004229CE">
          <w:headerReference w:type="first" r:id="rId25"/>
          <w:footerReference w:type="first" r:id="rId26"/>
          <w:pgSz w:w="11906" w:h="16838" w:code="9"/>
          <w:pgMar w:top="648" w:right="1152" w:bottom="1728" w:left="1152" w:header="706" w:footer="461" w:gutter="0"/>
          <w:cols w:space="708"/>
          <w:docGrid w:linePitch="360"/>
        </w:sectPr>
      </w:pPr>
    </w:p>
    <w:p w14:paraId="40FC5442" w14:textId="77777777" w:rsidR="00001BF1" w:rsidRPr="001A0B1C" w:rsidRDefault="00001BF1" w:rsidP="00001BF1">
      <w:pPr>
        <w:pStyle w:val="Heading2"/>
        <w:rPr>
          <w:rFonts w:eastAsia="Times New Roman"/>
          <w:sz w:val="24"/>
          <w:szCs w:val="24"/>
        </w:rPr>
      </w:pPr>
      <w:r w:rsidRPr="001A0B1C">
        <w:rPr>
          <w:rFonts w:eastAsia="Times New Roman"/>
          <w:sz w:val="24"/>
          <w:szCs w:val="24"/>
        </w:rPr>
        <w:t>AccPol mailbox</w:t>
      </w:r>
    </w:p>
    <w:p w14:paraId="2B394976" w14:textId="77777777" w:rsidR="00001BF1" w:rsidRPr="001A0B1C" w:rsidRDefault="00001BF1" w:rsidP="00001BF1">
      <w:pPr>
        <w:rPr>
          <w:rFonts w:eastAsia="Times New Roman"/>
          <w:szCs w:val="18"/>
        </w:rPr>
      </w:pPr>
      <w:r w:rsidRPr="001A0B1C">
        <w:rPr>
          <w:rFonts w:eastAsia="Times New Roman"/>
          <w:szCs w:val="18"/>
        </w:rPr>
        <w:t xml:space="preserve">When directing accounting policy enquiries to DTF at </w:t>
      </w:r>
      <w:hyperlink r:id="rId27"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4FC3F368" w14:textId="77777777" w:rsidR="00001BF1" w:rsidRPr="001A0B1C" w:rsidRDefault="00001BF1" w:rsidP="00001BF1">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2B5DB7D2" w14:textId="77777777" w:rsidR="00001BF1" w:rsidRPr="001A0B1C" w:rsidRDefault="00001BF1" w:rsidP="00001BF1">
      <w:pPr>
        <w:pStyle w:val="Heading2"/>
        <w:rPr>
          <w:rFonts w:eastAsia="Times New Roman"/>
          <w:sz w:val="24"/>
          <w:szCs w:val="24"/>
        </w:rPr>
      </w:pPr>
      <w:r w:rsidRPr="001A0B1C">
        <w:rPr>
          <w:rFonts w:eastAsia="Times New Roman"/>
          <w:sz w:val="24"/>
          <w:szCs w:val="24"/>
        </w:rPr>
        <w:t>Useful websites</w:t>
      </w:r>
    </w:p>
    <w:p w14:paraId="4561C15D" w14:textId="77777777" w:rsidR="00001BF1" w:rsidRPr="001A0B1C" w:rsidRDefault="00001BF1" w:rsidP="00001BF1">
      <w:pPr>
        <w:rPr>
          <w:rFonts w:eastAsia="Times New Roman"/>
          <w:szCs w:val="18"/>
        </w:rPr>
      </w:pPr>
      <w:r w:rsidRPr="001A0B1C">
        <w:rPr>
          <w:rFonts w:eastAsia="Times New Roman"/>
          <w:b/>
          <w:bCs/>
          <w:szCs w:val="18"/>
        </w:rPr>
        <w:t>AASB</w:t>
      </w:r>
      <w:r w:rsidRPr="001A0B1C">
        <w:rPr>
          <w:rFonts w:eastAsia="Times New Roman"/>
          <w:szCs w:val="18"/>
        </w:rPr>
        <w:t xml:space="preserve"> – </w:t>
      </w:r>
      <w:hyperlink r:id="rId28" w:history="1">
        <w:r w:rsidRPr="001A0B1C">
          <w:rPr>
            <w:rStyle w:val="Hyperlink"/>
            <w:rFonts w:eastAsia="Times New Roman"/>
            <w:szCs w:val="18"/>
          </w:rPr>
          <w:t>www.aasb.com.au</w:t>
        </w:r>
      </w:hyperlink>
      <w:r w:rsidRPr="001A0B1C">
        <w:rPr>
          <w:rFonts w:eastAsia="Times New Roman"/>
          <w:szCs w:val="18"/>
        </w:rPr>
        <w:t xml:space="preserve"> for information on AASB pronouncements, discussion papers and ED publications.</w:t>
      </w:r>
    </w:p>
    <w:p w14:paraId="5243F0F7" w14:textId="77777777" w:rsidR="00001BF1" w:rsidRPr="001A0B1C" w:rsidRDefault="00001BF1" w:rsidP="00001BF1">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29" w:history="1">
        <w:r w:rsidRPr="001A0B1C">
          <w:rPr>
            <w:rStyle w:val="Hyperlink"/>
            <w:rFonts w:eastAsia="Times New Roman"/>
            <w:szCs w:val="18"/>
          </w:rPr>
          <w:t>www.ipsasb.org</w:t>
        </w:r>
      </w:hyperlink>
      <w:r w:rsidRPr="001A0B1C">
        <w:rPr>
          <w:rFonts w:eastAsia="Times New Roman"/>
          <w:szCs w:val="18"/>
        </w:rPr>
        <w:t xml:space="preserve"> for information on IPSASB and IPSAS pronouncements.</w:t>
      </w:r>
    </w:p>
    <w:p w14:paraId="138007F4" w14:textId="77777777" w:rsidR="00001BF1" w:rsidRPr="001A0B1C" w:rsidRDefault="00001BF1" w:rsidP="00001BF1">
      <w:pPr>
        <w:pStyle w:val="Heading2"/>
        <w:rPr>
          <w:rFonts w:eastAsia="Times New Roman"/>
          <w:sz w:val="24"/>
          <w:szCs w:val="24"/>
        </w:rPr>
      </w:pPr>
      <w:r w:rsidRPr="001A0B1C">
        <w:rPr>
          <w:rFonts w:eastAsia="Times New Roman"/>
          <w:sz w:val="24"/>
          <w:szCs w:val="24"/>
        </w:rPr>
        <w:br w:type="column"/>
      </w:r>
      <w:r w:rsidRPr="001A0B1C">
        <w:rPr>
          <w:rFonts w:eastAsia="Times New Roman"/>
          <w:sz w:val="24"/>
          <w:szCs w:val="24"/>
        </w:rPr>
        <w:t>DTF website</w:t>
      </w:r>
    </w:p>
    <w:p w14:paraId="31BDD569" w14:textId="77777777" w:rsidR="00001BF1" w:rsidRPr="001A0B1C" w:rsidRDefault="00001BF1" w:rsidP="00001BF1">
      <w:pPr>
        <w:rPr>
          <w:rFonts w:eastAsia="Times New Roman"/>
          <w:szCs w:val="18"/>
        </w:rPr>
      </w:pPr>
      <w:r w:rsidRPr="001A0B1C">
        <w:rPr>
          <w:rFonts w:eastAsia="Times New Roman"/>
          <w:b/>
          <w:bCs/>
          <w:szCs w:val="18"/>
        </w:rPr>
        <w:t>The DTF website (for all internet users)</w:t>
      </w:r>
      <w:r w:rsidRPr="001A0B1C">
        <w:rPr>
          <w:rFonts w:eastAsia="Times New Roman"/>
          <w:szCs w:val="18"/>
        </w:rPr>
        <w:t xml:space="preserve"> – </w:t>
      </w:r>
      <w:hyperlink r:id="rId30" w:history="1">
        <w:r w:rsidRPr="001A0B1C">
          <w:rPr>
            <w:rStyle w:val="Hyperlink"/>
            <w:rFonts w:eastAsia="Times New Roman"/>
            <w:szCs w:val="18"/>
          </w:rPr>
          <w:t>www.dtf.vic.gov.au</w:t>
        </w:r>
      </w:hyperlink>
      <w:r w:rsidRPr="001A0B1C">
        <w:rPr>
          <w:rFonts w:eastAsia="Times New Roman"/>
          <w:szCs w:val="18"/>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5AB0F8B5" w14:textId="77777777"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should contact their portfolio department in the first instance for the login details to access the information relating to the 2008 Long Service Leave Model and/or, the Valuer General building and land indices.</w:t>
      </w:r>
    </w:p>
    <w:p w14:paraId="5242103E" w14:textId="77777777" w:rsidR="00001BF1" w:rsidRPr="001A0B1C" w:rsidRDefault="00001BF1" w:rsidP="00001BF1">
      <w:pPr>
        <w:rPr>
          <w:rFonts w:eastAsia="Times New Roman"/>
          <w:szCs w:val="18"/>
        </w:rPr>
      </w:pPr>
      <w:r w:rsidRPr="001A0B1C">
        <w:rPr>
          <w:rFonts w:eastAsia="Times New Roman"/>
          <w:szCs w:val="18"/>
        </w:rPr>
        <w:t xml:space="preserve">For assistance with technical difficulties using the DTF website, e.g. broken links, please contact the DTF web team via email at </w:t>
      </w:r>
      <w:hyperlink r:id="rId31" w:history="1">
        <w:r w:rsidRPr="001A0B1C">
          <w:rPr>
            <w:rStyle w:val="Hyperlink"/>
            <w:rFonts w:eastAsia="Times New Roman"/>
            <w:szCs w:val="18"/>
          </w:rPr>
          <w:t>dtfweb@dtf.vic.gov.au</w:t>
        </w:r>
      </w:hyperlink>
    </w:p>
    <w:p w14:paraId="4B760838" w14:textId="77777777" w:rsidR="00001BF1" w:rsidRPr="001A0B1C" w:rsidRDefault="00001BF1" w:rsidP="00001BF1">
      <w:pPr>
        <w:pStyle w:val="Heading2"/>
        <w:rPr>
          <w:rFonts w:eastAsia="Times New Roman"/>
          <w:sz w:val="24"/>
          <w:szCs w:val="24"/>
        </w:rPr>
      </w:pPr>
      <w:r w:rsidRPr="001A0B1C">
        <w:rPr>
          <w:rFonts w:eastAsia="Times New Roman"/>
          <w:sz w:val="24"/>
          <w:szCs w:val="24"/>
        </w:rPr>
        <w:t>About the Accounting Policy Update</w:t>
      </w:r>
    </w:p>
    <w:p w14:paraId="5A99E37B" w14:textId="0A262330" w:rsidR="00FE24E9" w:rsidRDefault="00001BF1" w:rsidP="00001BF1">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p>
    <w:p w14:paraId="17441FF4" w14:textId="77777777" w:rsidR="00001BF1" w:rsidRDefault="00001BF1" w:rsidP="006805B9">
      <w:pPr>
        <w:sectPr w:rsidR="00001BF1" w:rsidSect="0096774E">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77777777" w:rsidR="00001BF1" w:rsidRPr="001A0B1C" w:rsidRDefault="00001BF1" w:rsidP="00001BF1">
      <w:pPr>
        <w:pStyle w:val="Quote"/>
        <w:ind w:left="0" w:right="0"/>
      </w:pPr>
      <w:r w:rsidRPr="001A0B1C">
        <w:t>Disclaimer: No responsibility is taken for any action(s) taken on the basis of information contained in this Newsletter nor for any errors or omissions in that information.</w:t>
      </w:r>
    </w:p>
    <w:p w14:paraId="27EDB91F" w14:textId="77777777" w:rsidR="00001BF1" w:rsidRPr="00A06F34" w:rsidRDefault="00001BF1"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77777777"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2021</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237299BA">
            <wp:extent cx="1117460" cy="393651"/>
            <wp:effectExtent l="0" t="0" r="6985" b="6985"/>
            <wp:docPr id="4"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1BDF4405" w14:textId="77777777" w:rsidR="00001BF1" w:rsidRPr="00A06F34" w:rsidRDefault="00001BF1" w:rsidP="00001BF1">
      <w:pPr>
        <w:keepNext/>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34"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77777777"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35" w:history="1">
        <w:r w:rsidRPr="00A06F34">
          <w:rPr>
            <w:rFonts w:eastAsia="Times New Roman" w:cs="Arial"/>
            <w:color w:val="53565A"/>
            <w:sz w:val="15"/>
            <w:szCs w:val="15"/>
          </w:rPr>
          <w:t>IPpolicy@dtf.vic.gov.au</w:t>
        </w:r>
      </w:hyperlink>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A8567" w14:textId="77777777" w:rsidR="00AD60C7" w:rsidRDefault="00AD60C7" w:rsidP="006805B9">
      <w:r>
        <w:separator/>
      </w:r>
    </w:p>
  </w:endnote>
  <w:endnote w:type="continuationSeparator" w:id="0">
    <w:p w14:paraId="500CEE2C" w14:textId="77777777" w:rsidR="00AD60C7" w:rsidRDefault="00AD60C7" w:rsidP="0068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B215D" w14:textId="77777777" w:rsidR="00617D5D" w:rsidRDefault="00617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475F" w14:textId="0175DB96" w:rsidR="00522F8A" w:rsidRDefault="00491C72" w:rsidP="00491C72">
    <w:pPr>
      <w:pStyle w:val="Footer"/>
      <w:tabs>
        <w:tab w:val="clear" w:pos="9026"/>
        <w:tab w:val="right" w:pos="9602"/>
      </w:tabs>
      <w:rPr>
        <w:rStyle w:val="PageNumber"/>
      </w:rPr>
    </w:pPr>
    <w:r>
      <mc:AlternateContent>
        <mc:Choice Requires="wps">
          <w:drawing>
            <wp:anchor distT="0" distB="0" distL="114300" distR="114300" simplePos="0" relativeHeight="251671552" behindDoc="0" locked="0" layoutInCell="0" allowOverlap="1" wp14:anchorId="76B7413E" wp14:editId="6F4ED477">
              <wp:simplePos x="0" y="0"/>
              <wp:positionH relativeFrom="page">
                <wp:posOffset>0</wp:posOffset>
              </wp:positionH>
              <wp:positionV relativeFrom="page">
                <wp:posOffset>10234930</wp:posOffset>
              </wp:positionV>
              <wp:extent cx="7560310" cy="266700"/>
              <wp:effectExtent l="0" t="0" r="0" b="0"/>
              <wp:wrapNone/>
              <wp:docPr id="2" name="MSIPCMe85848a0ab60c8dfe39d64e7"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5E842" w14:textId="77777777" w:rsidR="00AC4C1D" w:rsidRPr="00841100" w:rsidRDefault="00AC4C1D" w:rsidP="00AC4C1D">
                          <w:pPr>
                            <w:spacing w:before="0" w:after="0"/>
                            <w:rPr>
                              <w:rFonts w:cs="Calibri"/>
                              <w:color w:val="000000"/>
                              <w:sz w:val="22"/>
                            </w:rPr>
                          </w:pPr>
                          <w:r w:rsidRPr="00841100">
                            <w:rPr>
                              <w:rFonts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B7413E" id="_x0000_t202" coordsize="21600,21600" o:spt="202" path="m,l,21600r21600,l21600,xe">
              <v:stroke joinstyle="miter"/>
              <v:path gradientshapeok="t" o:connecttype="rect"/>
            </v:shapetype>
            <v:shape id="MSIPCMe85848a0ab60c8dfe39d64e7"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eDa+ErMCAABIBQAA&#10;DgAAAAAAAAAAAAAAAAAuAgAAZHJzL2Uyb0RvYy54bWxQSwECLQAUAAYACAAAACEAYBHGJt4AAAAL&#10;AQAADwAAAAAAAAAAAAAAAAANBQAAZHJzL2Rvd25yZXYueG1sUEsFBgAAAAAEAAQA8wAAABgGAAAA&#10;AA==&#10;" o:allowincell="f" filled="f" stroked="f" strokeweight=".5pt">
              <v:textbox inset="20pt,0,,0">
                <w:txbxContent>
                  <w:p w14:paraId="77E5E842" w14:textId="77777777" w:rsidR="00AC4C1D" w:rsidRPr="00841100" w:rsidRDefault="00AC4C1D" w:rsidP="00AC4C1D">
                    <w:pPr>
                      <w:spacing w:before="0" w:after="0"/>
                      <w:rPr>
                        <w:rFonts w:cs="Calibri"/>
                        <w:color w:val="000000"/>
                        <w:sz w:val="22"/>
                      </w:rPr>
                    </w:pPr>
                    <w:r w:rsidRPr="00841100">
                      <w:rPr>
                        <w:rFonts w:cs="Calibri"/>
                        <w:color w:val="000000"/>
                        <w:sz w:val="22"/>
                      </w:rPr>
                      <w:t>OFFICIAL</w:t>
                    </w:r>
                  </w:p>
                </w:txbxContent>
              </v:textbox>
              <w10:wrap anchorx="page" anchory="page"/>
            </v:shape>
          </w:pict>
        </mc:Fallback>
      </mc:AlternateContent>
    </w:r>
    <w:r w:rsidR="00522F8A" w:rsidRPr="008E49B3">
      <w:rPr>
        <w:noProof w:val="0"/>
      </w:rPr>
      <w:fldChar w:fldCharType="begin"/>
    </w:r>
    <w:r w:rsidR="00522F8A" w:rsidRPr="008E49B3">
      <w:instrText xml:space="preserve"> StyleRef “Title” </w:instrText>
    </w:r>
    <w:r w:rsidR="00522F8A" w:rsidRPr="008E49B3">
      <w:rPr>
        <w:noProof w:val="0"/>
      </w:rPr>
      <w:fldChar w:fldCharType="separate"/>
    </w:r>
    <w:r w:rsidR="00617D5D">
      <w:t>Accounting policy update – newsletter</w:t>
    </w:r>
    <w:r w:rsidR="00522F8A" w:rsidRPr="008E49B3">
      <w:fldChar w:fldCharType="end"/>
    </w:r>
    <w:r w:rsidR="004229CE">
      <w:t xml:space="preserve"> – </w:t>
    </w:r>
    <w:r w:rsidR="004229CE" w:rsidRPr="008E49B3">
      <w:rPr>
        <w:noProof w:val="0"/>
      </w:rPr>
      <w:fldChar w:fldCharType="begin"/>
    </w:r>
    <w:r w:rsidR="004229CE" w:rsidRPr="008E49B3">
      <w:instrText xml:space="preserve"> StyleRef “</w:instrText>
    </w:r>
    <w:r w:rsidR="004229CE">
      <w:instrText>Subt</w:instrText>
    </w:r>
    <w:r w:rsidR="004229CE" w:rsidRPr="008E49B3">
      <w:instrText xml:space="preserve">itle” </w:instrText>
    </w:r>
    <w:r w:rsidR="004229CE" w:rsidRPr="008E49B3">
      <w:rPr>
        <w:noProof w:val="0"/>
      </w:rPr>
      <w:fldChar w:fldCharType="separate"/>
    </w:r>
    <w:r w:rsidR="00617D5D">
      <w:t>Edition No. 40 July 2021</w:t>
    </w:r>
    <w:r w:rsidR="004229CE" w:rsidRPr="008E49B3">
      <w:fldChar w:fldCharType="end"/>
    </w:r>
    <w:r>
      <w:tab/>
      <w:t xml:space="preserve">Page </w:t>
    </w:r>
    <w:r>
      <w:fldChar w:fldCharType="begin"/>
    </w:r>
    <w:r>
      <w:instrText xml:space="preserve"> page </w:instrText>
    </w:r>
    <w:r>
      <w:fldChar w:fldCharType="separate"/>
    </w:r>
    <w:r>
      <w:t>2</w:t>
    </w:r>
    <w:r>
      <w:fldChar w:fldCharType="end"/>
    </w:r>
  </w:p>
  <w:p w14:paraId="1DA7EA1F" w14:textId="77777777" w:rsidR="00522F8A" w:rsidRPr="00C022F9" w:rsidRDefault="00522F8A"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ED59" w14:textId="77777777" w:rsidR="00973844" w:rsidRDefault="00AC4C1D" w:rsidP="004C7125">
    <w:pPr>
      <w:pStyle w:val="Footer"/>
      <w:jc w:val="right"/>
    </w:pPr>
    <w:r>
      <mc:AlternateContent>
        <mc:Choice Requires="wps">
          <w:drawing>
            <wp:anchor distT="0" distB="0" distL="114300" distR="114300" simplePos="0" relativeHeight="251672576" behindDoc="0" locked="0" layoutInCell="0" allowOverlap="1" wp14:anchorId="3E39DDA1" wp14:editId="4CF841D4">
              <wp:simplePos x="0" y="0"/>
              <wp:positionH relativeFrom="page">
                <wp:posOffset>0</wp:posOffset>
              </wp:positionH>
              <wp:positionV relativeFrom="page">
                <wp:posOffset>10234930</wp:posOffset>
              </wp:positionV>
              <wp:extent cx="7560310" cy="266700"/>
              <wp:effectExtent l="0" t="0" r="0" b="0"/>
              <wp:wrapNone/>
              <wp:docPr id="3" name="MSIPCM8a4040288728c2a5ed20267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52988" w14:textId="77777777" w:rsidR="00AC4C1D" w:rsidRPr="00841100" w:rsidRDefault="00AC4C1D" w:rsidP="00AC4C1D">
                          <w:pPr>
                            <w:spacing w:before="0" w:after="0"/>
                            <w:rPr>
                              <w:rFonts w:cs="Calibri"/>
                              <w:color w:val="000000"/>
                              <w:sz w:val="22"/>
                            </w:rPr>
                          </w:pPr>
                          <w:r w:rsidRPr="00841100">
                            <w:rPr>
                              <w:rFonts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39DDA1" id="_x0000_t202" coordsize="21600,21600" o:spt="202" path="m,l,21600r21600,l21600,xe">
              <v:stroke joinstyle="miter"/>
              <v:path gradientshapeok="t" o:connecttype="rect"/>
            </v:shapetype>
            <v:shape id="MSIPCM8a4040288728c2a5ed202675" o:spid="_x0000_s1027" type="#_x0000_t202" alt="{&quot;HashCode&quot;:-1267603503,&quot;Height&quot;:841.0,&quot;Width&quot;:595.0,&quot;Placement&quot;:&quot;Footer&quot;,&quot;Index&quot;:&quot;FirstPage&quot;,&quot;Section&quot;:1,&quot;Top&quot;:0.0,&quot;Left&quot;:0.0}" style="position:absolute;left:0;text-align:left;margin-left:0;margin-top:805.9pt;width:595.3pt;height:21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FkB0SS0AgAAUQUA&#10;AA4AAAAAAAAAAAAAAAAALgIAAGRycy9lMm9Eb2MueG1sUEsBAi0AFAAGAAgAAAAhAGARxibeAAAA&#10;CwEAAA8AAAAAAAAAAAAAAAAADgUAAGRycy9kb3ducmV2LnhtbFBLBQYAAAAABAAEAPMAAAAZBgAA&#10;AAA=&#10;" o:allowincell="f" filled="f" stroked="f" strokeweight=".5pt">
              <v:textbox inset="20pt,0,,0">
                <w:txbxContent>
                  <w:p w14:paraId="4E052988" w14:textId="77777777" w:rsidR="00AC4C1D" w:rsidRPr="00841100" w:rsidRDefault="00AC4C1D" w:rsidP="00AC4C1D">
                    <w:pPr>
                      <w:spacing w:before="0" w:after="0"/>
                      <w:rPr>
                        <w:rFonts w:cs="Calibri"/>
                        <w:color w:val="000000"/>
                        <w:sz w:val="22"/>
                      </w:rPr>
                    </w:pPr>
                    <w:r w:rsidRPr="00841100">
                      <w:rPr>
                        <w:rFonts w:cs="Calibri"/>
                        <w:color w:val="000000"/>
                        <w:sz w:val="22"/>
                      </w:rPr>
                      <w:t>OFFICIAL</w:t>
                    </w:r>
                  </w:p>
                </w:txbxContent>
              </v:textbox>
              <w10:wrap anchorx="page" anchory="page"/>
            </v:shape>
          </w:pict>
        </mc:Fallback>
      </mc:AlternateContent>
    </w:r>
    <w:r w:rsidR="00C02CEC">
      <w:drawing>
        <wp:inline distT="0" distB="0" distL="0" distR="0" wp14:anchorId="6B0241C6" wp14:editId="50A22803">
          <wp:extent cx="1536192" cy="457200"/>
          <wp:effectExtent l="0" t="0" r="6985" b="0"/>
          <wp:docPr id="9"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2526" w14:textId="5DBCEC06" w:rsidR="004229CE" w:rsidRDefault="004229CE" w:rsidP="004C7125">
    <w:pPr>
      <w:pStyle w:val="Footer"/>
      <w:jc w:val="right"/>
    </w:pPr>
    <w:r>
      <w:drawing>
        <wp:inline distT="0" distB="0" distL="0" distR="0" wp14:anchorId="64C3D504" wp14:editId="47CFF75C">
          <wp:extent cx="1536192" cy="457200"/>
          <wp:effectExtent l="0" t="0" r="6985" b="0"/>
          <wp:docPr id="12"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CE607" w14:textId="77777777" w:rsidR="00AD60C7" w:rsidRDefault="00AD60C7" w:rsidP="006805B9">
      <w:r>
        <w:separator/>
      </w:r>
    </w:p>
  </w:footnote>
  <w:footnote w:type="continuationSeparator" w:id="0">
    <w:p w14:paraId="14676E63" w14:textId="77777777" w:rsidR="00AD60C7" w:rsidRDefault="00AD60C7" w:rsidP="00680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F7FD" w14:textId="77777777" w:rsidR="00617D5D" w:rsidRDefault="00617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908E0" w14:textId="77777777" w:rsidR="00F417C3" w:rsidRPr="0041689E" w:rsidRDefault="007B141C" w:rsidP="006805B9">
    <w:pPr>
      <w:pStyle w:val="Header"/>
    </w:pPr>
    <w:r>
      <w:rPr>
        <w:noProof/>
      </w:rPr>
      <mc:AlternateContent>
        <mc:Choice Requires="wpg">
          <w:drawing>
            <wp:anchor distT="0" distB="0" distL="114300" distR="114300" simplePos="0" relativeHeight="251670528"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94F4B" id="Page banner" o:spid="_x0000_s1026" alt="&quot;&quot;" style="position:absolute;margin-left:-2.5pt;margin-top:-34.65pt;width:602.65pt;height:70.55pt;z-index:251670528;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33555" w14:textId="77777777" w:rsidR="00617D5D" w:rsidRDefault="00617D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A363" w14:textId="77777777" w:rsidR="004229CE" w:rsidRDefault="00422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
  </w:num>
  <w:num w:numId="2">
    <w:abstractNumId w:val="1"/>
  </w:num>
  <w:num w:numId="3">
    <w:abstractNumId w:val="2"/>
  </w:num>
  <w:num w:numId="4">
    <w:abstractNumId w:val="3"/>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1BF1"/>
    <w:rsid w:val="00012F6F"/>
    <w:rsid w:val="00014213"/>
    <w:rsid w:val="00014B55"/>
    <w:rsid w:val="00020E3E"/>
    <w:rsid w:val="00023BF3"/>
    <w:rsid w:val="00026811"/>
    <w:rsid w:val="00030708"/>
    <w:rsid w:val="00043296"/>
    <w:rsid w:val="0004356D"/>
    <w:rsid w:val="00045296"/>
    <w:rsid w:val="00072A2A"/>
    <w:rsid w:val="00075E6C"/>
    <w:rsid w:val="00090171"/>
    <w:rsid w:val="000B29AD"/>
    <w:rsid w:val="000B5CFD"/>
    <w:rsid w:val="000C6372"/>
    <w:rsid w:val="000D593F"/>
    <w:rsid w:val="000E392D"/>
    <w:rsid w:val="000F4288"/>
    <w:rsid w:val="000F7165"/>
    <w:rsid w:val="00102379"/>
    <w:rsid w:val="001065D6"/>
    <w:rsid w:val="00121252"/>
    <w:rsid w:val="00124609"/>
    <w:rsid w:val="001254CE"/>
    <w:rsid w:val="00125514"/>
    <w:rsid w:val="00126AF9"/>
    <w:rsid w:val="00126CC7"/>
    <w:rsid w:val="00134CEA"/>
    <w:rsid w:val="001422CC"/>
    <w:rsid w:val="001617B6"/>
    <w:rsid w:val="00165E66"/>
    <w:rsid w:val="001A3DD1"/>
    <w:rsid w:val="001C7BAE"/>
    <w:rsid w:val="001D717E"/>
    <w:rsid w:val="001E31FA"/>
    <w:rsid w:val="001E64F6"/>
    <w:rsid w:val="00200BB3"/>
    <w:rsid w:val="00222BEB"/>
    <w:rsid w:val="00225E60"/>
    <w:rsid w:val="00227C39"/>
    <w:rsid w:val="0023202C"/>
    <w:rsid w:val="00236203"/>
    <w:rsid w:val="00245043"/>
    <w:rsid w:val="002576CA"/>
    <w:rsid w:val="00257760"/>
    <w:rsid w:val="0027122F"/>
    <w:rsid w:val="00283809"/>
    <w:rsid w:val="00292D36"/>
    <w:rsid w:val="00297281"/>
    <w:rsid w:val="002C4F4A"/>
    <w:rsid w:val="002C54E0"/>
    <w:rsid w:val="002D711A"/>
    <w:rsid w:val="002D7336"/>
    <w:rsid w:val="002E3396"/>
    <w:rsid w:val="0031149C"/>
    <w:rsid w:val="00313BAD"/>
    <w:rsid w:val="00330A9A"/>
    <w:rsid w:val="0038771C"/>
    <w:rsid w:val="00392A8F"/>
    <w:rsid w:val="0039405B"/>
    <w:rsid w:val="003A1C92"/>
    <w:rsid w:val="003A541A"/>
    <w:rsid w:val="003A6923"/>
    <w:rsid w:val="003C2C67"/>
    <w:rsid w:val="003C2EA2"/>
    <w:rsid w:val="003C5BA4"/>
    <w:rsid w:val="003E3E26"/>
    <w:rsid w:val="003F1295"/>
    <w:rsid w:val="003F76FC"/>
    <w:rsid w:val="004002EB"/>
    <w:rsid w:val="00405C57"/>
    <w:rsid w:val="0041689E"/>
    <w:rsid w:val="004229CE"/>
    <w:rsid w:val="004236C8"/>
    <w:rsid w:val="00427681"/>
    <w:rsid w:val="00433DB7"/>
    <w:rsid w:val="00453750"/>
    <w:rsid w:val="00456941"/>
    <w:rsid w:val="004669E3"/>
    <w:rsid w:val="004702EA"/>
    <w:rsid w:val="00482D02"/>
    <w:rsid w:val="00491C72"/>
    <w:rsid w:val="004A7519"/>
    <w:rsid w:val="004B41CA"/>
    <w:rsid w:val="004C7125"/>
    <w:rsid w:val="004D3518"/>
    <w:rsid w:val="004D62D6"/>
    <w:rsid w:val="00503EBE"/>
    <w:rsid w:val="005129A3"/>
    <w:rsid w:val="00522F8A"/>
    <w:rsid w:val="0053416C"/>
    <w:rsid w:val="00541C2F"/>
    <w:rsid w:val="00563527"/>
    <w:rsid w:val="0058124E"/>
    <w:rsid w:val="00584301"/>
    <w:rsid w:val="005875A3"/>
    <w:rsid w:val="005A3416"/>
    <w:rsid w:val="005B27FE"/>
    <w:rsid w:val="005C3E6D"/>
    <w:rsid w:val="005F331D"/>
    <w:rsid w:val="005F61DF"/>
    <w:rsid w:val="006023F9"/>
    <w:rsid w:val="00610559"/>
    <w:rsid w:val="00617D5D"/>
    <w:rsid w:val="00632680"/>
    <w:rsid w:val="006332F6"/>
    <w:rsid w:val="006361E7"/>
    <w:rsid w:val="00641096"/>
    <w:rsid w:val="00652625"/>
    <w:rsid w:val="006534B2"/>
    <w:rsid w:val="0065615D"/>
    <w:rsid w:val="00657011"/>
    <w:rsid w:val="006650B5"/>
    <w:rsid w:val="006651B1"/>
    <w:rsid w:val="00665778"/>
    <w:rsid w:val="006738C4"/>
    <w:rsid w:val="006805B9"/>
    <w:rsid w:val="00691C09"/>
    <w:rsid w:val="006A5B34"/>
    <w:rsid w:val="006A5F5B"/>
    <w:rsid w:val="006C4C08"/>
    <w:rsid w:val="006C77A9"/>
    <w:rsid w:val="006F6693"/>
    <w:rsid w:val="00707FE8"/>
    <w:rsid w:val="00711DDD"/>
    <w:rsid w:val="00724962"/>
    <w:rsid w:val="00724A0F"/>
    <w:rsid w:val="0073072C"/>
    <w:rsid w:val="007320B4"/>
    <w:rsid w:val="00732162"/>
    <w:rsid w:val="00736732"/>
    <w:rsid w:val="00750CBE"/>
    <w:rsid w:val="00766B5A"/>
    <w:rsid w:val="007834F2"/>
    <w:rsid w:val="00791020"/>
    <w:rsid w:val="007A5F82"/>
    <w:rsid w:val="007B141C"/>
    <w:rsid w:val="007B75A4"/>
    <w:rsid w:val="007F1A4C"/>
    <w:rsid w:val="008022C3"/>
    <w:rsid w:val="008041E6"/>
    <w:rsid w:val="008065D2"/>
    <w:rsid w:val="008109B4"/>
    <w:rsid w:val="0082194C"/>
    <w:rsid w:val="008220C4"/>
    <w:rsid w:val="008222FF"/>
    <w:rsid w:val="00822DEC"/>
    <w:rsid w:val="008241FF"/>
    <w:rsid w:val="00841100"/>
    <w:rsid w:val="008411E9"/>
    <w:rsid w:val="0084200F"/>
    <w:rsid w:val="00843B2C"/>
    <w:rsid w:val="008471C4"/>
    <w:rsid w:val="008779E6"/>
    <w:rsid w:val="008A4900"/>
    <w:rsid w:val="008D0281"/>
    <w:rsid w:val="008E3C4E"/>
    <w:rsid w:val="008E49B3"/>
    <w:rsid w:val="008F6D45"/>
    <w:rsid w:val="0096774E"/>
    <w:rsid w:val="00973844"/>
    <w:rsid w:val="009834C0"/>
    <w:rsid w:val="00984C95"/>
    <w:rsid w:val="00986AAC"/>
    <w:rsid w:val="009A1DA2"/>
    <w:rsid w:val="009A3704"/>
    <w:rsid w:val="009A4739"/>
    <w:rsid w:val="009A674F"/>
    <w:rsid w:val="009B199C"/>
    <w:rsid w:val="009B54C8"/>
    <w:rsid w:val="009B61F1"/>
    <w:rsid w:val="009B62E0"/>
    <w:rsid w:val="009C3D88"/>
    <w:rsid w:val="009E3858"/>
    <w:rsid w:val="009E70DD"/>
    <w:rsid w:val="009E7F3E"/>
    <w:rsid w:val="009F2ED9"/>
    <w:rsid w:val="009F3231"/>
    <w:rsid w:val="009F5C58"/>
    <w:rsid w:val="00A023A0"/>
    <w:rsid w:val="00A06F34"/>
    <w:rsid w:val="00A1562B"/>
    <w:rsid w:val="00A170F4"/>
    <w:rsid w:val="00A2559E"/>
    <w:rsid w:val="00A25FD9"/>
    <w:rsid w:val="00A46BA8"/>
    <w:rsid w:val="00A47634"/>
    <w:rsid w:val="00A612FE"/>
    <w:rsid w:val="00AA26B8"/>
    <w:rsid w:val="00AA6FB5"/>
    <w:rsid w:val="00AB3FE2"/>
    <w:rsid w:val="00AC4C1D"/>
    <w:rsid w:val="00AD3322"/>
    <w:rsid w:val="00AD60C7"/>
    <w:rsid w:val="00AD7E4E"/>
    <w:rsid w:val="00AE0BEF"/>
    <w:rsid w:val="00AF34DE"/>
    <w:rsid w:val="00AF4D58"/>
    <w:rsid w:val="00AF6666"/>
    <w:rsid w:val="00B10154"/>
    <w:rsid w:val="00B81B44"/>
    <w:rsid w:val="00B9053B"/>
    <w:rsid w:val="00BB660E"/>
    <w:rsid w:val="00BC3422"/>
    <w:rsid w:val="00BF27CA"/>
    <w:rsid w:val="00BF3B71"/>
    <w:rsid w:val="00C015B9"/>
    <w:rsid w:val="00C022F9"/>
    <w:rsid w:val="00C02CEC"/>
    <w:rsid w:val="00C032EA"/>
    <w:rsid w:val="00C06EB5"/>
    <w:rsid w:val="00C1145F"/>
    <w:rsid w:val="00C637E1"/>
    <w:rsid w:val="00C70D50"/>
    <w:rsid w:val="00C8243E"/>
    <w:rsid w:val="00C907D7"/>
    <w:rsid w:val="00C92338"/>
    <w:rsid w:val="00CA24D2"/>
    <w:rsid w:val="00CA7C3A"/>
    <w:rsid w:val="00CA7E82"/>
    <w:rsid w:val="00CC2DB2"/>
    <w:rsid w:val="00CD0307"/>
    <w:rsid w:val="00CD3D1B"/>
    <w:rsid w:val="00CE62B3"/>
    <w:rsid w:val="00CF7DCA"/>
    <w:rsid w:val="00D211E9"/>
    <w:rsid w:val="00D2312F"/>
    <w:rsid w:val="00D269C1"/>
    <w:rsid w:val="00D44953"/>
    <w:rsid w:val="00D542F3"/>
    <w:rsid w:val="00D543E5"/>
    <w:rsid w:val="00D5644B"/>
    <w:rsid w:val="00D56E25"/>
    <w:rsid w:val="00D71896"/>
    <w:rsid w:val="00D718D7"/>
    <w:rsid w:val="00D73212"/>
    <w:rsid w:val="00D814B7"/>
    <w:rsid w:val="00D82C5B"/>
    <w:rsid w:val="00D90688"/>
    <w:rsid w:val="00DA3AAD"/>
    <w:rsid w:val="00DB312B"/>
    <w:rsid w:val="00DC5654"/>
    <w:rsid w:val="00DC658F"/>
    <w:rsid w:val="00DE60CC"/>
    <w:rsid w:val="00E26B32"/>
    <w:rsid w:val="00E31444"/>
    <w:rsid w:val="00E407B6"/>
    <w:rsid w:val="00E41EF1"/>
    <w:rsid w:val="00E42942"/>
    <w:rsid w:val="00E468A6"/>
    <w:rsid w:val="00E56BBE"/>
    <w:rsid w:val="00E71BDF"/>
    <w:rsid w:val="00E83CA7"/>
    <w:rsid w:val="00EC171D"/>
    <w:rsid w:val="00ED487E"/>
    <w:rsid w:val="00EE22C3"/>
    <w:rsid w:val="00EE7706"/>
    <w:rsid w:val="00EE7A0D"/>
    <w:rsid w:val="00EF0D21"/>
    <w:rsid w:val="00F17CE1"/>
    <w:rsid w:val="00F2115C"/>
    <w:rsid w:val="00F22ABA"/>
    <w:rsid w:val="00F36B12"/>
    <w:rsid w:val="00F417C3"/>
    <w:rsid w:val="00F60F9F"/>
    <w:rsid w:val="00F64F08"/>
    <w:rsid w:val="00F734F5"/>
    <w:rsid w:val="00F966B1"/>
    <w:rsid w:val="00F97D48"/>
    <w:rsid w:val="00FA0311"/>
    <w:rsid w:val="00FC42E5"/>
    <w:rsid w:val="00FD640F"/>
    <w:rsid w:val="00FD6B4C"/>
    <w:rsid w:val="00FD6BE9"/>
    <w:rsid w:val="00FE1E31"/>
    <w:rsid w:val="00FE24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5DB56"/>
  <w15:docId w15:val="{EA57741E-B085-412F-AB41-A63C5E59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491C72"/>
    <w:pPr>
      <w:keepLines/>
      <w:spacing w:before="120" w:after="120" w:line="252" w:lineRule="auto"/>
    </w:pPr>
    <w:rPr>
      <w:color w:val="232B39" w:themeColor="text1"/>
      <w:sz w:val="18"/>
    </w:rPr>
  </w:style>
  <w:style w:type="paragraph" w:styleId="Heading1">
    <w:name w:val="heading 1"/>
    <w:next w:val="Normal"/>
    <w:link w:val="Heading1Char"/>
    <w:qFormat/>
    <w:rsid w:val="0027122F"/>
    <w:pPr>
      <w:keepNext/>
      <w:keepLines/>
      <w:spacing w:before="400" w:after="80" w:line="252" w:lineRule="auto"/>
      <w:outlineLvl w:val="0"/>
    </w:pPr>
    <w:rPr>
      <w:rFonts w:asciiTheme="majorHAnsi" w:eastAsia="Times New Roman" w:hAnsiTheme="majorHAnsi" w:cstheme="majorBidi"/>
      <w:b/>
      <w:bCs/>
      <w:color w:val="3A3467" w:themeColor="text2"/>
      <w:sz w:val="36"/>
      <w:szCs w:val="28"/>
    </w:rPr>
  </w:style>
  <w:style w:type="paragraph" w:styleId="Heading2">
    <w:name w:val="heading 2"/>
    <w:basedOn w:val="Normal"/>
    <w:next w:val="Normal"/>
    <w:link w:val="Heading2Char"/>
    <w:qFormat/>
    <w:rsid w:val="0096774E"/>
    <w:pPr>
      <w:keepNext/>
      <w:spacing w:before="20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001BF1"/>
    <w:pPr>
      <w:keepNext/>
      <w:spacing w:before="240"/>
      <w:outlineLvl w:val="2"/>
    </w:pPr>
    <w:rPr>
      <w:rFonts w:asciiTheme="majorHAnsi" w:eastAsiaTheme="majorEastAsia" w:hAnsiTheme="majorHAnsi" w:cstheme="majorBidi"/>
      <w:b/>
      <w:bCs/>
      <w:sz w:val="22"/>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4229CE"/>
    <w:pPr>
      <w:pBdr>
        <w:bottom w:val="single" w:sz="12" w:space="4" w:color="auto"/>
        <w:between w:val="single" w:sz="6" w:space="1" w:color="auto"/>
      </w:pBdr>
      <w:tabs>
        <w:tab w:val="right" w:pos="9000"/>
      </w:tabs>
      <w:spacing w:before="80" w:after="40" w:line="240" w:lineRule="auto"/>
      <w:ind w:right="29"/>
    </w:pPr>
    <w:rPr>
      <w:noProof/>
      <w:sz w:val="16"/>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AD60C7"/>
    <w:rPr>
      <w:color w:val="009CA7" w:themeColor="accent3"/>
      <w:u w:val="none"/>
    </w:rPr>
  </w:style>
  <w:style w:type="character" w:customStyle="1" w:styleId="Heading1Char">
    <w:name w:val="Heading 1 Char"/>
    <w:basedOn w:val="DefaultParagraphFont"/>
    <w:link w:val="Heading1"/>
    <w:rsid w:val="0027122F"/>
    <w:rPr>
      <w:rFonts w:asciiTheme="majorHAnsi" w:eastAsia="Times New Roman" w:hAnsiTheme="majorHAnsi" w:cstheme="majorBidi"/>
      <w:b/>
      <w:bCs/>
      <w:color w:val="3A3467" w:themeColor="text2"/>
      <w:sz w:val="36"/>
      <w:szCs w:val="28"/>
    </w:rPr>
  </w:style>
  <w:style w:type="character" w:customStyle="1" w:styleId="Heading2Char">
    <w:name w:val="Heading 2 Char"/>
    <w:basedOn w:val="DefaultParagraphFont"/>
    <w:link w:val="Heading2"/>
    <w:rsid w:val="0096774E"/>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6805B9"/>
    <w:pPr>
      <w:keepLines/>
      <w:numPr>
        <w:numId w:val="2"/>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5"/>
    <w:qFormat/>
    <w:rsid w:val="00BB660E"/>
    <w:pPr>
      <w:numPr>
        <w:ilvl w:val="2"/>
      </w:numPr>
      <w:spacing w:line="264" w:lineRule="auto"/>
    </w:pPr>
  </w:style>
  <w:style w:type="paragraph" w:customStyle="1" w:styleId="Heading1numbered">
    <w:name w:val="Heading 1 numbered"/>
    <w:basedOn w:val="Heading1"/>
    <w:next w:val="NormalIndent"/>
    <w:uiPriority w:val="8"/>
    <w:semiHidden/>
    <w:qFormat/>
    <w:rsid w:val="00522F8A"/>
    <w:pPr>
      <w:numPr>
        <w:ilvl w:val="2"/>
        <w:numId w:val="4"/>
      </w:numPr>
    </w:pPr>
  </w:style>
  <w:style w:type="paragraph" w:customStyle="1" w:styleId="Heading2numbered">
    <w:name w:val="Heading 2 numbered"/>
    <w:basedOn w:val="Heading2"/>
    <w:next w:val="NormalIndent"/>
    <w:uiPriority w:val="8"/>
    <w:semiHidden/>
    <w:qFormat/>
    <w:rsid w:val="00522F8A"/>
    <w:pPr>
      <w:numPr>
        <w:ilvl w:val="3"/>
        <w:numId w:val="4"/>
      </w:numPr>
    </w:pPr>
  </w:style>
  <w:style w:type="paragraph" w:customStyle="1" w:styleId="Heading3numbered">
    <w:name w:val="Heading 3 numbered"/>
    <w:basedOn w:val="Heading3"/>
    <w:next w:val="NormalIndent"/>
    <w:uiPriority w:val="8"/>
    <w:semiHidden/>
    <w:qFormat/>
    <w:rsid w:val="00522F8A"/>
    <w:pPr>
      <w:numPr>
        <w:ilvl w:val="4"/>
        <w:numId w:val="4"/>
      </w:numPr>
    </w:pPr>
  </w:style>
  <w:style w:type="character" w:customStyle="1" w:styleId="Heading3Char">
    <w:name w:val="Heading 3 Char"/>
    <w:basedOn w:val="DefaultParagraphFont"/>
    <w:link w:val="Heading3"/>
    <w:rsid w:val="00001BF1"/>
    <w:rPr>
      <w:rFonts w:asciiTheme="majorHAnsi" w:eastAsiaTheme="majorEastAsia" w:hAnsiTheme="majorHAnsi" w:cstheme="majorBidi"/>
      <w:b/>
      <w:bCs/>
      <w:color w:val="232B39" w:themeColor="text1"/>
      <w:sz w:val="22"/>
      <w:szCs w:val="24"/>
    </w:rPr>
  </w:style>
  <w:style w:type="paragraph" w:customStyle="1" w:styleId="Heading4numbered">
    <w:name w:val="Heading 4 numbered"/>
    <w:basedOn w:val="Heading4"/>
    <w:next w:val="NormalIndent"/>
    <w:uiPriority w:val="8"/>
    <w:semiHidden/>
    <w:qFormat/>
    <w:rsid w:val="00522F8A"/>
    <w:pPr>
      <w:numPr>
        <w:ilvl w:val="5"/>
        <w:numId w:val="4"/>
      </w:numPr>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125514"/>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125514"/>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125514"/>
    <w:pPr>
      <w:shd w:val="clear" w:color="auto" w:fill="232B39" w:themeFill="text1"/>
      <w:spacing w:before="160" w:after="0" w:line="216" w:lineRule="auto"/>
      <w:ind w:left="446" w:right="4910"/>
      <w:jc w:val="right"/>
    </w:pPr>
    <w:rPr>
      <w:rFonts w:asciiTheme="majorHAnsi" w:eastAsia="Times New Roman" w:hAnsiTheme="majorHAnsi" w:cstheme="majorHAnsi"/>
      <w:b/>
      <w:color w:val="FFFFFF" w:themeColor="background1"/>
      <w:sz w:val="48"/>
      <w:szCs w:val="48"/>
    </w:rPr>
  </w:style>
  <w:style w:type="character" w:customStyle="1" w:styleId="TitleChar">
    <w:name w:val="Title Char"/>
    <w:basedOn w:val="DefaultParagraphFont"/>
    <w:link w:val="Title"/>
    <w:uiPriority w:val="44"/>
    <w:rsid w:val="00125514"/>
    <w:rPr>
      <w:rFonts w:asciiTheme="majorHAnsi" w:eastAsia="Times New Roman" w:hAnsiTheme="majorHAnsi" w:cstheme="majorHAnsi"/>
      <w:b/>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5"/>
    <w:qFormat/>
    <w:rsid w:val="00BB660E"/>
    <w:pPr>
      <w:numPr>
        <w:ilvl w:val="3"/>
        <w:numId w:val="2"/>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before="480"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hanging="446"/>
    </w:pPr>
    <w:rPr>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semiHidden/>
    <w:qFormat/>
    <w:rsid w:val="00522F8A"/>
    <w:pPr>
      <w:numPr>
        <w:ilvl w:val="7"/>
        <w:numId w:val="4"/>
      </w:numPr>
      <w:spacing w:before="100"/>
      <w:contextualSpacing/>
    </w:pPr>
  </w:style>
  <w:style w:type="paragraph" w:customStyle="1" w:styleId="Listnumindent">
    <w:name w:val="List num indent"/>
    <w:basedOn w:val="Normal"/>
    <w:uiPriority w:val="9"/>
    <w:semiHidden/>
    <w:qFormat/>
    <w:rsid w:val="00522F8A"/>
    <w:pPr>
      <w:numPr>
        <w:ilvl w:val="6"/>
        <w:numId w:val="4"/>
      </w:numPr>
      <w:spacing w:before="100"/>
    </w:pPr>
  </w:style>
  <w:style w:type="paragraph" w:customStyle="1" w:styleId="Listnum">
    <w:name w:val="List num"/>
    <w:basedOn w:val="Normal"/>
    <w:uiPriority w:val="2"/>
    <w:qFormat/>
    <w:rsid w:val="00522F8A"/>
    <w:pPr>
      <w:numPr>
        <w:numId w:val="4"/>
      </w:numPr>
    </w:pPr>
  </w:style>
  <w:style w:type="paragraph" w:customStyle="1" w:styleId="Listnum2">
    <w:name w:val="List num 2"/>
    <w:basedOn w:val="Normal"/>
    <w:uiPriority w:val="2"/>
    <w:qFormat/>
    <w:rsid w:val="00522F8A"/>
    <w:pPr>
      <w:numPr>
        <w:ilvl w:val="1"/>
        <w:numId w:val="4"/>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5"/>
      </w:numPr>
    </w:pPr>
  </w:style>
  <w:style w:type="paragraph" w:customStyle="1" w:styleId="Tabledash">
    <w:name w:val="Table dash"/>
    <w:basedOn w:val="Tablebullet"/>
    <w:uiPriority w:val="6"/>
    <w:rsid w:val="00522F8A"/>
    <w:pPr>
      <w:numPr>
        <w:ilvl w:val="1"/>
      </w:numPr>
    </w:pPr>
  </w:style>
  <w:style w:type="paragraph" w:customStyle="1" w:styleId="Numpara">
    <w:name w:val="Num para"/>
    <w:basedOn w:val="ListParagraph"/>
    <w:uiPriority w:val="2"/>
    <w:qFormat/>
    <w:rsid w:val="00522F8A"/>
    <w:pPr>
      <w:numPr>
        <w:numId w:val="3"/>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4"/>
      </w:numPr>
      <w:tabs>
        <w:tab w:val="clear" w:pos="540"/>
      </w:tabs>
    </w:pPr>
  </w:style>
  <w:style w:type="paragraph" w:customStyle="1" w:styleId="Tablenum1">
    <w:name w:val="Table num 1"/>
    <w:basedOn w:val="Normal"/>
    <w:uiPriority w:val="6"/>
    <w:rsid w:val="00522F8A"/>
    <w:pPr>
      <w:numPr>
        <w:ilvl w:val="2"/>
        <w:numId w:val="5"/>
      </w:numPr>
      <w:spacing w:before="60" w:after="60"/>
    </w:pPr>
    <w:rPr>
      <w:sz w:val="17"/>
    </w:rPr>
  </w:style>
  <w:style w:type="paragraph" w:customStyle="1" w:styleId="Tablenum2">
    <w:name w:val="Table num 2"/>
    <w:basedOn w:val="Normal"/>
    <w:uiPriority w:val="6"/>
    <w:rsid w:val="00522F8A"/>
    <w:pPr>
      <w:numPr>
        <w:ilvl w:val="3"/>
        <w:numId w:val="5"/>
      </w:numPr>
      <w:spacing w:before="60" w:after="6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dtf.vic.gov.au/financial-reporting-policy/valuer-general-land-indices"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mailto:standing.directions@dtf.vic.gov.au" TargetMode="External"/><Relationship Id="rId34" Type="http://schemas.openxmlformats.org/officeDocument/2006/relationships/hyperlink" Target="http://creativecommons.org/licenses/by/4.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dtf.vic.gov.au/financial-reporting-policy/aasb-124-related-party-disclosures" TargetMode="External"/><Relationship Id="rId25" Type="http://schemas.openxmlformats.org/officeDocument/2006/relationships/header" Target="header4.xm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dtf.vic.gov.au/model-report/2020-21-model-report" TargetMode="External"/><Relationship Id="rId20" Type="http://schemas.openxmlformats.org/officeDocument/2006/relationships/hyperlink" Target="http://www.dtf.vic.gov.au/files/0b43b325-68cc-4285-9055-a5a6010a5a01/Standing-Directions-Instructions-2016.docx" TargetMode="External"/><Relationship Id="rId29" Type="http://schemas.openxmlformats.org/officeDocument/2006/relationships/hyperlink" Target="http://www.ipsasb.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udit.vic.gov.au/news/streamlining-public-sector-financial-statements-tips-and-tricks-20210127" TargetMode="External"/><Relationship Id="rId32" Type="http://schemas.openxmlformats.org/officeDocument/2006/relationships/hyperlink" Target="http://creativecommons.org/licenses/by/3.0/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tf.vic.gov.au/model-report/2020-21-model-report" TargetMode="External"/><Relationship Id="rId23" Type="http://schemas.openxmlformats.org/officeDocument/2006/relationships/hyperlink" Target="https://www.dtf.vic.gov.au/planning-budgeting-and-financial-reporting-frameworks/resource-management-framework" TargetMode="External"/><Relationship Id="rId28" Type="http://schemas.openxmlformats.org/officeDocument/2006/relationships/hyperlink" Target="http://www.aasb.com.au"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dtf.vic.gov.au/Publications/Government-Financial-Management-publications/Financial-Reporting-Policy/Accounting-policy-update-newsletters" TargetMode="External"/><Relationship Id="rId31" Type="http://schemas.openxmlformats.org/officeDocument/2006/relationships/hyperlink" Target="mailto:dtfweb@dtf.vic.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mailto:accpol@dtf.vic.gov.au" TargetMode="External"/><Relationship Id="rId30" Type="http://schemas.openxmlformats.org/officeDocument/2006/relationships/hyperlink" Target="http://www.dtf.vic.gov.au" TargetMode="External"/><Relationship Id="rId35" Type="http://schemas.openxmlformats.org/officeDocument/2006/relationships/hyperlink" Target="mailto:IPpolicy@dtf.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Fact%20sheet.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900">
                <a:latin typeface="VIC SemiBold" panose="00000700000000000000" pitchFamily="50" charset="0"/>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overlay val="1"/>
    </c:title>
    <c:autoTitleDeleted val="0"/>
    <c:plotArea>
      <c:layout>
        <c:manualLayout>
          <c:layoutTarget val="inner"/>
          <c:xMode val="edge"/>
          <c:yMode val="edge"/>
          <c:x val="0.11347541085188972"/>
          <c:y val="0.1627339733218279"/>
          <c:w val="0.82730225713432037"/>
          <c:h val="0.63609660238253352"/>
        </c:manualLayout>
      </c:layout>
      <c:lineChart>
        <c:grouping val="standard"/>
        <c:varyColors val="0"/>
        <c:ser>
          <c:idx val="0"/>
          <c:order val="0"/>
          <c:tx>
            <c:strRef>
              <c:f>'Newsletter chart'!$G$3</c:f>
              <c:strCache>
                <c:ptCount val="1"/>
                <c:pt idx="0">
                  <c:v>Annual discount rate</c:v>
                </c:pt>
              </c:strCache>
            </c:strRef>
          </c:tx>
          <c:marker>
            <c:spPr>
              <a:ln w="19050"/>
            </c:spPr>
          </c:marker>
          <c:dLbls>
            <c:delete val="1"/>
          </c:dLbls>
          <c:cat>
            <c:numRef>
              <c:f>'Newsletter chart'!$F$4:$F$21</c:f>
              <c:numCache>
                <c:formatCode>mmm\-yy</c:formatCode>
                <c:ptCount val="18"/>
                <c:pt idx="0">
                  <c:v>43373</c:v>
                </c:pt>
                <c:pt idx="1">
                  <c:v>43465</c:v>
                </c:pt>
                <c:pt idx="2">
                  <c:v>43555</c:v>
                </c:pt>
                <c:pt idx="3">
                  <c:v>43585</c:v>
                </c:pt>
                <c:pt idx="4">
                  <c:v>43616</c:v>
                </c:pt>
                <c:pt idx="5">
                  <c:v>43646</c:v>
                </c:pt>
                <c:pt idx="6">
                  <c:v>43738</c:v>
                </c:pt>
                <c:pt idx="7">
                  <c:v>43830</c:v>
                </c:pt>
                <c:pt idx="8">
                  <c:v>43921</c:v>
                </c:pt>
                <c:pt idx="9">
                  <c:v>43951</c:v>
                </c:pt>
                <c:pt idx="10">
                  <c:v>43982</c:v>
                </c:pt>
                <c:pt idx="11">
                  <c:v>44012</c:v>
                </c:pt>
                <c:pt idx="12">
                  <c:v>44104</c:v>
                </c:pt>
                <c:pt idx="13">
                  <c:v>44196</c:v>
                </c:pt>
                <c:pt idx="14">
                  <c:v>44286</c:v>
                </c:pt>
                <c:pt idx="15">
                  <c:v>44316</c:v>
                </c:pt>
                <c:pt idx="16">
                  <c:v>44347</c:v>
                </c:pt>
                <c:pt idx="17">
                  <c:v>44377</c:v>
                </c:pt>
              </c:numCache>
            </c:numRef>
          </c:cat>
          <c:val>
            <c:numRef>
              <c:f>'Newsletter chart'!$G$4:$G$21</c:f>
              <c:numCache>
                <c:formatCode>0.000</c:formatCode>
                <c:ptCount val="18"/>
                <c:pt idx="0">
                  <c:v>2.6880000000000002</c:v>
                </c:pt>
                <c:pt idx="1">
                  <c:v>2.3330000000000002</c:v>
                </c:pt>
                <c:pt idx="2">
                  <c:v>1.7829999999999999</c:v>
                </c:pt>
                <c:pt idx="3">
                  <c:v>1.7929999999999999</c:v>
                </c:pt>
                <c:pt idx="4">
                  <c:v>1.46</c:v>
                </c:pt>
                <c:pt idx="5">
                  <c:v>1.3240000000000001</c:v>
                </c:pt>
                <c:pt idx="6">
                  <c:v>1.028</c:v>
                </c:pt>
                <c:pt idx="7">
                  <c:v>1.39</c:v>
                </c:pt>
                <c:pt idx="8">
                  <c:v>0.71099999999999997</c:v>
                </c:pt>
                <c:pt idx="9">
                  <c:v>0.89200000000000002</c:v>
                </c:pt>
                <c:pt idx="10">
                  <c:v>0.88700000000000001</c:v>
                </c:pt>
                <c:pt idx="11">
                  <c:v>0.872</c:v>
                </c:pt>
                <c:pt idx="12">
                  <c:v>0.86199999999999999</c:v>
                </c:pt>
                <c:pt idx="13">
                  <c:v>1.008</c:v>
                </c:pt>
                <c:pt idx="14">
                  <c:v>1.7929999999999999</c:v>
                </c:pt>
                <c:pt idx="15">
                  <c:v>1.6970000000000001</c:v>
                </c:pt>
                <c:pt idx="16">
                  <c:v>1.657</c:v>
                </c:pt>
                <c:pt idx="17">
                  <c:v>1.4910000000000001</c:v>
                </c:pt>
              </c:numCache>
            </c:numRef>
          </c:val>
          <c:smooth val="0"/>
          <c:extLst>
            <c:ext xmlns:c16="http://schemas.microsoft.com/office/drawing/2014/chart" uri="{C3380CC4-5D6E-409C-BE32-E72D297353CC}">
              <c16:uniqueId val="{00000000-4648-43C7-94F6-135660B0C20F}"/>
            </c:ext>
          </c:extLst>
        </c:ser>
        <c:ser>
          <c:idx val="1"/>
          <c:order val="1"/>
          <c:tx>
            <c:strRef>
              <c:f>'Newsletter chart'!$H$3</c:f>
              <c:strCache>
                <c:ptCount val="1"/>
                <c:pt idx="0">
                  <c:v>Wage inflation rate</c:v>
                </c:pt>
              </c:strCache>
            </c:strRef>
          </c:tx>
          <c:marker>
            <c:spPr>
              <a:ln w="19050"/>
            </c:spPr>
          </c:marker>
          <c:dLbls>
            <c:delete val="1"/>
          </c:dLbls>
          <c:cat>
            <c:numRef>
              <c:f>'Newsletter chart'!$F$4:$F$21</c:f>
              <c:numCache>
                <c:formatCode>mmm\-yy</c:formatCode>
                <c:ptCount val="18"/>
                <c:pt idx="0">
                  <c:v>43373</c:v>
                </c:pt>
                <c:pt idx="1">
                  <c:v>43465</c:v>
                </c:pt>
                <c:pt idx="2">
                  <c:v>43555</c:v>
                </c:pt>
                <c:pt idx="3">
                  <c:v>43585</c:v>
                </c:pt>
                <c:pt idx="4">
                  <c:v>43616</c:v>
                </c:pt>
                <c:pt idx="5">
                  <c:v>43646</c:v>
                </c:pt>
                <c:pt idx="6">
                  <c:v>43738</c:v>
                </c:pt>
                <c:pt idx="7">
                  <c:v>43830</c:v>
                </c:pt>
                <c:pt idx="8">
                  <c:v>43921</c:v>
                </c:pt>
                <c:pt idx="9">
                  <c:v>43951</c:v>
                </c:pt>
                <c:pt idx="10">
                  <c:v>43982</c:v>
                </c:pt>
                <c:pt idx="11">
                  <c:v>44012</c:v>
                </c:pt>
                <c:pt idx="12">
                  <c:v>44104</c:v>
                </c:pt>
                <c:pt idx="13">
                  <c:v>44196</c:v>
                </c:pt>
                <c:pt idx="14">
                  <c:v>44286</c:v>
                </c:pt>
                <c:pt idx="15">
                  <c:v>44316</c:v>
                </c:pt>
                <c:pt idx="16">
                  <c:v>44347</c:v>
                </c:pt>
                <c:pt idx="17">
                  <c:v>44377</c:v>
                </c:pt>
              </c:numCache>
            </c:numRef>
          </c:cat>
          <c:val>
            <c:numRef>
              <c:f>'Newsletter chart'!$H$4:$H$21</c:f>
              <c:numCache>
                <c:formatCode>0.000</c:formatCode>
                <c:ptCount val="18"/>
                <c:pt idx="0">
                  <c:v>3.875</c:v>
                </c:pt>
                <c:pt idx="1">
                  <c:v>4.125</c:v>
                </c:pt>
                <c:pt idx="2">
                  <c:v>4.125</c:v>
                </c:pt>
                <c:pt idx="3">
                  <c:v>4.125</c:v>
                </c:pt>
                <c:pt idx="4">
                  <c:v>4.3129999999999997</c:v>
                </c:pt>
                <c:pt idx="5">
                  <c:v>4.3129999999999997</c:v>
                </c:pt>
                <c:pt idx="6">
                  <c:v>4.3129999999999997</c:v>
                </c:pt>
                <c:pt idx="7">
                  <c:v>4.25</c:v>
                </c:pt>
                <c:pt idx="8">
                  <c:v>4.25</c:v>
                </c:pt>
                <c:pt idx="9">
                  <c:v>4.25</c:v>
                </c:pt>
                <c:pt idx="10">
                  <c:v>4.25</c:v>
                </c:pt>
                <c:pt idx="11">
                  <c:v>4.25</c:v>
                </c:pt>
                <c:pt idx="12">
                  <c:v>4.25</c:v>
                </c:pt>
                <c:pt idx="13">
                  <c:v>2.88</c:v>
                </c:pt>
                <c:pt idx="14">
                  <c:v>2.88</c:v>
                </c:pt>
                <c:pt idx="15">
                  <c:v>2.88</c:v>
                </c:pt>
                <c:pt idx="16">
                  <c:v>2.95</c:v>
                </c:pt>
                <c:pt idx="17">
                  <c:v>2.95</c:v>
                </c:pt>
              </c:numCache>
            </c:numRef>
          </c:val>
          <c:smooth val="0"/>
          <c:extLst>
            <c:ext xmlns:c16="http://schemas.microsoft.com/office/drawing/2014/chart" uri="{C3380CC4-5D6E-409C-BE32-E72D297353CC}">
              <c16:uniqueId val="{00000001-4648-43C7-94F6-135660B0C20F}"/>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txPr>
          <a:bodyPr rot="0"/>
          <a:lstStyle/>
          <a:p>
            <a:pPr>
              <a:defRPr sz="800">
                <a:latin typeface="VIC" panose="00000500000000000000" pitchFamily="50" charset="0"/>
              </a:defRPr>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a:solidFill>
                <a:schemeClr val="bg1">
                  <a:lumMod val="75000"/>
                </a:schemeClr>
              </a:solidFill>
              <a:prstDash val="dash"/>
            </a:ln>
          </c:spPr>
        </c:majorGridlines>
        <c:numFmt formatCode="0.0" sourceLinked="0"/>
        <c:majorTickMark val="out"/>
        <c:minorTickMark val="none"/>
        <c:tickLblPos val="nextTo"/>
        <c:txPr>
          <a:bodyPr/>
          <a:lstStyle/>
          <a:p>
            <a:pPr>
              <a:defRPr sz="850">
                <a:latin typeface="VIC" panose="00000500000000000000" pitchFamily="50" charset="0"/>
              </a:defRPr>
            </a:pPr>
            <a:endParaRPr lang="en-US"/>
          </a:p>
        </c:txPr>
        <c:crossAx val="80713600"/>
        <c:crosses val="autoZero"/>
        <c:crossBetween val="between"/>
      </c:valAx>
    </c:plotArea>
    <c:legend>
      <c:legendPos val="b"/>
      <c:overlay val="0"/>
      <c:txPr>
        <a:bodyPr/>
        <a:lstStyle/>
        <a:p>
          <a:pPr>
            <a:defRPr sz="800">
              <a:latin typeface="VIC" panose="00000500000000000000" pitchFamily="50"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9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2.xml><?xml version="1.0" encoding="utf-8"?>
<ds:datastoreItem xmlns:ds="http://schemas.openxmlformats.org/officeDocument/2006/customXml" ds:itemID="{FEA63BC4-4A83-4795-BA08-907ABB6C03C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Fact sheet.dotm</Template>
  <TotalTime>14</TotalTime>
  <Pages>10</Pages>
  <Words>4214</Words>
  <Characters>24024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dc:title>
  <dc:creator>Deidre Steain (DTF)</dc:creator>
  <cp:lastModifiedBy>Deidre Steain (DTF)</cp:lastModifiedBy>
  <cp:revision>5</cp:revision>
  <cp:lastPrinted>2016-02-09T01:59:00Z</cp:lastPrinted>
  <dcterms:created xsi:type="dcterms:W3CDTF">2021-07-07T05:25:00Z</dcterms:created>
  <dcterms:modified xsi:type="dcterms:W3CDTF">2021-07-07T05:35:00Z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2021-07-07T05:35:03Z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
  </property>
  <property fmtid="{D5CDD505-2E9C-101B-9397-08002B2CF9AE}" pid="10" name="MSIP_Label_7158ebbd-6c5e-441f-bfc9-4eb8c11e3978_ContentBits">
    <vt:lpwstr>2</vt:lpwstr>
  </property>
</Properties>
</file>