
<file path=[Content_Types].xml><?xml version="1.0" encoding="utf-8"?>
<Types xmlns="http://schemas.openxmlformats.org/package/2006/content-types">
  <Default Extension="bin" ContentType="image/x-emf"/>
  <Default Extension="emf" ContentType="image/x-emf"/>
  <Default Extension="jfif" ContentType="image/jpeg"/>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bin" ContentType="image/png"/>
  <Override PartName="/word/media/image7.bin" ContentType="image/png"/>
  <Override PartName="/word/media/image8.bin" ContentType="image/png"/>
  <Override PartName="/word/media/image9.bin"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media/image41.bin" ContentType="image/png"/>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C0D158" w14:textId="22B53380" w:rsidR="00D97122" w:rsidRPr="00A935CE" w:rsidRDefault="00271CC9" w:rsidP="00F05CEF">
      <w:pPr>
        <w:pStyle w:val="CoverPageTitle"/>
        <w:spacing w:before="7320" w:line="264" w:lineRule="auto"/>
        <w:rPr>
          <w:color w:val="1A1919" w:themeColor="text1"/>
        </w:rPr>
      </w:pPr>
      <w:r w:rsidRPr="00A935CE">
        <w:rPr>
          <w:color w:val="1A1919" w:themeColor="text1"/>
        </w:rPr>
        <w:drawing>
          <wp:anchor distT="0" distB="0" distL="114300" distR="114300" simplePos="0" relativeHeight="251658253" behindDoc="1" locked="0" layoutInCell="1" allowOverlap="1" wp14:anchorId="6CFA69EE" wp14:editId="29893891">
            <wp:simplePos x="0" y="0"/>
            <wp:positionH relativeFrom="page">
              <wp:align>left</wp:align>
            </wp:positionH>
            <wp:positionV relativeFrom="page">
              <wp:align>top</wp:align>
            </wp:positionV>
            <wp:extent cx="7560000" cy="10691586"/>
            <wp:effectExtent l="0" t="0" r="317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1586"/>
                    </a:xfrm>
                    <a:prstGeom prst="rect">
                      <a:avLst/>
                    </a:prstGeom>
                  </pic:spPr>
                </pic:pic>
              </a:graphicData>
            </a:graphic>
            <wp14:sizeRelH relativeFrom="margin">
              <wp14:pctWidth>0</wp14:pctWidth>
            </wp14:sizeRelH>
            <wp14:sizeRelV relativeFrom="margin">
              <wp14:pctHeight>0</wp14:pctHeight>
            </wp14:sizeRelV>
          </wp:anchor>
        </w:drawing>
      </w:r>
      <w:r w:rsidR="001E416D" w:rsidRPr="00A935CE">
        <w:rPr>
          <w:color w:val="1A1919" w:themeColor="text1"/>
        </w:rPr>
        <w:drawing>
          <wp:anchor distT="0" distB="0" distL="114300" distR="114300" simplePos="0" relativeHeight="251658251" behindDoc="0" locked="0" layoutInCell="1" allowOverlap="1" wp14:anchorId="0CD74648" wp14:editId="22973CC7">
            <wp:simplePos x="0" y="0"/>
            <wp:positionH relativeFrom="page">
              <wp:posOffset>720090</wp:posOffset>
            </wp:positionH>
            <wp:positionV relativeFrom="page">
              <wp:align>top</wp:align>
            </wp:positionV>
            <wp:extent cx="1126800" cy="10731600"/>
            <wp:effectExtent l="0" t="0" r="0" b="0"/>
            <wp:wrapNone/>
            <wp:docPr id="2" name="Picture 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hidden="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6800" cy="10731600"/>
                    </a:xfrm>
                    <a:prstGeom prst="rect">
                      <a:avLst/>
                    </a:prstGeom>
                  </pic:spPr>
                </pic:pic>
              </a:graphicData>
            </a:graphic>
            <wp14:sizeRelH relativeFrom="margin">
              <wp14:pctWidth>0</wp14:pctWidth>
            </wp14:sizeRelH>
            <wp14:sizeRelV relativeFrom="margin">
              <wp14:pctHeight>0</wp14:pctHeight>
            </wp14:sizeRelV>
          </wp:anchor>
        </w:drawing>
      </w:r>
      <w:r w:rsidR="001E416D" w:rsidRPr="00A935CE">
        <w:rPr>
          <w:color w:val="1A1919" w:themeColor="text1"/>
        </w:rPr>
        <w:drawing>
          <wp:anchor distT="0" distB="0" distL="114300" distR="114300" simplePos="0" relativeHeight="251658250" behindDoc="0" locked="0" layoutInCell="1" allowOverlap="1" wp14:anchorId="2FC3D6EF" wp14:editId="246C22F4">
            <wp:simplePos x="0" y="0"/>
            <wp:positionH relativeFrom="page">
              <wp:posOffset>720090</wp:posOffset>
            </wp:positionH>
            <wp:positionV relativeFrom="page">
              <wp:align>top</wp:align>
            </wp:positionV>
            <wp:extent cx="1126800" cy="10760400"/>
            <wp:effectExtent l="0" t="0" r="0" b="3175"/>
            <wp:wrapNone/>
            <wp:docPr id="3" name="Picture 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hidden="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6800" cy="10760400"/>
                    </a:xfrm>
                    <a:prstGeom prst="rect">
                      <a:avLst/>
                    </a:prstGeom>
                  </pic:spPr>
                </pic:pic>
              </a:graphicData>
            </a:graphic>
            <wp14:sizeRelH relativeFrom="margin">
              <wp14:pctWidth>0</wp14:pctWidth>
            </wp14:sizeRelH>
            <wp14:sizeRelV relativeFrom="margin">
              <wp14:pctHeight>0</wp14:pctHeight>
            </wp14:sizeRelV>
          </wp:anchor>
        </w:drawing>
      </w:r>
      <w:r w:rsidR="00B54A70" w:rsidRPr="00A935CE">
        <w:rPr>
          <w:color w:val="1A1919" w:themeColor="text1"/>
        </w:rPr>
        <w:drawing>
          <wp:anchor distT="0" distB="0" distL="114300" distR="114300" simplePos="0" relativeHeight="251658249" behindDoc="0" locked="0" layoutInCell="1" allowOverlap="1" wp14:anchorId="745858DC" wp14:editId="6385BCD6">
            <wp:simplePos x="0" y="0"/>
            <wp:positionH relativeFrom="page">
              <wp:posOffset>720090</wp:posOffset>
            </wp:positionH>
            <wp:positionV relativeFrom="page">
              <wp:align>top</wp:align>
            </wp:positionV>
            <wp:extent cx="1126800" cy="10695600"/>
            <wp:effectExtent l="0" t="0" r="0" b="0"/>
            <wp:wrapNone/>
            <wp:docPr id="4" name="Picture 4"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hidden="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6800" cy="10695600"/>
                    </a:xfrm>
                    <a:prstGeom prst="rect">
                      <a:avLst/>
                    </a:prstGeom>
                  </pic:spPr>
                </pic:pic>
              </a:graphicData>
            </a:graphic>
            <wp14:sizeRelH relativeFrom="margin">
              <wp14:pctWidth>0</wp14:pctWidth>
            </wp14:sizeRelH>
            <wp14:sizeRelV relativeFrom="margin">
              <wp14:pctHeight>0</wp14:pctHeight>
            </wp14:sizeRelV>
          </wp:anchor>
        </w:drawing>
      </w:r>
      <w:r w:rsidR="00B54A70" w:rsidRPr="00A935CE">
        <w:rPr>
          <w:color w:val="1A1919" w:themeColor="text1"/>
        </w:rPr>
        <w:drawing>
          <wp:anchor distT="0" distB="0" distL="114300" distR="114300" simplePos="0" relativeHeight="251658247" behindDoc="0" locked="0" layoutInCell="1" allowOverlap="1" wp14:anchorId="0509EE7C" wp14:editId="1CAA418D">
            <wp:simplePos x="0" y="0"/>
            <wp:positionH relativeFrom="page">
              <wp:align>left</wp:align>
            </wp:positionH>
            <wp:positionV relativeFrom="page">
              <wp:align>top</wp:align>
            </wp:positionV>
            <wp:extent cx="6840000" cy="9936000"/>
            <wp:effectExtent l="0" t="0" r="0" b="8255"/>
            <wp:wrapNone/>
            <wp:docPr id="5" name="Picture 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hidden="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0000" cy="9936000"/>
                    </a:xfrm>
                    <a:prstGeom prst="rect">
                      <a:avLst/>
                    </a:prstGeom>
                  </pic:spPr>
                </pic:pic>
              </a:graphicData>
            </a:graphic>
            <wp14:sizeRelH relativeFrom="margin">
              <wp14:pctWidth>0</wp14:pctWidth>
            </wp14:sizeRelH>
            <wp14:sizeRelV relativeFrom="margin">
              <wp14:pctHeight>0</wp14:pctHeight>
            </wp14:sizeRelV>
          </wp:anchor>
        </w:drawing>
      </w:r>
      <w:r w:rsidR="00B54A70" w:rsidRPr="00A935CE">
        <w:rPr>
          <w:color w:val="1A1919" w:themeColor="text1"/>
        </w:rPr>
        <w:drawing>
          <wp:anchor distT="0" distB="0" distL="114300" distR="114300" simplePos="0" relativeHeight="251658246" behindDoc="0" locked="0" layoutInCell="1" allowOverlap="1" wp14:anchorId="73CD0213" wp14:editId="4AA16F9A">
            <wp:simplePos x="0" y="0"/>
            <wp:positionH relativeFrom="page">
              <wp:posOffset>771525</wp:posOffset>
            </wp:positionH>
            <wp:positionV relativeFrom="page">
              <wp:posOffset>771525</wp:posOffset>
            </wp:positionV>
            <wp:extent cx="5997575" cy="4283710"/>
            <wp:effectExtent l="0" t="0" r="3175" b="2540"/>
            <wp:wrapNone/>
            <wp:docPr id="6" name="Picture 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hidden="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5997575" cy="4283710"/>
                    </a:xfrm>
                    <a:prstGeom prst="rect">
                      <a:avLst/>
                    </a:prstGeom>
                  </pic:spPr>
                </pic:pic>
              </a:graphicData>
            </a:graphic>
            <wp14:sizeRelH relativeFrom="margin">
              <wp14:pctWidth>0</wp14:pctWidth>
            </wp14:sizeRelH>
            <wp14:sizeRelV relativeFrom="margin">
              <wp14:pctHeight>0</wp14:pctHeight>
            </wp14:sizeRelV>
          </wp:anchor>
        </w:drawing>
      </w:r>
      <w:r w:rsidR="00B54A70" w:rsidRPr="00A935CE">
        <w:rPr>
          <w:color w:val="1A1919" w:themeColor="text1"/>
        </w:rPr>
        <w:drawing>
          <wp:anchor distT="0" distB="0" distL="114300" distR="114300" simplePos="0" relativeHeight="251658245" behindDoc="1" locked="0" layoutInCell="1" allowOverlap="1" wp14:anchorId="0EAD023B" wp14:editId="157DD20F">
            <wp:simplePos x="0" y="0"/>
            <wp:positionH relativeFrom="page">
              <wp:posOffset>0</wp:posOffset>
            </wp:positionH>
            <wp:positionV relativeFrom="page">
              <wp:posOffset>0</wp:posOffset>
            </wp:positionV>
            <wp:extent cx="7560000" cy="10689736"/>
            <wp:effectExtent l="0" t="0" r="3175" b="0"/>
            <wp:wrapNone/>
            <wp:docPr id="7" name="Picture 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hidden="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10689736"/>
                    </a:xfrm>
                    <a:prstGeom prst="rect">
                      <a:avLst/>
                    </a:prstGeom>
                  </pic:spPr>
                </pic:pic>
              </a:graphicData>
            </a:graphic>
            <wp14:sizeRelH relativeFrom="margin">
              <wp14:pctWidth>0</wp14:pctWidth>
            </wp14:sizeRelH>
            <wp14:sizeRelV relativeFrom="margin">
              <wp14:pctHeight>0</wp14:pctHeight>
            </wp14:sizeRelV>
          </wp:anchor>
        </w:drawing>
      </w:r>
      <w:r w:rsidR="00B54A70" w:rsidRPr="00A935CE">
        <w:rPr>
          <w:color w:val="1A1919" w:themeColor="text1"/>
        </w:rPr>
        <w:drawing>
          <wp:anchor distT="0" distB="0" distL="114300" distR="114300" simplePos="0" relativeHeight="251658244" behindDoc="1" locked="0" layoutInCell="1" allowOverlap="1" wp14:anchorId="024884B1" wp14:editId="0AE14EB8">
            <wp:simplePos x="0" y="0"/>
            <wp:positionH relativeFrom="page">
              <wp:posOffset>0</wp:posOffset>
            </wp:positionH>
            <wp:positionV relativeFrom="page">
              <wp:posOffset>0</wp:posOffset>
            </wp:positionV>
            <wp:extent cx="7560000" cy="10689736"/>
            <wp:effectExtent l="0" t="0" r="3175" b="0"/>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0000" cy="10689736"/>
                    </a:xfrm>
                    <a:prstGeom prst="rect">
                      <a:avLst/>
                    </a:prstGeom>
                  </pic:spPr>
                </pic:pic>
              </a:graphicData>
            </a:graphic>
            <wp14:sizeRelH relativeFrom="margin">
              <wp14:pctWidth>0</wp14:pctWidth>
            </wp14:sizeRelH>
            <wp14:sizeRelV relativeFrom="margin">
              <wp14:pctHeight>0</wp14:pctHeight>
            </wp14:sizeRelV>
          </wp:anchor>
        </w:drawing>
      </w:r>
      <w:r w:rsidR="00B54A70" w:rsidRPr="00A935CE">
        <w:rPr>
          <w:color w:val="1A1919" w:themeColor="text1"/>
        </w:rPr>
        <w:drawing>
          <wp:anchor distT="0" distB="0" distL="114300" distR="114300" simplePos="0" relativeHeight="251658243" behindDoc="1" locked="0" layoutInCell="1" allowOverlap="1" wp14:anchorId="18897C65" wp14:editId="42DB430C">
            <wp:simplePos x="0" y="0"/>
            <wp:positionH relativeFrom="page">
              <wp:posOffset>0</wp:posOffset>
            </wp:positionH>
            <wp:positionV relativeFrom="page">
              <wp:posOffset>0</wp:posOffset>
            </wp:positionV>
            <wp:extent cx="7560000" cy="10688952"/>
            <wp:effectExtent l="0" t="0" r="3175" b="0"/>
            <wp:wrapNone/>
            <wp:docPr id="10" name="Picture 1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0000" cy="10688952"/>
                    </a:xfrm>
                    <a:prstGeom prst="rect">
                      <a:avLst/>
                    </a:prstGeom>
                  </pic:spPr>
                </pic:pic>
              </a:graphicData>
            </a:graphic>
            <wp14:sizeRelH relativeFrom="margin">
              <wp14:pctWidth>0</wp14:pctWidth>
            </wp14:sizeRelH>
            <wp14:sizeRelV relativeFrom="margin">
              <wp14:pctHeight>0</wp14:pctHeight>
            </wp14:sizeRelV>
          </wp:anchor>
        </w:drawing>
      </w:r>
      <w:r w:rsidR="0008678D" w:rsidRPr="00A935CE">
        <w:rPr>
          <w:color w:val="1A1919" w:themeColor="text1"/>
        </w:rPr>
        <w:t>Evaluation of the Living Learning Partnership Addressing Disadvantage</w:t>
      </w:r>
    </w:p>
    <w:p w14:paraId="772BF981" w14:textId="72F20F1D" w:rsidR="00833850" w:rsidRPr="0037519E" w:rsidRDefault="00005270" w:rsidP="0037519E">
      <w:pPr>
        <w:pStyle w:val="CoverPageSubtitle"/>
      </w:pPr>
      <w:r>
        <w:t>Interim</w:t>
      </w:r>
      <w:r w:rsidR="0008678D" w:rsidRPr="0037519E">
        <w:t xml:space="preserve"> Report</w:t>
      </w:r>
    </w:p>
    <w:p w14:paraId="6D0FB037" w14:textId="36B75C2B" w:rsidR="00833850" w:rsidRPr="0037519E" w:rsidRDefault="0008678D" w:rsidP="0037519E">
      <w:pPr>
        <w:pStyle w:val="CoverClient"/>
      </w:pPr>
      <w:r w:rsidRPr="0037519E">
        <w:t>Prepared for</w:t>
      </w:r>
      <w:r w:rsidR="00260C12" w:rsidRPr="0037519E">
        <w:t xml:space="preserve"> the Department of Treasury and Finance</w:t>
      </w:r>
    </w:p>
    <w:p w14:paraId="14AA56F7" w14:textId="0A6EB174" w:rsidR="00FB1AE7" w:rsidRPr="0037519E" w:rsidRDefault="00005270" w:rsidP="0037519E">
      <w:pPr>
        <w:pStyle w:val="CoverText"/>
        <w:sectPr w:rsidR="00FB1AE7" w:rsidRPr="0037519E" w:rsidSect="00F05CEF">
          <w:footerReference w:type="even" r:id="rId23"/>
          <w:headerReference w:type="first" r:id="rId24"/>
          <w:footerReference w:type="first" r:id="rId25"/>
          <w:pgSz w:w="11906" w:h="16838" w:code="9"/>
          <w:pgMar w:top="1134" w:right="2692" w:bottom="1134" w:left="1134" w:header="709" w:footer="284" w:gutter="0"/>
          <w:cols w:space="708"/>
          <w:docGrid w:linePitch="360"/>
        </w:sectPr>
      </w:pPr>
      <w:r>
        <w:t>May</w:t>
      </w:r>
      <w:r w:rsidR="00260C12" w:rsidRPr="0037519E">
        <w:t xml:space="preserve"> </w:t>
      </w:r>
      <w:r w:rsidR="00215979" w:rsidRPr="0037519E">
        <w:rPr>
          <w:noProof/>
        </w:rPr>
        <w:drawing>
          <wp:anchor distT="0" distB="0" distL="114300" distR="114300" simplePos="0" relativeHeight="251658252" behindDoc="0" locked="0" layoutInCell="1" allowOverlap="1" wp14:anchorId="626BEF83" wp14:editId="770A0544">
            <wp:simplePos x="0" y="0"/>
            <wp:positionH relativeFrom="page">
              <wp:align>right</wp:align>
            </wp:positionH>
            <wp:positionV relativeFrom="page">
              <wp:align>top</wp:align>
            </wp:positionV>
            <wp:extent cx="6840000" cy="3978000"/>
            <wp:effectExtent l="0" t="0" r="0" b="3810"/>
            <wp:wrapNone/>
            <wp:docPr id="11" name="Picture 1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40000" cy="3978000"/>
                    </a:xfrm>
                    <a:prstGeom prst="rect">
                      <a:avLst/>
                    </a:prstGeom>
                  </pic:spPr>
                </pic:pic>
              </a:graphicData>
            </a:graphic>
            <wp14:sizeRelH relativeFrom="margin">
              <wp14:pctWidth>0</wp14:pctWidth>
            </wp14:sizeRelH>
            <wp14:sizeRelV relativeFrom="margin">
              <wp14:pctHeight>0</wp14:pctHeight>
            </wp14:sizeRelV>
          </wp:anchor>
        </w:drawing>
      </w:r>
      <w:r w:rsidR="00B54A70" w:rsidRPr="0037519E">
        <w:rPr>
          <w:noProof/>
        </w:rPr>
        <w:drawing>
          <wp:anchor distT="0" distB="0" distL="114300" distR="114300" simplePos="0" relativeHeight="251658248" behindDoc="0" locked="0" layoutInCell="1" allowOverlap="1" wp14:anchorId="07386FB2" wp14:editId="5678F7B7">
            <wp:simplePos x="0" y="0"/>
            <wp:positionH relativeFrom="page">
              <wp:align>right</wp:align>
            </wp:positionH>
            <wp:positionV relativeFrom="page">
              <wp:align>top</wp:align>
            </wp:positionV>
            <wp:extent cx="6840000" cy="3981600"/>
            <wp:effectExtent l="0" t="0" r="0" b="0"/>
            <wp:wrapNone/>
            <wp:docPr id="13" name="Picture 1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40000" cy="3981600"/>
                    </a:xfrm>
                    <a:prstGeom prst="rect">
                      <a:avLst/>
                    </a:prstGeom>
                  </pic:spPr>
                </pic:pic>
              </a:graphicData>
            </a:graphic>
            <wp14:sizeRelH relativeFrom="margin">
              <wp14:pctWidth>0</wp14:pctWidth>
            </wp14:sizeRelH>
            <wp14:sizeRelV relativeFrom="margin">
              <wp14:pctHeight>0</wp14:pctHeight>
            </wp14:sizeRelV>
          </wp:anchor>
        </w:drawing>
      </w:r>
      <w:r>
        <w:t>2023</w:t>
      </w:r>
    </w:p>
    <w:p w14:paraId="65D6FBCC" w14:textId="7C6C185E" w:rsidR="00FB1AE7" w:rsidRPr="0037519E" w:rsidRDefault="00C72514" w:rsidP="0037519E">
      <w:pPr>
        <w:pStyle w:val="Stafflisttitle"/>
      </w:pPr>
      <w:r w:rsidRPr="0037519E">
        <w:t>Urbis staff responsible for this report were:</w:t>
      </w:r>
    </w:p>
    <w:p w14:paraId="24FDE1D8" w14:textId="2388F264" w:rsidR="00C72514" w:rsidRPr="0037519E" w:rsidRDefault="006E5830" w:rsidP="0037519E">
      <w:pPr>
        <w:pStyle w:val="StaffListtext"/>
      </w:pPr>
      <w:r w:rsidRPr="0037519E">
        <w:t>Director: Julian Thomas, Poppy Wise</w:t>
      </w:r>
    </w:p>
    <w:p w14:paraId="244F4CDD" w14:textId="3893544B" w:rsidR="006E5830" w:rsidRPr="0037519E" w:rsidRDefault="006E5830" w:rsidP="0037519E">
      <w:pPr>
        <w:pStyle w:val="StaffListtext"/>
      </w:pPr>
      <w:r w:rsidRPr="0037519E">
        <w:t>Associate Director: Christina Bagot</w:t>
      </w:r>
    </w:p>
    <w:p w14:paraId="47919AE1" w14:textId="024D8D81" w:rsidR="006E5830" w:rsidRPr="0037519E" w:rsidRDefault="004856CD" w:rsidP="0037519E">
      <w:pPr>
        <w:pStyle w:val="StaffListtext"/>
      </w:pPr>
      <w:r>
        <w:t>Consultant</w:t>
      </w:r>
      <w:r w:rsidR="006E5830" w:rsidRPr="0037519E">
        <w:t>: Madeleine Ridgeway</w:t>
      </w:r>
    </w:p>
    <w:p w14:paraId="69394CD3" w14:textId="3F3296CE" w:rsidR="006E5830" w:rsidRPr="0037519E" w:rsidRDefault="006E5830" w:rsidP="0037519E">
      <w:pPr>
        <w:pStyle w:val="StaffListtext"/>
      </w:pPr>
      <w:r w:rsidRPr="0037519E">
        <w:t>Project Code: P00</w:t>
      </w:r>
      <w:r w:rsidR="00AF194B" w:rsidRPr="0037519E">
        <w:t>33292</w:t>
      </w:r>
    </w:p>
    <w:p w14:paraId="15833A14" w14:textId="506074CA" w:rsidR="00AF194B" w:rsidRPr="0037519E" w:rsidRDefault="00AF194B" w:rsidP="0037519E">
      <w:pPr>
        <w:pStyle w:val="StaffListtext"/>
      </w:pPr>
      <w:r w:rsidRPr="0037519E">
        <w:t>Report Number: Final</w:t>
      </w:r>
    </w:p>
    <w:p w14:paraId="1A1A0F45" w14:textId="77777777" w:rsidR="00AF194B" w:rsidRPr="00081AFA" w:rsidRDefault="00AF194B" w:rsidP="00E61F1D">
      <w:pPr>
        <w:pBdr>
          <w:top w:val="single" w:sz="36" w:space="4" w:color="auto"/>
        </w:pBdr>
        <w:spacing w:before="1440"/>
        <w:ind w:right="5385"/>
        <w:rPr>
          <w:b/>
          <w:bCs/>
          <w:sz w:val="22"/>
          <w:szCs w:val="22"/>
        </w:rPr>
      </w:pPr>
      <w:r w:rsidRPr="00081AFA">
        <w:rPr>
          <w:b/>
          <w:bCs/>
          <w:sz w:val="22"/>
          <w:szCs w:val="22"/>
        </w:rPr>
        <w:t xml:space="preserve">Urbis acknowledges the important contribution that Aboriginal and Torres Strait Islander people make in creating a strong and vibrant Australian society. </w:t>
      </w:r>
    </w:p>
    <w:p w14:paraId="6E9F367D" w14:textId="77777777" w:rsidR="00AD2C4A" w:rsidRDefault="00AF194B" w:rsidP="00E61F1D">
      <w:pPr>
        <w:ind w:right="5385"/>
        <w:rPr>
          <w:b/>
          <w:bCs/>
          <w:sz w:val="22"/>
          <w:szCs w:val="22"/>
        </w:rPr>
      </w:pPr>
      <w:r w:rsidRPr="00081AFA">
        <w:rPr>
          <w:b/>
          <w:bCs/>
          <w:sz w:val="22"/>
          <w:szCs w:val="22"/>
        </w:rPr>
        <w:t>We acknowledge</w:t>
      </w:r>
      <w:r>
        <w:rPr>
          <w:b/>
          <w:bCs/>
          <w:sz w:val="22"/>
          <w:szCs w:val="22"/>
        </w:rPr>
        <w:t>,</w:t>
      </w:r>
      <w:r w:rsidRPr="00081AFA">
        <w:rPr>
          <w:b/>
          <w:bCs/>
          <w:sz w:val="22"/>
          <w:szCs w:val="22"/>
        </w:rPr>
        <w:t xml:space="preserve"> in each of our offices</w:t>
      </w:r>
      <w:r>
        <w:rPr>
          <w:b/>
          <w:bCs/>
          <w:sz w:val="22"/>
          <w:szCs w:val="22"/>
        </w:rPr>
        <w:t xml:space="preserve">, </w:t>
      </w:r>
      <w:r w:rsidRPr="00081AFA">
        <w:rPr>
          <w:b/>
          <w:bCs/>
          <w:sz w:val="22"/>
          <w:szCs w:val="22"/>
        </w:rPr>
        <w:t>the Traditional Owners on whose land we stand.</w:t>
      </w:r>
    </w:p>
    <w:p w14:paraId="22444CD7" w14:textId="77777777" w:rsidR="004B14EF" w:rsidRDefault="004B14EF" w:rsidP="00DC2C09">
      <w:pPr>
        <w:spacing w:before="4320"/>
      </w:pPr>
      <w:r>
        <w:t xml:space="preserve">All information supplied to Urbis </w:t>
      </w:r>
      <w:proofErr w:type="gramStart"/>
      <w:r>
        <w:t>in order to</w:t>
      </w:r>
      <w:proofErr w:type="gramEnd"/>
      <w:r>
        <w:t xml:space="preserve"> conduct this research has been treated in the strictest confidence. </w:t>
      </w:r>
    </w:p>
    <w:p w14:paraId="3144A242" w14:textId="77777777" w:rsidR="004B14EF" w:rsidRDefault="004B14EF" w:rsidP="004B14EF">
      <w:r>
        <w:t xml:space="preserve">It shall only be used in this context and shall not be made available to third parties without client authorisation. </w:t>
      </w:r>
    </w:p>
    <w:p w14:paraId="2AD8C721" w14:textId="77777777" w:rsidR="004A03A2" w:rsidRDefault="004B14EF" w:rsidP="004B14EF">
      <w:r>
        <w:t>Confidential information has been stored securely and data provided by respondents, as well as their identity, has been treated in the strictest confidence and all assurance given to respondents have been and shall be fulfilled.</w:t>
      </w:r>
    </w:p>
    <w:p w14:paraId="60FC5F54" w14:textId="77777777" w:rsidR="004A03A2" w:rsidRDefault="004A03A2" w:rsidP="004A03A2">
      <w:pPr>
        <w:spacing w:before="480"/>
      </w:pPr>
      <w:r>
        <w:t>© Urbis Pty Ltd</w:t>
      </w:r>
    </w:p>
    <w:p w14:paraId="41A1FD6A" w14:textId="77777777" w:rsidR="004A03A2" w:rsidRDefault="004A03A2" w:rsidP="004A03A2">
      <w:r>
        <w:t>50 105 256 228</w:t>
      </w:r>
    </w:p>
    <w:p w14:paraId="2DF3B813" w14:textId="77777777" w:rsidR="004A03A2" w:rsidRDefault="004A03A2" w:rsidP="004A03A2">
      <w:pPr>
        <w:spacing w:before="480"/>
      </w:pPr>
      <w:r>
        <w:t>All Rights Reserved. No material may be reproduced without prior permission.</w:t>
      </w:r>
    </w:p>
    <w:p w14:paraId="0D8B2312" w14:textId="77777777" w:rsidR="004A03A2" w:rsidRDefault="004A03A2" w:rsidP="004A03A2">
      <w:r>
        <w:t>You must read the important disclaimer appearing within the body of this report.</w:t>
      </w:r>
    </w:p>
    <w:p w14:paraId="29F561D1" w14:textId="342C0E1B" w:rsidR="00194009" w:rsidRPr="00414308" w:rsidRDefault="004A03A2" w:rsidP="004A03A2">
      <w:r>
        <w:t>urbis.com.au</w:t>
      </w:r>
      <w:r w:rsidR="00194009" w:rsidRPr="00414308">
        <w:br w:type="page"/>
      </w:r>
    </w:p>
    <w:sdt>
      <w:sdtPr>
        <w:id w:val="-618996640"/>
        <w:placeholder>
          <w:docPart w:val="7EBB242F2D9E432A8C490B14330D7229"/>
        </w:placeholder>
      </w:sdtPr>
      <w:sdtEndPr/>
      <w:sdtContent>
        <w:p w14:paraId="45B651FD" w14:textId="54FD6599" w:rsidR="00224A88" w:rsidRDefault="00DC2C09" w:rsidP="00DC2C09">
          <w:pPr>
            <w:pStyle w:val="TOCHeading"/>
          </w:pPr>
          <w:r w:rsidRPr="00DC2C09">
            <w:t>Contents</w:t>
          </w:r>
        </w:p>
      </w:sdtContent>
    </w:sdt>
    <w:sdt>
      <w:sdtPr>
        <w:id w:val="123350318"/>
        <w:docPartObj>
          <w:docPartGallery w:val="Table of Contents"/>
          <w:docPartUnique/>
        </w:docPartObj>
      </w:sdtPr>
      <w:sdtEndPr/>
      <w:sdtContent>
        <w:p w14:paraId="1185B532" w14:textId="620B3EDE" w:rsidR="00DB2642" w:rsidRDefault="0045724D">
          <w:pPr>
            <w:pStyle w:val="TOC1"/>
            <w:rPr>
              <w:rFonts w:asciiTheme="minorHAnsi" w:hAnsiTheme="minorHAnsi" w:cstheme="minorBidi"/>
              <w:b w:val="0"/>
              <w:bCs w:val="0"/>
              <w:noProof/>
              <w:color w:val="auto"/>
              <w:kern w:val="2"/>
              <w:sz w:val="22"/>
              <w:szCs w:val="22"/>
              <w:lang w:val="en-AU" w:eastAsia="en-AU"/>
              <w14:ligatures w14:val="standardContextual"/>
            </w:rPr>
          </w:pPr>
          <w:r>
            <w:fldChar w:fldCharType="begin"/>
          </w:r>
          <w:r>
            <w:instrText xml:space="preserve"> TOC \h \z \t "Heading 1,1,Heading 2,2,Head1,1" </w:instrText>
          </w:r>
          <w:r>
            <w:fldChar w:fldCharType="separate"/>
          </w:r>
          <w:hyperlink w:anchor="_Toc150431706" w:history="1">
            <w:r w:rsidR="00DB2642" w:rsidRPr="00417990">
              <w:rPr>
                <w:rStyle w:val="Hyperlink"/>
                <w:rFonts w:eastAsia="Flama Cond Bold"/>
                <w:noProof/>
              </w:rPr>
              <w:t>Executive summary</w:t>
            </w:r>
            <w:r w:rsidR="00DB2642">
              <w:rPr>
                <w:noProof/>
                <w:webHidden/>
              </w:rPr>
              <w:tab/>
            </w:r>
            <w:r w:rsidR="00DB2642">
              <w:rPr>
                <w:noProof/>
                <w:webHidden/>
              </w:rPr>
              <w:fldChar w:fldCharType="begin"/>
            </w:r>
            <w:r w:rsidR="00DB2642">
              <w:rPr>
                <w:noProof/>
                <w:webHidden/>
              </w:rPr>
              <w:instrText xml:space="preserve"> PAGEREF _Toc150431706 \h </w:instrText>
            </w:r>
            <w:r w:rsidR="00DB2642">
              <w:rPr>
                <w:noProof/>
                <w:webHidden/>
              </w:rPr>
            </w:r>
            <w:r w:rsidR="00DB2642">
              <w:rPr>
                <w:noProof/>
                <w:webHidden/>
              </w:rPr>
              <w:fldChar w:fldCharType="separate"/>
            </w:r>
            <w:r w:rsidR="00DB2642">
              <w:rPr>
                <w:noProof/>
                <w:webHidden/>
              </w:rPr>
              <w:t>1</w:t>
            </w:r>
            <w:r w:rsidR="00DB2642">
              <w:rPr>
                <w:noProof/>
                <w:webHidden/>
              </w:rPr>
              <w:fldChar w:fldCharType="end"/>
            </w:r>
          </w:hyperlink>
        </w:p>
        <w:p w14:paraId="5184F077" w14:textId="3FBC3620" w:rsidR="00DB2642" w:rsidRDefault="002C44DE">
          <w:pPr>
            <w:pStyle w:val="TOC1"/>
            <w:rPr>
              <w:rFonts w:asciiTheme="minorHAnsi" w:hAnsiTheme="minorHAnsi" w:cstheme="minorBidi"/>
              <w:b w:val="0"/>
              <w:bCs w:val="0"/>
              <w:noProof/>
              <w:color w:val="auto"/>
              <w:kern w:val="2"/>
              <w:sz w:val="22"/>
              <w:szCs w:val="22"/>
              <w:lang w:val="en-AU" w:eastAsia="en-AU"/>
              <w14:ligatures w14:val="standardContextual"/>
            </w:rPr>
          </w:pPr>
          <w:hyperlink w:anchor="_Toc150431707" w:history="1">
            <w:r w:rsidR="00DB2642" w:rsidRPr="00417990">
              <w:rPr>
                <w:rStyle w:val="Hyperlink"/>
                <w:rFonts w:cstheme="majorHAnsi"/>
                <w:noProof/>
              </w:rPr>
              <w:t>1.</w:t>
            </w:r>
            <w:r w:rsidR="00DB2642">
              <w:rPr>
                <w:rFonts w:asciiTheme="minorHAnsi" w:hAnsiTheme="minorHAnsi" w:cstheme="minorBidi"/>
                <w:b w:val="0"/>
                <w:bCs w:val="0"/>
                <w:noProof/>
                <w:color w:val="auto"/>
                <w:kern w:val="2"/>
                <w:sz w:val="22"/>
                <w:szCs w:val="22"/>
                <w:lang w:val="en-AU" w:eastAsia="en-AU"/>
                <w14:ligatures w14:val="standardContextual"/>
              </w:rPr>
              <w:tab/>
            </w:r>
            <w:r w:rsidR="00DB2642" w:rsidRPr="00417990">
              <w:rPr>
                <w:rStyle w:val="Hyperlink"/>
                <w:noProof/>
              </w:rPr>
              <w:t>Introduction</w:t>
            </w:r>
            <w:r w:rsidR="00DB2642">
              <w:rPr>
                <w:noProof/>
                <w:webHidden/>
              </w:rPr>
              <w:tab/>
            </w:r>
            <w:r w:rsidR="00DB2642">
              <w:rPr>
                <w:noProof/>
                <w:webHidden/>
              </w:rPr>
              <w:fldChar w:fldCharType="begin"/>
            </w:r>
            <w:r w:rsidR="00DB2642">
              <w:rPr>
                <w:noProof/>
                <w:webHidden/>
              </w:rPr>
              <w:instrText xml:space="preserve"> PAGEREF _Toc150431707 \h </w:instrText>
            </w:r>
            <w:r w:rsidR="00DB2642">
              <w:rPr>
                <w:noProof/>
                <w:webHidden/>
              </w:rPr>
            </w:r>
            <w:r w:rsidR="00DB2642">
              <w:rPr>
                <w:noProof/>
                <w:webHidden/>
              </w:rPr>
              <w:fldChar w:fldCharType="separate"/>
            </w:r>
            <w:r w:rsidR="00DB2642">
              <w:rPr>
                <w:noProof/>
                <w:webHidden/>
              </w:rPr>
              <w:t>5</w:t>
            </w:r>
            <w:r w:rsidR="00DB2642">
              <w:rPr>
                <w:noProof/>
                <w:webHidden/>
              </w:rPr>
              <w:fldChar w:fldCharType="end"/>
            </w:r>
          </w:hyperlink>
        </w:p>
        <w:p w14:paraId="7409F2FF" w14:textId="72B60DB9"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08" w:history="1">
            <w:r w:rsidR="00DB2642" w:rsidRPr="00417990">
              <w:rPr>
                <w:rStyle w:val="Hyperlink"/>
                <w:rFonts w:cstheme="majorHAnsi"/>
                <w:bCs/>
                <w:noProof/>
              </w:rPr>
              <w:t>1.1.</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Evaluation context</w:t>
            </w:r>
            <w:r w:rsidR="00DB2642">
              <w:rPr>
                <w:noProof/>
                <w:webHidden/>
              </w:rPr>
              <w:tab/>
            </w:r>
            <w:r w:rsidR="00DB2642">
              <w:rPr>
                <w:noProof/>
                <w:webHidden/>
              </w:rPr>
              <w:fldChar w:fldCharType="begin"/>
            </w:r>
            <w:r w:rsidR="00DB2642">
              <w:rPr>
                <w:noProof/>
                <w:webHidden/>
              </w:rPr>
              <w:instrText xml:space="preserve"> PAGEREF _Toc150431708 \h </w:instrText>
            </w:r>
            <w:r w:rsidR="00DB2642">
              <w:rPr>
                <w:noProof/>
                <w:webHidden/>
              </w:rPr>
            </w:r>
            <w:r w:rsidR="00DB2642">
              <w:rPr>
                <w:noProof/>
                <w:webHidden/>
              </w:rPr>
              <w:fldChar w:fldCharType="separate"/>
            </w:r>
            <w:r w:rsidR="00DB2642">
              <w:rPr>
                <w:noProof/>
                <w:webHidden/>
              </w:rPr>
              <w:t>5</w:t>
            </w:r>
            <w:r w:rsidR="00DB2642">
              <w:rPr>
                <w:noProof/>
                <w:webHidden/>
              </w:rPr>
              <w:fldChar w:fldCharType="end"/>
            </w:r>
          </w:hyperlink>
        </w:p>
        <w:p w14:paraId="3CBC24D0" w14:textId="6308D43C"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09" w:history="1">
            <w:r w:rsidR="00DB2642" w:rsidRPr="00417990">
              <w:rPr>
                <w:rStyle w:val="Hyperlink"/>
                <w:rFonts w:cstheme="majorHAnsi"/>
                <w:bCs/>
                <w:noProof/>
              </w:rPr>
              <w:t>1.2.</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Methodology</w:t>
            </w:r>
            <w:r w:rsidR="00DB2642">
              <w:rPr>
                <w:noProof/>
                <w:webHidden/>
              </w:rPr>
              <w:tab/>
            </w:r>
            <w:r w:rsidR="00DB2642">
              <w:rPr>
                <w:noProof/>
                <w:webHidden/>
              </w:rPr>
              <w:fldChar w:fldCharType="begin"/>
            </w:r>
            <w:r w:rsidR="00DB2642">
              <w:rPr>
                <w:noProof/>
                <w:webHidden/>
              </w:rPr>
              <w:instrText xml:space="preserve"> PAGEREF _Toc150431709 \h </w:instrText>
            </w:r>
            <w:r w:rsidR="00DB2642">
              <w:rPr>
                <w:noProof/>
                <w:webHidden/>
              </w:rPr>
            </w:r>
            <w:r w:rsidR="00DB2642">
              <w:rPr>
                <w:noProof/>
                <w:webHidden/>
              </w:rPr>
              <w:fldChar w:fldCharType="separate"/>
            </w:r>
            <w:r w:rsidR="00DB2642">
              <w:rPr>
                <w:noProof/>
                <w:webHidden/>
              </w:rPr>
              <w:t>5</w:t>
            </w:r>
            <w:r w:rsidR="00DB2642">
              <w:rPr>
                <w:noProof/>
                <w:webHidden/>
              </w:rPr>
              <w:fldChar w:fldCharType="end"/>
            </w:r>
          </w:hyperlink>
        </w:p>
        <w:p w14:paraId="18DD02ED" w14:textId="138BE024" w:rsidR="00DB2642" w:rsidRDefault="002C44DE">
          <w:pPr>
            <w:pStyle w:val="TOC1"/>
            <w:rPr>
              <w:rFonts w:asciiTheme="minorHAnsi" w:hAnsiTheme="minorHAnsi" w:cstheme="minorBidi"/>
              <w:b w:val="0"/>
              <w:bCs w:val="0"/>
              <w:noProof/>
              <w:color w:val="auto"/>
              <w:kern w:val="2"/>
              <w:sz w:val="22"/>
              <w:szCs w:val="22"/>
              <w:lang w:val="en-AU" w:eastAsia="en-AU"/>
              <w14:ligatures w14:val="standardContextual"/>
            </w:rPr>
          </w:pPr>
          <w:hyperlink w:anchor="_Toc150431710" w:history="1">
            <w:r w:rsidR="00DB2642" w:rsidRPr="00417990">
              <w:rPr>
                <w:rStyle w:val="Hyperlink"/>
                <w:rFonts w:cstheme="majorHAnsi"/>
                <w:noProof/>
              </w:rPr>
              <w:t>2.</w:t>
            </w:r>
            <w:r w:rsidR="00DB2642">
              <w:rPr>
                <w:rFonts w:asciiTheme="minorHAnsi" w:hAnsiTheme="minorHAnsi" w:cstheme="minorBidi"/>
                <w:b w:val="0"/>
                <w:bCs w:val="0"/>
                <w:noProof/>
                <w:color w:val="auto"/>
                <w:kern w:val="2"/>
                <w:sz w:val="22"/>
                <w:szCs w:val="22"/>
                <w:lang w:val="en-AU" w:eastAsia="en-AU"/>
                <w14:ligatures w14:val="standardContextual"/>
              </w:rPr>
              <w:tab/>
            </w:r>
            <w:r w:rsidR="00DB2642" w:rsidRPr="00417990">
              <w:rPr>
                <w:rStyle w:val="Hyperlink"/>
                <w:noProof/>
              </w:rPr>
              <w:t>The Living Learning Program</w:t>
            </w:r>
            <w:r w:rsidR="00DB2642">
              <w:rPr>
                <w:noProof/>
                <w:webHidden/>
              </w:rPr>
              <w:tab/>
            </w:r>
            <w:r w:rsidR="00DB2642">
              <w:rPr>
                <w:noProof/>
                <w:webHidden/>
              </w:rPr>
              <w:fldChar w:fldCharType="begin"/>
            </w:r>
            <w:r w:rsidR="00DB2642">
              <w:rPr>
                <w:noProof/>
                <w:webHidden/>
              </w:rPr>
              <w:instrText xml:space="preserve"> PAGEREF _Toc150431710 \h </w:instrText>
            </w:r>
            <w:r w:rsidR="00DB2642">
              <w:rPr>
                <w:noProof/>
                <w:webHidden/>
              </w:rPr>
            </w:r>
            <w:r w:rsidR="00DB2642">
              <w:rPr>
                <w:noProof/>
                <w:webHidden/>
              </w:rPr>
              <w:fldChar w:fldCharType="separate"/>
            </w:r>
            <w:r w:rsidR="00DB2642">
              <w:rPr>
                <w:noProof/>
                <w:webHidden/>
              </w:rPr>
              <w:t>10</w:t>
            </w:r>
            <w:r w:rsidR="00DB2642">
              <w:rPr>
                <w:noProof/>
                <w:webHidden/>
              </w:rPr>
              <w:fldChar w:fldCharType="end"/>
            </w:r>
          </w:hyperlink>
        </w:p>
        <w:p w14:paraId="71C5FCE3" w14:textId="21FC9BD1"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11" w:history="1">
            <w:r w:rsidR="00DB2642" w:rsidRPr="00417990">
              <w:rPr>
                <w:rStyle w:val="Hyperlink"/>
                <w:rFonts w:cstheme="majorHAnsi"/>
                <w:bCs/>
                <w:noProof/>
              </w:rPr>
              <w:t>2.1.</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Eligibility, referrals and intake</w:t>
            </w:r>
            <w:r w:rsidR="00DB2642">
              <w:rPr>
                <w:noProof/>
                <w:webHidden/>
              </w:rPr>
              <w:tab/>
            </w:r>
            <w:r w:rsidR="00DB2642">
              <w:rPr>
                <w:noProof/>
                <w:webHidden/>
              </w:rPr>
              <w:fldChar w:fldCharType="begin"/>
            </w:r>
            <w:r w:rsidR="00DB2642">
              <w:rPr>
                <w:noProof/>
                <w:webHidden/>
              </w:rPr>
              <w:instrText xml:space="preserve"> PAGEREF _Toc150431711 \h </w:instrText>
            </w:r>
            <w:r w:rsidR="00DB2642">
              <w:rPr>
                <w:noProof/>
                <w:webHidden/>
              </w:rPr>
            </w:r>
            <w:r w:rsidR="00DB2642">
              <w:rPr>
                <w:noProof/>
                <w:webHidden/>
              </w:rPr>
              <w:fldChar w:fldCharType="separate"/>
            </w:r>
            <w:r w:rsidR="00DB2642">
              <w:rPr>
                <w:noProof/>
                <w:webHidden/>
              </w:rPr>
              <w:t>11</w:t>
            </w:r>
            <w:r w:rsidR="00DB2642">
              <w:rPr>
                <w:noProof/>
                <w:webHidden/>
              </w:rPr>
              <w:fldChar w:fldCharType="end"/>
            </w:r>
          </w:hyperlink>
        </w:p>
        <w:p w14:paraId="5383728C" w14:textId="256FB667"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12" w:history="1">
            <w:r w:rsidR="00DB2642" w:rsidRPr="00417990">
              <w:rPr>
                <w:rStyle w:val="Hyperlink"/>
                <w:rFonts w:cstheme="majorHAnsi"/>
                <w:bCs/>
                <w:noProof/>
              </w:rPr>
              <w:t>2.2.</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Program delivery</w:t>
            </w:r>
            <w:r w:rsidR="00DB2642">
              <w:rPr>
                <w:noProof/>
                <w:webHidden/>
              </w:rPr>
              <w:tab/>
            </w:r>
            <w:r w:rsidR="00DB2642">
              <w:rPr>
                <w:noProof/>
                <w:webHidden/>
              </w:rPr>
              <w:fldChar w:fldCharType="begin"/>
            </w:r>
            <w:r w:rsidR="00DB2642">
              <w:rPr>
                <w:noProof/>
                <w:webHidden/>
              </w:rPr>
              <w:instrText xml:space="preserve"> PAGEREF _Toc150431712 \h </w:instrText>
            </w:r>
            <w:r w:rsidR="00DB2642">
              <w:rPr>
                <w:noProof/>
                <w:webHidden/>
              </w:rPr>
            </w:r>
            <w:r w:rsidR="00DB2642">
              <w:rPr>
                <w:noProof/>
                <w:webHidden/>
              </w:rPr>
              <w:fldChar w:fldCharType="separate"/>
            </w:r>
            <w:r w:rsidR="00DB2642">
              <w:rPr>
                <w:noProof/>
                <w:webHidden/>
              </w:rPr>
              <w:t>12</w:t>
            </w:r>
            <w:r w:rsidR="00DB2642">
              <w:rPr>
                <w:noProof/>
                <w:webHidden/>
              </w:rPr>
              <w:fldChar w:fldCharType="end"/>
            </w:r>
          </w:hyperlink>
        </w:p>
        <w:p w14:paraId="74CE35DB" w14:textId="0CC02C5D"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13" w:history="1">
            <w:r w:rsidR="00DB2642" w:rsidRPr="00417990">
              <w:rPr>
                <w:rStyle w:val="Hyperlink"/>
                <w:rFonts w:cstheme="majorHAnsi"/>
                <w:bCs/>
                <w:noProof/>
              </w:rPr>
              <w:t>2.3.</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Location and resourcing</w:t>
            </w:r>
            <w:r w:rsidR="00DB2642">
              <w:rPr>
                <w:noProof/>
                <w:webHidden/>
              </w:rPr>
              <w:tab/>
            </w:r>
            <w:r w:rsidR="00DB2642">
              <w:rPr>
                <w:noProof/>
                <w:webHidden/>
              </w:rPr>
              <w:fldChar w:fldCharType="begin"/>
            </w:r>
            <w:r w:rsidR="00DB2642">
              <w:rPr>
                <w:noProof/>
                <w:webHidden/>
              </w:rPr>
              <w:instrText xml:space="preserve"> PAGEREF _Toc150431713 \h </w:instrText>
            </w:r>
            <w:r w:rsidR="00DB2642">
              <w:rPr>
                <w:noProof/>
                <w:webHidden/>
              </w:rPr>
            </w:r>
            <w:r w:rsidR="00DB2642">
              <w:rPr>
                <w:noProof/>
                <w:webHidden/>
              </w:rPr>
              <w:fldChar w:fldCharType="separate"/>
            </w:r>
            <w:r w:rsidR="00DB2642">
              <w:rPr>
                <w:noProof/>
                <w:webHidden/>
              </w:rPr>
              <w:t>15</w:t>
            </w:r>
            <w:r w:rsidR="00DB2642">
              <w:rPr>
                <w:noProof/>
                <w:webHidden/>
              </w:rPr>
              <w:fldChar w:fldCharType="end"/>
            </w:r>
          </w:hyperlink>
        </w:p>
        <w:p w14:paraId="25F4F9F6" w14:textId="4F7D9FCA" w:rsidR="00DB2642" w:rsidRDefault="002C44DE">
          <w:pPr>
            <w:pStyle w:val="TOC1"/>
            <w:rPr>
              <w:rFonts w:asciiTheme="minorHAnsi" w:hAnsiTheme="minorHAnsi" w:cstheme="minorBidi"/>
              <w:b w:val="0"/>
              <w:bCs w:val="0"/>
              <w:noProof/>
              <w:color w:val="auto"/>
              <w:kern w:val="2"/>
              <w:sz w:val="22"/>
              <w:szCs w:val="22"/>
              <w:lang w:val="en-AU" w:eastAsia="en-AU"/>
              <w14:ligatures w14:val="standardContextual"/>
            </w:rPr>
          </w:pPr>
          <w:hyperlink w:anchor="_Toc150431714" w:history="1">
            <w:r w:rsidR="00DB2642" w:rsidRPr="00417990">
              <w:rPr>
                <w:rStyle w:val="Hyperlink"/>
                <w:rFonts w:cstheme="majorHAnsi"/>
                <w:noProof/>
              </w:rPr>
              <w:t>3.</w:t>
            </w:r>
            <w:r w:rsidR="00DB2642">
              <w:rPr>
                <w:rFonts w:asciiTheme="minorHAnsi" w:hAnsiTheme="minorHAnsi" w:cstheme="minorBidi"/>
                <w:b w:val="0"/>
                <w:bCs w:val="0"/>
                <w:noProof/>
                <w:color w:val="auto"/>
                <w:kern w:val="2"/>
                <w:sz w:val="22"/>
                <w:szCs w:val="22"/>
                <w:lang w:val="en-AU" w:eastAsia="en-AU"/>
                <w14:ligatures w14:val="standardContextual"/>
              </w:rPr>
              <w:tab/>
            </w:r>
            <w:r w:rsidR="00DB2642" w:rsidRPr="00417990">
              <w:rPr>
                <w:rStyle w:val="Hyperlink"/>
                <w:noProof/>
              </w:rPr>
              <w:t>Program implementation</w:t>
            </w:r>
            <w:r w:rsidR="00DB2642">
              <w:rPr>
                <w:noProof/>
                <w:webHidden/>
              </w:rPr>
              <w:tab/>
            </w:r>
            <w:r w:rsidR="00DB2642">
              <w:rPr>
                <w:noProof/>
                <w:webHidden/>
              </w:rPr>
              <w:fldChar w:fldCharType="begin"/>
            </w:r>
            <w:r w:rsidR="00DB2642">
              <w:rPr>
                <w:noProof/>
                <w:webHidden/>
              </w:rPr>
              <w:instrText xml:space="preserve"> PAGEREF _Toc150431714 \h </w:instrText>
            </w:r>
            <w:r w:rsidR="00DB2642">
              <w:rPr>
                <w:noProof/>
                <w:webHidden/>
              </w:rPr>
            </w:r>
            <w:r w:rsidR="00DB2642">
              <w:rPr>
                <w:noProof/>
                <w:webHidden/>
              </w:rPr>
              <w:fldChar w:fldCharType="separate"/>
            </w:r>
            <w:r w:rsidR="00DB2642">
              <w:rPr>
                <w:noProof/>
                <w:webHidden/>
              </w:rPr>
              <w:t>16</w:t>
            </w:r>
            <w:r w:rsidR="00DB2642">
              <w:rPr>
                <w:noProof/>
                <w:webHidden/>
              </w:rPr>
              <w:fldChar w:fldCharType="end"/>
            </w:r>
          </w:hyperlink>
        </w:p>
        <w:p w14:paraId="42261F52" w14:textId="3F9CBD25"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15" w:history="1">
            <w:r w:rsidR="00DB2642" w:rsidRPr="00417990">
              <w:rPr>
                <w:rStyle w:val="Hyperlink"/>
                <w:rFonts w:cstheme="majorHAnsi"/>
                <w:bCs/>
                <w:noProof/>
              </w:rPr>
              <w:t>3.1.</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Second year of program implementation</w:t>
            </w:r>
            <w:r w:rsidR="00DB2642">
              <w:rPr>
                <w:noProof/>
                <w:webHidden/>
              </w:rPr>
              <w:tab/>
            </w:r>
            <w:r w:rsidR="00DB2642">
              <w:rPr>
                <w:noProof/>
                <w:webHidden/>
              </w:rPr>
              <w:fldChar w:fldCharType="begin"/>
            </w:r>
            <w:r w:rsidR="00DB2642">
              <w:rPr>
                <w:noProof/>
                <w:webHidden/>
              </w:rPr>
              <w:instrText xml:space="preserve"> PAGEREF _Toc150431715 \h </w:instrText>
            </w:r>
            <w:r w:rsidR="00DB2642">
              <w:rPr>
                <w:noProof/>
                <w:webHidden/>
              </w:rPr>
            </w:r>
            <w:r w:rsidR="00DB2642">
              <w:rPr>
                <w:noProof/>
                <w:webHidden/>
              </w:rPr>
              <w:fldChar w:fldCharType="separate"/>
            </w:r>
            <w:r w:rsidR="00DB2642">
              <w:rPr>
                <w:noProof/>
                <w:webHidden/>
              </w:rPr>
              <w:t>17</w:t>
            </w:r>
            <w:r w:rsidR="00DB2642">
              <w:rPr>
                <w:noProof/>
                <w:webHidden/>
              </w:rPr>
              <w:fldChar w:fldCharType="end"/>
            </w:r>
          </w:hyperlink>
        </w:p>
        <w:p w14:paraId="4B8C552B" w14:textId="4F383CED"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16" w:history="1">
            <w:r w:rsidR="00DB2642" w:rsidRPr="00417990">
              <w:rPr>
                <w:rStyle w:val="Hyperlink"/>
                <w:rFonts w:cstheme="majorHAnsi"/>
                <w:bCs/>
                <w:noProof/>
              </w:rPr>
              <w:t>3.2.</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Program adaptations</w:t>
            </w:r>
            <w:r w:rsidR="00DB2642">
              <w:rPr>
                <w:noProof/>
                <w:webHidden/>
              </w:rPr>
              <w:tab/>
            </w:r>
            <w:r w:rsidR="00DB2642">
              <w:rPr>
                <w:noProof/>
                <w:webHidden/>
              </w:rPr>
              <w:fldChar w:fldCharType="begin"/>
            </w:r>
            <w:r w:rsidR="00DB2642">
              <w:rPr>
                <w:noProof/>
                <w:webHidden/>
              </w:rPr>
              <w:instrText xml:space="preserve"> PAGEREF _Toc150431716 \h </w:instrText>
            </w:r>
            <w:r w:rsidR="00DB2642">
              <w:rPr>
                <w:noProof/>
                <w:webHidden/>
              </w:rPr>
            </w:r>
            <w:r w:rsidR="00DB2642">
              <w:rPr>
                <w:noProof/>
                <w:webHidden/>
              </w:rPr>
              <w:fldChar w:fldCharType="separate"/>
            </w:r>
            <w:r w:rsidR="00DB2642">
              <w:rPr>
                <w:noProof/>
                <w:webHidden/>
              </w:rPr>
              <w:t>19</w:t>
            </w:r>
            <w:r w:rsidR="00DB2642">
              <w:rPr>
                <w:noProof/>
                <w:webHidden/>
              </w:rPr>
              <w:fldChar w:fldCharType="end"/>
            </w:r>
          </w:hyperlink>
        </w:p>
        <w:p w14:paraId="61AC3E4B" w14:textId="73B87CEB" w:rsidR="00DB2642" w:rsidRDefault="002C44DE">
          <w:pPr>
            <w:pStyle w:val="TOC1"/>
            <w:rPr>
              <w:rFonts w:asciiTheme="minorHAnsi" w:hAnsiTheme="minorHAnsi" w:cstheme="minorBidi"/>
              <w:b w:val="0"/>
              <w:bCs w:val="0"/>
              <w:noProof/>
              <w:color w:val="auto"/>
              <w:kern w:val="2"/>
              <w:sz w:val="22"/>
              <w:szCs w:val="22"/>
              <w:lang w:val="en-AU" w:eastAsia="en-AU"/>
              <w14:ligatures w14:val="standardContextual"/>
            </w:rPr>
          </w:pPr>
          <w:hyperlink w:anchor="_Toc150431717" w:history="1">
            <w:r w:rsidR="00DB2642" w:rsidRPr="00417990">
              <w:rPr>
                <w:rStyle w:val="Hyperlink"/>
                <w:rFonts w:cstheme="majorHAnsi"/>
                <w:noProof/>
              </w:rPr>
              <w:t>4.</w:t>
            </w:r>
            <w:r w:rsidR="00DB2642">
              <w:rPr>
                <w:rFonts w:asciiTheme="minorHAnsi" w:hAnsiTheme="minorHAnsi" w:cstheme="minorBidi"/>
                <w:b w:val="0"/>
                <w:bCs w:val="0"/>
                <w:noProof/>
                <w:color w:val="auto"/>
                <w:kern w:val="2"/>
                <w:sz w:val="22"/>
                <w:szCs w:val="22"/>
                <w:lang w:val="en-AU" w:eastAsia="en-AU"/>
                <w14:ligatures w14:val="standardContextual"/>
              </w:rPr>
              <w:tab/>
            </w:r>
            <w:r w:rsidR="00DB2642" w:rsidRPr="00417990">
              <w:rPr>
                <w:rStyle w:val="Hyperlink"/>
                <w:noProof/>
              </w:rPr>
              <w:t>Participant profile, experience and attendance</w:t>
            </w:r>
            <w:r w:rsidR="00DB2642">
              <w:rPr>
                <w:noProof/>
                <w:webHidden/>
              </w:rPr>
              <w:tab/>
            </w:r>
            <w:r w:rsidR="00DB2642">
              <w:rPr>
                <w:noProof/>
                <w:webHidden/>
              </w:rPr>
              <w:fldChar w:fldCharType="begin"/>
            </w:r>
            <w:r w:rsidR="00DB2642">
              <w:rPr>
                <w:noProof/>
                <w:webHidden/>
              </w:rPr>
              <w:instrText xml:space="preserve"> PAGEREF _Toc150431717 \h </w:instrText>
            </w:r>
            <w:r w:rsidR="00DB2642">
              <w:rPr>
                <w:noProof/>
                <w:webHidden/>
              </w:rPr>
            </w:r>
            <w:r w:rsidR="00DB2642">
              <w:rPr>
                <w:noProof/>
                <w:webHidden/>
              </w:rPr>
              <w:fldChar w:fldCharType="separate"/>
            </w:r>
            <w:r w:rsidR="00DB2642">
              <w:rPr>
                <w:noProof/>
                <w:webHidden/>
              </w:rPr>
              <w:t>22</w:t>
            </w:r>
            <w:r w:rsidR="00DB2642">
              <w:rPr>
                <w:noProof/>
                <w:webHidden/>
              </w:rPr>
              <w:fldChar w:fldCharType="end"/>
            </w:r>
          </w:hyperlink>
        </w:p>
        <w:p w14:paraId="27DE9DC3" w14:textId="34E2022A"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18" w:history="1">
            <w:r w:rsidR="00DB2642" w:rsidRPr="00417990">
              <w:rPr>
                <w:rStyle w:val="Hyperlink"/>
                <w:rFonts w:cstheme="majorHAnsi"/>
                <w:bCs/>
                <w:noProof/>
              </w:rPr>
              <w:t>4.1.</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Participant profile of cohort 1 and 2</w:t>
            </w:r>
            <w:r w:rsidR="00DB2642">
              <w:rPr>
                <w:noProof/>
                <w:webHidden/>
              </w:rPr>
              <w:tab/>
            </w:r>
            <w:r w:rsidR="00DB2642">
              <w:rPr>
                <w:noProof/>
                <w:webHidden/>
              </w:rPr>
              <w:fldChar w:fldCharType="begin"/>
            </w:r>
            <w:r w:rsidR="00DB2642">
              <w:rPr>
                <w:noProof/>
                <w:webHidden/>
              </w:rPr>
              <w:instrText xml:space="preserve"> PAGEREF _Toc150431718 \h </w:instrText>
            </w:r>
            <w:r w:rsidR="00DB2642">
              <w:rPr>
                <w:noProof/>
                <w:webHidden/>
              </w:rPr>
            </w:r>
            <w:r w:rsidR="00DB2642">
              <w:rPr>
                <w:noProof/>
                <w:webHidden/>
              </w:rPr>
              <w:fldChar w:fldCharType="separate"/>
            </w:r>
            <w:r w:rsidR="00DB2642">
              <w:rPr>
                <w:noProof/>
                <w:webHidden/>
              </w:rPr>
              <w:t>23</w:t>
            </w:r>
            <w:r w:rsidR="00DB2642">
              <w:rPr>
                <w:noProof/>
                <w:webHidden/>
              </w:rPr>
              <w:fldChar w:fldCharType="end"/>
            </w:r>
          </w:hyperlink>
        </w:p>
        <w:p w14:paraId="22570581" w14:textId="2F1E4F77"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19" w:history="1">
            <w:r w:rsidR="00DB2642" w:rsidRPr="00417990">
              <w:rPr>
                <w:rStyle w:val="Hyperlink"/>
                <w:rFonts w:cstheme="majorHAnsi"/>
                <w:bCs/>
                <w:noProof/>
              </w:rPr>
              <w:t>4.2.</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Referral and enrolment</w:t>
            </w:r>
            <w:r w:rsidR="00DB2642">
              <w:rPr>
                <w:noProof/>
                <w:webHidden/>
              </w:rPr>
              <w:tab/>
            </w:r>
            <w:r w:rsidR="00DB2642">
              <w:rPr>
                <w:noProof/>
                <w:webHidden/>
              </w:rPr>
              <w:fldChar w:fldCharType="begin"/>
            </w:r>
            <w:r w:rsidR="00DB2642">
              <w:rPr>
                <w:noProof/>
                <w:webHidden/>
              </w:rPr>
              <w:instrText xml:space="preserve"> PAGEREF _Toc150431719 \h </w:instrText>
            </w:r>
            <w:r w:rsidR="00DB2642">
              <w:rPr>
                <w:noProof/>
                <w:webHidden/>
              </w:rPr>
            </w:r>
            <w:r w:rsidR="00DB2642">
              <w:rPr>
                <w:noProof/>
                <w:webHidden/>
              </w:rPr>
              <w:fldChar w:fldCharType="separate"/>
            </w:r>
            <w:r w:rsidR="00DB2642">
              <w:rPr>
                <w:noProof/>
                <w:webHidden/>
              </w:rPr>
              <w:t>24</w:t>
            </w:r>
            <w:r w:rsidR="00DB2642">
              <w:rPr>
                <w:noProof/>
                <w:webHidden/>
              </w:rPr>
              <w:fldChar w:fldCharType="end"/>
            </w:r>
          </w:hyperlink>
        </w:p>
        <w:p w14:paraId="7F7ADA29" w14:textId="7F20F8CB"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20" w:history="1">
            <w:r w:rsidR="00DB2642" w:rsidRPr="00417990">
              <w:rPr>
                <w:rStyle w:val="Hyperlink"/>
                <w:rFonts w:cstheme="majorHAnsi"/>
                <w:bCs/>
                <w:noProof/>
              </w:rPr>
              <w:t>4.3.</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Attendance at school and experience</w:t>
            </w:r>
            <w:r w:rsidR="00DB2642">
              <w:rPr>
                <w:noProof/>
                <w:webHidden/>
              </w:rPr>
              <w:tab/>
            </w:r>
            <w:r w:rsidR="00DB2642">
              <w:rPr>
                <w:noProof/>
                <w:webHidden/>
              </w:rPr>
              <w:fldChar w:fldCharType="begin"/>
            </w:r>
            <w:r w:rsidR="00DB2642">
              <w:rPr>
                <w:noProof/>
                <w:webHidden/>
              </w:rPr>
              <w:instrText xml:space="preserve"> PAGEREF _Toc150431720 \h </w:instrText>
            </w:r>
            <w:r w:rsidR="00DB2642">
              <w:rPr>
                <w:noProof/>
                <w:webHidden/>
              </w:rPr>
            </w:r>
            <w:r w:rsidR="00DB2642">
              <w:rPr>
                <w:noProof/>
                <w:webHidden/>
              </w:rPr>
              <w:fldChar w:fldCharType="separate"/>
            </w:r>
            <w:r w:rsidR="00DB2642">
              <w:rPr>
                <w:noProof/>
                <w:webHidden/>
              </w:rPr>
              <w:t>25</w:t>
            </w:r>
            <w:r w:rsidR="00DB2642">
              <w:rPr>
                <w:noProof/>
                <w:webHidden/>
              </w:rPr>
              <w:fldChar w:fldCharType="end"/>
            </w:r>
          </w:hyperlink>
        </w:p>
        <w:p w14:paraId="27104EDB" w14:textId="266C897A" w:rsidR="00DB2642" w:rsidRDefault="002C44DE">
          <w:pPr>
            <w:pStyle w:val="TOC1"/>
            <w:rPr>
              <w:rFonts w:asciiTheme="minorHAnsi" w:hAnsiTheme="minorHAnsi" w:cstheme="minorBidi"/>
              <w:b w:val="0"/>
              <w:bCs w:val="0"/>
              <w:noProof/>
              <w:color w:val="auto"/>
              <w:kern w:val="2"/>
              <w:sz w:val="22"/>
              <w:szCs w:val="22"/>
              <w:lang w:val="en-AU" w:eastAsia="en-AU"/>
              <w14:ligatures w14:val="standardContextual"/>
            </w:rPr>
          </w:pPr>
          <w:hyperlink w:anchor="_Toc150431721" w:history="1">
            <w:r w:rsidR="00DB2642" w:rsidRPr="00417990">
              <w:rPr>
                <w:rStyle w:val="Hyperlink"/>
                <w:rFonts w:cstheme="majorHAnsi"/>
                <w:noProof/>
              </w:rPr>
              <w:t>5.</w:t>
            </w:r>
            <w:r w:rsidR="00DB2642">
              <w:rPr>
                <w:rFonts w:asciiTheme="minorHAnsi" w:hAnsiTheme="minorHAnsi" w:cstheme="minorBidi"/>
                <w:b w:val="0"/>
                <w:bCs w:val="0"/>
                <w:noProof/>
                <w:color w:val="auto"/>
                <w:kern w:val="2"/>
                <w:sz w:val="22"/>
                <w:szCs w:val="22"/>
                <w:lang w:val="en-AU" w:eastAsia="en-AU"/>
                <w14:ligatures w14:val="standardContextual"/>
              </w:rPr>
              <w:tab/>
            </w:r>
            <w:r w:rsidR="00DB2642" w:rsidRPr="00417990">
              <w:rPr>
                <w:rStyle w:val="Hyperlink"/>
                <w:noProof/>
              </w:rPr>
              <w:t>Outcomes and achievements for Living Learning young people</w:t>
            </w:r>
            <w:r w:rsidR="00DB2642">
              <w:rPr>
                <w:noProof/>
                <w:webHidden/>
              </w:rPr>
              <w:tab/>
            </w:r>
            <w:r w:rsidR="00DB2642">
              <w:rPr>
                <w:noProof/>
                <w:webHidden/>
              </w:rPr>
              <w:fldChar w:fldCharType="begin"/>
            </w:r>
            <w:r w:rsidR="00DB2642">
              <w:rPr>
                <w:noProof/>
                <w:webHidden/>
              </w:rPr>
              <w:instrText xml:space="preserve"> PAGEREF _Toc150431721 \h </w:instrText>
            </w:r>
            <w:r w:rsidR="00DB2642">
              <w:rPr>
                <w:noProof/>
                <w:webHidden/>
              </w:rPr>
            </w:r>
            <w:r w:rsidR="00DB2642">
              <w:rPr>
                <w:noProof/>
                <w:webHidden/>
              </w:rPr>
              <w:fldChar w:fldCharType="separate"/>
            </w:r>
            <w:r w:rsidR="00DB2642">
              <w:rPr>
                <w:noProof/>
                <w:webHidden/>
              </w:rPr>
              <w:t>29</w:t>
            </w:r>
            <w:r w:rsidR="00DB2642">
              <w:rPr>
                <w:noProof/>
                <w:webHidden/>
              </w:rPr>
              <w:fldChar w:fldCharType="end"/>
            </w:r>
          </w:hyperlink>
        </w:p>
        <w:p w14:paraId="37ADFA0E" w14:textId="5DF6FFB5"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22" w:history="1">
            <w:r w:rsidR="00DB2642" w:rsidRPr="00417990">
              <w:rPr>
                <w:rStyle w:val="Hyperlink"/>
                <w:rFonts w:cstheme="majorHAnsi"/>
                <w:bCs/>
                <w:noProof/>
              </w:rPr>
              <w:t>5.1.</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Mental health</w:t>
            </w:r>
            <w:r w:rsidR="00DB2642">
              <w:rPr>
                <w:noProof/>
                <w:webHidden/>
              </w:rPr>
              <w:tab/>
            </w:r>
            <w:r w:rsidR="00DB2642">
              <w:rPr>
                <w:noProof/>
                <w:webHidden/>
              </w:rPr>
              <w:fldChar w:fldCharType="begin"/>
            </w:r>
            <w:r w:rsidR="00DB2642">
              <w:rPr>
                <w:noProof/>
                <w:webHidden/>
              </w:rPr>
              <w:instrText xml:space="preserve"> PAGEREF _Toc150431722 \h </w:instrText>
            </w:r>
            <w:r w:rsidR="00DB2642">
              <w:rPr>
                <w:noProof/>
                <w:webHidden/>
              </w:rPr>
            </w:r>
            <w:r w:rsidR="00DB2642">
              <w:rPr>
                <w:noProof/>
                <w:webHidden/>
              </w:rPr>
              <w:fldChar w:fldCharType="separate"/>
            </w:r>
            <w:r w:rsidR="00DB2642">
              <w:rPr>
                <w:noProof/>
                <w:webHidden/>
              </w:rPr>
              <w:t>30</w:t>
            </w:r>
            <w:r w:rsidR="00DB2642">
              <w:rPr>
                <w:noProof/>
                <w:webHidden/>
              </w:rPr>
              <w:fldChar w:fldCharType="end"/>
            </w:r>
          </w:hyperlink>
        </w:p>
        <w:p w14:paraId="285EC467" w14:textId="48422473"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23" w:history="1">
            <w:r w:rsidR="00DB2642" w:rsidRPr="00417990">
              <w:rPr>
                <w:rStyle w:val="Hyperlink"/>
                <w:rFonts w:cstheme="majorHAnsi"/>
                <w:bCs/>
                <w:noProof/>
              </w:rPr>
              <w:t>5.2.</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Relationships</w:t>
            </w:r>
            <w:r w:rsidR="00DB2642">
              <w:rPr>
                <w:noProof/>
                <w:webHidden/>
              </w:rPr>
              <w:tab/>
            </w:r>
            <w:r w:rsidR="00DB2642">
              <w:rPr>
                <w:noProof/>
                <w:webHidden/>
              </w:rPr>
              <w:fldChar w:fldCharType="begin"/>
            </w:r>
            <w:r w:rsidR="00DB2642">
              <w:rPr>
                <w:noProof/>
                <w:webHidden/>
              </w:rPr>
              <w:instrText xml:space="preserve"> PAGEREF _Toc150431723 \h </w:instrText>
            </w:r>
            <w:r w:rsidR="00DB2642">
              <w:rPr>
                <w:noProof/>
                <w:webHidden/>
              </w:rPr>
            </w:r>
            <w:r w:rsidR="00DB2642">
              <w:rPr>
                <w:noProof/>
                <w:webHidden/>
              </w:rPr>
              <w:fldChar w:fldCharType="separate"/>
            </w:r>
            <w:r w:rsidR="00DB2642">
              <w:rPr>
                <w:noProof/>
                <w:webHidden/>
              </w:rPr>
              <w:t>31</w:t>
            </w:r>
            <w:r w:rsidR="00DB2642">
              <w:rPr>
                <w:noProof/>
                <w:webHidden/>
              </w:rPr>
              <w:fldChar w:fldCharType="end"/>
            </w:r>
          </w:hyperlink>
        </w:p>
        <w:p w14:paraId="56A16AAC" w14:textId="5283A80E"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24" w:history="1">
            <w:r w:rsidR="00DB2642" w:rsidRPr="00417990">
              <w:rPr>
                <w:rStyle w:val="Hyperlink"/>
                <w:rFonts w:cstheme="majorHAnsi"/>
                <w:bCs/>
                <w:noProof/>
              </w:rPr>
              <w:t>5.3.</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Self-efficacy</w:t>
            </w:r>
            <w:r w:rsidR="00DB2642">
              <w:rPr>
                <w:noProof/>
                <w:webHidden/>
              </w:rPr>
              <w:tab/>
            </w:r>
            <w:r w:rsidR="00DB2642">
              <w:rPr>
                <w:noProof/>
                <w:webHidden/>
              </w:rPr>
              <w:fldChar w:fldCharType="begin"/>
            </w:r>
            <w:r w:rsidR="00DB2642">
              <w:rPr>
                <w:noProof/>
                <w:webHidden/>
              </w:rPr>
              <w:instrText xml:space="preserve"> PAGEREF _Toc150431724 \h </w:instrText>
            </w:r>
            <w:r w:rsidR="00DB2642">
              <w:rPr>
                <w:noProof/>
                <w:webHidden/>
              </w:rPr>
            </w:r>
            <w:r w:rsidR="00DB2642">
              <w:rPr>
                <w:noProof/>
                <w:webHidden/>
              </w:rPr>
              <w:fldChar w:fldCharType="separate"/>
            </w:r>
            <w:r w:rsidR="00DB2642">
              <w:rPr>
                <w:noProof/>
                <w:webHidden/>
              </w:rPr>
              <w:t>34</w:t>
            </w:r>
            <w:r w:rsidR="00DB2642">
              <w:rPr>
                <w:noProof/>
                <w:webHidden/>
              </w:rPr>
              <w:fldChar w:fldCharType="end"/>
            </w:r>
          </w:hyperlink>
        </w:p>
        <w:p w14:paraId="09863EBA" w14:textId="3BF2558B"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25" w:history="1">
            <w:r w:rsidR="00DB2642" w:rsidRPr="00417990">
              <w:rPr>
                <w:rStyle w:val="Hyperlink"/>
                <w:rFonts w:cstheme="majorHAnsi"/>
                <w:bCs/>
                <w:noProof/>
              </w:rPr>
              <w:t>5.4.</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Physical health</w:t>
            </w:r>
            <w:r w:rsidR="00DB2642">
              <w:rPr>
                <w:noProof/>
                <w:webHidden/>
              </w:rPr>
              <w:tab/>
            </w:r>
            <w:r w:rsidR="00DB2642">
              <w:rPr>
                <w:noProof/>
                <w:webHidden/>
              </w:rPr>
              <w:fldChar w:fldCharType="begin"/>
            </w:r>
            <w:r w:rsidR="00DB2642">
              <w:rPr>
                <w:noProof/>
                <w:webHidden/>
              </w:rPr>
              <w:instrText xml:space="preserve"> PAGEREF _Toc150431725 \h </w:instrText>
            </w:r>
            <w:r w:rsidR="00DB2642">
              <w:rPr>
                <w:noProof/>
                <w:webHidden/>
              </w:rPr>
            </w:r>
            <w:r w:rsidR="00DB2642">
              <w:rPr>
                <w:noProof/>
                <w:webHidden/>
              </w:rPr>
              <w:fldChar w:fldCharType="separate"/>
            </w:r>
            <w:r w:rsidR="00DB2642">
              <w:rPr>
                <w:noProof/>
                <w:webHidden/>
              </w:rPr>
              <w:t>36</w:t>
            </w:r>
            <w:r w:rsidR="00DB2642">
              <w:rPr>
                <w:noProof/>
                <w:webHidden/>
              </w:rPr>
              <w:fldChar w:fldCharType="end"/>
            </w:r>
          </w:hyperlink>
        </w:p>
        <w:p w14:paraId="7E210ACE" w14:textId="547AB604"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26" w:history="1">
            <w:r w:rsidR="00DB2642" w:rsidRPr="00417990">
              <w:rPr>
                <w:rStyle w:val="Hyperlink"/>
                <w:rFonts w:cstheme="majorHAnsi"/>
                <w:bCs/>
                <w:noProof/>
              </w:rPr>
              <w:t>5.5.</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Education</w:t>
            </w:r>
            <w:r w:rsidR="00DB2642">
              <w:rPr>
                <w:noProof/>
                <w:webHidden/>
              </w:rPr>
              <w:tab/>
            </w:r>
            <w:r w:rsidR="00DB2642">
              <w:rPr>
                <w:noProof/>
                <w:webHidden/>
              </w:rPr>
              <w:fldChar w:fldCharType="begin"/>
            </w:r>
            <w:r w:rsidR="00DB2642">
              <w:rPr>
                <w:noProof/>
                <w:webHidden/>
              </w:rPr>
              <w:instrText xml:space="preserve"> PAGEREF _Toc150431726 \h </w:instrText>
            </w:r>
            <w:r w:rsidR="00DB2642">
              <w:rPr>
                <w:noProof/>
                <w:webHidden/>
              </w:rPr>
            </w:r>
            <w:r w:rsidR="00DB2642">
              <w:rPr>
                <w:noProof/>
                <w:webHidden/>
              </w:rPr>
              <w:fldChar w:fldCharType="separate"/>
            </w:r>
            <w:r w:rsidR="00DB2642">
              <w:rPr>
                <w:noProof/>
                <w:webHidden/>
              </w:rPr>
              <w:t>37</w:t>
            </w:r>
            <w:r w:rsidR="00DB2642">
              <w:rPr>
                <w:noProof/>
                <w:webHidden/>
              </w:rPr>
              <w:fldChar w:fldCharType="end"/>
            </w:r>
          </w:hyperlink>
        </w:p>
        <w:p w14:paraId="54A88B9A" w14:textId="780815D8"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27" w:history="1">
            <w:r w:rsidR="00DB2642" w:rsidRPr="00417990">
              <w:rPr>
                <w:rStyle w:val="Hyperlink"/>
                <w:rFonts w:cstheme="majorHAnsi"/>
                <w:bCs/>
                <w:noProof/>
              </w:rPr>
              <w:t>5.6.</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Housing</w:t>
            </w:r>
            <w:r w:rsidR="00DB2642">
              <w:rPr>
                <w:noProof/>
                <w:webHidden/>
              </w:rPr>
              <w:tab/>
            </w:r>
            <w:r w:rsidR="00DB2642">
              <w:rPr>
                <w:noProof/>
                <w:webHidden/>
              </w:rPr>
              <w:fldChar w:fldCharType="begin"/>
            </w:r>
            <w:r w:rsidR="00DB2642">
              <w:rPr>
                <w:noProof/>
                <w:webHidden/>
              </w:rPr>
              <w:instrText xml:space="preserve"> PAGEREF _Toc150431727 \h </w:instrText>
            </w:r>
            <w:r w:rsidR="00DB2642">
              <w:rPr>
                <w:noProof/>
                <w:webHidden/>
              </w:rPr>
            </w:r>
            <w:r w:rsidR="00DB2642">
              <w:rPr>
                <w:noProof/>
                <w:webHidden/>
              </w:rPr>
              <w:fldChar w:fldCharType="separate"/>
            </w:r>
            <w:r w:rsidR="00DB2642">
              <w:rPr>
                <w:noProof/>
                <w:webHidden/>
              </w:rPr>
              <w:t>39</w:t>
            </w:r>
            <w:r w:rsidR="00DB2642">
              <w:rPr>
                <w:noProof/>
                <w:webHidden/>
              </w:rPr>
              <w:fldChar w:fldCharType="end"/>
            </w:r>
          </w:hyperlink>
        </w:p>
        <w:p w14:paraId="61007C11" w14:textId="454C04AD" w:rsidR="00DB2642" w:rsidRDefault="002C44DE">
          <w:pPr>
            <w:pStyle w:val="TOC1"/>
            <w:rPr>
              <w:rFonts w:asciiTheme="minorHAnsi" w:hAnsiTheme="minorHAnsi" w:cstheme="minorBidi"/>
              <w:b w:val="0"/>
              <w:bCs w:val="0"/>
              <w:noProof/>
              <w:color w:val="auto"/>
              <w:kern w:val="2"/>
              <w:sz w:val="22"/>
              <w:szCs w:val="22"/>
              <w:lang w:val="en-AU" w:eastAsia="en-AU"/>
              <w14:ligatures w14:val="standardContextual"/>
            </w:rPr>
          </w:pPr>
          <w:hyperlink w:anchor="_Toc150431728" w:history="1">
            <w:r w:rsidR="00DB2642" w:rsidRPr="00417990">
              <w:rPr>
                <w:rStyle w:val="Hyperlink"/>
                <w:rFonts w:cstheme="majorHAnsi"/>
                <w:noProof/>
              </w:rPr>
              <w:t>6.</w:t>
            </w:r>
            <w:r w:rsidR="00DB2642">
              <w:rPr>
                <w:rFonts w:asciiTheme="minorHAnsi" w:hAnsiTheme="minorHAnsi" w:cstheme="minorBidi"/>
                <w:b w:val="0"/>
                <w:bCs w:val="0"/>
                <w:noProof/>
                <w:color w:val="auto"/>
                <w:kern w:val="2"/>
                <w:sz w:val="22"/>
                <w:szCs w:val="22"/>
                <w:lang w:val="en-AU" w:eastAsia="en-AU"/>
                <w14:ligatures w14:val="standardContextual"/>
              </w:rPr>
              <w:tab/>
            </w:r>
            <w:r w:rsidR="00DB2642" w:rsidRPr="00417990">
              <w:rPr>
                <w:rStyle w:val="Hyperlink"/>
                <w:noProof/>
              </w:rPr>
              <w:t>PAD governance and funding model</w:t>
            </w:r>
            <w:r w:rsidR="00DB2642">
              <w:rPr>
                <w:noProof/>
                <w:webHidden/>
              </w:rPr>
              <w:tab/>
            </w:r>
            <w:r w:rsidR="00DB2642">
              <w:rPr>
                <w:noProof/>
                <w:webHidden/>
              </w:rPr>
              <w:fldChar w:fldCharType="begin"/>
            </w:r>
            <w:r w:rsidR="00DB2642">
              <w:rPr>
                <w:noProof/>
                <w:webHidden/>
              </w:rPr>
              <w:instrText xml:space="preserve"> PAGEREF _Toc150431728 \h </w:instrText>
            </w:r>
            <w:r w:rsidR="00DB2642">
              <w:rPr>
                <w:noProof/>
                <w:webHidden/>
              </w:rPr>
            </w:r>
            <w:r w:rsidR="00DB2642">
              <w:rPr>
                <w:noProof/>
                <w:webHidden/>
              </w:rPr>
              <w:fldChar w:fldCharType="separate"/>
            </w:r>
            <w:r w:rsidR="00DB2642">
              <w:rPr>
                <w:noProof/>
                <w:webHidden/>
              </w:rPr>
              <w:t>41</w:t>
            </w:r>
            <w:r w:rsidR="00DB2642">
              <w:rPr>
                <w:noProof/>
                <w:webHidden/>
              </w:rPr>
              <w:fldChar w:fldCharType="end"/>
            </w:r>
          </w:hyperlink>
        </w:p>
        <w:p w14:paraId="6AA4924E" w14:textId="150580D6"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29" w:history="1">
            <w:r w:rsidR="00DB2642" w:rsidRPr="00417990">
              <w:rPr>
                <w:rStyle w:val="Hyperlink"/>
                <w:rFonts w:cstheme="majorHAnsi"/>
                <w:bCs/>
                <w:noProof/>
              </w:rPr>
              <w:t>6.1.</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Governance mechanisms are appropriate and effective</w:t>
            </w:r>
            <w:r w:rsidR="00DB2642">
              <w:rPr>
                <w:noProof/>
                <w:webHidden/>
              </w:rPr>
              <w:tab/>
            </w:r>
            <w:r w:rsidR="00DB2642">
              <w:rPr>
                <w:noProof/>
                <w:webHidden/>
              </w:rPr>
              <w:fldChar w:fldCharType="begin"/>
            </w:r>
            <w:r w:rsidR="00DB2642">
              <w:rPr>
                <w:noProof/>
                <w:webHidden/>
              </w:rPr>
              <w:instrText xml:space="preserve"> PAGEREF _Toc150431729 \h </w:instrText>
            </w:r>
            <w:r w:rsidR="00DB2642">
              <w:rPr>
                <w:noProof/>
                <w:webHidden/>
              </w:rPr>
            </w:r>
            <w:r w:rsidR="00DB2642">
              <w:rPr>
                <w:noProof/>
                <w:webHidden/>
              </w:rPr>
              <w:fldChar w:fldCharType="separate"/>
            </w:r>
            <w:r w:rsidR="00DB2642">
              <w:rPr>
                <w:noProof/>
                <w:webHidden/>
              </w:rPr>
              <w:t>42</w:t>
            </w:r>
            <w:r w:rsidR="00DB2642">
              <w:rPr>
                <w:noProof/>
                <w:webHidden/>
              </w:rPr>
              <w:fldChar w:fldCharType="end"/>
            </w:r>
          </w:hyperlink>
        </w:p>
        <w:p w14:paraId="468DBD63" w14:textId="7C0127B4"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30" w:history="1">
            <w:r w:rsidR="00DB2642" w:rsidRPr="00417990">
              <w:rPr>
                <w:rStyle w:val="Hyperlink"/>
                <w:rFonts w:cstheme="majorHAnsi"/>
                <w:bCs/>
                <w:noProof/>
              </w:rPr>
              <w:t>6.2.</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Influence of the PAD funding model on program delivery and outcomes</w:t>
            </w:r>
            <w:r w:rsidR="00DB2642">
              <w:rPr>
                <w:noProof/>
                <w:webHidden/>
              </w:rPr>
              <w:tab/>
            </w:r>
            <w:r w:rsidR="00DB2642">
              <w:rPr>
                <w:noProof/>
                <w:webHidden/>
              </w:rPr>
              <w:fldChar w:fldCharType="begin"/>
            </w:r>
            <w:r w:rsidR="00DB2642">
              <w:rPr>
                <w:noProof/>
                <w:webHidden/>
              </w:rPr>
              <w:instrText xml:space="preserve"> PAGEREF _Toc150431730 \h </w:instrText>
            </w:r>
            <w:r w:rsidR="00DB2642">
              <w:rPr>
                <w:noProof/>
                <w:webHidden/>
              </w:rPr>
            </w:r>
            <w:r w:rsidR="00DB2642">
              <w:rPr>
                <w:noProof/>
                <w:webHidden/>
              </w:rPr>
              <w:fldChar w:fldCharType="separate"/>
            </w:r>
            <w:r w:rsidR="00DB2642">
              <w:rPr>
                <w:noProof/>
                <w:webHidden/>
              </w:rPr>
              <w:t>42</w:t>
            </w:r>
            <w:r w:rsidR="00DB2642">
              <w:rPr>
                <w:noProof/>
                <w:webHidden/>
              </w:rPr>
              <w:fldChar w:fldCharType="end"/>
            </w:r>
          </w:hyperlink>
        </w:p>
        <w:p w14:paraId="46A74CE4" w14:textId="14970C56"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31" w:history="1">
            <w:r w:rsidR="00DB2642" w:rsidRPr="00417990">
              <w:rPr>
                <w:rStyle w:val="Hyperlink"/>
                <w:rFonts w:cstheme="majorHAnsi"/>
                <w:bCs/>
                <w:noProof/>
              </w:rPr>
              <w:t>6.3.</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Strategic learnings</w:t>
            </w:r>
            <w:r w:rsidR="00DB2642">
              <w:rPr>
                <w:noProof/>
                <w:webHidden/>
              </w:rPr>
              <w:tab/>
            </w:r>
            <w:r w:rsidR="00DB2642">
              <w:rPr>
                <w:noProof/>
                <w:webHidden/>
              </w:rPr>
              <w:fldChar w:fldCharType="begin"/>
            </w:r>
            <w:r w:rsidR="00DB2642">
              <w:rPr>
                <w:noProof/>
                <w:webHidden/>
              </w:rPr>
              <w:instrText xml:space="preserve"> PAGEREF _Toc150431731 \h </w:instrText>
            </w:r>
            <w:r w:rsidR="00DB2642">
              <w:rPr>
                <w:noProof/>
                <w:webHidden/>
              </w:rPr>
            </w:r>
            <w:r w:rsidR="00DB2642">
              <w:rPr>
                <w:noProof/>
                <w:webHidden/>
              </w:rPr>
              <w:fldChar w:fldCharType="separate"/>
            </w:r>
            <w:r w:rsidR="00DB2642">
              <w:rPr>
                <w:noProof/>
                <w:webHidden/>
              </w:rPr>
              <w:t>43</w:t>
            </w:r>
            <w:r w:rsidR="00DB2642">
              <w:rPr>
                <w:noProof/>
                <w:webHidden/>
              </w:rPr>
              <w:fldChar w:fldCharType="end"/>
            </w:r>
          </w:hyperlink>
        </w:p>
        <w:p w14:paraId="1B3D9D13" w14:textId="42AA0793" w:rsidR="00DB2642" w:rsidRDefault="002C44DE">
          <w:pPr>
            <w:pStyle w:val="TOC2"/>
            <w:rPr>
              <w:rFonts w:asciiTheme="minorHAnsi" w:hAnsiTheme="minorHAnsi" w:cstheme="minorBidi"/>
              <w:noProof/>
              <w:color w:val="auto"/>
              <w:kern w:val="2"/>
              <w:sz w:val="22"/>
              <w:szCs w:val="22"/>
              <w:lang w:val="en-AU" w:eastAsia="en-AU"/>
              <w14:ligatures w14:val="standardContextual"/>
            </w:rPr>
          </w:pPr>
          <w:hyperlink w:anchor="_Toc150431732" w:history="1">
            <w:r w:rsidR="00DB2642" w:rsidRPr="00417990">
              <w:rPr>
                <w:rStyle w:val="Hyperlink"/>
                <w:rFonts w:cstheme="majorHAnsi"/>
                <w:bCs/>
                <w:noProof/>
              </w:rPr>
              <w:t>6.4.</w:t>
            </w:r>
            <w:r w:rsidR="00DB2642">
              <w:rPr>
                <w:rFonts w:asciiTheme="minorHAnsi" w:hAnsiTheme="minorHAnsi" w:cstheme="minorBidi"/>
                <w:noProof/>
                <w:color w:val="auto"/>
                <w:kern w:val="2"/>
                <w:sz w:val="22"/>
                <w:szCs w:val="22"/>
                <w:lang w:val="en-AU" w:eastAsia="en-AU"/>
                <w14:ligatures w14:val="standardContextual"/>
              </w:rPr>
              <w:tab/>
            </w:r>
            <w:r w:rsidR="00DB2642" w:rsidRPr="00417990">
              <w:rPr>
                <w:rStyle w:val="Hyperlink"/>
                <w:noProof/>
              </w:rPr>
              <w:t>Sustainability and scalability</w:t>
            </w:r>
            <w:r w:rsidR="00DB2642">
              <w:rPr>
                <w:noProof/>
                <w:webHidden/>
              </w:rPr>
              <w:tab/>
            </w:r>
            <w:r w:rsidR="00DB2642">
              <w:rPr>
                <w:noProof/>
                <w:webHidden/>
              </w:rPr>
              <w:fldChar w:fldCharType="begin"/>
            </w:r>
            <w:r w:rsidR="00DB2642">
              <w:rPr>
                <w:noProof/>
                <w:webHidden/>
              </w:rPr>
              <w:instrText xml:space="preserve"> PAGEREF _Toc150431732 \h </w:instrText>
            </w:r>
            <w:r w:rsidR="00DB2642">
              <w:rPr>
                <w:noProof/>
                <w:webHidden/>
              </w:rPr>
            </w:r>
            <w:r w:rsidR="00DB2642">
              <w:rPr>
                <w:noProof/>
                <w:webHidden/>
              </w:rPr>
              <w:fldChar w:fldCharType="separate"/>
            </w:r>
            <w:r w:rsidR="00DB2642">
              <w:rPr>
                <w:noProof/>
                <w:webHidden/>
              </w:rPr>
              <w:t>44</w:t>
            </w:r>
            <w:r w:rsidR="00DB2642">
              <w:rPr>
                <w:noProof/>
                <w:webHidden/>
              </w:rPr>
              <w:fldChar w:fldCharType="end"/>
            </w:r>
          </w:hyperlink>
        </w:p>
        <w:p w14:paraId="25BF9801" w14:textId="74332804" w:rsidR="00DB2642" w:rsidRDefault="002C44DE">
          <w:pPr>
            <w:pStyle w:val="TOC1"/>
            <w:rPr>
              <w:rFonts w:asciiTheme="minorHAnsi" w:hAnsiTheme="minorHAnsi" w:cstheme="minorBidi"/>
              <w:b w:val="0"/>
              <w:bCs w:val="0"/>
              <w:noProof/>
              <w:color w:val="auto"/>
              <w:kern w:val="2"/>
              <w:sz w:val="22"/>
              <w:szCs w:val="22"/>
              <w:lang w:val="en-AU" w:eastAsia="en-AU"/>
              <w14:ligatures w14:val="standardContextual"/>
            </w:rPr>
          </w:pPr>
          <w:hyperlink w:anchor="_Toc150431733" w:history="1">
            <w:r w:rsidR="00DB2642" w:rsidRPr="00417990">
              <w:rPr>
                <w:rStyle w:val="Hyperlink"/>
                <w:noProof/>
              </w:rPr>
              <w:t>References</w:t>
            </w:r>
            <w:r w:rsidR="00DB2642">
              <w:rPr>
                <w:noProof/>
                <w:webHidden/>
              </w:rPr>
              <w:tab/>
            </w:r>
            <w:r w:rsidR="00DB2642">
              <w:rPr>
                <w:noProof/>
                <w:webHidden/>
              </w:rPr>
              <w:fldChar w:fldCharType="begin"/>
            </w:r>
            <w:r w:rsidR="00DB2642">
              <w:rPr>
                <w:noProof/>
                <w:webHidden/>
              </w:rPr>
              <w:instrText xml:space="preserve"> PAGEREF _Toc150431733 \h </w:instrText>
            </w:r>
            <w:r w:rsidR="00DB2642">
              <w:rPr>
                <w:noProof/>
                <w:webHidden/>
              </w:rPr>
            </w:r>
            <w:r w:rsidR="00DB2642">
              <w:rPr>
                <w:noProof/>
                <w:webHidden/>
              </w:rPr>
              <w:fldChar w:fldCharType="separate"/>
            </w:r>
            <w:r w:rsidR="00DB2642">
              <w:rPr>
                <w:noProof/>
                <w:webHidden/>
              </w:rPr>
              <w:t>45</w:t>
            </w:r>
            <w:r w:rsidR="00DB2642">
              <w:rPr>
                <w:noProof/>
                <w:webHidden/>
              </w:rPr>
              <w:fldChar w:fldCharType="end"/>
            </w:r>
          </w:hyperlink>
        </w:p>
        <w:p w14:paraId="42371762" w14:textId="7DFAA6CF" w:rsidR="00DB2642" w:rsidRDefault="002C44DE">
          <w:pPr>
            <w:pStyle w:val="TOC1"/>
            <w:rPr>
              <w:rFonts w:asciiTheme="minorHAnsi" w:hAnsiTheme="minorHAnsi" w:cstheme="minorBidi"/>
              <w:b w:val="0"/>
              <w:bCs w:val="0"/>
              <w:noProof/>
              <w:color w:val="auto"/>
              <w:kern w:val="2"/>
              <w:sz w:val="22"/>
              <w:szCs w:val="22"/>
              <w:lang w:val="en-AU" w:eastAsia="en-AU"/>
              <w14:ligatures w14:val="standardContextual"/>
            </w:rPr>
          </w:pPr>
          <w:hyperlink w:anchor="_Toc150431734" w:history="1">
            <w:r w:rsidR="00DB2642" w:rsidRPr="00417990">
              <w:rPr>
                <w:rStyle w:val="Hyperlink"/>
                <w:noProof/>
              </w:rPr>
              <w:t>Acronyms</w:t>
            </w:r>
            <w:r w:rsidR="00DB2642">
              <w:rPr>
                <w:noProof/>
                <w:webHidden/>
              </w:rPr>
              <w:tab/>
            </w:r>
            <w:r w:rsidR="00DB2642">
              <w:rPr>
                <w:noProof/>
                <w:webHidden/>
              </w:rPr>
              <w:fldChar w:fldCharType="begin"/>
            </w:r>
            <w:r w:rsidR="00DB2642">
              <w:rPr>
                <w:noProof/>
                <w:webHidden/>
              </w:rPr>
              <w:instrText xml:space="preserve"> PAGEREF _Toc150431734 \h </w:instrText>
            </w:r>
            <w:r w:rsidR="00DB2642">
              <w:rPr>
                <w:noProof/>
                <w:webHidden/>
              </w:rPr>
            </w:r>
            <w:r w:rsidR="00DB2642">
              <w:rPr>
                <w:noProof/>
                <w:webHidden/>
              </w:rPr>
              <w:fldChar w:fldCharType="separate"/>
            </w:r>
            <w:r w:rsidR="00DB2642">
              <w:rPr>
                <w:noProof/>
                <w:webHidden/>
              </w:rPr>
              <w:t>46</w:t>
            </w:r>
            <w:r w:rsidR="00DB2642">
              <w:rPr>
                <w:noProof/>
                <w:webHidden/>
              </w:rPr>
              <w:fldChar w:fldCharType="end"/>
            </w:r>
          </w:hyperlink>
        </w:p>
        <w:p w14:paraId="5688ED35" w14:textId="7FA86112" w:rsidR="00DB2642" w:rsidRDefault="002C44DE">
          <w:pPr>
            <w:pStyle w:val="TOC1"/>
            <w:rPr>
              <w:rFonts w:asciiTheme="minorHAnsi" w:hAnsiTheme="minorHAnsi" w:cstheme="minorBidi"/>
              <w:b w:val="0"/>
              <w:bCs w:val="0"/>
              <w:noProof/>
              <w:color w:val="auto"/>
              <w:kern w:val="2"/>
              <w:sz w:val="22"/>
              <w:szCs w:val="22"/>
              <w:lang w:val="en-AU" w:eastAsia="en-AU"/>
              <w14:ligatures w14:val="standardContextual"/>
            </w:rPr>
          </w:pPr>
          <w:hyperlink w:anchor="_Toc150431735" w:history="1">
            <w:r w:rsidR="00DB2642" w:rsidRPr="00417990">
              <w:rPr>
                <w:rStyle w:val="Hyperlink"/>
                <w:noProof/>
              </w:rPr>
              <w:t>Disclaimer</w:t>
            </w:r>
            <w:r w:rsidR="00DB2642">
              <w:rPr>
                <w:noProof/>
                <w:webHidden/>
              </w:rPr>
              <w:tab/>
            </w:r>
            <w:r w:rsidR="00DB2642">
              <w:rPr>
                <w:noProof/>
                <w:webHidden/>
              </w:rPr>
              <w:fldChar w:fldCharType="begin"/>
            </w:r>
            <w:r w:rsidR="00DB2642">
              <w:rPr>
                <w:noProof/>
                <w:webHidden/>
              </w:rPr>
              <w:instrText xml:space="preserve"> PAGEREF _Toc150431735 \h </w:instrText>
            </w:r>
            <w:r w:rsidR="00DB2642">
              <w:rPr>
                <w:noProof/>
                <w:webHidden/>
              </w:rPr>
            </w:r>
            <w:r w:rsidR="00DB2642">
              <w:rPr>
                <w:noProof/>
                <w:webHidden/>
              </w:rPr>
              <w:fldChar w:fldCharType="separate"/>
            </w:r>
            <w:r w:rsidR="00DB2642">
              <w:rPr>
                <w:noProof/>
                <w:webHidden/>
              </w:rPr>
              <w:t>48</w:t>
            </w:r>
            <w:r w:rsidR="00DB2642">
              <w:rPr>
                <w:noProof/>
                <w:webHidden/>
              </w:rPr>
              <w:fldChar w:fldCharType="end"/>
            </w:r>
          </w:hyperlink>
        </w:p>
        <w:p w14:paraId="556B32C2" w14:textId="5E00E597" w:rsidR="004E658A" w:rsidRDefault="0045724D" w:rsidP="004E658A">
          <w:pPr>
            <w:pStyle w:val="TOC1"/>
          </w:pPr>
          <w:r>
            <w:fldChar w:fldCharType="end"/>
          </w:r>
        </w:p>
      </w:sdtContent>
    </w:sdt>
    <w:p w14:paraId="2D8F93B3" w14:textId="63815571" w:rsidR="00434BDA" w:rsidRPr="00271CC9" w:rsidRDefault="00434BDA" w:rsidP="00434BDA">
      <w:pPr>
        <w:pStyle w:val="TOC1"/>
        <w:rPr>
          <w:rFonts w:asciiTheme="minorHAnsi" w:hAnsiTheme="minorHAnsi" w:cstheme="minorBidi"/>
          <w:color w:val="302F2F" w:themeColor="text1" w:themeTint="E6"/>
          <w:sz w:val="22"/>
          <w:szCs w:val="22"/>
          <w:lang w:eastAsia="en-AU"/>
        </w:rPr>
      </w:pPr>
      <w:r>
        <w:rPr>
          <w:rFonts w:asciiTheme="minorHAnsi" w:hAnsiTheme="minorHAnsi" w:cstheme="minorBidi"/>
          <w:color w:val="302F2F" w:themeColor="text1" w:themeTint="E6"/>
          <w:sz w:val="22"/>
          <w:szCs w:val="22"/>
          <w:lang w:eastAsia="en-AU"/>
        </w:rPr>
        <w:t>Appendices</w:t>
      </w:r>
    </w:p>
    <w:p w14:paraId="5F47979B" w14:textId="47DEC724" w:rsidR="00434BDA" w:rsidRDefault="00434BDA">
      <w:pPr>
        <w:pStyle w:val="TOC1"/>
        <w:tabs>
          <w:tab w:val="left" w:pos="1702"/>
        </w:tabs>
        <w:rPr>
          <w:rFonts w:asciiTheme="minorHAnsi" w:hAnsiTheme="minorHAnsi" w:cstheme="minorBidi"/>
          <w:b w:val="0"/>
          <w:bCs w:val="0"/>
          <w:noProof/>
          <w:color w:val="auto"/>
          <w:kern w:val="2"/>
          <w:sz w:val="22"/>
          <w:szCs w:val="22"/>
          <w:lang w:val="en-AU" w:eastAsia="en-AU"/>
          <w14:ligatures w14:val="standardContextual"/>
        </w:rPr>
      </w:pPr>
      <w:r>
        <w:fldChar w:fldCharType="begin"/>
      </w:r>
      <w:r>
        <w:instrText xml:space="preserve"> TOC \h \z \t "Accessible Appendix 1,1" </w:instrText>
      </w:r>
      <w:r>
        <w:fldChar w:fldCharType="separate"/>
      </w:r>
      <w:hyperlink w:anchor="_Toc150431777" w:history="1">
        <w:r w:rsidRPr="00FE7D08">
          <w:rPr>
            <w:rStyle w:val="Hyperlink"/>
            <w:noProof/>
          </w:rPr>
          <w:t>Appendix A</w:t>
        </w:r>
        <w:r>
          <w:rPr>
            <w:rFonts w:asciiTheme="minorHAnsi" w:hAnsiTheme="minorHAnsi" w:cstheme="minorBidi"/>
            <w:b w:val="0"/>
            <w:bCs w:val="0"/>
            <w:noProof/>
            <w:color w:val="auto"/>
            <w:kern w:val="2"/>
            <w:sz w:val="22"/>
            <w:szCs w:val="22"/>
            <w:lang w:val="en-AU" w:eastAsia="en-AU"/>
            <w14:ligatures w14:val="standardContextual"/>
          </w:rPr>
          <w:tab/>
        </w:r>
        <w:r w:rsidRPr="00FE7D08">
          <w:rPr>
            <w:rStyle w:val="Hyperlink"/>
            <w:noProof/>
          </w:rPr>
          <w:t>Program logic</w:t>
        </w:r>
        <w:r>
          <w:rPr>
            <w:noProof/>
            <w:webHidden/>
          </w:rPr>
          <w:tab/>
        </w:r>
        <w:r>
          <w:rPr>
            <w:noProof/>
            <w:webHidden/>
          </w:rPr>
          <w:fldChar w:fldCharType="begin"/>
        </w:r>
        <w:r>
          <w:rPr>
            <w:noProof/>
            <w:webHidden/>
          </w:rPr>
          <w:instrText xml:space="preserve"> PAGEREF _Toc150431777 \h </w:instrText>
        </w:r>
        <w:r>
          <w:rPr>
            <w:noProof/>
            <w:webHidden/>
          </w:rPr>
        </w:r>
        <w:r>
          <w:rPr>
            <w:noProof/>
            <w:webHidden/>
          </w:rPr>
          <w:fldChar w:fldCharType="separate"/>
        </w:r>
        <w:r>
          <w:rPr>
            <w:noProof/>
            <w:webHidden/>
          </w:rPr>
          <w:t>49</w:t>
        </w:r>
        <w:r>
          <w:rPr>
            <w:noProof/>
            <w:webHidden/>
          </w:rPr>
          <w:fldChar w:fldCharType="end"/>
        </w:r>
      </w:hyperlink>
    </w:p>
    <w:p w14:paraId="58900639" w14:textId="6E16F01F" w:rsidR="00434BDA" w:rsidRDefault="002C44DE">
      <w:pPr>
        <w:pStyle w:val="TOC1"/>
        <w:tabs>
          <w:tab w:val="left" w:pos="1702"/>
        </w:tabs>
        <w:rPr>
          <w:rFonts w:asciiTheme="minorHAnsi" w:hAnsiTheme="minorHAnsi" w:cstheme="minorBidi"/>
          <w:b w:val="0"/>
          <w:bCs w:val="0"/>
          <w:noProof/>
          <w:color w:val="auto"/>
          <w:kern w:val="2"/>
          <w:sz w:val="22"/>
          <w:szCs w:val="22"/>
          <w:lang w:val="en-AU" w:eastAsia="en-AU"/>
          <w14:ligatures w14:val="standardContextual"/>
        </w:rPr>
      </w:pPr>
      <w:hyperlink w:anchor="_Toc150431778" w:history="1">
        <w:r w:rsidR="00434BDA" w:rsidRPr="00FE7D08">
          <w:rPr>
            <w:rStyle w:val="Hyperlink"/>
            <w:noProof/>
          </w:rPr>
          <w:t>Appendix B</w:t>
        </w:r>
        <w:r w:rsidR="00434BDA">
          <w:rPr>
            <w:rFonts w:asciiTheme="minorHAnsi" w:hAnsiTheme="minorHAnsi" w:cstheme="minorBidi"/>
            <w:b w:val="0"/>
            <w:bCs w:val="0"/>
            <w:noProof/>
            <w:color w:val="auto"/>
            <w:kern w:val="2"/>
            <w:sz w:val="22"/>
            <w:szCs w:val="22"/>
            <w:lang w:val="en-AU" w:eastAsia="en-AU"/>
            <w14:ligatures w14:val="standardContextual"/>
          </w:rPr>
          <w:tab/>
        </w:r>
        <w:r w:rsidR="00434BDA" w:rsidRPr="00FE7D08">
          <w:rPr>
            <w:rStyle w:val="Hyperlink"/>
            <w:noProof/>
          </w:rPr>
          <w:t>Participant survey</w:t>
        </w:r>
        <w:r w:rsidR="00434BDA">
          <w:rPr>
            <w:noProof/>
            <w:webHidden/>
          </w:rPr>
          <w:tab/>
        </w:r>
        <w:r w:rsidR="00434BDA">
          <w:rPr>
            <w:noProof/>
            <w:webHidden/>
          </w:rPr>
          <w:fldChar w:fldCharType="begin"/>
        </w:r>
        <w:r w:rsidR="00434BDA">
          <w:rPr>
            <w:noProof/>
            <w:webHidden/>
          </w:rPr>
          <w:instrText xml:space="preserve"> PAGEREF _Toc150431778 \h </w:instrText>
        </w:r>
        <w:r w:rsidR="00434BDA">
          <w:rPr>
            <w:noProof/>
            <w:webHidden/>
          </w:rPr>
        </w:r>
        <w:r w:rsidR="00434BDA">
          <w:rPr>
            <w:noProof/>
            <w:webHidden/>
          </w:rPr>
          <w:fldChar w:fldCharType="separate"/>
        </w:r>
        <w:r w:rsidR="00434BDA">
          <w:rPr>
            <w:noProof/>
            <w:webHidden/>
          </w:rPr>
          <w:t>51</w:t>
        </w:r>
        <w:r w:rsidR="00434BDA">
          <w:rPr>
            <w:noProof/>
            <w:webHidden/>
          </w:rPr>
          <w:fldChar w:fldCharType="end"/>
        </w:r>
      </w:hyperlink>
    </w:p>
    <w:p w14:paraId="284BAEA5" w14:textId="4CC802CC" w:rsidR="00434BDA" w:rsidRDefault="002C44DE">
      <w:pPr>
        <w:pStyle w:val="TOC1"/>
        <w:tabs>
          <w:tab w:val="left" w:pos="1702"/>
        </w:tabs>
        <w:rPr>
          <w:rFonts w:asciiTheme="minorHAnsi" w:hAnsiTheme="minorHAnsi" w:cstheme="minorBidi"/>
          <w:b w:val="0"/>
          <w:bCs w:val="0"/>
          <w:noProof/>
          <w:color w:val="auto"/>
          <w:kern w:val="2"/>
          <w:sz w:val="22"/>
          <w:szCs w:val="22"/>
          <w:lang w:val="en-AU" w:eastAsia="en-AU"/>
          <w14:ligatures w14:val="standardContextual"/>
        </w:rPr>
      </w:pPr>
      <w:hyperlink w:anchor="_Toc150431779" w:history="1">
        <w:r w:rsidR="00434BDA" w:rsidRPr="00FE7D08">
          <w:rPr>
            <w:rStyle w:val="Hyperlink"/>
            <w:noProof/>
          </w:rPr>
          <w:t>Appendix C</w:t>
        </w:r>
        <w:r w:rsidR="00434BDA">
          <w:rPr>
            <w:rFonts w:asciiTheme="minorHAnsi" w:hAnsiTheme="minorHAnsi" w:cstheme="minorBidi"/>
            <w:b w:val="0"/>
            <w:bCs w:val="0"/>
            <w:noProof/>
            <w:color w:val="auto"/>
            <w:kern w:val="2"/>
            <w:sz w:val="22"/>
            <w:szCs w:val="22"/>
            <w:lang w:val="en-AU" w:eastAsia="en-AU"/>
            <w14:ligatures w14:val="standardContextual"/>
          </w:rPr>
          <w:tab/>
        </w:r>
        <w:r w:rsidR="00434BDA" w:rsidRPr="00FE7D08">
          <w:rPr>
            <w:rStyle w:val="Hyperlink"/>
            <w:noProof/>
          </w:rPr>
          <w:t>Evaluation matrix</w:t>
        </w:r>
        <w:r w:rsidR="00434BDA">
          <w:rPr>
            <w:noProof/>
            <w:webHidden/>
          </w:rPr>
          <w:tab/>
        </w:r>
        <w:r w:rsidR="00434BDA">
          <w:rPr>
            <w:noProof/>
            <w:webHidden/>
          </w:rPr>
          <w:fldChar w:fldCharType="begin"/>
        </w:r>
        <w:r w:rsidR="00434BDA">
          <w:rPr>
            <w:noProof/>
            <w:webHidden/>
          </w:rPr>
          <w:instrText xml:space="preserve"> PAGEREF _Toc150431779 \h </w:instrText>
        </w:r>
        <w:r w:rsidR="00434BDA">
          <w:rPr>
            <w:noProof/>
            <w:webHidden/>
          </w:rPr>
        </w:r>
        <w:r w:rsidR="00434BDA">
          <w:rPr>
            <w:noProof/>
            <w:webHidden/>
          </w:rPr>
          <w:fldChar w:fldCharType="separate"/>
        </w:r>
        <w:r w:rsidR="00434BDA">
          <w:rPr>
            <w:noProof/>
            <w:webHidden/>
          </w:rPr>
          <w:t>62</w:t>
        </w:r>
        <w:r w:rsidR="00434BDA">
          <w:rPr>
            <w:noProof/>
            <w:webHidden/>
          </w:rPr>
          <w:fldChar w:fldCharType="end"/>
        </w:r>
      </w:hyperlink>
    </w:p>
    <w:p w14:paraId="6B393C40" w14:textId="042D24CC" w:rsidR="002E1711" w:rsidRDefault="00434BDA" w:rsidP="00434BDA">
      <w:r>
        <w:fldChar w:fldCharType="end"/>
      </w:r>
      <w:r w:rsidR="002E1711">
        <w:br w:type="page"/>
      </w:r>
    </w:p>
    <w:p w14:paraId="4259A36C" w14:textId="68702BA3" w:rsidR="00D024D3" w:rsidRPr="00271CC9" w:rsidRDefault="004E658A" w:rsidP="004E658A">
      <w:pPr>
        <w:pStyle w:val="TOC1"/>
        <w:rPr>
          <w:rFonts w:asciiTheme="minorHAnsi" w:hAnsiTheme="minorHAnsi" w:cstheme="minorBidi"/>
          <w:color w:val="302F2F" w:themeColor="text1" w:themeTint="E6"/>
          <w:sz w:val="22"/>
          <w:szCs w:val="22"/>
          <w:lang w:eastAsia="en-AU"/>
        </w:rPr>
      </w:pPr>
      <w:r w:rsidRPr="00271CC9">
        <w:rPr>
          <w:rFonts w:asciiTheme="minorHAnsi" w:hAnsiTheme="minorHAnsi" w:cstheme="minorBidi"/>
          <w:color w:val="302F2F" w:themeColor="text1" w:themeTint="E6"/>
          <w:sz w:val="22"/>
          <w:szCs w:val="22"/>
          <w:lang w:eastAsia="en-AU"/>
        </w:rPr>
        <w:t>Ta</w:t>
      </w:r>
      <w:r w:rsidR="003D21E5" w:rsidRPr="00271CC9">
        <w:rPr>
          <w:rFonts w:asciiTheme="minorHAnsi" w:hAnsiTheme="minorHAnsi" w:cstheme="minorBidi"/>
          <w:color w:val="302F2F" w:themeColor="text1" w:themeTint="E6"/>
          <w:sz w:val="22"/>
          <w:szCs w:val="22"/>
          <w:lang w:eastAsia="en-AU"/>
        </w:rPr>
        <w:t>bles</w:t>
      </w:r>
    </w:p>
    <w:p w14:paraId="6E1F5579" w14:textId="6C651991" w:rsidR="000F4E34" w:rsidRDefault="003D21E5">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r w:rsidRPr="00271CC9">
        <w:rPr>
          <w:color w:val="302F2F" w:themeColor="text1" w:themeTint="E6"/>
          <w:lang w:eastAsia="en-AU"/>
        </w:rPr>
        <w:fldChar w:fldCharType="begin"/>
      </w:r>
      <w:r w:rsidRPr="00271CC9">
        <w:rPr>
          <w:color w:val="302F2F" w:themeColor="text1" w:themeTint="E6"/>
          <w:lang w:eastAsia="en-AU"/>
        </w:rPr>
        <w:instrText xml:space="preserve"> TOC \h \z \c "Table" </w:instrText>
      </w:r>
      <w:r w:rsidRPr="00271CC9">
        <w:rPr>
          <w:color w:val="302F2F" w:themeColor="text1" w:themeTint="E6"/>
          <w:lang w:eastAsia="en-AU"/>
        </w:rPr>
        <w:fldChar w:fldCharType="separate"/>
      </w:r>
      <w:hyperlink w:anchor="_Toc150431951" w:history="1">
        <w:r w:rsidR="000F4E34" w:rsidRPr="00537D97">
          <w:rPr>
            <w:rStyle w:val="Hyperlink"/>
            <w:noProof/>
          </w:rPr>
          <w:t>Table 1 Evaluation domains</w:t>
        </w:r>
        <w:r w:rsidR="000F4E34">
          <w:rPr>
            <w:noProof/>
            <w:webHidden/>
          </w:rPr>
          <w:tab/>
        </w:r>
        <w:r w:rsidR="000F4E34">
          <w:rPr>
            <w:noProof/>
            <w:webHidden/>
          </w:rPr>
          <w:fldChar w:fldCharType="begin"/>
        </w:r>
        <w:r w:rsidR="000F4E34">
          <w:rPr>
            <w:noProof/>
            <w:webHidden/>
          </w:rPr>
          <w:instrText xml:space="preserve"> PAGEREF _Toc150431951 \h </w:instrText>
        </w:r>
        <w:r w:rsidR="000F4E34">
          <w:rPr>
            <w:noProof/>
            <w:webHidden/>
          </w:rPr>
        </w:r>
        <w:r w:rsidR="000F4E34">
          <w:rPr>
            <w:noProof/>
            <w:webHidden/>
          </w:rPr>
          <w:fldChar w:fldCharType="separate"/>
        </w:r>
        <w:r w:rsidR="000F4E34">
          <w:rPr>
            <w:noProof/>
            <w:webHidden/>
          </w:rPr>
          <w:t>6</w:t>
        </w:r>
        <w:r w:rsidR="000F4E34">
          <w:rPr>
            <w:noProof/>
            <w:webHidden/>
          </w:rPr>
          <w:fldChar w:fldCharType="end"/>
        </w:r>
      </w:hyperlink>
    </w:p>
    <w:p w14:paraId="431EF55F" w14:textId="799582BE"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52" w:history="1">
        <w:r w:rsidR="000F4E34" w:rsidRPr="00537D97">
          <w:rPr>
            <w:rStyle w:val="Hyperlink"/>
            <w:noProof/>
          </w:rPr>
          <w:t>Table 2 Key evaluation questions</w:t>
        </w:r>
        <w:r w:rsidR="000F4E34">
          <w:rPr>
            <w:noProof/>
            <w:webHidden/>
          </w:rPr>
          <w:tab/>
        </w:r>
        <w:r w:rsidR="000F4E34">
          <w:rPr>
            <w:noProof/>
            <w:webHidden/>
          </w:rPr>
          <w:fldChar w:fldCharType="begin"/>
        </w:r>
        <w:r w:rsidR="000F4E34">
          <w:rPr>
            <w:noProof/>
            <w:webHidden/>
          </w:rPr>
          <w:instrText xml:space="preserve"> PAGEREF _Toc150431952 \h </w:instrText>
        </w:r>
        <w:r w:rsidR="000F4E34">
          <w:rPr>
            <w:noProof/>
            <w:webHidden/>
          </w:rPr>
        </w:r>
        <w:r w:rsidR="000F4E34">
          <w:rPr>
            <w:noProof/>
            <w:webHidden/>
          </w:rPr>
          <w:fldChar w:fldCharType="separate"/>
        </w:r>
        <w:r w:rsidR="000F4E34">
          <w:rPr>
            <w:noProof/>
            <w:webHidden/>
          </w:rPr>
          <w:t>7</w:t>
        </w:r>
        <w:r w:rsidR="000F4E34">
          <w:rPr>
            <w:noProof/>
            <w:webHidden/>
          </w:rPr>
          <w:fldChar w:fldCharType="end"/>
        </w:r>
      </w:hyperlink>
    </w:p>
    <w:p w14:paraId="15B82571" w14:textId="3DB3E273"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53" w:history="1">
        <w:r w:rsidR="000F4E34" w:rsidRPr="00537D97">
          <w:rPr>
            <w:rStyle w:val="Hyperlink"/>
            <w:noProof/>
          </w:rPr>
          <w:t>Table 3 Interim Evaluation Report data sources</w:t>
        </w:r>
        <w:r w:rsidR="000F4E34">
          <w:rPr>
            <w:noProof/>
            <w:webHidden/>
          </w:rPr>
          <w:tab/>
        </w:r>
        <w:r w:rsidR="000F4E34">
          <w:rPr>
            <w:noProof/>
            <w:webHidden/>
          </w:rPr>
          <w:fldChar w:fldCharType="begin"/>
        </w:r>
        <w:r w:rsidR="000F4E34">
          <w:rPr>
            <w:noProof/>
            <w:webHidden/>
          </w:rPr>
          <w:instrText xml:space="preserve"> PAGEREF _Toc150431953 \h </w:instrText>
        </w:r>
        <w:r w:rsidR="000F4E34">
          <w:rPr>
            <w:noProof/>
            <w:webHidden/>
          </w:rPr>
        </w:r>
        <w:r w:rsidR="000F4E34">
          <w:rPr>
            <w:noProof/>
            <w:webHidden/>
          </w:rPr>
          <w:fldChar w:fldCharType="separate"/>
        </w:r>
        <w:r w:rsidR="000F4E34">
          <w:rPr>
            <w:noProof/>
            <w:webHidden/>
          </w:rPr>
          <w:t>8</w:t>
        </w:r>
        <w:r w:rsidR="000F4E34">
          <w:rPr>
            <w:noProof/>
            <w:webHidden/>
          </w:rPr>
          <w:fldChar w:fldCharType="end"/>
        </w:r>
      </w:hyperlink>
    </w:p>
    <w:p w14:paraId="5481110E" w14:textId="6B80FA12"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54" w:history="1">
        <w:r w:rsidR="000F4E34" w:rsidRPr="00537D97">
          <w:rPr>
            <w:rStyle w:val="Hyperlink"/>
            <w:noProof/>
          </w:rPr>
          <w:t>Table 4 Living Learning client contact level system</w:t>
        </w:r>
        <w:r w:rsidR="000F4E34">
          <w:rPr>
            <w:noProof/>
            <w:webHidden/>
          </w:rPr>
          <w:tab/>
        </w:r>
        <w:r w:rsidR="000F4E34">
          <w:rPr>
            <w:noProof/>
            <w:webHidden/>
          </w:rPr>
          <w:fldChar w:fldCharType="begin"/>
        </w:r>
        <w:r w:rsidR="000F4E34">
          <w:rPr>
            <w:noProof/>
            <w:webHidden/>
          </w:rPr>
          <w:instrText xml:space="preserve"> PAGEREF _Toc150431954 \h </w:instrText>
        </w:r>
        <w:r w:rsidR="000F4E34">
          <w:rPr>
            <w:noProof/>
            <w:webHidden/>
          </w:rPr>
        </w:r>
        <w:r w:rsidR="000F4E34">
          <w:rPr>
            <w:noProof/>
            <w:webHidden/>
          </w:rPr>
          <w:fldChar w:fldCharType="separate"/>
        </w:r>
        <w:r w:rsidR="000F4E34">
          <w:rPr>
            <w:noProof/>
            <w:webHidden/>
          </w:rPr>
          <w:t>12</w:t>
        </w:r>
        <w:r w:rsidR="000F4E34">
          <w:rPr>
            <w:noProof/>
            <w:webHidden/>
          </w:rPr>
          <w:fldChar w:fldCharType="end"/>
        </w:r>
      </w:hyperlink>
    </w:p>
    <w:p w14:paraId="767817FB" w14:textId="523FFB86"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55" w:history="1">
        <w:r w:rsidR="000F4E34" w:rsidRPr="00537D97">
          <w:rPr>
            <w:rStyle w:val="Hyperlink"/>
            <w:noProof/>
          </w:rPr>
          <w:t>Table 5 Allied Health team interventions</w:t>
        </w:r>
        <w:r w:rsidR="000F4E34">
          <w:rPr>
            <w:noProof/>
            <w:webHidden/>
          </w:rPr>
          <w:tab/>
        </w:r>
        <w:r w:rsidR="000F4E34">
          <w:rPr>
            <w:noProof/>
            <w:webHidden/>
          </w:rPr>
          <w:fldChar w:fldCharType="begin"/>
        </w:r>
        <w:r w:rsidR="000F4E34">
          <w:rPr>
            <w:noProof/>
            <w:webHidden/>
          </w:rPr>
          <w:instrText xml:space="preserve"> PAGEREF _Toc150431955 \h </w:instrText>
        </w:r>
        <w:r w:rsidR="000F4E34">
          <w:rPr>
            <w:noProof/>
            <w:webHidden/>
          </w:rPr>
        </w:r>
        <w:r w:rsidR="000F4E34">
          <w:rPr>
            <w:noProof/>
            <w:webHidden/>
          </w:rPr>
          <w:fldChar w:fldCharType="separate"/>
        </w:r>
        <w:r w:rsidR="000F4E34">
          <w:rPr>
            <w:noProof/>
            <w:webHidden/>
          </w:rPr>
          <w:t>14</w:t>
        </w:r>
        <w:r w:rsidR="000F4E34">
          <w:rPr>
            <w:noProof/>
            <w:webHidden/>
          </w:rPr>
          <w:fldChar w:fldCharType="end"/>
        </w:r>
      </w:hyperlink>
    </w:p>
    <w:p w14:paraId="783CE67A" w14:textId="3BB8CCF8"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56" w:history="1">
        <w:r w:rsidR="000F4E34" w:rsidRPr="00537D97">
          <w:rPr>
            <w:rStyle w:val="Hyperlink"/>
            <w:noProof/>
          </w:rPr>
          <w:t>Table 6 Planned education support for ex-HHA cohort</w:t>
        </w:r>
        <w:r w:rsidR="000F4E34">
          <w:rPr>
            <w:noProof/>
            <w:webHidden/>
          </w:rPr>
          <w:tab/>
        </w:r>
        <w:r w:rsidR="000F4E34">
          <w:rPr>
            <w:noProof/>
            <w:webHidden/>
          </w:rPr>
          <w:fldChar w:fldCharType="begin"/>
        </w:r>
        <w:r w:rsidR="000F4E34">
          <w:rPr>
            <w:noProof/>
            <w:webHidden/>
          </w:rPr>
          <w:instrText xml:space="preserve"> PAGEREF _Toc150431956 \h </w:instrText>
        </w:r>
        <w:r w:rsidR="000F4E34">
          <w:rPr>
            <w:noProof/>
            <w:webHidden/>
          </w:rPr>
        </w:r>
        <w:r w:rsidR="000F4E34">
          <w:rPr>
            <w:noProof/>
            <w:webHidden/>
          </w:rPr>
          <w:fldChar w:fldCharType="separate"/>
        </w:r>
        <w:r w:rsidR="000F4E34">
          <w:rPr>
            <w:noProof/>
            <w:webHidden/>
          </w:rPr>
          <w:t>20</w:t>
        </w:r>
        <w:r w:rsidR="000F4E34">
          <w:rPr>
            <w:noProof/>
            <w:webHidden/>
          </w:rPr>
          <w:fldChar w:fldCharType="end"/>
        </w:r>
      </w:hyperlink>
    </w:p>
    <w:p w14:paraId="5362BE8B" w14:textId="344C6FA6"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57" w:history="1">
        <w:r w:rsidR="000F4E34" w:rsidRPr="00537D97">
          <w:rPr>
            <w:rStyle w:val="Hyperlink"/>
            <w:noProof/>
          </w:rPr>
          <w:t>Table 7 Referral sources of Cohort 1 and 2 participants</w:t>
        </w:r>
        <w:r w:rsidR="000F4E34">
          <w:rPr>
            <w:noProof/>
            <w:webHidden/>
          </w:rPr>
          <w:tab/>
        </w:r>
        <w:r w:rsidR="000F4E34">
          <w:rPr>
            <w:noProof/>
            <w:webHidden/>
          </w:rPr>
          <w:fldChar w:fldCharType="begin"/>
        </w:r>
        <w:r w:rsidR="000F4E34">
          <w:rPr>
            <w:noProof/>
            <w:webHidden/>
          </w:rPr>
          <w:instrText xml:space="preserve"> PAGEREF _Toc150431957 \h </w:instrText>
        </w:r>
        <w:r w:rsidR="000F4E34">
          <w:rPr>
            <w:noProof/>
            <w:webHidden/>
          </w:rPr>
        </w:r>
        <w:r w:rsidR="000F4E34">
          <w:rPr>
            <w:noProof/>
            <w:webHidden/>
          </w:rPr>
          <w:fldChar w:fldCharType="separate"/>
        </w:r>
        <w:r w:rsidR="000F4E34">
          <w:rPr>
            <w:noProof/>
            <w:webHidden/>
          </w:rPr>
          <w:t>24</w:t>
        </w:r>
        <w:r w:rsidR="000F4E34">
          <w:rPr>
            <w:noProof/>
            <w:webHidden/>
          </w:rPr>
          <w:fldChar w:fldCharType="end"/>
        </w:r>
      </w:hyperlink>
    </w:p>
    <w:p w14:paraId="0E34CDD0" w14:textId="16221663"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58" w:history="1">
        <w:r w:rsidR="000F4E34" w:rsidRPr="00537D97">
          <w:rPr>
            <w:rStyle w:val="Hyperlink"/>
            <w:noProof/>
          </w:rPr>
          <w:t>Table 8 Attendance percentage for Living Learning and HHA students in 2021 and 2022</w:t>
        </w:r>
        <w:r w:rsidR="000F4E34">
          <w:rPr>
            <w:noProof/>
            <w:webHidden/>
          </w:rPr>
          <w:tab/>
        </w:r>
        <w:r w:rsidR="000F4E34">
          <w:rPr>
            <w:noProof/>
            <w:webHidden/>
          </w:rPr>
          <w:fldChar w:fldCharType="begin"/>
        </w:r>
        <w:r w:rsidR="000F4E34">
          <w:rPr>
            <w:noProof/>
            <w:webHidden/>
          </w:rPr>
          <w:instrText xml:space="preserve"> PAGEREF _Toc150431958 \h </w:instrText>
        </w:r>
        <w:r w:rsidR="000F4E34">
          <w:rPr>
            <w:noProof/>
            <w:webHidden/>
          </w:rPr>
        </w:r>
        <w:r w:rsidR="000F4E34">
          <w:rPr>
            <w:noProof/>
            <w:webHidden/>
          </w:rPr>
          <w:fldChar w:fldCharType="separate"/>
        </w:r>
        <w:r w:rsidR="000F4E34">
          <w:rPr>
            <w:noProof/>
            <w:webHidden/>
          </w:rPr>
          <w:t>26</w:t>
        </w:r>
        <w:r w:rsidR="000F4E34">
          <w:rPr>
            <w:noProof/>
            <w:webHidden/>
          </w:rPr>
          <w:fldChar w:fldCharType="end"/>
        </w:r>
      </w:hyperlink>
    </w:p>
    <w:p w14:paraId="1AC86CF2" w14:textId="0E1E0CE7"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59" w:history="1">
        <w:r w:rsidR="000F4E34" w:rsidRPr="00537D97">
          <w:rPr>
            <w:rStyle w:val="Hyperlink"/>
            <w:noProof/>
          </w:rPr>
          <w:t>Table 9 Attendance percentage by school terms for Living Learning and HHA students in 2021 and 2022</w:t>
        </w:r>
        <w:r w:rsidR="000F4E34">
          <w:rPr>
            <w:noProof/>
            <w:webHidden/>
          </w:rPr>
          <w:tab/>
        </w:r>
        <w:r w:rsidR="000F4E34">
          <w:rPr>
            <w:noProof/>
            <w:webHidden/>
          </w:rPr>
          <w:fldChar w:fldCharType="begin"/>
        </w:r>
        <w:r w:rsidR="000F4E34">
          <w:rPr>
            <w:noProof/>
            <w:webHidden/>
          </w:rPr>
          <w:instrText xml:space="preserve"> PAGEREF _Toc150431959 \h </w:instrText>
        </w:r>
        <w:r w:rsidR="000F4E34">
          <w:rPr>
            <w:noProof/>
            <w:webHidden/>
          </w:rPr>
        </w:r>
        <w:r w:rsidR="000F4E34">
          <w:rPr>
            <w:noProof/>
            <w:webHidden/>
          </w:rPr>
          <w:fldChar w:fldCharType="separate"/>
        </w:r>
        <w:r w:rsidR="000F4E34">
          <w:rPr>
            <w:noProof/>
            <w:webHidden/>
          </w:rPr>
          <w:t>27</w:t>
        </w:r>
        <w:r w:rsidR="000F4E34">
          <w:rPr>
            <w:noProof/>
            <w:webHidden/>
          </w:rPr>
          <w:fldChar w:fldCharType="end"/>
        </w:r>
      </w:hyperlink>
    </w:p>
    <w:p w14:paraId="1608453A" w14:textId="71D341C4"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60" w:history="1">
        <w:r w:rsidR="000F4E34" w:rsidRPr="00537D97">
          <w:rPr>
            <w:rStyle w:val="Hyperlink"/>
            <w:noProof/>
          </w:rPr>
          <w:t>Table 10 Definitions of acronyms used</w:t>
        </w:r>
        <w:r w:rsidR="000F4E34">
          <w:rPr>
            <w:noProof/>
            <w:webHidden/>
          </w:rPr>
          <w:tab/>
        </w:r>
        <w:r w:rsidR="000F4E34">
          <w:rPr>
            <w:noProof/>
            <w:webHidden/>
          </w:rPr>
          <w:fldChar w:fldCharType="begin"/>
        </w:r>
        <w:r w:rsidR="000F4E34">
          <w:rPr>
            <w:noProof/>
            <w:webHidden/>
          </w:rPr>
          <w:instrText xml:space="preserve"> PAGEREF _Toc150431960 \h </w:instrText>
        </w:r>
        <w:r w:rsidR="000F4E34">
          <w:rPr>
            <w:noProof/>
            <w:webHidden/>
          </w:rPr>
        </w:r>
        <w:r w:rsidR="000F4E34">
          <w:rPr>
            <w:noProof/>
            <w:webHidden/>
          </w:rPr>
          <w:fldChar w:fldCharType="separate"/>
        </w:r>
        <w:r w:rsidR="000F4E34">
          <w:rPr>
            <w:noProof/>
            <w:webHidden/>
          </w:rPr>
          <w:t>46</w:t>
        </w:r>
        <w:r w:rsidR="000F4E34">
          <w:rPr>
            <w:noProof/>
            <w:webHidden/>
          </w:rPr>
          <w:fldChar w:fldCharType="end"/>
        </w:r>
      </w:hyperlink>
    </w:p>
    <w:p w14:paraId="56547638" w14:textId="21F8E1C0"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61" w:history="1">
        <w:r w:rsidR="000F4E34" w:rsidRPr="00537D97">
          <w:rPr>
            <w:rStyle w:val="Hyperlink"/>
            <w:noProof/>
          </w:rPr>
          <w:t>Table 11 KEQ F1: To what extent does the design of the Living Learning Program model reflect contemporary or emerging evidence for good policy and practice?</w:t>
        </w:r>
        <w:r w:rsidR="000F4E34">
          <w:rPr>
            <w:noProof/>
            <w:webHidden/>
          </w:rPr>
          <w:tab/>
        </w:r>
        <w:r w:rsidR="000F4E34">
          <w:rPr>
            <w:noProof/>
            <w:webHidden/>
          </w:rPr>
          <w:fldChar w:fldCharType="begin"/>
        </w:r>
        <w:r w:rsidR="000F4E34">
          <w:rPr>
            <w:noProof/>
            <w:webHidden/>
          </w:rPr>
          <w:instrText xml:space="preserve"> PAGEREF _Toc150431961 \h </w:instrText>
        </w:r>
        <w:r w:rsidR="000F4E34">
          <w:rPr>
            <w:noProof/>
            <w:webHidden/>
          </w:rPr>
        </w:r>
        <w:r w:rsidR="000F4E34">
          <w:rPr>
            <w:noProof/>
            <w:webHidden/>
          </w:rPr>
          <w:fldChar w:fldCharType="separate"/>
        </w:r>
        <w:r w:rsidR="000F4E34">
          <w:rPr>
            <w:noProof/>
            <w:webHidden/>
          </w:rPr>
          <w:t>63</w:t>
        </w:r>
        <w:r w:rsidR="000F4E34">
          <w:rPr>
            <w:noProof/>
            <w:webHidden/>
          </w:rPr>
          <w:fldChar w:fldCharType="end"/>
        </w:r>
      </w:hyperlink>
    </w:p>
    <w:p w14:paraId="01482C5F" w14:textId="11F6CAD4"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62" w:history="1">
        <w:r w:rsidR="000F4E34" w:rsidRPr="00537D97">
          <w:rPr>
            <w:rStyle w:val="Hyperlink"/>
            <w:noProof/>
          </w:rPr>
          <w:t>Table 12 KEQ F2: To what extent has the Living Learning Program model been implemented as planned?</w:t>
        </w:r>
        <w:r w:rsidR="000F4E34">
          <w:rPr>
            <w:noProof/>
            <w:webHidden/>
          </w:rPr>
          <w:tab/>
        </w:r>
        <w:r w:rsidR="000F4E34">
          <w:rPr>
            <w:noProof/>
            <w:webHidden/>
          </w:rPr>
          <w:fldChar w:fldCharType="begin"/>
        </w:r>
        <w:r w:rsidR="000F4E34">
          <w:rPr>
            <w:noProof/>
            <w:webHidden/>
          </w:rPr>
          <w:instrText xml:space="preserve"> PAGEREF _Toc150431962 \h </w:instrText>
        </w:r>
        <w:r w:rsidR="000F4E34">
          <w:rPr>
            <w:noProof/>
            <w:webHidden/>
          </w:rPr>
        </w:r>
        <w:r w:rsidR="000F4E34">
          <w:rPr>
            <w:noProof/>
            <w:webHidden/>
          </w:rPr>
          <w:fldChar w:fldCharType="separate"/>
        </w:r>
        <w:r w:rsidR="000F4E34">
          <w:rPr>
            <w:noProof/>
            <w:webHidden/>
          </w:rPr>
          <w:t>63</w:t>
        </w:r>
        <w:r w:rsidR="000F4E34">
          <w:rPr>
            <w:noProof/>
            <w:webHidden/>
          </w:rPr>
          <w:fldChar w:fldCharType="end"/>
        </w:r>
      </w:hyperlink>
    </w:p>
    <w:p w14:paraId="48DAECD0" w14:textId="6CEFDEAC"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63" w:history="1">
        <w:r w:rsidR="000F4E34" w:rsidRPr="00537D97">
          <w:rPr>
            <w:rStyle w:val="Hyperlink"/>
            <w:noProof/>
          </w:rPr>
          <w:t>Table 13 KEQ F3: How has the PAD funding model enabled or hindered implementation?</w:t>
        </w:r>
        <w:r w:rsidR="000F4E34">
          <w:rPr>
            <w:noProof/>
            <w:webHidden/>
          </w:rPr>
          <w:tab/>
        </w:r>
        <w:r w:rsidR="000F4E34">
          <w:rPr>
            <w:noProof/>
            <w:webHidden/>
          </w:rPr>
          <w:fldChar w:fldCharType="begin"/>
        </w:r>
        <w:r w:rsidR="000F4E34">
          <w:rPr>
            <w:noProof/>
            <w:webHidden/>
          </w:rPr>
          <w:instrText xml:space="preserve"> PAGEREF _Toc150431963 \h </w:instrText>
        </w:r>
        <w:r w:rsidR="000F4E34">
          <w:rPr>
            <w:noProof/>
            <w:webHidden/>
          </w:rPr>
        </w:r>
        <w:r w:rsidR="000F4E34">
          <w:rPr>
            <w:noProof/>
            <w:webHidden/>
          </w:rPr>
          <w:fldChar w:fldCharType="separate"/>
        </w:r>
        <w:r w:rsidR="000F4E34">
          <w:rPr>
            <w:noProof/>
            <w:webHidden/>
          </w:rPr>
          <w:t>65</w:t>
        </w:r>
        <w:r w:rsidR="000F4E34">
          <w:rPr>
            <w:noProof/>
            <w:webHidden/>
          </w:rPr>
          <w:fldChar w:fldCharType="end"/>
        </w:r>
      </w:hyperlink>
    </w:p>
    <w:p w14:paraId="11BBB92A" w14:textId="528E3860"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64" w:history="1">
        <w:r w:rsidR="000F4E34" w:rsidRPr="00537D97">
          <w:rPr>
            <w:rStyle w:val="Hyperlink"/>
            <w:noProof/>
          </w:rPr>
          <w:t>Table 14 KEQ F4: What key lessons and opportunities for program improvement arise from the PAD negotiation and early implementation period?</w:t>
        </w:r>
        <w:r w:rsidR="000F4E34">
          <w:rPr>
            <w:noProof/>
            <w:webHidden/>
          </w:rPr>
          <w:tab/>
        </w:r>
        <w:r w:rsidR="000F4E34">
          <w:rPr>
            <w:noProof/>
            <w:webHidden/>
          </w:rPr>
          <w:fldChar w:fldCharType="begin"/>
        </w:r>
        <w:r w:rsidR="000F4E34">
          <w:rPr>
            <w:noProof/>
            <w:webHidden/>
          </w:rPr>
          <w:instrText xml:space="preserve"> PAGEREF _Toc150431964 \h </w:instrText>
        </w:r>
        <w:r w:rsidR="000F4E34">
          <w:rPr>
            <w:noProof/>
            <w:webHidden/>
          </w:rPr>
        </w:r>
        <w:r w:rsidR="000F4E34">
          <w:rPr>
            <w:noProof/>
            <w:webHidden/>
          </w:rPr>
          <w:fldChar w:fldCharType="separate"/>
        </w:r>
        <w:r w:rsidR="000F4E34">
          <w:rPr>
            <w:noProof/>
            <w:webHidden/>
          </w:rPr>
          <w:t>65</w:t>
        </w:r>
        <w:r w:rsidR="000F4E34">
          <w:rPr>
            <w:noProof/>
            <w:webHidden/>
          </w:rPr>
          <w:fldChar w:fldCharType="end"/>
        </w:r>
      </w:hyperlink>
    </w:p>
    <w:p w14:paraId="69BB37C7" w14:textId="171E3CF2"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65" w:history="1">
        <w:r w:rsidR="000F4E34" w:rsidRPr="00537D97">
          <w:rPr>
            <w:rStyle w:val="Hyperlink"/>
            <w:noProof/>
          </w:rPr>
          <w:t>Table 15 KEQ O1: What outcomes are observed for program participants?</w:t>
        </w:r>
        <w:r w:rsidR="000F4E34">
          <w:rPr>
            <w:noProof/>
            <w:webHidden/>
          </w:rPr>
          <w:tab/>
        </w:r>
        <w:r w:rsidR="000F4E34">
          <w:rPr>
            <w:noProof/>
            <w:webHidden/>
          </w:rPr>
          <w:fldChar w:fldCharType="begin"/>
        </w:r>
        <w:r w:rsidR="000F4E34">
          <w:rPr>
            <w:noProof/>
            <w:webHidden/>
          </w:rPr>
          <w:instrText xml:space="preserve"> PAGEREF _Toc150431965 \h </w:instrText>
        </w:r>
        <w:r w:rsidR="000F4E34">
          <w:rPr>
            <w:noProof/>
            <w:webHidden/>
          </w:rPr>
        </w:r>
        <w:r w:rsidR="000F4E34">
          <w:rPr>
            <w:noProof/>
            <w:webHidden/>
          </w:rPr>
          <w:fldChar w:fldCharType="separate"/>
        </w:r>
        <w:r w:rsidR="000F4E34">
          <w:rPr>
            <w:noProof/>
            <w:webHidden/>
          </w:rPr>
          <w:t>66</w:t>
        </w:r>
        <w:r w:rsidR="000F4E34">
          <w:rPr>
            <w:noProof/>
            <w:webHidden/>
          </w:rPr>
          <w:fldChar w:fldCharType="end"/>
        </w:r>
      </w:hyperlink>
    </w:p>
    <w:p w14:paraId="4E57BDFC" w14:textId="16C8344E"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66" w:history="1">
        <w:r w:rsidR="000F4E34" w:rsidRPr="00537D97">
          <w:rPr>
            <w:rStyle w:val="Hyperlink"/>
            <w:noProof/>
          </w:rPr>
          <w:t>Table 16 KEQ O2: What outcomes or impacts are observed for other program stakeholders?</w:t>
        </w:r>
        <w:r w:rsidR="000F4E34">
          <w:rPr>
            <w:noProof/>
            <w:webHidden/>
          </w:rPr>
          <w:tab/>
        </w:r>
        <w:r w:rsidR="000F4E34">
          <w:rPr>
            <w:noProof/>
            <w:webHidden/>
          </w:rPr>
          <w:fldChar w:fldCharType="begin"/>
        </w:r>
        <w:r w:rsidR="000F4E34">
          <w:rPr>
            <w:noProof/>
            <w:webHidden/>
          </w:rPr>
          <w:instrText xml:space="preserve"> PAGEREF _Toc150431966 \h </w:instrText>
        </w:r>
        <w:r w:rsidR="000F4E34">
          <w:rPr>
            <w:noProof/>
            <w:webHidden/>
          </w:rPr>
        </w:r>
        <w:r w:rsidR="000F4E34">
          <w:rPr>
            <w:noProof/>
            <w:webHidden/>
          </w:rPr>
          <w:fldChar w:fldCharType="separate"/>
        </w:r>
        <w:r w:rsidR="000F4E34">
          <w:rPr>
            <w:noProof/>
            <w:webHidden/>
          </w:rPr>
          <w:t>69</w:t>
        </w:r>
        <w:r w:rsidR="000F4E34">
          <w:rPr>
            <w:noProof/>
            <w:webHidden/>
          </w:rPr>
          <w:fldChar w:fldCharType="end"/>
        </w:r>
      </w:hyperlink>
    </w:p>
    <w:p w14:paraId="17204D95" w14:textId="0DAA3B8B"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67" w:history="1">
        <w:r w:rsidR="000F4E34" w:rsidRPr="00537D97">
          <w:rPr>
            <w:rStyle w:val="Hyperlink"/>
            <w:noProof/>
          </w:rPr>
          <w:t>Table 17 KEQ O3: What contribution does the Living Learning Program make to the observed outcomes?</w:t>
        </w:r>
        <w:r w:rsidR="000F4E34">
          <w:rPr>
            <w:noProof/>
            <w:webHidden/>
          </w:rPr>
          <w:tab/>
        </w:r>
        <w:r w:rsidR="000F4E34">
          <w:rPr>
            <w:noProof/>
            <w:webHidden/>
          </w:rPr>
          <w:fldChar w:fldCharType="begin"/>
        </w:r>
        <w:r w:rsidR="000F4E34">
          <w:rPr>
            <w:noProof/>
            <w:webHidden/>
          </w:rPr>
          <w:instrText xml:space="preserve"> PAGEREF _Toc150431967 \h </w:instrText>
        </w:r>
        <w:r w:rsidR="000F4E34">
          <w:rPr>
            <w:noProof/>
            <w:webHidden/>
          </w:rPr>
        </w:r>
        <w:r w:rsidR="000F4E34">
          <w:rPr>
            <w:noProof/>
            <w:webHidden/>
          </w:rPr>
          <w:fldChar w:fldCharType="separate"/>
        </w:r>
        <w:r w:rsidR="000F4E34">
          <w:rPr>
            <w:noProof/>
            <w:webHidden/>
          </w:rPr>
          <w:t>70</w:t>
        </w:r>
        <w:r w:rsidR="000F4E34">
          <w:rPr>
            <w:noProof/>
            <w:webHidden/>
          </w:rPr>
          <w:fldChar w:fldCharType="end"/>
        </w:r>
      </w:hyperlink>
    </w:p>
    <w:p w14:paraId="4D4D0939" w14:textId="43027AC5"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68" w:history="1">
        <w:r w:rsidR="000F4E34" w:rsidRPr="00537D97">
          <w:rPr>
            <w:rStyle w:val="Hyperlink"/>
            <w:noProof/>
          </w:rPr>
          <w:t>Table 18 KEQ O4: What external factors influence program outcomes and impact?</w:t>
        </w:r>
        <w:r w:rsidR="000F4E34">
          <w:rPr>
            <w:noProof/>
            <w:webHidden/>
          </w:rPr>
          <w:tab/>
        </w:r>
        <w:r w:rsidR="000F4E34">
          <w:rPr>
            <w:noProof/>
            <w:webHidden/>
          </w:rPr>
          <w:fldChar w:fldCharType="begin"/>
        </w:r>
        <w:r w:rsidR="000F4E34">
          <w:rPr>
            <w:noProof/>
            <w:webHidden/>
          </w:rPr>
          <w:instrText xml:space="preserve"> PAGEREF _Toc150431968 \h </w:instrText>
        </w:r>
        <w:r w:rsidR="000F4E34">
          <w:rPr>
            <w:noProof/>
            <w:webHidden/>
          </w:rPr>
        </w:r>
        <w:r w:rsidR="000F4E34">
          <w:rPr>
            <w:noProof/>
            <w:webHidden/>
          </w:rPr>
          <w:fldChar w:fldCharType="separate"/>
        </w:r>
        <w:r w:rsidR="000F4E34">
          <w:rPr>
            <w:noProof/>
            <w:webHidden/>
          </w:rPr>
          <w:t>71</w:t>
        </w:r>
        <w:r w:rsidR="000F4E34">
          <w:rPr>
            <w:noProof/>
            <w:webHidden/>
          </w:rPr>
          <w:fldChar w:fldCharType="end"/>
        </w:r>
      </w:hyperlink>
    </w:p>
    <w:p w14:paraId="1F679D1C" w14:textId="28854395"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69" w:history="1">
        <w:r w:rsidR="000F4E34" w:rsidRPr="00537D97">
          <w:rPr>
            <w:rStyle w:val="Hyperlink"/>
            <w:noProof/>
          </w:rPr>
          <w:t>Table 19 KEQ O5: How has the PAD funding model influenced the outcomes?</w:t>
        </w:r>
        <w:r w:rsidR="000F4E34">
          <w:rPr>
            <w:noProof/>
            <w:webHidden/>
          </w:rPr>
          <w:tab/>
        </w:r>
        <w:r w:rsidR="000F4E34">
          <w:rPr>
            <w:noProof/>
            <w:webHidden/>
          </w:rPr>
          <w:fldChar w:fldCharType="begin"/>
        </w:r>
        <w:r w:rsidR="000F4E34">
          <w:rPr>
            <w:noProof/>
            <w:webHidden/>
          </w:rPr>
          <w:instrText xml:space="preserve"> PAGEREF _Toc150431969 \h </w:instrText>
        </w:r>
        <w:r w:rsidR="000F4E34">
          <w:rPr>
            <w:noProof/>
            <w:webHidden/>
          </w:rPr>
        </w:r>
        <w:r w:rsidR="000F4E34">
          <w:rPr>
            <w:noProof/>
            <w:webHidden/>
          </w:rPr>
          <w:fldChar w:fldCharType="separate"/>
        </w:r>
        <w:r w:rsidR="000F4E34">
          <w:rPr>
            <w:noProof/>
            <w:webHidden/>
          </w:rPr>
          <w:t>73</w:t>
        </w:r>
        <w:r w:rsidR="000F4E34">
          <w:rPr>
            <w:noProof/>
            <w:webHidden/>
          </w:rPr>
          <w:fldChar w:fldCharType="end"/>
        </w:r>
      </w:hyperlink>
    </w:p>
    <w:p w14:paraId="650306FF" w14:textId="0F0E5AC6"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70" w:history="1">
        <w:r w:rsidR="000F4E34" w:rsidRPr="00537D97">
          <w:rPr>
            <w:rStyle w:val="Hyperlink"/>
            <w:noProof/>
          </w:rPr>
          <w:t>Table 20 KEQ O6: How sustainable and scalable is the Living Learning Program with its current funding model?</w:t>
        </w:r>
        <w:r w:rsidR="000F4E34">
          <w:rPr>
            <w:noProof/>
            <w:webHidden/>
          </w:rPr>
          <w:tab/>
        </w:r>
        <w:r w:rsidR="000F4E34">
          <w:rPr>
            <w:noProof/>
            <w:webHidden/>
          </w:rPr>
          <w:fldChar w:fldCharType="begin"/>
        </w:r>
        <w:r w:rsidR="000F4E34">
          <w:rPr>
            <w:noProof/>
            <w:webHidden/>
          </w:rPr>
          <w:instrText xml:space="preserve"> PAGEREF _Toc150431970 \h </w:instrText>
        </w:r>
        <w:r w:rsidR="000F4E34">
          <w:rPr>
            <w:noProof/>
            <w:webHidden/>
          </w:rPr>
        </w:r>
        <w:r w:rsidR="000F4E34">
          <w:rPr>
            <w:noProof/>
            <w:webHidden/>
          </w:rPr>
          <w:fldChar w:fldCharType="separate"/>
        </w:r>
        <w:r w:rsidR="000F4E34">
          <w:rPr>
            <w:noProof/>
            <w:webHidden/>
          </w:rPr>
          <w:t>74</w:t>
        </w:r>
        <w:r w:rsidR="000F4E34">
          <w:rPr>
            <w:noProof/>
            <w:webHidden/>
          </w:rPr>
          <w:fldChar w:fldCharType="end"/>
        </w:r>
      </w:hyperlink>
    </w:p>
    <w:p w14:paraId="40305DF2" w14:textId="1F03C66F"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71" w:history="1">
        <w:r w:rsidR="000F4E34" w:rsidRPr="00537D97">
          <w:rPr>
            <w:rStyle w:val="Hyperlink"/>
            <w:noProof/>
          </w:rPr>
          <w:t>Table 21 KEQ E1: To what extent does the Living Learning PAD achieve a net economic benefit for Victoria?</w:t>
        </w:r>
        <w:r w:rsidR="000F4E34">
          <w:rPr>
            <w:noProof/>
            <w:webHidden/>
          </w:rPr>
          <w:tab/>
        </w:r>
        <w:r w:rsidR="000F4E34">
          <w:rPr>
            <w:noProof/>
            <w:webHidden/>
          </w:rPr>
          <w:fldChar w:fldCharType="begin"/>
        </w:r>
        <w:r w:rsidR="000F4E34">
          <w:rPr>
            <w:noProof/>
            <w:webHidden/>
          </w:rPr>
          <w:instrText xml:space="preserve"> PAGEREF _Toc150431971 \h </w:instrText>
        </w:r>
        <w:r w:rsidR="000F4E34">
          <w:rPr>
            <w:noProof/>
            <w:webHidden/>
          </w:rPr>
        </w:r>
        <w:r w:rsidR="000F4E34">
          <w:rPr>
            <w:noProof/>
            <w:webHidden/>
          </w:rPr>
          <w:fldChar w:fldCharType="separate"/>
        </w:r>
        <w:r w:rsidR="000F4E34">
          <w:rPr>
            <w:noProof/>
            <w:webHidden/>
          </w:rPr>
          <w:t>75</w:t>
        </w:r>
        <w:r w:rsidR="000F4E34">
          <w:rPr>
            <w:noProof/>
            <w:webHidden/>
          </w:rPr>
          <w:fldChar w:fldCharType="end"/>
        </w:r>
      </w:hyperlink>
    </w:p>
    <w:p w14:paraId="1A90E9AE" w14:textId="0E175742"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72" w:history="1">
        <w:r w:rsidR="000F4E34" w:rsidRPr="00537D97">
          <w:rPr>
            <w:rStyle w:val="Hyperlink"/>
            <w:noProof/>
          </w:rPr>
          <w:t>Table 22 KEQ E2: How does the PAD funding mechanism enable or hinder value for money delivery of the PAD program?</w:t>
        </w:r>
        <w:r w:rsidR="000F4E34">
          <w:rPr>
            <w:noProof/>
            <w:webHidden/>
          </w:rPr>
          <w:tab/>
        </w:r>
        <w:r w:rsidR="000F4E34">
          <w:rPr>
            <w:noProof/>
            <w:webHidden/>
          </w:rPr>
          <w:fldChar w:fldCharType="begin"/>
        </w:r>
        <w:r w:rsidR="000F4E34">
          <w:rPr>
            <w:noProof/>
            <w:webHidden/>
          </w:rPr>
          <w:instrText xml:space="preserve"> PAGEREF _Toc150431972 \h </w:instrText>
        </w:r>
        <w:r w:rsidR="000F4E34">
          <w:rPr>
            <w:noProof/>
            <w:webHidden/>
          </w:rPr>
        </w:r>
        <w:r w:rsidR="000F4E34">
          <w:rPr>
            <w:noProof/>
            <w:webHidden/>
          </w:rPr>
          <w:fldChar w:fldCharType="separate"/>
        </w:r>
        <w:r w:rsidR="000F4E34">
          <w:rPr>
            <w:noProof/>
            <w:webHidden/>
          </w:rPr>
          <w:t>75</w:t>
        </w:r>
        <w:r w:rsidR="000F4E34">
          <w:rPr>
            <w:noProof/>
            <w:webHidden/>
          </w:rPr>
          <w:fldChar w:fldCharType="end"/>
        </w:r>
      </w:hyperlink>
    </w:p>
    <w:p w14:paraId="446166BE" w14:textId="51469BEF"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73" w:history="1">
        <w:r w:rsidR="000F4E34" w:rsidRPr="00537D97">
          <w:rPr>
            <w:rStyle w:val="Hyperlink"/>
            <w:noProof/>
          </w:rPr>
          <w:t>Table 23 KEQ E3: To what extent is the PAD funding model an appropriate approach to financing social impact programs for vulnerable cohorts?</w:t>
        </w:r>
        <w:r w:rsidR="000F4E34">
          <w:rPr>
            <w:noProof/>
            <w:webHidden/>
          </w:rPr>
          <w:tab/>
        </w:r>
        <w:r w:rsidR="000F4E34">
          <w:rPr>
            <w:noProof/>
            <w:webHidden/>
          </w:rPr>
          <w:fldChar w:fldCharType="begin"/>
        </w:r>
        <w:r w:rsidR="000F4E34">
          <w:rPr>
            <w:noProof/>
            <w:webHidden/>
          </w:rPr>
          <w:instrText xml:space="preserve"> PAGEREF _Toc150431973 \h </w:instrText>
        </w:r>
        <w:r w:rsidR="000F4E34">
          <w:rPr>
            <w:noProof/>
            <w:webHidden/>
          </w:rPr>
        </w:r>
        <w:r w:rsidR="000F4E34">
          <w:rPr>
            <w:noProof/>
            <w:webHidden/>
          </w:rPr>
          <w:fldChar w:fldCharType="separate"/>
        </w:r>
        <w:r w:rsidR="000F4E34">
          <w:rPr>
            <w:noProof/>
            <w:webHidden/>
          </w:rPr>
          <w:t>76</w:t>
        </w:r>
        <w:r w:rsidR="000F4E34">
          <w:rPr>
            <w:noProof/>
            <w:webHidden/>
          </w:rPr>
          <w:fldChar w:fldCharType="end"/>
        </w:r>
      </w:hyperlink>
    </w:p>
    <w:p w14:paraId="67AF5925" w14:textId="53DD9270"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74" w:history="1">
        <w:r w:rsidR="000F4E34" w:rsidRPr="00537D97">
          <w:rPr>
            <w:rStyle w:val="Hyperlink"/>
            <w:noProof/>
          </w:rPr>
          <w:t>Table 24 KEQ S1: In what ways does the Living Learning Program model contribute to the broader evidence base about effective responses for disengaged young people with mental illness in educational settings?</w:t>
        </w:r>
        <w:r w:rsidR="000F4E34">
          <w:rPr>
            <w:noProof/>
            <w:webHidden/>
          </w:rPr>
          <w:tab/>
        </w:r>
        <w:r w:rsidR="000F4E34">
          <w:rPr>
            <w:noProof/>
            <w:webHidden/>
          </w:rPr>
          <w:fldChar w:fldCharType="begin"/>
        </w:r>
        <w:r w:rsidR="000F4E34">
          <w:rPr>
            <w:noProof/>
            <w:webHidden/>
          </w:rPr>
          <w:instrText xml:space="preserve"> PAGEREF _Toc150431974 \h </w:instrText>
        </w:r>
        <w:r w:rsidR="000F4E34">
          <w:rPr>
            <w:noProof/>
            <w:webHidden/>
          </w:rPr>
        </w:r>
        <w:r w:rsidR="000F4E34">
          <w:rPr>
            <w:noProof/>
            <w:webHidden/>
          </w:rPr>
          <w:fldChar w:fldCharType="separate"/>
        </w:r>
        <w:r w:rsidR="000F4E34">
          <w:rPr>
            <w:noProof/>
            <w:webHidden/>
          </w:rPr>
          <w:t>77</w:t>
        </w:r>
        <w:r w:rsidR="000F4E34">
          <w:rPr>
            <w:noProof/>
            <w:webHidden/>
          </w:rPr>
          <w:fldChar w:fldCharType="end"/>
        </w:r>
      </w:hyperlink>
    </w:p>
    <w:p w14:paraId="4CFBBD47" w14:textId="780E8F97"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75" w:history="1">
        <w:r w:rsidR="000F4E34" w:rsidRPr="00537D97">
          <w:rPr>
            <w:rStyle w:val="Hyperlink"/>
            <w:noProof/>
          </w:rPr>
          <w:t>Table 25 KEQ S2: In what ways does the Living Learning PAD augment the range of available policy responses to strengthen social and economic participation for marginalised or disadvantaged young people?</w:t>
        </w:r>
        <w:r w:rsidR="000F4E34">
          <w:rPr>
            <w:noProof/>
            <w:webHidden/>
          </w:rPr>
          <w:tab/>
        </w:r>
        <w:r w:rsidR="000F4E34">
          <w:rPr>
            <w:noProof/>
            <w:webHidden/>
          </w:rPr>
          <w:fldChar w:fldCharType="begin"/>
        </w:r>
        <w:r w:rsidR="000F4E34">
          <w:rPr>
            <w:noProof/>
            <w:webHidden/>
          </w:rPr>
          <w:instrText xml:space="preserve"> PAGEREF _Toc150431975 \h </w:instrText>
        </w:r>
        <w:r w:rsidR="000F4E34">
          <w:rPr>
            <w:noProof/>
            <w:webHidden/>
          </w:rPr>
        </w:r>
        <w:r w:rsidR="000F4E34">
          <w:rPr>
            <w:noProof/>
            <w:webHidden/>
          </w:rPr>
          <w:fldChar w:fldCharType="separate"/>
        </w:r>
        <w:r w:rsidR="000F4E34">
          <w:rPr>
            <w:noProof/>
            <w:webHidden/>
          </w:rPr>
          <w:t>77</w:t>
        </w:r>
        <w:r w:rsidR="000F4E34">
          <w:rPr>
            <w:noProof/>
            <w:webHidden/>
          </w:rPr>
          <w:fldChar w:fldCharType="end"/>
        </w:r>
      </w:hyperlink>
    </w:p>
    <w:p w14:paraId="5FB4A88E" w14:textId="77777777" w:rsidR="000F4E34" w:rsidRDefault="003D21E5" w:rsidP="003D21E5">
      <w:pPr>
        <w:pStyle w:val="TOC1"/>
        <w:rPr>
          <w:color w:val="302F2F" w:themeColor="text1" w:themeTint="E6"/>
          <w:lang w:eastAsia="en-AU"/>
        </w:rPr>
      </w:pPr>
      <w:r w:rsidRPr="00271CC9">
        <w:rPr>
          <w:color w:val="302F2F" w:themeColor="text1" w:themeTint="E6"/>
          <w:lang w:eastAsia="en-AU"/>
        </w:rPr>
        <w:fldChar w:fldCharType="end"/>
      </w:r>
      <w:r w:rsidR="000F4E34">
        <w:rPr>
          <w:color w:val="302F2F" w:themeColor="text1" w:themeTint="E6"/>
          <w:lang w:eastAsia="en-AU"/>
        </w:rPr>
        <w:br w:type="page"/>
      </w:r>
    </w:p>
    <w:p w14:paraId="272572DF" w14:textId="6B3808C0" w:rsidR="003D21E5" w:rsidRPr="00271CC9" w:rsidRDefault="003D21E5" w:rsidP="003D21E5">
      <w:pPr>
        <w:pStyle w:val="TOC1"/>
        <w:rPr>
          <w:rFonts w:asciiTheme="minorHAnsi" w:hAnsiTheme="minorHAnsi" w:cstheme="minorBidi"/>
          <w:color w:val="302F2F" w:themeColor="text1" w:themeTint="E6"/>
          <w:sz w:val="22"/>
          <w:szCs w:val="22"/>
          <w:lang w:eastAsia="en-AU"/>
        </w:rPr>
      </w:pPr>
      <w:r w:rsidRPr="00271CC9">
        <w:rPr>
          <w:rFonts w:asciiTheme="minorHAnsi" w:hAnsiTheme="minorHAnsi" w:cstheme="minorBidi"/>
          <w:color w:val="302F2F" w:themeColor="text1" w:themeTint="E6"/>
          <w:sz w:val="22"/>
          <w:szCs w:val="22"/>
          <w:lang w:eastAsia="en-AU"/>
        </w:rPr>
        <w:t>Figures</w:t>
      </w:r>
    </w:p>
    <w:p w14:paraId="3863E391" w14:textId="297A3BBB" w:rsidR="000F4E34" w:rsidRDefault="003D21E5">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r w:rsidRPr="00271CC9">
        <w:rPr>
          <w:color w:val="302F2F" w:themeColor="text1" w:themeTint="E6"/>
          <w:lang w:eastAsia="en-AU"/>
        </w:rPr>
        <w:fldChar w:fldCharType="begin"/>
      </w:r>
      <w:r w:rsidRPr="00271CC9">
        <w:rPr>
          <w:color w:val="302F2F" w:themeColor="text1" w:themeTint="E6"/>
          <w:lang w:eastAsia="en-AU"/>
        </w:rPr>
        <w:instrText xml:space="preserve"> TOC \h \z \c "Figure" </w:instrText>
      </w:r>
      <w:r w:rsidRPr="00271CC9">
        <w:rPr>
          <w:color w:val="302F2F" w:themeColor="text1" w:themeTint="E6"/>
          <w:lang w:eastAsia="en-AU"/>
        </w:rPr>
        <w:fldChar w:fldCharType="separate"/>
      </w:r>
      <w:hyperlink w:anchor="_Toc150431976" w:history="1">
        <w:r w:rsidR="000F4E34" w:rsidRPr="000C28A5">
          <w:rPr>
            <w:rStyle w:val="Hyperlink"/>
            <w:noProof/>
          </w:rPr>
          <w:t>Figure 1 Living Learning participant journey</w:t>
        </w:r>
        <w:r w:rsidR="000F4E34">
          <w:rPr>
            <w:noProof/>
            <w:webHidden/>
          </w:rPr>
          <w:tab/>
        </w:r>
        <w:r w:rsidR="000F4E34">
          <w:rPr>
            <w:noProof/>
            <w:webHidden/>
          </w:rPr>
          <w:fldChar w:fldCharType="begin"/>
        </w:r>
        <w:r w:rsidR="000F4E34">
          <w:rPr>
            <w:noProof/>
            <w:webHidden/>
          </w:rPr>
          <w:instrText xml:space="preserve"> PAGEREF _Toc150431976 \h </w:instrText>
        </w:r>
        <w:r w:rsidR="000F4E34">
          <w:rPr>
            <w:noProof/>
            <w:webHidden/>
          </w:rPr>
        </w:r>
        <w:r w:rsidR="000F4E34">
          <w:rPr>
            <w:noProof/>
            <w:webHidden/>
          </w:rPr>
          <w:fldChar w:fldCharType="separate"/>
        </w:r>
        <w:r w:rsidR="000F4E34">
          <w:rPr>
            <w:noProof/>
            <w:webHidden/>
          </w:rPr>
          <w:t>10</w:t>
        </w:r>
        <w:r w:rsidR="000F4E34">
          <w:rPr>
            <w:noProof/>
            <w:webHidden/>
          </w:rPr>
          <w:fldChar w:fldCharType="end"/>
        </w:r>
      </w:hyperlink>
    </w:p>
    <w:p w14:paraId="6B1DFCFA" w14:textId="00268C40"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77" w:history="1">
        <w:r w:rsidR="000F4E34" w:rsidRPr="000C28A5">
          <w:rPr>
            <w:rStyle w:val="Hyperlink"/>
            <w:noProof/>
          </w:rPr>
          <w:t>Figure 2 Living Learning student population over the program durations (per year and cohort)</w:t>
        </w:r>
        <w:r w:rsidR="000F4E34">
          <w:rPr>
            <w:noProof/>
            <w:webHidden/>
          </w:rPr>
          <w:tab/>
        </w:r>
        <w:r w:rsidR="000F4E34">
          <w:rPr>
            <w:noProof/>
            <w:webHidden/>
          </w:rPr>
          <w:fldChar w:fldCharType="begin"/>
        </w:r>
        <w:r w:rsidR="000F4E34">
          <w:rPr>
            <w:noProof/>
            <w:webHidden/>
          </w:rPr>
          <w:instrText xml:space="preserve"> PAGEREF _Toc150431977 \h </w:instrText>
        </w:r>
        <w:r w:rsidR="000F4E34">
          <w:rPr>
            <w:noProof/>
            <w:webHidden/>
          </w:rPr>
        </w:r>
        <w:r w:rsidR="000F4E34">
          <w:rPr>
            <w:noProof/>
            <w:webHidden/>
          </w:rPr>
          <w:fldChar w:fldCharType="separate"/>
        </w:r>
        <w:r w:rsidR="000F4E34">
          <w:rPr>
            <w:noProof/>
            <w:webHidden/>
          </w:rPr>
          <w:t>11</w:t>
        </w:r>
        <w:r w:rsidR="000F4E34">
          <w:rPr>
            <w:noProof/>
            <w:webHidden/>
          </w:rPr>
          <w:fldChar w:fldCharType="end"/>
        </w:r>
      </w:hyperlink>
    </w:p>
    <w:p w14:paraId="787EF1B6" w14:textId="625067DE"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78" w:history="1">
        <w:r w:rsidR="000F4E34" w:rsidRPr="000C28A5">
          <w:rPr>
            <w:rStyle w:val="Hyperlink"/>
            <w:noProof/>
          </w:rPr>
          <w:t>Figure 3 Participant outcomes</w:t>
        </w:r>
        <w:r w:rsidR="000F4E34">
          <w:rPr>
            <w:noProof/>
            <w:webHidden/>
          </w:rPr>
          <w:tab/>
        </w:r>
        <w:r w:rsidR="000F4E34">
          <w:rPr>
            <w:noProof/>
            <w:webHidden/>
          </w:rPr>
          <w:fldChar w:fldCharType="begin"/>
        </w:r>
        <w:r w:rsidR="000F4E34">
          <w:rPr>
            <w:noProof/>
            <w:webHidden/>
          </w:rPr>
          <w:instrText xml:space="preserve"> PAGEREF _Toc150431978 \h </w:instrText>
        </w:r>
        <w:r w:rsidR="000F4E34">
          <w:rPr>
            <w:noProof/>
            <w:webHidden/>
          </w:rPr>
        </w:r>
        <w:r w:rsidR="000F4E34">
          <w:rPr>
            <w:noProof/>
            <w:webHidden/>
          </w:rPr>
          <w:fldChar w:fldCharType="separate"/>
        </w:r>
        <w:r w:rsidR="000F4E34">
          <w:rPr>
            <w:noProof/>
            <w:webHidden/>
          </w:rPr>
          <w:t>12</w:t>
        </w:r>
        <w:r w:rsidR="000F4E34">
          <w:rPr>
            <w:noProof/>
            <w:webHidden/>
          </w:rPr>
          <w:fldChar w:fldCharType="end"/>
        </w:r>
      </w:hyperlink>
    </w:p>
    <w:p w14:paraId="390BCCBA" w14:textId="4D56C7CB"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79" w:history="1">
        <w:r w:rsidR="000F4E34" w:rsidRPr="000C28A5">
          <w:rPr>
            <w:rStyle w:val="Hyperlink"/>
            <w:noProof/>
          </w:rPr>
          <w:t>Figure 4 Living Learning team structure</w:t>
        </w:r>
        <w:r w:rsidR="000F4E34">
          <w:rPr>
            <w:noProof/>
            <w:webHidden/>
          </w:rPr>
          <w:tab/>
        </w:r>
        <w:r w:rsidR="000F4E34">
          <w:rPr>
            <w:noProof/>
            <w:webHidden/>
          </w:rPr>
          <w:fldChar w:fldCharType="begin"/>
        </w:r>
        <w:r w:rsidR="000F4E34">
          <w:rPr>
            <w:noProof/>
            <w:webHidden/>
          </w:rPr>
          <w:instrText xml:space="preserve"> PAGEREF _Toc150431979 \h </w:instrText>
        </w:r>
        <w:r w:rsidR="000F4E34">
          <w:rPr>
            <w:noProof/>
            <w:webHidden/>
          </w:rPr>
        </w:r>
        <w:r w:rsidR="000F4E34">
          <w:rPr>
            <w:noProof/>
            <w:webHidden/>
          </w:rPr>
          <w:fldChar w:fldCharType="separate"/>
        </w:r>
        <w:r w:rsidR="000F4E34">
          <w:rPr>
            <w:noProof/>
            <w:webHidden/>
          </w:rPr>
          <w:t>15</w:t>
        </w:r>
        <w:r w:rsidR="000F4E34">
          <w:rPr>
            <w:noProof/>
            <w:webHidden/>
          </w:rPr>
          <w:fldChar w:fldCharType="end"/>
        </w:r>
      </w:hyperlink>
    </w:p>
    <w:p w14:paraId="14B9CDEB" w14:textId="37691D6F"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80" w:history="1">
        <w:r w:rsidR="000F4E34" w:rsidRPr="000C28A5">
          <w:rPr>
            <w:rStyle w:val="Hyperlink"/>
            <w:noProof/>
          </w:rPr>
          <w:t>Figure 5 Participant profile of cohorts 1 and 2</w:t>
        </w:r>
        <w:r w:rsidR="000F4E34">
          <w:rPr>
            <w:noProof/>
            <w:webHidden/>
          </w:rPr>
          <w:tab/>
        </w:r>
        <w:r w:rsidR="000F4E34">
          <w:rPr>
            <w:noProof/>
            <w:webHidden/>
          </w:rPr>
          <w:fldChar w:fldCharType="begin"/>
        </w:r>
        <w:r w:rsidR="000F4E34">
          <w:rPr>
            <w:noProof/>
            <w:webHidden/>
          </w:rPr>
          <w:instrText xml:space="preserve"> PAGEREF _Toc150431980 \h </w:instrText>
        </w:r>
        <w:r w:rsidR="000F4E34">
          <w:rPr>
            <w:noProof/>
            <w:webHidden/>
          </w:rPr>
        </w:r>
        <w:r w:rsidR="000F4E34">
          <w:rPr>
            <w:noProof/>
            <w:webHidden/>
          </w:rPr>
          <w:fldChar w:fldCharType="separate"/>
        </w:r>
        <w:r w:rsidR="000F4E34">
          <w:rPr>
            <w:noProof/>
            <w:webHidden/>
          </w:rPr>
          <w:t>23</w:t>
        </w:r>
        <w:r w:rsidR="000F4E34">
          <w:rPr>
            <w:noProof/>
            <w:webHidden/>
          </w:rPr>
          <w:fldChar w:fldCharType="end"/>
        </w:r>
      </w:hyperlink>
    </w:p>
    <w:p w14:paraId="371D7BC0" w14:textId="4A0037B2"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81" w:history="1">
        <w:r w:rsidR="000F4E34" w:rsidRPr="000C28A5">
          <w:rPr>
            <w:rStyle w:val="Hyperlink"/>
            <w:noProof/>
          </w:rPr>
          <w:t>Figure 6 Program logic</w:t>
        </w:r>
        <w:r w:rsidR="000F4E34">
          <w:rPr>
            <w:noProof/>
            <w:webHidden/>
          </w:rPr>
          <w:tab/>
        </w:r>
        <w:r w:rsidR="000F4E34">
          <w:rPr>
            <w:noProof/>
            <w:webHidden/>
          </w:rPr>
          <w:fldChar w:fldCharType="begin"/>
        </w:r>
        <w:r w:rsidR="000F4E34">
          <w:rPr>
            <w:noProof/>
            <w:webHidden/>
          </w:rPr>
          <w:instrText xml:space="preserve"> PAGEREF _Toc150431981 \h </w:instrText>
        </w:r>
        <w:r w:rsidR="000F4E34">
          <w:rPr>
            <w:noProof/>
            <w:webHidden/>
          </w:rPr>
        </w:r>
        <w:r w:rsidR="000F4E34">
          <w:rPr>
            <w:noProof/>
            <w:webHidden/>
          </w:rPr>
          <w:fldChar w:fldCharType="separate"/>
        </w:r>
        <w:r w:rsidR="000F4E34">
          <w:rPr>
            <w:noProof/>
            <w:webHidden/>
          </w:rPr>
          <w:t>50</w:t>
        </w:r>
        <w:r w:rsidR="000F4E34">
          <w:rPr>
            <w:noProof/>
            <w:webHidden/>
          </w:rPr>
          <w:fldChar w:fldCharType="end"/>
        </w:r>
      </w:hyperlink>
    </w:p>
    <w:p w14:paraId="01214441" w14:textId="4098816B"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82" w:history="1">
        <w:r w:rsidR="000F4E34" w:rsidRPr="000C28A5">
          <w:rPr>
            <w:rStyle w:val="Hyperlink"/>
            <w:noProof/>
          </w:rPr>
          <w:t>Figure 7 How long have you been in the Living Learning Program? (n=32)</w:t>
        </w:r>
        <w:r w:rsidR="000F4E34">
          <w:rPr>
            <w:noProof/>
            <w:webHidden/>
          </w:rPr>
          <w:tab/>
        </w:r>
        <w:r w:rsidR="000F4E34">
          <w:rPr>
            <w:noProof/>
            <w:webHidden/>
          </w:rPr>
          <w:fldChar w:fldCharType="begin"/>
        </w:r>
        <w:r w:rsidR="000F4E34">
          <w:rPr>
            <w:noProof/>
            <w:webHidden/>
          </w:rPr>
          <w:instrText xml:space="preserve"> PAGEREF _Toc150431982 \h </w:instrText>
        </w:r>
        <w:r w:rsidR="000F4E34">
          <w:rPr>
            <w:noProof/>
            <w:webHidden/>
          </w:rPr>
        </w:r>
        <w:r w:rsidR="000F4E34">
          <w:rPr>
            <w:noProof/>
            <w:webHidden/>
          </w:rPr>
          <w:fldChar w:fldCharType="separate"/>
        </w:r>
        <w:r w:rsidR="000F4E34">
          <w:rPr>
            <w:noProof/>
            <w:webHidden/>
          </w:rPr>
          <w:t>53</w:t>
        </w:r>
        <w:r w:rsidR="000F4E34">
          <w:rPr>
            <w:noProof/>
            <w:webHidden/>
          </w:rPr>
          <w:fldChar w:fldCharType="end"/>
        </w:r>
      </w:hyperlink>
    </w:p>
    <w:p w14:paraId="74441A5F" w14:textId="0133F1F9"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83" w:history="1">
        <w:r w:rsidR="000F4E34" w:rsidRPr="000C28A5">
          <w:rPr>
            <w:rStyle w:val="Hyperlink"/>
            <w:noProof/>
          </w:rPr>
          <w:t>Figure 8 Which HHA campus do you usually attend? (n=32)</w:t>
        </w:r>
        <w:r w:rsidR="000F4E34">
          <w:rPr>
            <w:noProof/>
            <w:webHidden/>
          </w:rPr>
          <w:tab/>
        </w:r>
        <w:r w:rsidR="000F4E34">
          <w:rPr>
            <w:noProof/>
            <w:webHidden/>
          </w:rPr>
          <w:fldChar w:fldCharType="begin"/>
        </w:r>
        <w:r w:rsidR="000F4E34">
          <w:rPr>
            <w:noProof/>
            <w:webHidden/>
          </w:rPr>
          <w:instrText xml:space="preserve"> PAGEREF _Toc150431983 \h </w:instrText>
        </w:r>
        <w:r w:rsidR="000F4E34">
          <w:rPr>
            <w:noProof/>
            <w:webHidden/>
          </w:rPr>
        </w:r>
        <w:r w:rsidR="000F4E34">
          <w:rPr>
            <w:noProof/>
            <w:webHidden/>
          </w:rPr>
          <w:fldChar w:fldCharType="separate"/>
        </w:r>
        <w:r w:rsidR="000F4E34">
          <w:rPr>
            <w:noProof/>
            <w:webHidden/>
          </w:rPr>
          <w:t>53</w:t>
        </w:r>
        <w:r w:rsidR="000F4E34">
          <w:rPr>
            <w:noProof/>
            <w:webHidden/>
          </w:rPr>
          <w:fldChar w:fldCharType="end"/>
        </w:r>
      </w:hyperlink>
    </w:p>
    <w:p w14:paraId="73B4A785" w14:textId="6879CFF7"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84" w:history="1">
        <w:r w:rsidR="000F4E34" w:rsidRPr="000C28A5">
          <w:rPr>
            <w:rStyle w:val="Hyperlink"/>
            <w:noProof/>
          </w:rPr>
          <w:t>Figure 9 How do you describe your gender? (n=32)</w:t>
        </w:r>
        <w:r w:rsidR="000F4E34">
          <w:rPr>
            <w:noProof/>
            <w:webHidden/>
          </w:rPr>
          <w:tab/>
        </w:r>
        <w:r w:rsidR="000F4E34">
          <w:rPr>
            <w:noProof/>
            <w:webHidden/>
          </w:rPr>
          <w:fldChar w:fldCharType="begin"/>
        </w:r>
        <w:r w:rsidR="000F4E34">
          <w:rPr>
            <w:noProof/>
            <w:webHidden/>
          </w:rPr>
          <w:instrText xml:space="preserve"> PAGEREF _Toc150431984 \h </w:instrText>
        </w:r>
        <w:r w:rsidR="000F4E34">
          <w:rPr>
            <w:noProof/>
            <w:webHidden/>
          </w:rPr>
        </w:r>
        <w:r w:rsidR="000F4E34">
          <w:rPr>
            <w:noProof/>
            <w:webHidden/>
          </w:rPr>
          <w:fldChar w:fldCharType="separate"/>
        </w:r>
        <w:r w:rsidR="000F4E34">
          <w:rPr>
            <w:noProof/>
            <w:webHidden/>
          </w:rPr>
          <w:t>53</w:t>
        </w:r>
        <w:r w:rsidR="000F4E34">
          <w:rPr>
            <w:noProof/>
            <w:webHidden/>
          </w:rPr>
          <w:fldChar w:fldCharType="end"/>
        </w:r>
      </w:hyperlink>
    </w:p>
    <w:p w14:paraId="748B8C2E" w14:textId="55FF0F02"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85" w:history="1">
        <w:r w:rsidR="000F4E34" w:rsidRPr="000C28A5">
          <w:rPr>
            <w:rStyle w:val="Hyperlink"/>
            <w:noProof/>
          </w:rPr>
          <w:t>Figure 10 How did you find out about the Living Learning Program? (n=32)</w:t>
        </w:r>
        <w:r w:rsidR="000F4E34">
          <w:rPr>
            <w:noProof/>
            <w:webHidden/>
          </w:rPr>
          <w:tab/>
        </w:r>
        <w:r w:rsidR="000F4E34">
          <w:rPr>
            <w:noProof/>
            <w:webHidden/>
          </w:rPr>
          <w:fldChar w:fldCharType="begin"/>
        </w:r>
        <w:r w:rsidR="000F4E34">
          <w:rPr>
            <w:noProof/>
            <w:webHidden/>
          </w:rPr>
          <w:instrText xml:space="preserve"> PAGEREF _Toc150431985 \h </w:instrText>
        </w:r>
        <w:r w:rsidR="000F4E34">
          <w:rPr>
            <w:noProof/>
            <w:webHidden/>
          </w:rPr>
        </w:r>
        <w:r w:rsidR="000F4E34">
          <w:rPr>
            <w:noProof/>
            <w:webHidden/>
          </w:rPr>
          <w:fldChar w:fldCharType="separate"/>
        </w:r>
        <w:r w:rsidR="000F4E34">
          <w:rPr>
            <w:noProof/>
            <w:webHidden/>
          </w:rPr>
          <w:t>54</w:t>
        </w:r>
        <w:r w:rsidR="000F4E34">
          <w:rPr>
            <w:noProof/>
            <w:webHidden/>
          </w:rPr>
          <w:fldChar w:fldCharType="end"/>
        </w:r>
      </w:hyperlink>
    </w:p>
    <w:p w14:paraId="288DAC16" w14:textId="31E79B30"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86" w:history="1">
        <w:r w:rsidR="000F4E34" w:rsidRPr="000C28A5">
          <w:rPr>
            <w:rStyle w:val="Hyperlink"/>
            <w:noProof/>
          </w:rPr>
          <w:t>Figure 11 Which of the following activities have you participated in? (n=32)</w:t>
        </w:r>
        <w:r w:rsidR="000F4E34">
          <w:rPr>
            <w:noProof/>
            <w:webHidden/>
          </w:rPr>
          <w:tab/>
        </w:r>
        <w:r w:rsidR="000F4E34">
          <w:rPr>
            <w:noProof/>
            <w:webHidden/>
          </w:rPr>
          <w:fldChar w:fldCharType="begin"/>
        </w:r>
        <w:r w:rsidR="000F4E34">
          <w:rPr>
            <w:noProof/>
            <w:webHidden/>
          </w:rPr>
          <w:instrText xml:space="preserve"> PAGEREF _Toc150431986 \h </w:instrText>
        </w:r>
        <w:r w:rsidR="000F4E34">
          <w:rPr>
            <w:noProof/>
            <w:webHidden/>
          </w:rPr>
        </w:r>
        <w:r w:rsidR="000F4E34">
          <w:rPr>
            <w:noProof/>
            <w:webHidden/>
          </w:rPr>
          <w:fldChar w:fldCharType="separate"/>
        </w:r>
        <w:r w:rsidR="000F4E34">
          <w:rPr>
            <w:noProof/>
            <w:webHidden/>
          </w:rPr>
          <w:t>54</w:t>
        </w:r>
        <w:r w:rsidR="000F4E34">
          <w:rPr>
            <w:noProof/>
            <w:webHidden/>
          </w:rPr>
          <w:fldChar w:fldCharType="end"/>
        </w:r>
      </w:hyperlink>
    </w:p>
    <w:p w14:paraId="5E0F86B5" w14:textId="6F548CD5"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87" w:history="1">
        <w:r w:rsidR="000F4E34" w:rsidRPr="000C28A5">
          <w:rPr>
            <w:rStyle w:val="Hyperlink"/>
            <w:noProof/>
          </w:rPr>
          <w:t>Figure 12 What spaces at HHA do you use regularly? (n=32)</w:t>
        </w:r>
        <w:r w:rsidR="000F4E34">
          <w:rPr>
            <w:noProof/>
            <w:webHidden/>
          </w:rPr>
          <w:tab/>
        </w:r>
        <w:r w:rsidR="000F4E34">
          <w:rPr>
            <w:noProof/>
            <w:webHidden/>
          </w:rPr>
          <w:fldChar w:fldCharType="begin"/>
        </w:r>
        <w:r w:rsidR="000F4E34">
          <w:rPr>
            <w:noProof/>
            <w:webHidden/>
          </w:rPr>
          <w:instrText xml:space="preserve"> PAGEREF _Toc150431987 \h </w:instrText>
        </w:r>
        <w:r w:rsidR="000F4E34">
          <w:rPr>
            <w:noProof/>
            <w:webHidden/>
          </w:rPr>
        </w:r>
        <w:r w:rsidR="000F4E34">
          <w:rPr>
            <w:noProof/>
            <w:webHidden/>
          </w:rPr>
          <w:fldChar w:fldCharType="separate"/>
        </w:r>
        <w:r w:rsidR="000F4E34">
          <w:rPr>
            <w:noProof/>
            <w:webHidden/>
          </w:rPr>
          <w:t>54</w:t>
        </w:r>
        <w:r w:rsidR="000F4E34">
          <w:rPr>
            <w:noProof/>
            <w:webHidden/>
          </w:rPr>
          <w:fldChar w:fldCharType="end"/>
        </w:r>
      </w:hyperlink>
    </w:p>
    <w:p w14:paraId="14AFA8DF" w14:textId="42AB2CA7"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88" w:history="1">
        <w:r w:rsidR="000F4E34" w:rsidRPr="000C28A5">
          <w:rPr>
            <w:rStyle w:val="Hyperlink"/>
            <w:noProof/>
          </w:rPr>
          <w:t>Figure 13 How safe and welcome do you feel about at the HHA campus you attend? (n=32)</w:t>
        </w:r>
        <w:r w:rsidR="000F4E34">
          <w:rPr>
            <w:noProof/>
            <w:webHidden/>
          </w:rPr>
          <w:tab/>
        </w:r>
        <w:r w:rsidR="000F4E34">
          <w:rPr>
            <w:noProof/>
            <w:webHidden/>
          </w:rPr>
          <w:fldChar w:fldCharType="begin"/>
        </w:r>
        <w:r w:rsidR="000F4E34">
          <w:rPr>
            <w:noProof/>
            <w:webHidden/>
          </w:rPr>
          <w:instrText xml:space="preserve"> PAGEREF _Toc150431988 \h </w:instrText>
        </w:r>
        <w:r w:rsidR="000F4E34">
          <w:rPr>
            <w:noProof/>
            <w:webHidden/>
          </w:rPr>
        </w:r>
        <w:r w:rsidR="000F4E34">
          <w:rPr>
            <w:noProof/>
            <w:webHidden/>
          </w:rPr>
          <w:fldChar w:fldCharType="separate"/>
        </w:r>
        <w:r w:rsidR="000F4E34">
          <w:rPr>
            <w:noProof/>
            <w:webHidden/>
          </w:rPr>
          <w:t>55</w:t>
        </w:r>
        <w:r w:rsidR="000F4E34">
          <w:rPr>
            <w:noProof/>
            <w:webHidden/>
          </w:rPr>
          <w:fldChar w:fldCharType="end"/>
        </w:r>
      </w:hyperlink>
    </w:p>
    <w:p w14:paraId="31EE21B1" w14:textId="50D2B6F0"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89" w:history="1">
        <w:r w:rsidR="000F4E34" w:rsidRPr="000C28A5">
          <w:rPr>
            <w:rStyle w:val="Hyperlink"/>
            <w:noProof/>
          </w:rPr>
          <w:t>Figure 14 To what extent do you agree/disagree that… (n=32)</w:t>
        </w:r>
        <w:r w:rsidR="000F4E34">
          <w:rPr>
            <w:noProof/>
            <w:webHidden/>
          </w:rPr>
          <w:tab/>
        </w:r>
        <w:r w:rsidR="000F4E34">
          <w:rPr>
            <w:noProof/>
            <w:webHidden/>
          </w:rPr>
          <w:fldChar w:fldCharType="begin"/>
        </w:r>
        <w:r w:rsidR="000F4E34">
          <w:rPr>
            <w:noProof/>
            <w:webHidden/>
          </w:rPr>
          <w:instrText xml:space="preserve"> PAGEREF _Toc150431989 \h </w:instrText>
        </w:r>
        <w:r w:rsidR="000F4E34">
          <w:rPr>
            <w:noProof/>
            <w:webHidden/>
          </w:rPr>
        </w:r>
        <w:r w:rsidR="000F4E34">
          <w:rPr>
            <w:noProof/>
            <w:webHidden/>
          </w:rPr>
          <w:fldChar w:fldCharType="separate"/>
        </w:r>
        <w:r w:rsidR="000F4E34">
          <w:rPr>
            <w:noProof/>
            <w:webHidden/>
          </w:rPr>
          <w:t>56</w:t>
        </w:r>
        <w:r w:rsidR="000F4E34">
          <w:rPr>
            <w:noProof/>
            <w:webHidden/>
          </w:rPr>
          <w:fldChar w:fldCharType="end"/>
        </w:r>
      </w:hyperlink>
    </w:p>
    <w:p w14:paraId="178F635D" w14:textId="29FE1D55"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90" w:history="1">
        <w:r w:rsidR="000F4E34" w:rsidRPr="000C28A5">
          <w:rPr>
            <w:rStyle w:val="Hyperlink"/>
            <w:noProof/>
          </w:rPr>
          <w:t>Figure 15 How important to you is the relationship you have with your Living Learning Key Worker? (n=32)</w:t>
        </w:r>
        <w:r w:rsidR="000F4E34">
          <w:rPr>
            <w:noProof/>
            <w:webHidden/>
          </w:rPr>
          <w:tab/>
        </w:r>
        <w:r w:rsidR="000F4E34">
          <w:rPr>
            <w:noProof/>
            <w:webHidden/>
          </w:rPr>
          <w:fldChar w:fldCharType="begin"/>
        </w:r>
        <w:r w:rsidR="000F4E34">
          <w:rPr>
            <w:noProof/>
            <w:webHidden/>
          </w:rPr>
          <w:instrText xml:space="preserve"> PAGEREF _Toc150431990 \h </w:instrText>
        </w:r>
        <w:r w:rsidR="000F4E34">
          <w:rPr>
            <w:noProof/>
            <w:webHidden/>
          </w:rPr>
        </w:r>
        <w:r w:rsidR="000F4E34">
          <w:rPr>
            <w:noProof/>
            <w:webHidden/>
          </w:rPr>
          <w:fldChar w:fldCharType="separate"/>
        </w:r>
        <w:r w:rsidR="000F4E34">
          <w:rPr>
            <w:noProof/>
            <w:webHidden/>
          </w:rPr>
          <w:t>56</w:t>
        </w:r>
        <w:r w:rsidR="000F4E34">
          <w:rPr>
            <w:noProof/>
            <w:webHidden/>
          </w:rPr>
          <w:fldChar w:fldCharType="end"/>
        </w:r>
      </w:hyperlink>
    </w:p>
    <w:p w14:paraId="72E39503" w14:textId="26BE3C10"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91" w:history="1">
        <w:r w:rsidR="000F4E34" w:rsidRPr="000C28A5">
          <w:rPr>
            <w:rStyle w:val="Hyperlink"/>
            <w:noProof/>
          </w:rPr>
          <w:t>Figure 16 Happiness with support received from Living Learning Key Worker (n=30)</w:t>
        </w:r>
        <w:r w:rsidR="000F4E34">
          <w:rPr>
            <w:noProof/>
            <w:webHidden/>
          </w:rPr>
          <w:tab/>
        </w:r>
        <w:r w:rsidR="000F4E34">
          <w:rPr>
            <w:noProof/>
            <w:webHidden/>
          </w:rPr>
          <w:fldChar w:fldCharType="begin"/>
        </w:r>
        <w:r w:rsidR="000F4E34">
          <w:rPr>
            <w:noProof/>
            <w:webHidden/>
          </w:rPr>
          <w:instrText xml:space="preserve"> PAGEREF _Toc150431991 \h </w:instrText>
        </w:r>
        <w:r w:rsidR="000F4E34">
          <w:rPr>
            <w:noProof/>
            <w:webHidden/>
          </w:rPr>
        </w:r>
        <w:r w:rsidR="000F4E34">
          <w:rPr>
            <w:noProof/>
            <w:webHidden/>
          </w:rPr>
          <w:fldChar w:fldCharType="separate"/>
        </w:r>
        <w:r w:rsidR="000F4E34">
          <w:rPr>
            <w:noProof/>
            <w:webHidden/>
          </w:rPr>
          <w:t>57</w:t>
        </w:r>
        <w:r w:rsidR="000F4E34">
          <w:rPr>
            <w:noProof/>
            <w:webHidden/>
          </w:rPr>
          <w:fldChar w:fldCharType="end"/>
        </w:r>
      </w:hyperlink>
    </w:p>
    <w:p w14:paraId="1FD89711" w14:textId="5ADDF992"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92" w:history="1">
        <w:r w:rsidR="000F4E34" w:rsidRPr="000C28A5">
          <w:rPr>
            <w:rStyle w:val="Hyperlink"/>
            <w:noProof/>
          </w:rPr>
          <w:t>Figure 17 Happiness with support received from Living Learning Psychologist or Occupational Therapist (n=30)</w:t>
        </w:r>
        <w:r w:rsidR="000F4E34">
          <w:rPr>
            <w:noProof/>
            <w:webHidden/>
          </w:rPr>
          <w:tab/>
        </w:r>
        <w:r w:rsidR="000F4E34">
          <w:rPr>
            <w:noProof/>
            <w:webHidden/>
          </w:rPr>
          <w:fldChar w:fldCharType="begin"/>
        </w:r>
        <w:r w:rsidR="000F4E34">
          <w:rPr>
            <w:noProof/>
            <w:webHidden/>
          </w:rPr>
          <w:instrText xml:space="preserve"> PAGEREF _Toc150431992 \h </w:instrText>
        </w:r>
        <w:r w:rsidR="000F4E34">
          <w:rPr>
            <w:noProof/>
            <w:webHidden/>
          </w:rPr>
        </w:r>
        <w:r w:rsidR="000F4E34">
          <w:rPr>
            <w:noProof/>
            <w:webHidden/>
          </w:rPr>
          <w:fldChar w:fldCharType="separate"/>
        </w:r>
        <w:r w:rsidR="000F4E34">
          <w:rPr>
            <w:noProof/>
            <w:webHidden/>
          </w:rPr>
          <w:t>57</w:t>
        </w:r>
        <w:r w:rsidR="000F4E34">
          <w:rPr>
            <w:noProof/>
            <w:webHidden/>
          </w:rPr>
          <w:fldChar w:fldCharType="end"/>
        </w:r>
      </w:hyperlink>
    </w:p>
    <w:p w14:paraId="53282E22" w14:textId="323A5554"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93" w:history="1">
        <w:r w:rsidR="000F4E34" w:rsidRPr="000C28A5">
          <w:rPr>
            <w:rStyle w:val="Hyperlink"/>
            <w:noProof/>
          </w:rPr>
          <w:t>Figure 18 How often have you been coming to school since you started in Living Learning? (n=30)</w:t>
        </w:r>
        <w:r w:rsidR="000F4E34">
          <w:rPr>
            <w:noProof/>
            <w:webHidden/>
          </w:rPr>
          <w:tab/>
        </w:r>
        <w:r w:rsidR="000F4E34">
          <w:rPr>
            <w:noProof/>
            <w:webHidden/>
          </w:rPr>
          <w:fldChar w:fldCharType="begin"/>
        </w:r>
        <w:r w:rsidR="000F4E34">
          <w:rPr>
            <w:noProof/>
            <w:webHidden/>
          </w:rPr>
          <w:instrText xml:space="preserve"> PAGEREF _Toc150431993 \h </w:instrText>
        </w:r>
        <w:r w:rsidR="000F4E34">
          <w:rPr>
            <w:noProof/>
            <w:webHidden/>
          </w:rPr>
        </w:r>
        <w:r w:rsidR="000F4E34">
          <w:rPr>
            <w:noProof/>
            <w:webHidden/>
          </w:rPr>
          <w:fldChar w:fldCharType="separate"/>
        </w:r>
        <w:r w:rsidR="000F4E34">
          <w:rPr>
            <w:noProof/>
            <w:webHidden/>
          </w:rPr>
          <w:t>58</w:t>
        </w:r>
        <w:r w:rsidR="000F4E34">
          <w:rPr>
            <w:noProof/>
            <w:webHidden/>
          </w:rPr>
          <w:fldChar w:fldCharType="end"/>
        </w:r>
      </w:hyperlink>
    </w:p>
    <w:p w14:paraId="477EA8B7" w14:textId="3D7FAA44"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94" w:history="1">
        <w:r w:rsidR="000F4E34" w:rsidRPr="000C28A5">
          <w:rPr>
            <w:rStyle w:val="Hyperlink"/>
            <w:noProof/>
          </w:rPr>
          <w:t>Figure 19 Has Living Learning helped you to work towards any job, career or education goals? (n=28)</w:t>
        </w:r>
        <w:r w:rsidR="000F4E34">
          <w:rPr>
            <w:noProof/>
            <w:webHidden/>
          </w:rPr>
          <w:tab/>
        </w:r>
        <w:r w:rsidR="000F4E34">
          <w:rPr>
            <w:noProof/>
            <w:webHidden/>
          </w:rPr>
          <w:fldChar w:fldCharType="begin"/>
        </w:r>
        <w:r w:rsidR="000F4E34">
          <w:rPr>
            <w:noProof/>
            <w:webHidden/>
          </w:rPr>
          <w:instrText xml:space="preserve"> PAGEREF _Toc150431994 \h </w:instrText>
        </w:r>
        <w:r w:rsidR="000F4E34">
          <w:rPr>
            <w:noProof/>
            <w:webHidden/>
          </w:rPr>
        </w:r>
        <w:r w:rsidR="000F4E34">
          <w:rPr>
            <w:noProof/>
            <w:webHidden/>
          </w:rPr>
          <w:fldChar w:fldCharType="separate"/>
        </w:r>
        <w:r w:rsidR="000F4E34">
          <w:rPr>
            <w:noProof/>
            <w:webHidden/>
          </w:rPr>
          <w:t>58</w:t>
        </w:r>
        <w:r w:rsidR="000F4E34">
          <w:rPr>
            <w:noProof/>
            <w:webHidden/>
          </w:rPr>
          <w:fldChar w:fldCharType="end"/>
        </w:r>
      </w:hyperlink>
    </w:p>
    <w:p w14:paraId="611B5091" w14:textId="54392213"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95" w:history="1">
        <w:r w:rsidR="000F4E34" w:rsidRPr="000C28A5">
          <w:rPr>
            <w:rStyle w:val="Hyperlink"/>
            <w:noProof/>
          </w:rPr>
          <w:t>Figure 20 Experience in LL program… (n=29)</w:t>
        </w:r>
        <w:r w:rsidR="000F4E34">
          <w:rPr>
            <w:noProof/>
            <w:webHidden/>
          </w:rPr>
          <w:tab/>
        </w:r>
        <w:r w:rsidR="000F4E34">
          <w:rPr>
            <w:noProof/>
            <w:webHidden/>
          </w:rPr>
          <w:fldChar w:fldCharType="begin"/>
        </w:r>
        <w:r w:rsidR="000F4E34">
          <w:rPr>
            <w:noProof/>
            <w:webHidden/>
          </w:rPr>
          <w:instrText xml:space="preserve"> PAGEREF _Toc150431995 \h </w:instrText>
        </w:r>
        <w:r w:rsidR="000F4E34">
          <w:rPr>
            <w:noProof/>
            <w:webHidden/>
          </w:rPr>
        </w:r>
        <w:r w:rsidR="000F4E34">
          <w:rPr>
            <w:noProof/>
            <w:webHidden/>
          </w:rPr>
          <w:fldChar w:fldCharType="separate"/>
        </w:r>
        <w:r w:rsidR="000F4E34">
          <w:rPr>
            <w:noProof/>
            <w:webHidden/>
          </w:rPr>
          <w:t>58</w:t>
        </w:r>
        <w:r w:rsidR="000F4E34">
          <w:rPr>
            <w:noProof/>
            <w:webHidden/>
          </w:rPr>
          <w:fldChar w:fldCharType="end"/>
        </w:r>
      </w:hyperlink>
    </w:p>
    <w:p w14:paraId="6FEEAD94" w14:textId="28728856"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96" w:history="1">
        <w:r w:rsidR="000F4E34" w:rsidRPr="000C28A5">
          <w:rPr>
            <w:rStyle w:val="Hyperlink"/>
            <w:noProof/>
          </w:rPr>
          <w:t>Figure 21 Experience in LL program… (n=29)</w:t>
        </w:r>
        <w:r w:rsidR="000F4E34">
          <w:rPr>
            <w:noProof/>
            <w:webHidden/>
          </w:rPr>
          <w:tab/>
        </w:r>
        <w:r w:rsidR="000F4E34">
          <w:rPr>
            <w:noProof/>
            <w:webHidden/>
          </w:rPr>
          <w:fldChar w:fldCharType="begin"/>
        </w:r>
        <w:r w:rsidR="000F4E34">
          <w:rPr>
            <w:noProof/>
            <w:webHidden/>
          </w:rPr>
          <w:instrText xml:space="preserve"> PAGEREF _Toc150431996 \h </w:instrText>
        </w:r>
        <w:r w:rsidR="000F4E34">
          <w:rPr>
            <w:noProof/>
            <w:webHidden/>
          </w:rPr>
        </w:r>
        <w:r w:rsidR="000F4E34">
          <w:rPr>
            <w:noProof/>
            <w:webHidden/>
          </w:rPr>
          <w:fldChar w:fldCharType="separate"/>
        </w:r>
        <w:r w:rsidR="000F4E34">
          <w:rPr>
            <w:noProof/>
            <w:webHidden/>
          </w:rPr>
          <w:t>59</w:t>
        </w:r>
        <w:r w:rsidR="000F4E34">
          <w:rPr>
            <w:noProof/>
            <w:webHidden/>
          </w:rPr>
          <w:fldChar w:fldCharType="end"/>
        </w:r>
      </w:hyperlink>
    </w:p>
    <w:p w14:paraId="3285FDFA" w14:textId="6ADD4767" w:rsidR="000F4E34" w:rsidRDefault="002C44DE">
      <w:pPr>
        <w:pStyle w:val="TableofFigures"/>
        <w:tabs>
          <w:tab w:val="right" w:leader="dot" w:pos="9628"/>
        </w:tabs>
        <w:rPr>
          <w:rFonts w:asciiTheme="minorHAnsi" w:hAnsiTheme="minorHAnsi" w:cstheme="minorBidi"/>
          <w:noProof/>
          <w:color w:val="auto"/>
          <w:kern w:val="2"/>
          <w:sz w:val="22"/>
          <w:szCs w:val="22"/>
          <w:lang w:val="en-AU" w:eastAsia="en-AU"/>
          <w14:ligatures w14:val="standardContextual"/>
        </w:rPr>
      </w:pPr>
      <w:hyperlink w:anchor="_Toc150431997" w:history="1">
        <w:r w:rsidR="000F4E34" w:rsidRPr="000C28A5">
          <w:rPr>
            <w:rStyle w:val="Hyperlink"/>
            <w:noProof/>
          </w:rPr>
          <w:t>Figure 22 What parts of Living Learning are helping you to come to school? (n=25)</w:t>
        </w:r>
        <w:r w:rsidR="000F4E34">
          <w:rPr>
            <w:noProof/>
            <w:webHidden/>
          </w:rPr>
          <w:tab/>
        </w:r>
        <w:r w:rsidR="000F4E34">
          <w:rPr>
            <w:noProof/>
            <w:webHidden/>
          </w:rPr>
          <w:fldChar w:fldCharType="begin"/>
        </w:r>
        <w:r w:rsidR="000F4E34">
          <w:rPr>
            <w:noProof/>
            <w:webHidden/>
          </w:rPr>
          <w:instrText xml:space="preserve"> PAGEREF _Toc150431997 \h </w:instrText>
        </w:r>
        <w:r w:rsidR="000F4E34">
          <w:rPr>
            <w:noProof/>
            <w:webHidden/>
          </w:rPr>
        </w:r>
        <w:r w:rsidR="000F4E34">
          <w:rPr>
            <w:noProof/>
            <w:webHidden/>
          </w:rPr>
          <w:fldChar w:fldCharType="separate"/>
        </w:r>
        <w:r w:rsidR="000F4E34">
          <w:rPr>
            <w:noProof/>
            <w:webHidden/>
          </w:rPr>
          <w:t>60</w:t>
        </w:r>
        <w:r w:rsidR="000F4E34">
          <w:rPr>
            <w:noProof/>
            <w:webHidden/>
          </w:rPr>
          <w:fldChar w:fldCharType="end"/>
        </w:r>
      </w:hyperlink>
    </w:p>
    <w:p w14:paraId="1C4B38E0" w14:textId="596D395C" w:rsidR="00D024D3" w:rsidRDefault="003D21E5">
      <w:pPr>
        <w:rPr>
          <w:lang w:eastAsia="en-AU"/>
        </w:rPr>
        <w:sectPr w:rsidR="00D024D3" w:rsidSect="00FB1AE7">
          <w:headerReference w:type="even" r:id="rId28"/>
          <w:headerReference w:type="default" r:id="rId29"/>
          <w:footerReference w:type="even" r:id="rId30"/>
          <w:footerReference w:type="default" r:id="rId31"/>
          <w:headerReference w:type="first" r:id="rId32"/>
          <w:footerReference w:type="first" r:id="rId33"/>
          <w:pgSz w:w="11906" w:h="16838" w:code="9"/>
          <w:pgMar w:top="1134" w:right="1134" w:bottom="1418" w:left="1134" w:header="709" w:footer="284" w:gutter="0"/>
          <w:cols w:space="708"/>
          <w:docGrid w:linePitch="360"/>
        </w:sectPr>
      </w:pPr>
      <w:r w:rsidRPr="00271CC9">
        <w:rPr>
          <w:color w:val="302F2F" w:themeColor="text1" w:themeTint="E6"/>
          <w:lang w:eastAsia="en-AU"/>
        </w:rPr>
        <w:fldChar w:fldCharType="end"/>
      </w:r>
    </w:p>
    <w:p w14:paraId="19EF429F" w14:textId="21CF9C2B" w:rsidR="0070546C" w:rsidRDefault="0045724D" w:rsidP="00736E4F">
      <w:pPr>
        <w:pStyle w:val="Head1"/>
        <w:rPr>
          <w:rFonts w:eastAsia="Flama Cond Bold"/>
        </w:rPr>
      </w:pPr>
      <w:bookmarkStart w:id="0" w:name="_Toc97809197"/>
      <w:bookmarkStart w:id="1" w:name="_Toc150431706"/>
      <w:r>
        <w:rPr>
          <w:rFonts w:eastAsia="Flama Cond Bold"/>
        </w:rPr>
        <w:t>Executive summary</w:t>
      </w:r>
      <w:bookmarkEnd w:id="0"/>
      <w:bookmarkEnd w:id="1"/>
    </w:p>
    <w:p w14:paraId="717F5544" w14:textId="11695C86" w:rsidR="0070546C" w:rsidRDefault="27FCEE1D" w:rsidP="005F73B8">
      <w:pPr>
        <w:pStyle w:val="Head2"/>
      </w:pPr>
      <w:r w:rsidRPr="00962747">
        <w:t>B</w:t>
      </w:r>
      <w:r w:rsidR="00736E4F" w:rsidRPr="00962747">
        <w:t>ackground</w:t>
      </w:r>
    </w:p>
    <w:p w14:paraId="76604383" w14:textId="4285A9C1" w:rsidR="002D3569" w:rsidRDefault="00D46589" w:rsidP="006358BD">
      <w:r>
        <w:t>Urbis has been commissioned by the Victorian Department of Treasury and Finance (DTF), working closely with the Department of Families, Fairness and Housing (DFFH), to undertake an indepen</w:t>
      </w:r>
      <w:r w:rsidR="002A016A">
        <w:t>dent evaluation of the Living Learning Partnership Addressing Disadvantage (PAD). This is the report for the Interim Evaluation, which assesses progress towards outcomes after the first two years of the Living Learning Program, provides recommendations for how the program can be improved and highlights early learnings to inform broader government policies.</w:t>
      </w:r>
    </w:p>
    <w:p w14:paraId="6FD83A23" w14:textId="336CBAEC" w:rsidR="002A016A" w:rsidRDefault="002A016A" w:rsidP="006358BD">
      <w:r>
        <w:t>Specifically, the Interim Evaluation will support the remaining implementation and management of the program by presenting findings related to continued implementation of the program, early evidence of outcomes, and recommendations to further improve program delivery.</w:t>
      </w:r>
    </w:p>
    <w:p w14:paraId="063C7BF5" w14:textId="6D28A4A8" w:rsidR="006358BD" w:rsidRDefault="006358BD" w:rsidP="00436DBA">
      <w:pPr>
        <w:pStyle w:val="Head2"/>
      </w:pPr>
      <w:r>
        <w:t>T</w:t>
      </w:r>
      <w:r w:rsidR="00436DBA">
        <w:t>he Living Learning Program and Partnerships Addressing Disadvantage</w:t>
      </w:r>
    </w:p>
    <w:p w14:paraId="54DE05E3" w14:textId="168362DA" w:rsidR="00436DBA" w:rsidRDefault="002A016A" w:rsidP="003C6D0C">
      <w:r>
        <w:t>The Living Learning Program has been designed to deliver services addressing the barriers to personal and educational achievement for school leavers</w:t>
      </w:r>
      <w:r w:rsidR="00F328FA">
        <w:t xml:space="preserve"> aged 15-24 who are experiencing mental health complexities</w:t>
      </w:r>
      <w:r w:rsidR="00D7025E">
        <w:t xml:space="preserve"> and who are persistently not engaged in employment, </w:t>
      </w:r>
      <w:proofErr w:type="gramStart"/>
      <w:r w:rsidR="00D7025E">
        <w:t>education</w:t>
      </w:r>
      <w:proofErr w:type="gramEnd"/>
      <w:r w:rsidR="00D7025E">
        <w:t xml:space="preserve"> or training.</w:t>
      </w:r>
    </w:p>
    <w:p w14:paraId="2C8D8E54" w14:textId="142F2272" w:rsidR="00E152BF" w:rsidRDefault="00E152BF" w:rsidP="003C6D0C">
      <w:pPr>
        <w:rPr>
          <w:lang w:val="en-AU"/>
        </w:rPr>
      </w:pPr>
      <w:r w:rsidRPr="00E152BF">
        <w:rPr>
          <w:lang w:val="en-AU"/>
        </w:rPr>
        <w:t xml:space="preserve">Living learning is an integrative programme delivered by Melbourne city mission </w:t>
      </w:r>
      <w:r w:rsidR="00E404DE">
        <w:rPr>
          <w:lang w:val="en-AU"/>
        </w:rPr>
        <w:t>(</w:t>
      </w:r>
      <w:r w:rsidRPr="00E152BF">
        <w:rPr>
          <w:lang w:val="en-AU"/>
        </w:rPr>
        <w:t>MCM</w:t>
      </w:r>
      <w:r w:rsidR="00E404DE">
        <w:rPr>
          <w:lang w:val="en-AU"/>
        </w:rPr>
        <w:t>)</w:t>
      </w:r>
      <w:r w:rsidRPr="00E152BF">
        <w:rPr>
          <w:lang w:val="en-AU"/>
        </w:rPr>
        <w:t xml:space="preserve"> and their </w:t>
      </w:r>
      <w:r w:rsidR="00FE5E4F">
        <w:rPr>
          <w:lang w:val="en-AU"/>
        </w:rPr>
        <w:t>i</w:t>
      </w:r>
      <w:r w:rsidRPr="00E152BF">
        <w:rPr>
          <w:lang w:val="en-AU"/>
        </w:rPr>
        <w:t xml:space="preserve">ndependent </w:t>
      </w:r>
      <w:r w:rsidR="00FE5E4F">
        <w:rPr>
          <w:lang w:val="en-AU"/>
        </w:rPr>
        <w:t>s</w:t>
      </w:r>
      <w:r w:rsidRPr="00E152BF">
        <w:rPr>
          <w:lang w:val="en-AU"/>
        </w:rPr>
        <w:t xml:space="preserve">chool Hester </w:t>
      </w:r>
      <w:r w:rsidR="00FE5E4F">
        <w:rPr>
          <w:lang w:val="en-AU"/>
        </w:rPr>
        <w:t>H</w:t>
      </w:r>
      <w:r w:rsidRPr="00E152BF">
        <w:rPr>
          <w:lang w:val="en-AU"/>
        </w:rPr>
        <w:t xml:space="preserve">ornbrook Academy </w:t>
      </w:r>
      <w:r w:rsidR="00FE5E4F">
        <w:rPr>
          <w:lang w:val="en-AU"/>
        </w:rPr>
        <w:t>(</w:t>
      </w:r>
      <w:r w:rsidRPr="00E152BF">
        <w:rPr>
          <w:lang w:val="en-AU"/>
        </w:rPr>
        <w:t>HHA</w:t>
      </w:r>
      <w:r w:rsidR="00FE5E4F">
        <w:rPr>
          <w:lang w:val="en-AU"/>
        </w:rPr>
        <w:t>)</w:t>
      </w:r>
      <w:r w:rsidRPr="00E152BF">
        <w:rPr>
          <w:lang w:val="en-AU"/>
        </w:rPr>
        <w:t xml:space="preserve"> that provides </w:t>
      </w:r>
      <w:r w:rsidR="00FE5E4F">
        <w:rPr>
          <w:lang w:val="en-AU"/>
        </w:rPr>
        <w:t>three</w:t>
      </w:r>
      <w:r w:rsidRPr="00E152BF">
        <w:rPr>
          <w:lang w:val="en-AU"/>
        </w:rPr>
        <w:t xml:space="preserve"> years of wraparound support for young people in three cohorts of 48 participants</w:t>
      </w:r>
      <w:r w:rsidR="00E84465">
        <w:rPr>
          <w:lang w:val="en-AU"/>
        </w:rPr>
        <w:t xml:space="preserve"> - </w:t>
      </w:r>
      <w:r w:rsidR="00E404DE" w:rsidRPr="00E404DE">
        <w:rPr>
          <w:lang w:val="en-AU"/>
        </w:rPr>
        <w:t>144 students in total</w:t>
      </w:r>
      <w:r w:rsidR="00E84465">
        <w:rPr>
          <w:lang w:val="en-AU"/>
        </w:rPr>
        <w:t>.</w:t>
      </w:r>
      <w:r w:rsidR="00E404DE" w:rsidRPr="00E404DE">
        <w:rPr>
          <w:lang w:val="en-AU"/>
        </w:rPr>
        <w:t xml:space="preserve"> </w:t>
      </w:r>
      <w:r w:rsidR="00E84465">
        <w:rPr>
          <w:lang w:val="en-AU"/>
        </w:rPr>
        <w:t>T</w:t>
      </w:r>
      <w:r w:rsidR="00E404DE" w:rsidRPr="00E404DE">
        <w:rPr>
          <w:lang w:val="en-AU"/>
        </w:rPr>
        <w:t>he first</w:t>
      </w:r>
      <w:r w:rsidR="00335FDB">
        <w:rPr>
          <w:lang w:val="en-AU"/>
        </w:rPr>
        <w:t>,</w:t>
      </w:r>
      <w:r w:rsidR="00E404DE" w:rsidRPr="00E404DE">
        <w:rPr>
          <w:lang w:val="en-AU"/>
        </w:rPr>
        <w:t xml:space="preserve"> second and third cohort commenced in January 202</w:t>
      </w:r>
      <w:r w:rsidR="00335FDB">
        <w:rPr>
          <w:lang w:val="en-AU"/>
        </w:rPr>
        <w:t>1,</w:t>
      </w:r>
      <w:r w:rsidR="00E404DE" w:rsidRPr="00E404DE">
        <w:rPr>
          <w:lang w:val="en-AU"/>
        </w:rPr>
        <w:t>2022 and 2023 respectively</w:t>
      </w:r>
      <w:r w:rsidR="00335FDB">
        <w:rPr>
          <w:lang w:val="en-AU"/>
        </w:rPr>
        <w:t>,</w:t>
      </w:r>
      <w:r w:rsidR="00E404DE" w:rsidRPr="00E404DE">
        <w:rPr>
          <w:lang w:val="en-AU"/>
        </w:rPr>
        <w:t xml:space="preserve"> and the programme will operate from 2021 to 2025</w:t>
      </w:r>
      <w:r w:rsidR="00335FDB">
        <w:rPr>
          <w:lang w:val="en-AU"/>
        </w:rPr>
        <w:t>.</w:t>
      </w:r>
    </w:p>
    <w:p w14:paraId="2F69E7F4" w14:textId="00836C25" w:rsidR="00335FDB" w:rsidRDefault="00335FDB" w:rsidP="003C6D0C">
      <w:pPr>
        <w:rPr>
          <w:lang w:val="en-AU"/>
        </w:rPr>
      </w:pPr>
      <w:r w:rsidRPr="00335FDB">
        <w:rPr>
          <w:lang w:val="en-AU"/>
        </w:rPr>
        <w:t>The intended outcomes of the program are that young people experience improvements in their educational achievements, mental and physical health, relationships within community and family, and self</w:t>
      </w:r>
      <w:r w:rsidR="0004444F">
        <w:rPr>
          <w:lang w:val="en-AU"/>
        </w:rPr>
        <w:t>-</w:t>
      </w:r>
      <w:r w:rsidRPr="00335FDB">
        <w:rPr>
          <w:lang w:val="en-AU"/>
        </w:rPr>
        <w:t>efficacy to be on a positive pathway of their choice</w:t>
      </w:r>
      <w:r w:rsidR="0004444F" w:rsidRPr="0004444F">
        <w:rPr>
          <w:lang w:val="en-AU"/>
        </w:rPr>
        <w:t>.</w:t>
      </w:r>
    </w:p>
    <w:p w14:paraId="06266D66" w14:textId="54FA2DAD" w:rsidR="0004444F" w:rsidRDefault="0004444F" w:rsidP="003C6D0C">
      <w:r w:rsidRPr="0004444F">
        <w:rPr>
          <w:lang w:val="en-AU"/>
        </w:rPr>
        <w:t xml:space="preserve">Living learning has been developed through the Victorian </w:t>
      </w:r>
      <w:r w:rsidR="00462931">
        <w:rPr>
          <w:lang w:val="en-AU"/>
        </w:rPr>
        <w:t>G</w:t>
      </w:r>
      <w:r w:rsidRPr="0004444F">
        <w:rPr>
          <w:lang w:val="en-AU"/>
        </w:rPr>
        <w:t>overnment</w:t>
      </w:r>
      <w:r w:rsidR="00462931">
        <w:rPr>
          <w:lang w:val="en-AU"/>
        </w:rPr>
        <w:t>’</w:t>
      </w:r>
      <w:r w:rsidRPr="0004444F">
        <w:rPr>
          <w:lang w:val="en-AU"/>
        </w:rPr>
        <w:t xml:space="preserve">s </w:t>
      </w:r>
      <w:r w:rsidR="00462931">
        <w:rPr>
          <w:lang w:val="en-AU"/>
        </w:rPr>
        <w:t>P</w:t>
      </w:r>
      <w:r w:rsidRPr="0004444F">
        <w:rPr>
          <w:lang w:val="en-AU"/>
        </w:rPr>
        <w:t xml:space="preserve">artnerships </w:t>
      </w:r>
      <w:r w:rsidR="00462931">
        <w:rPr>
          <w:lang w:val="en-AU"/>
        </w:rPr>
        <w:t>A</w:t>
      </w:r>
      <w:r w:rsidRPr="0004444F">
        <w:rPr>
          <w:lang w:val="en-AU"/>
        </w:rPr>
        <w:t xml:space="preserve">ddressing </w:t>
      </w:r>
      <w:r w:rsidR="00462931">
        <w:rPr>
          <w:lang w:val="en-AU"/>
        </w:rPr>
        <w:t>D</w:t>
      </w:r>
      <w:r w:rsidRPr="0004444F">
        <w:rPr>
          <w:lang w:val="en-AU"/>
        </w:rPr>
        <w:t>isadvantage (PADs) initiative. PAD</w:t>
      </w:r>
      <w:r w:rsidR="00462931">
        <w:rPr>
          <w:lang w:val="en-AU"/>
        </w:rPr>
        <w:t>s</w:t>
      </w:r>
      <w:r w:rsidRPr="0004444F">
        <w:rPr>
          <w:lang w:val="en-AU"/>
        </w:rPr>
        <w:t xml:space="preserve"> outcomes</w:t>
      </w:r>
      <w:r w:rsidR="00462931">
        <w:rPr>
          <w:lang w:val="en-AU"/>
        </w:rPr>
        <w:t>-</w:t>
      </w:r>
      <w:r w:rsidRPr="0004444F">
        <w:rPr>
          <w:lang w:val="en-AU"/>
        </w:rPr>
        <w:t>based contracts that emphasi</w:t>
      </w:r>
      <w:r w:rsidR="008B3331">
        <w:rPr>
          <w:lang w:val="en-AU"/>
        </w:rPr>
        <w:t>se</w:t>
      </w:r>
      <w:r w:rsidRPr="0004444F">
        <w:rPr>
          <w:lang w:val="en-AU"/>
        </w:rPr>
        <w:t xml:space="preserve"> the partnerships that are needed to tackle complex problems, combining service deliberate insights with resources from the public and private sectors</w:t>
      </w:r>
      <w:r w:rsidR="00417216" w:rsidRPr="00417216">
        <w:rPr>
          <w:lang w:val="en-AU"/>
        </w:rPr>
        <w:t xml:space="preserve"> to deliver innovative solutions. Investors receive a return on </w:t>
      </w:r>
      <w:r w:rsidR="008B3331" w:rsidRPr="00417216">
        <w:rPr>
          <w:lang w:val="en-AU"/>
        </w:rPr>
        <w:t>their</w:t>
      </w:r>
      <w:r w:rsidR="00417216" w:rsidRPr="00417216">
        <w:rPr>
          <w:lang w:val="en-AU"/>
        </w:rPr>
        <w:t xml:space="preserve"> investment based on the level of outcomes achieved, such as the percentage reduction in Victorian </w:t>
      </w:r>
      <w:r w:rsidR="00363D46">
        <w:rPr>
          <w:lang w:val="en-AU"/>
        </w:rPr>
        <w:t>E</w:t>
      </w:r>
      <w:r w:rsidR="00417216" w:rsidRPr="00417216">
        <w:rPr>
          <w:lang w:val="en-AU"/>
        </w:rPr>
        <w:t xml:space="preserve">mergency </w:t>
      </w:r>
      <w:r w:rsidR="00363D46">
        <w:rPr>
          <w:lang w:val="en-AU"/>
        </w:rPr>
        <w:t>D</w:t>
      </w:r>
      <w:r w:rsidR="00417216" w:rsidRPr="00417216">
        <w:rPr>
          <w:lang w:val="en-AU"/>
        </w:rPr>
        <w:t>epartment (E</w:t>
      </w:r>
      <w:r w:rsidR="00363D46">
        <w:rPr>
          <w:lang w:val="en-AU"/>
        </w:rPr>
        <w:t>D</w:t>
      </w:r>
      <w:r w:rsidR="00417216" w:rsidRPr="00417216">
        <w:rPr>
          <w:lang w:val="en-AU"/>
        </w:rPr>
        <w:t xml:space="preserve">) presentations for </w:t>
      </w:r>
      <w:r w:rsidR="00103F06">
        <w:rPr>
          <w:lang w:val="en-AU"/>
        </w:rPr>
        <w:t>L</w:t>
      </w:r>
      <w:r w:rsidR="00417216" w:rsidRPr="00417216">
        <w:rPr>
          <w:lang w:val="en-AU"/>
        </w:rPr>
        <w:t xml:space="preserve">iving </w:t>
      </w:r>
      <w:r w:rsidR="00103F06">
        <w:rPr>
          <w:lang w:val="en-AU"/>
        </w:rPr>
        <w:t>L</w:t>
      </w:r>
      <w:r w:rsidR="00417216" w:rsidRPr="00417216">
        <w:rPr>
          <w:lang w:val="en-AU"/>
        </w:rPr>
        <w:t>earning participants over two and four years. As Victoria's first integrated education an</w:t>
      </w:r>
      <w:r w:rsidR="00103F06">
        <w:rPr>
          <w:lang w:val="en-AU"/>
        </w:rPr>
        <w:t>d</w:t>
      </w:r>
      <w:r w:rsidR="00417216" w:rsidRPr="00417216">
        <w:rPr>
          <w:lang w:val="en-AU"/>
        </w:rPr>
        <w:t xml:space="preserve"> mental health</w:t>
      </w:r>
      <w:r w:rsidR="00103F06">
        <w:rPr>
          <w:lang w:val="en-AU"/>
        </w:rPr>
        <w:t>-</w:t>
      </w:r>
      <w:r w:rsidR="00417216" w:rsidRPr="00417216">
        <w:rPr>
          <w:lang w:val="en-AU"/>
        </w:rPr>
        <w:t>focused P</w:t>
      </w:r>
      <w:r w:rsidR="00103F06">
        <w:rPr>
          <w:lang w:val="en-AU"/>
        </w:rPr>
        <w:t>A</w:t>
      </w:r>
      <w:r w:rsidR="00417216" w:rsidRPr="00417216">
        <w:rPr>
          <w:lang w:val="en-AU"/>
        </w:rPr>
        <w:t xml:space="preserve">D, the evaluation of the </w:t>
      </w:r>
      <w:r w:rsidR="00103F06">
        <w:rPr>
          <w:lang w:val="en-AU"/>
        </w:rPr>
        <w:t>L</w:t>
      </w:r>
      <w:r w:rsidR="00417216" w:rsidRPr="00417216">
        <w:rPr>
          <w:lang w:val="en-AU"/>
        </w:rPr>
        <w:t xml:space="preserve">iving </w:t>
      </w:r>
      <w:r w:rsidR="00103F06">
        <w:rPr>
          <w:lang w:val="en-AU"/>
        </w:rPr>
        <w:t>L</w:t>
      </w:r>
      <w:r w:rsidR="00417216" w:rsidRPr="00417216">
        <w:rPr>
          <w:lang w:val="en-AU"/>
        </w:rPr>
        <w:t>earning P</w:t>
      </w:r>
      <w:r w:rsidR="00103F06">
        <w:rPr>
          <w:lang w:val="en-AU"/>
        </w:rPr>
        <w:t>A</w:t>
      </w:r>
      <w:r w:rsidR="00417216" w:rsidRPr="00417216">
        <w:rPr>
          <w:lang w:val="en-AU"/>
        </w:rPr>
        <w:t>D will inform future investment in the sector</w:t>
      </w:r>
      <w:r w:rsidR="00462931" w:rsidRPr="00462931">
        <w:rPr>
          <w:lang w:val="en-AU"/>
        </w:rPr>
        <w:t>.</w:t>
      </w:r>
    </w:p>
    <w:p w14:paraId="3AA4F2BD" w14:textId="045EA40D" w:rsidR="003C6D0C" w:rsidRDefault="003C6D0C" w:rsidP="003C6D0C">
      <w:pPr>
        <w:pStyle w:val="Head2"/>
      </w:pPr>
      <w:r>
        <w:t>Methodology</w:t>
      </w:r>
    </w:p>
    <w:p w14:paraId="6EBA9379" w14:textId="77777777" w:rsidR="00525C41" w:rsidRDefault="00525C41" w:rsidP="00525C41">
      <w:r>
        <w:t>The evaluation has adopted a mixed-methods approach, analysing available quantitative program and survey data, as well as qualitative insights from semi-structured interviews. Reflecting the dual scope of the evaluation, research was arranged into streams that inform the PAD model, and streams that inform program implementation and outcomes. Findings within this report have been informed by analysis of both primary and secondary data sources, including:</w:t>
      </w:r>
    </w:p>
    <w:p w14:paraId="06B88052" w14:textId="13C6361D" w:rsidR="00525C41" w:rsidRDefault="00525C41" w:rsidP="00525C41">
      <w:pPr>
        <w:pStyle w:val="ListBullet"/>
      </w:pPr>
      <w:r>
        <w:t>semi-structured interviews with 22 current Living Learning participants</w:t>
      </w:r>
    </w:p>
    <w:p w14:paraId="6F1F8AE6" w14:textId="27849F79" w:rsidR="00525C41" w:rsidRDefault="00525C41" w:rsidP="00525C41">
      <w:pPr>
        <w:pStyle w:val="ListBullet"/>
      </w:pPr>
      <w:r>
        <w:t>a survey of 32 current Living Learning participants</w:t>
      </w:r>
    </w:p>
    <w:p w14:paraId="282093D7" w14:textId="1552573F" w:rsidR="00525C41" w:rsidRDefault="00525C41" w:rsidP="00525C41">
      <w:pPr>
        <w:pStyle w:val="ListBullet"/>
      </w:pPr>
      <w:r>
        <w:t>consultations with 10 Living Learning Program staff and six HHA staff members</w:t>
      </w:r>
    </w:p>
    <w:p w14:paraId="04D4635E" w14:textId="38248D4A" w:rsidR="00525C41" w:rsidRDefault="00525C41" w:rsidP="00525C41">
      <w:pPr>
        <w:pStyle w:val="ListBullet"/>
      </w:pPr>
      <w:r>
        <w:t>consultations with eight PAD model stakeholders from MCM, DFFH and DTF</w:t>
      </w:r>
    </w:p>
    <w:p w14:paraId="601523CD" w14:textId="4D781225" w:rsidR="003C6D0C" w:rsidRDefault="00525C41" w:rsidP="00525C41">
      <w:pPr>
        <w:pStyle w:val="ListBullet"/>
      </w:pPr>
      <w:r>
        <w:t>a review of program documents and program data collected for Cohort 1 and 2 program participants.</w:t>
      </w:r>
    </w:p>
    <w:p w14:paraId="0E6BFDCF" w14:textId="50A96F77" w:rsidR="00812EF2" w:rsidRDefault="00812EF2" w:rsidP="00812EF2">
      <w:pPr>
        <w:pStyle w:val="Head2"/>
      </w:pPr>
      <w:r>
        <w:t>Key findings</w:t>
      </w:r>
    </w:p>
    <w:p w14:paraId="028066FD" w14:textId="32A9CF4D" w:rsidR="00812EF2" w:rsidRDefault="00812EF2" w:rsidP="00812EF2">
      <w:pPr>
        <w:pStyle w:val="Head3"/>
      </w:pPr>
      <w:r>
        <w:t>Program implementation</w:t>
      </w:r>
    </w:p>
    <w:p w14:paraId="3431830F" w14:textId="77777777" w:rsidR="00402AA8" w:rsidRDefault="00402AA8" w:rsidP="00402AA8">
      <w:pPr>
        <w:pStyle w:val="ListBullet"/>
      </w:pPr>
      <w:r>
        <w:t>The second year of program implementation has generally been delivered as intended with key features of program delivery consolidated.</w:t>
      </w:r>
    </w:p>
    <w:p w14:paraId="6A7DB6CE" w14:textId="77777777" w:rsidR="00402AA8" w:rsidRDefault="00402AA8" w:rsidP="00402AA8">
      <w:pPr>
        <w:pStyle w:val="ListBullet"/>
      </w:pPr>
      <w:r>
        <w:t>Weekly adventure activities were well run and attended, without any COVID-19 disruptions.</w:t>
      </w:r>
    </w:p>
    <w:p w14:paraId="73DAED4D" w14:textId="77777777" w:rsidR="00402AA8" w:rsidRDefault="00402AA8" w:rsidP="00402AA8">
      <w:pPr>
        <w:pStyle w:val="ListBullet"/>
      </w:pPr>
      <w:r>
        <w:t>Throughout 2022, a small but growing number of young people finished their studies at HHA but continued as program participants through offsite activities that are currently being trialled. As of December 2022, there were 16 ex-HHA participants involved in employment or further education activities including work, TAFE courses and TAFE bridging courses to gain entry to university.</w:t>
      </w:r>
    </w:p>
    <w:p w14:paraId="30CE9577" w14:textId="77777777" w:rsidR="00402AA8" w:rsidRDefault="00402AA8" w:rsidP="00402AA8">
      <w:pPr>
        <w:pStyle w:val="ListBullet"/>
      </w:pPr>
      <w:r>
        <w:t>The second year of program delivery was generally considered to have improved communication and collaboration among Living Learning and HHA staff to resolve any discrepancy in policy and practice.</w:t>
      </w:r>
    </w:p>
    <w:p w14:paraId="7F03677D" w14:textId="0048BEB1" w:rsidR="00812EF2" w:rsidRDefault="00402AA8" w:rsidP="00402AA8">
      <w:pPr>
        <w:pStyle w:val="ListBullet"/>
      </w:pPr>
      <w:r>
        <w:t>Key risks to ongoing program delivery include the sustainability of the staffing and resourcing model in the peak year of program delivery, the tensions associated with delivering the program within a school environment, and the feasibility of interventions for the ex-HHA cohort.</w:t>
      </w:r>
    </w:p>
    <w:p w14:paraId="535D4726" w14:textId="2362CCDE" w:rsidR="00402AA8" w:rsidRDefault="00487538" w:rsidP="00487538">
      <w:pPr>
        <w:pStyle w:val="Head3"/>
      </w:pPr>
      <w:r w:rsidRPr="00487538">
        <w:t xml:space="preserve">Participant profile, </w:t>
      </w:r>
      <w:proofErr w:type="gramStart"/>
      <w:r w:rsidRPr="00487538">
        <w:t>attendance</w:t>
      </w:r>
      <w:proofErr w:type="gramEnd"/>
      <w:r w:rsidRPr="00487538">
        <w:t xml:space="preserve"> and experience</w:t>
      </w:r>
    </w:p>
    <w:p w14:paraId="1E319575" w14:textId="77777777" w:rsidR="0042206E" w:rsidRDefault="0042206E" w:rsidP="0042206E">
      <w:pPr>
        <w:pStyle w:val="ListBullet"/>
      </w:pPr>
      <w:r>
        <w:t>The demographic profiles of Cohort 1 and 2 show some key differences in complexity of mental health diagnoses, age, gender and living situation.</w:t>
      </w:r>
    </w:p>
    <w:p w14:paraId="6F3F7328" w14:textId="77777777" w:rsidR="0042206E" w:rsidRDefault="0042206E" w:rsidP="0042206E">
      <w:pPr>
        <w:pStyle w:val="ListBullet"/>
      </w:pPr>
      <w:r>
        <w:t>Referral pathways into the program were diverse for both Cohort 1 and 2. A greater portion of Cohort 1 participants were referred to the program by government services (e.g., Navigator program or DFFH), while a greater portion of Cohort 2 participants were referred into the program by a family member or guardian.</w:t>
      </w:r>
    </w:p>
    <w:p w14:paraId="7031B493" w14:textId="77777777" w:rsidR="0042206E" w:rsidRDefault="0042206E" w:rsidP="0042206E">
      <w:pPr>
        <w:pStyle w:val="ListBullet"/>
      </w:pPr>
      <w:r>
        <w:t>Key factors that motivated young people to join Living Learning have been the features of the program itself, including the mental health support, adventure learning activities and the flexibility of the education program. Some young people were attracted to the social elements of the program, while others were motivated by environmental factors, in particular gaining access to a safe and inclusive school environment.</w:t>
      </w:r>
    </w:p>
    <w:p w14:paraId="3DE94CBC" w14:textId="77777777" w:rsidR="0042206E" w:rsidRDefault="0042206E" w:rsidP="0042206E">
      <w:pPr>
        <w:pStyle w:val="ListBullet"/>
      </w:pPr>
      <w:r>
        <w:t>Attendance rates show mixed results with Cohort 1 participants dropping (on average) by 14 per cent in their second year of the program. For some students, attendance reduced by approximately 20 per cent and is attributed to individual circumstances including housing instability and gender transition while other students increasingly participated in employment and training programs. Average attendance among Cohort 2 is slightly higher than the broader HHA student population in their first year of the program.</w:t>
      </w:r>
    </w:p>
    <w:p w14:paraId="0D668CD3" w14:textId="3A31A057" w:rsidR="00487538" w:rsidRDefault="0042206E" w:rsidP="0042206E">
      <w:pPr>
        <w:pStyle w:val="ListBullet"/>
      </w:pPr>
      <w:r>
        <w:t>Young people are highly satisfied with their experiences in the program to date. Friendly and non-judgemental staff and the flexibility of the program to provide supports tailored to their individual needs were most valued by young people.</w:t>
      </w:r>
    </w:p>
    <w:p w14:paraId="31E40770" w14:textId="3E32DE76" w:rsidR="0042206E" w:rsidRDefault="0042206E" w:rsidP="00BE054D">
      <w:pPr>
        <w:pStyle w:val="Head3"/>
      </w:pPr>
      <w:r>
        <w:t>Outcome and achievements</w:t>
      </w:r>
    </w:p>
    <w:p w14:paraId="52764725" w14:textId="77777777" w:rsidR="00BE054D" w:rsidRDefault="00BE054D" w:rsidP="00BE054D">
      <w:pPr>
        <w:pStyle w:val="ListBullet"/>
      </w:pPr>
      <w:r>
        <w:t>Consultations with Living Learning participants found strong evidence that Living Learning contributes to improved mental health among young people. Better mental health is an enabler of positive outcomes including improved confidence and self-efficacy, ability to advocate for themselves, form relationships and attend school.</w:t>
      </w:r>
    </w:p>
    <w:p w14:paraId="5B89A339" w14:textId="70E3C2DC" w:rsidR="00BE054D" w:rsidRDefault="00BE054D" w:rsidP="00546EA2">
      <w:pPr>
        <w:pStyle w:val="ListBullet"/>
      </w:pPr>
      <w:r>
        <w:t>Participation in the program and regular contact with Key Workers has supported young people to form positive relationships with adults and their peers at school. Some young people have also been supported to repair relationships and reconnect with family members.</w:t>
      </w:r>
      <w:r w:rsidR="00546EA2">
        <w:br w:type="page"/>
      </w:r>
    </w:p>
    <w:p w14:paraId="386B908B" w14:textId="77777777" w:rsidR="00BE054D" w:rsidRDefault="00BE054D" w:rsidP="00BE054D">
      <w:pPr>
        <w:pStyle w:val="ListBullet"/>
      </w:pPr>
      <w:r>
        <w:t xml:space="preserve">Living Learning increases the capacity of young people to set and work towards their goals, resulting in increased confidence and self-efficacy. The emphasis on short-term goal setting has translated to longer-term education or career aspirations. Young people were also better equipped to navigate social scenarios and conflict </w:t>
      </w:r>
      <w:proofErr w:type="gramStart"/>
      <w:r>
        <w:t>as a result of</w:t>
      </w:r>
      <w:proofErr w:type="gramEnd"/>
      <w:r>
        <w:t xml:space="preserve"> program participation.</w:t>
      </w:r>
    </w:p>
    <w:p w14:paraId="1194E457" w14:textId="77777777" w:rsidR="00BE054D" w:rsidRDefault="00BE054D" w:rsidP="00BE054D">
      <w:pPr>
        <w:pStyle w:val="ListBullet"/>
      </w:pPr>
      <w:r>
        <w:t>The supportive and tailored classroom environment has assisted young people to think and feel more positively about education. Living Learning encourages young people to challenge assumptions they have about themselves and towards school and learning.</w:t>
      </w:r>
    </w:p>
    <w:p w14:paraId="180887CB" w14:textId="77777777" w:rsidR="00BE054D" w:rsidRDefault="00BE054D" w:rsidP="00BE054D">
      <w:pPr>
        <w:pStyle w:val="ListBullet"/>
      </w:pPr>
      <w:r>
        <w:t>Participation in Living Learning has improved the physical health of many participants. This has been largely driven by Key Workers who have assisted young people to build trust with healthcare providers and, where possible, access bulk billing specialists such as dentists.</w:t>
      </w:r>
    </w:p>
    <w:p w14:paraId="005D28ED" w14:textId="1A4E3457" w:rsidR="0042206E" w:rsidRDefault="00BE054D" w:rsidP="00BE054D">
      <w:pPr>
        <w:pStyle w:val="ListBullet"/>
      </w:pPr>
      <w:r>
        <w:t xml:space="preserve">There is some evidence that Living Learning has contributed to improved housing outcomes by connecting young people to housing services. A lack of suitable </w:t>
      </w:r>
      <w:r w:rsidRPr="00BE054D">
        <w:t>housing</w:t>
      </w:r>
      <w:r>
        <w:t xml:space="preserve"> options means there are limited avenues through which young people can access secure, long-term housing.</w:t>
      </w:r>
    </w:p>
    <w:p w14:paraId="16BA45BC" w14:textId="20FF6A7C" w:rsidR="00BE054D" w:rsidRDefault="0089248F" w:rsidP="0089248F">
      <w:pPr>
        <w:pStyle w:val="Head3"/>
      </w:pPr>
      <w:r w:rsidRPr="0089248F">
        <w:t>PAD governance and funding model</w:t>
      </w:r>
    </w:p>
    <w:p w14:paraId="1B156DC7" w14:textId="77777777" w:rsidR="00263A51" w:rsidRDefault="00263A51" w:rsidP="00263A51">
      <w:pPr>
        <w:pStyle w:val="ListBullet"/>
      </w:pPr>
      <w:r>
        <w:t>Mechanisms and forums for governing the PAD model are appropriate and working effectively. A collaborative partnership, aided by shared goals and co-chairing arrangements has contributed to building a trusting partnership with government agencies and MCM.</w:t>
      </w:r>
    </w:p>
    <w:p w14:paraId="20213420" w14:textId="77777777" w:rsidR="00263A51" w:rsidRDefault="00263A51" w:rsidP="00263A51">
      <w:pPr>
        <w:pStyle w:val="ListBullet"/>
      </w:pPr>
      <w:r>
        <w:t>The PAD model has generally had a positive influence on program management and delivery. In particular, the ambitious delivery timelines coupled with budget flexibility has fostered rapid program adjustment and innovation.</w:t>
      </w:r>
    </w:p>
    <w:p w14:paraId="34D97862" w14:textId="77777777" w:rsidR="00263A51" w:rsidRDefault="00263A51" w:rsidP="00263A51">
      <w:pPr>
        <w:pStyle w:val="ListBullet"/>
      </w:pPr>
      <w:r>
        <w:t>The PAD has also influenced program design and to ensure that all participants have a three-year experience of the program. Living Learning is currently developing a new engagement model for those young people who have finished at HHA. Access to the administrative data of Emergency Department presentations made available through the PAD has prompted MCM to consider program adaptations that provide after-hours support to young people.</w:t>
      </w:r>
    </w:p>
    <w:p w14:paraId="15EC0964" w14:textId="77777777" w:rsidR="00263A51" w:rsidRDefault="00263A51" w:rsidP="00263A51">
      <w:pPr>
        <w:pStyle w:val="ListBullet"/>
      </w:pPr>
      <w:r>
        <w:t>With evidence of the intervention’s effectiveness growing, key stakeholders have sought pathways to expand and replicate Living Learning in different settings. For future programs, greater involvement of school staff in Living Learning design and development may improve implementation of the program within a school environment.</w:t>
      </w:r>
    </w:p>
    <w:p w14:paraId="1B31073D" w14:textId="77777777" w:rsidR="00263A51" w:rsidRDefault="00263A51" w:rsidP="00263A51">
      <w:pPr>
        <w:pStyle w:val="ListBullet"/>
      </w:pPr>
      <w:r>
        <w:t xml:space="preserve">While implementation of Living Learning is enabled by specialist and committed staff, the program is still exploring a sustainable resourcing and staff model. The rapid program </w:t>
      </w:r>
      <w:proofErr w:type="gramStart"/>
      <w:r>
        <w:t>ramp</w:t>
      </w:r>
      <w:proofErr w:type="gramEnd"/>
      <w:r>
        <w:t xml:space="preserve"> up to the peak year (2023) followed by a ramp down creates unique resourcing and staffing challenges that require investment in change management strategies.</w:t>
      </w:r>
    </w:p>
    <w:p w14:paraId="0C7D4618" w14:textId="77777777" w:rsidR="00D34582" w:rsidRDefault="00263A51" w:rsidP="00775A29">
      <w:pPr>
        <w:pStyle w:val="ListBullet"/>
      </w:pPr>
      <w:r>
        <w:t>The single payable outcome based on ED presentations has proven to be relatively volatile and, in a small cohort, vulnerable to outliers. To date, the risks associated with the outcome measures have been actively controlled or mitigated through the PAD governance mechanisms and high mission alignment among PAD stakeholders including government, investors and MCM.</w:t>
      </w:r>
      <w:r w:rsidR="00D34582">
        <w:br w:type="page"/>
      </w:r>
    </w:p>
    <w:p w14:paraId="17C7BFE5" w14:textId="744815E7" w:rsidR="00913A5B" w:rsidRDefault="00396D6A" w:rsidP="00D34582">
      <w:pPr>
        <w:sectPr w:rsidR="00913A5B" w:rsidSect="00A40DEC">
          <w:footerReference w:type="even" r:id="rId34"/>
          <w:footerReference w:type="default" r:id="rId35"/>
          <w:type w:val="oddPage"/>
          <w:pgSz w:w="11906" w:h="16838" w:code="9"/>
          <w:pgMar w:top="1134" w:right="1134" w:bottom="1418" w:left="1134" w:header="709" w:footer="284" w:gutter="0"/>
          <w:pgNumType w:start="1"/>
          <w:cols w:space="708"/>
          <w:docGrid w:linePitch="360"/>
        </w:sectPr>
      </w:pPr>
      <w:r>
        <w:rPr>
          <w:noProof/>
        </w:rPr>
        <w:drawing>
          <wp:anchor distT="0" distB="0" distL="114300" distR="114300" simplePos="0" relativeHeight="251658241" behindDoc="1" locked="0" layoutInCell="1" allowOverlap="1" wp14:anchorId="0D28E1FE" wp14:editId="35A305BE">
            <wp:simplePos x="0" y="0"/>
            <wp:positionH relativeFrom="margin">
              <wp:posOffset>-751840</wp:posOffset>
            </wp:positionH>
            <wp:positionV relativeFrom="paragraph">
              <wp:posOffset>-739140</wp:posOffset>
            </wp:positionV>
            <wp:extent cx="7625269" cy="10727690"/>
            <wp:effectExtent l="0" t="0" r="0" b="0"/>
            <wp:wrapNone/>
            <wp:docPr id="2017407102" name="Picture 2017407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0710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25894" r="26865" b="257"/>
                    <a:stretch/>
                  </pic:blipFill>
                  <pic:spPr bwMode="auto">
                    <a:xfrm>
                      <a:off x="0" y="0"/>
                      <a:ext cx="7627578" cy="107309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0670E" w14:textId="319EF62B" w:rsidR="00ED2E7D" w:rsidRDefault="00991D8C" w:rsidP="00396D6A">
      <w:pPr>
        <w:pStyle w:val="Heading1"/>
      </w:pPr>
      <w:bookmarkStart w:id="2" w:name="_Toc97809198"/>
      <w:bookmarkStart w:id="3" w:name="_Ref97814363"/>
      <w:bookmarkStart w:id="4" w:name="_Toc150431707"/>
      <w:r w:rsidRPr="005D6A62">
        <w:t>Introduction</w:t>
      </w:r>
      <w:bookmarkEnd w:id="2"/>
      <w:bookmarkEnd w:id="3"/>
      <w:bookmarkEnd w:id="4"/>
    </w:p>
    <w:p w14:paraId="553E8E1B" w14:textId="4F485F4B" w:rsidR="00263A51" w:rsidRPr="00263A51" w:rsidRDefault="00C86043" w:rsidP="00263A51">
      <w:r w:rsidRPr="00C86043">
        <w:t>This document presents the Interim Evaluation Report for the evaluation of the Living Learning PAD. Its primary audience is the Department of Treasury and Finance (DTF), the Department of Families, Fairness and Housing (DFFH) and Melbourne City Mission (MCM).</w:t>
      </w:r>
    </w:p>
    <w:p w14:paraId="7266DD83" w14:textId="58C8F5C1" w:rsidR="00ED2E7D" w:rsidRDefault="00991D8C" w:rsidP="00CF1CC8">
      <w:pPr>
        <w:pStyle w:val="Heading2"/>
      </w:pPr>
      <w:bookmarkStart w:id="5" w:name="_Toc97809199"/>
      <w:bookmarkStart w:id="6" w:name="_Toc150431708"/>
      <w:r>
        <w:t xml:space="preserve">Evaluation </w:t>
      </w:r>
      <w:r w:rsidRPr="00466821">
        <w:t>context</w:t>
      </w:r>
      <w:bookmarkEnd w:id="5"/>
      <w:bookmarkEnd w:id="6"/>
    </w:p>
    <w:p w14:paraId="165AC50A" w14:textId="1CA35655" w:rsidR="008F006E" w:rsidRDefault="008F006E" w:rsidP="008F006E">
      <w:r>
        <w:t>The Victorian Government is currently investing in innovative and evidence-based programs through PAD initiatives. PADs fund programs that bring together the public, private and not-for-profit sectors to help reduce deep-seated disadvantage and improve outcomes for vulnerable people in Victoria. The guiding principles of PADs are that they:</w:t>
      </w:r>
    </w:p>
    <w:p w14:paraId="3345CE73" w14:textId="7269B23A" w:rsidR="008F006E" w:rsidRDefault="008F006E" w:rsidP="008F006E">
      <w:pPr>
        <w:pStyle w:val="ListBullet"/>
      </w:pPr>
      <w:r>
        <w:t xml:space="preserve">have a clearly defined client </w:t>
      </w:r>
      <w:proofErr w:type="gramStart"/>
      <w:r>
        <w:t>group</w:t>
      </w:r>
      <w:proofErr w:type="gramEnd"/>
    </w:p>
    <w:p w14:paraId="180DE600" w14:textId="72302CF7" w:rsidR="008F006E" w:rsidRDefault="008F006E" w:rsidP="008F006E">
      <w:pPr>
        <w:pStyle w:val="ListBullet"/>
      </w:pPr>
      <w:r>
        <w:t xml:space="preserve">deliver measurably positive outcomes to </w:t>
      </w:r>
      <w:proofErr w:type="gramStart"/>
      <w:r>
        <w:t>individuals</w:t>
      </w:r>
      <w:proofErr w:type="gramEnd"/>
    </w:p>
    <w:p w14:paraId="683D47C5" w14:textId="2208490A" w:rsidR="008F006E" w:rsidRDefault="008F006E" w:rsidP="008F006E">
      <w:pPr>
        <w:pStyle w:val="ListBullet"/>
      </w:pPr>
      <w:r>
        <w:t xml:space="preserve">demonstrate a financial return to government from the investment above the return government would have received through continuation of its core </w:t>
      </w:r>
      <w:proofErr w:type="gramStart"/>
      <w:r>
        <w:t>business</w:t>
      </w:r>
      <w:proofErr w:type="gramEnd"/>
    </w:p>
    <w:p w14:paraId="11F72C22" w14:textId="5B063B41" w:rsidR="008F006E" w:rsidRDefault="008F006E" w:rsidP="008F006E">
      <w:pPr>
        <w:pStyle w:val="ListBullet"/>
      </w:pPr>
      <w:r>
        <w:t xml:space="preserve">deliver an intervention that is innovative, but with evidence of </w:t>
      </w:r>
      <w:proofErr w:type="gramStart"/>
      <w:r>
        <w:t>efficacy</w:t>
      </w:r>
      <w:proofErr w:type="gramEnd"/>
    </w:p>
    <w:p w14:paraId="5264C67A" w14:textId="49697D79" w:rsidR="008F006E" w:rsidRDefault="008F006E" w:rsidP="008F006E">
      <w:pPr>
        <w:pStyle w:val="ListBullet"/>
      </w:pPr>
      <w:r>
        <w:t>share risk with those organisations better able to mitigate that risk.</w:t>
      </w:r>
    </w:p>
    <w:p w14:paraId="7F1F2403" w14:textId="77777777" w:rsidR="008F006E" w:rsidRDefault="008F006E" w:rsidP="008F006E">
      <w:r>
        <w:t>In 2018, DTF sought proposals to finance projects that improved education and engagement outcomes for: vulnerable children aged 5–14 (or school years 1–10); and disengaged youth aged 15–24 (youth who have left school early and are not engaged in training or in the labour force, located within a geographic area associated with social and economic disadvantage). The Living Learning Program, operated by MCM and its subsidiary school, the Hester Hornbrook Academy (HHA), was selected through this process to participate as a PAD initiative.</w:t>
      </w:r>
    </w:p>
    <w:p w14:paraId="68B5844B" w14:textId="77777777" w:rsidR="008F006E" w:rsidRDefault="008F006E" w:rsidP="008F006E">
      <w:r>
        <w:t>An evaluation of Living Learning is vital to the program’s continuous improvement. This evaluation, beyond the data sources used to inform outcome payments, will support the achievement of positive outcomes for program participants, MCM and the wider service system, as well as provide insight into the cost effectiveness of the intervention.</w:t>
      </w:r>
    </w:p>
    <w:p w14:paraId="16A11F2B" w14:textId="77777777" w:rsidR="008F006E" w:rsidRDefault="008F006E" w:rsidP="008F006E">
      <w:r>
        <w:t xml:space="preserve">The evaluation must ascertain the process and outcomes findings for the program to </w:t>
      </w:r>
      <w:proofErr w:type="gramStart"/>
      <w:r>
        <w:t>date, and</w:t>
      </w:r>
      <w:proofErr w:type="gramEnd"/>
      <w:r>
        <w:t xml:space="preserve"> assess whether the PAD model is fit-for-purpose for this kind of intervention. It must also support stakeholders to develop a full understanding of the benefits and challenges that come with this specific PAD model and explore where PADs sit in the broader landscape of government engaging private capital and the not-for-profit sector to resolve social problems.</w:t>
      </w:r>
    </w:p>
    <w:p w14:paraId="2C158023" w14:textId="559779A8" w:rsidR="00466821" w:rsidRDefault="008F006E" w:rsidP="00C86043">
      <w:r>
        <w:t>There are currently five PADs underway in Victoria. It is crucial that existing PAD funding arrangements are monitored so the design and implementation of future PADs embody learnings from early PAD successes and failures. As Victoria’s first integrated education and mental health-focused Social Impact Bond (SIB), the evaluation of the Living Learning PAD is crucial for informing future investment in the sector.</w:t>
      </w:r>
      <w:bookmarkStart w:id="7" w:name="_Toc22026807"/>
    </w:p>
    <w:p w14:paraId="61D5400C" w14:textId="77777777" w:rsidR="00F21B50" w:rsidRDefault="00F21B50" w:rsidP="00F21B50">
      <w:pPr>
        <w:pStyle w:val="Heading2"/>
      </w:pPr>
      <w:bookmarkStart w:id="8" w:name="_Toc150431709"/>
      <w:bookmarkStart w:id="9" w:name="_Toc22026808"/>
      <w:bookmarkEnd w:id="7"/>
      <w:r>
        <w:t>Methodology</w:t>
      </w:r>
      <w:bookmarkEnd w:id="8"/>
    </w:p>
    <w:p w14:paraId="18C0F911" w14:textId="77777777" w:rsidR="002C323E" w:rsidRDefault="002C323E" w:rsidP="002C323E">
      <w:pPr>
        <w:pStyle w:val="Head3"/>
      </w:pPr>
      <w:r>
        <w:t>Evaluation overview</w:t>
      </w:r>
    </w:p>
    <w:p w14:paraId="44894EE5" w14:textId="77777777" w:rsidR="00E55A6A" w:rsidRDefault="00E55A6A" w:rsidP="00E55A6A">
      <w:r>
        <w:t>The evaluation scope includes the:</w:t>
      </w:r>
    </w:p>
    <w:p w14:paraId="62A489F2" w14:textId="1879C89F" w:rsidR="00E55A6A" w:rsidRDefault="00E55A6A" w:rsidP="00E55A6A">
      <w:pPr>
        <w:pStyle w:val="ListBullet"/>
      </w:pPr>
      <w:r>
        <w:t>Living Learning PAD model – the structural design of the SIB approach</w:t>
      </w:r>
    </w:p>
    <w:p w14:paraId="5D4CF230" w14:textId="207178C5" w:rsidR="00E55A6A" w:rsidRDefault="00E55A6A" w:rsidP="00E55A6A">
      <w:pPr>
        <w:pStyle w:val="ListBullet"/>
      </w:pPr>
      <w:r>
        <w:t>Living Learning Program – the model of intervention designed and implemented by MCM.</w:t>
      </w:r>
    </w:p>
    <w:p w14:paraId="6BF3FD24" w14:textId="77777777" w:rsidR="00E55A6A" w:rsidRDefault="00E55A6A" w:rsidP="00E55A6A">
      <w:r>
        <w:t>The achievement of payable outcomes is not in the scope of this evaluation.</w:t>
      </w:r>
    </w:p>
    <w:p w14:paraId="0A4348E4" w14:textId="77777777" w:rsidR="00E55A6A" w:rsidRDefault="00E55A6A" w:rsidP="00E55A6A">
      <w:r>
        <w:t>The primary audience for this evaluation is defined as those stakeholders who will make decisions based on the findings of the evaluation reports. The primary audience for the evaluation is therefore DTF, DFFH, ministers and MCM.</w:t>
      </w:r>
    </w:p>
    <w:p w14:paraId="57972419" w14:textId="68AC8E3C" w:rsidR="002C323E" w:rsidRDefault="00E55A6A" w:rsidP="00E55A6A">
      <w:r>
        <w:t xml:space="preserve">The evaluation of the Living Learning PAD is structured around four evaluation domains, each of which is given focus at different stages of the evaluation. Evaluation questions have been developed for each of these domains and are presented in </w:t>
      </w:r>
      <w:r w:rsidR="00266E29">
        <w:rPr>
          <w:highlight w:val="yellow"/>
        </w:rPr>
        <w:fldChar w:fldCharType="begin"/>
      </w:r>
      <w:r w:rsidR="00266E29">
        <w:instrText xml:space="preserve"> REF _Ref150430663 \r \h </w:instrText>
      </w:r>
      <w:r w:rsidR="00266E29">
        <w:rPr>
          <w:highlight w:val="yellow"/>
        </w:rPr>
      </w:r>
      <w:r w:rsidR="00266E29">
        <w:rPr>
          <w:highlight w:val="yellow"/>
        </w:rPr>
        <w:fldChar w:fldCharType="separate"/>
      </w:r>
      <w:r w:rsidR="008D0FC1">
        <w:t xml:space="preserve">Appendix C   </w:t>
      </w:r>
      <w:r w:rsidR="00266E29">
        <w:rPr>
          <w:highlight w:val="yellow"/>
        </w:rPr>
        <w:fldChar w:fldCharType="end"/>
      </w:r>
      <w:r>
        <w:t>.</w:t>
      </w:r>
    </w:p>
    <w:p w14:paraId="489BC52D" w14:textId="1D42A94C" w:rsidR="00634ED8" w:rsidRDefault="00634ED8" w:rsidP="00634ED8">
      <w:pPr>
        <w:pStyle w:val="Caption"/>
      </w:pPr>
      <w:bookmarkStart w:id="10" w:name="_Toc150431951"/>
      <w:r>
        <w:t xml:space="preserve">Table </w:t>
      </w:r>
      <w:r>
        <w:fldChar w:fldCharType="begin"/>
      </w:r>
      <w:r>
        <w:instrText xml:space="preserve"> SEQ Table \* ARABIC </w:instrText>
      </w:r>
      <w:r>
        <w:fldChar w:fldCharType="separate"/>
      </w:r>
      <w:r w:rsidR="008D0FC1">
        <w:rPr>
          <w:noProof/>
        </w:rPr>
        <w:t>1</w:t>
      </w:r>
      <w:r>
        <w:fldChar w:fldCharType="end"/>
      </w:r>
      <w:r>
        <w:t xml:space="preserve"> Evaluation domains</w:t>
      </w:r>
      <w:bookmarkEnd w:id="10"/>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CellMar>
          <w:left w:w="0" w:type="dxa"/>
          <w:right w:w="0" w:type="dxa"/>
        </w:tblCellMar>
        <w:tblLook w:val="0420" w:firstRow="1" w:lastRow="0" w:firstColumn="0" w:lastColumn="0" w:noHBand="0" w:noVBand="1"/>
        <w:tblDescription w:val="{&quot;Ott&quot;:{&quot;FirstRow&quot;:{&quot;Font&quot;:{&quot;Bold&quot;:true,&quot;Color&quot;:{&quot;Key&quot;:&quot;Text2&quot;}},&quot;WordStyle&quot;:&quot;Table - Heading&quot;,&quot;LineSpacing&quot;:{},&quot;Margin&quot;:{},&quot;Borders&quot;:{&quot;Vertical&quot;:{&quot;Color&quot;:{&quot;Key&quot;:&quot;Borders&quot;},&quot;BorderWeight&quot;:&quot;Pt0_5&quot;},&quot;Horizontal&quot;:{&quot;Color&quot;:{&quot;Key&quot;:&quot;Borders&quot;},&quot;BorderWeight&quot;:&quot;Pt0_5&quot;},&quot;Left&quot;:{&quot;Color&quot;:{&quot;Key&quot;:&quot;Borders&quot;},&quot;BorderWeight&quot;:&quot;Pt0_5&quot;},&quot;Top&quot;:{&quot;Color&quot;:{&quot;Key&quot;:&quot;Borders&quot;},&quot;BorderWeight&quot;:&quot;Pt0_5&quot;},&quot;Right&quot;:{&quot;Color&quot;:{&quot;Key&quot;:&quot;Borders&quot;},&quot;BorderWeight&quot;:&quot;Pt0_5&quot;},&quot;Bottom&quot;:{&quot;Color&quot;:{&quot;Key&quot;:&quot;Borders&quot;},&quot;BorderWeight&quot;:&quot;Pt0_5&quot;,&quot;Type&quot;:&quot;Solid&quot;,&quot;Visible&quot;:true}}},&quot;LastRow&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r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La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BandedRow&quot;:{&quot;Item&quot;:{&quot;BackgroundColor&quot;:{&quot;Key&quot;:&quot;Shading&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Type&quot;:&quot;BandFirst&quot;},&quot;BandedColumn&quot;:{&quot;Item&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tRowHeightPp&quot;:true,&quot;ZeroMarginsWord&quot;:true,&quot;BackgroundColor&quot;:{&quot;Key&quot;:&quot;Background&quot;},&quot;Font&quot;:{&quot;Name&quot;:&quot;Arial&quot;,&quot;Size&quot;:10.0,&quot;Color&quot;:{&quot;Key&quot;:&quot;Text1&quot;}},&quot;WordStyle&quot;:&quot;Table - Text&quot;,&quot;LineSpacing&quot;:{&quot;Spacing&quot;:14.0},&quot;Alignment&quot;:{&quot;Horizontal&quot;:&quot;Left&quot;,&quot;Vertical&quot;:&quot;Top&quot;},&quot;Margin&quot;:{},&quot;Borders&quot;:{&quot;Vertical&quot;:{&quot;Color&quot;:{&quot;Key&quot;:&quot;Borders&quot;},&quot;BorderWeight&quot;:&quot;Pt0_5&quot;,&quot;Type&quot;:&quot;Solid&quot;,&quot;Visible&quot;:true},&quot;Horizontal&quot;:{&quot;Color&quot;:{&quot;Key&quot;:&quot;Borders&quot;},&quot;BorderWeight&quot;:&quot;Pt0_5&quot;,&quot;Type&quot;:&quot;Solid&quot;,&quot;Visible&quot;:true},&quot;Left&quot;:{&quot;Color&quot;:{&quot;Key&quot;:&quot;Borders&quot;},&quot;BorderWeight&quot;:&quot;Pt0_5&quot;,&quot;Type&quot;:&quot;Solid&quot;,&quot;Visible&quot;:true},&quot;Top&quot;:{&quot;Color&quot;:{&quot;Key&quot;:&quot;Borders&quot;},&quot;BorderWeight&quot;:&quot;Pt0_5&quot;,&quot;Type&quot;:&quot;Solid&quot;,&quot;Visible&quot;:true},&quot;Right&quot;:{&quot;Color&quot;:{&quot;Key&quot;:&quot;Borders&quot;},&quot;BorderWeight&quot;:&quot;Pt0_5&quot;,&quot;Type&quot;:&quot;Solid&quot;,&quot;Visible&quot;:true},&quot;Bottom&quot;:{&quot;Color&quot;:{&quot;Key&quot;:&quot;Borders&quot;},&quot;BorderWeight&quot;:&quot;Pt0_5&quot;,&quot;Type&quot;:&quot;Solid&quot;,&quot;Visible&quot;:true}}},&quot;Ccs&quot;:{&quot;Borders&quot;:&quot;217, 217, 217&quot;,&quot;Shading&quot;:&quot;242, 242, 242&quot;,&quot;Text1&quot;:&quot;64, 64, 64&quot;,&quot;Text2&quot;:&quot;Black&quot;,&quot;Background&quot;:&quot;White&quot;},&quot;Cop&quot;:{&quot;FirstRow&quot;:true,&quot;BandedRows&quot;:true},&quot;Ia&quot;:0.0}"/>
      </w:tblPr>
      <w:tblGrid>
        <w:gridCol w:w="5098"/>
        <w:gridCol w:w="1560"/>
        <w:gridCol w:w="1417"/>
        <w:gridCol w:w="1467"/>
      </w:tblGrid>
      <w:tr w:rsidR="00634ED8" w:rsidRPr="001169EF" w14:paraId="5422F861" w14:textId="77777777" w:rsidTr="005A698F">
        <w:trPr>
          <w:trHeight w:val="474"/>
          <w:tblHeader/>
        </w:trPr>
        <w:tc>
          <w:tcPr>
            <w:tcW w:w="5098" w:type="dxa"/>
            <w:shd w:val="clear" w:color="auto" w:fill="4B91D7"/>
          </w:tcPr>
          <w:p w14:paraId="25A1FEBB" w14:textId="588049BB" w:rsidR="00634ED8" w:rsidRPr="003D5129" w:rsidRDefault="005A698F">
            <w:pPr>
              <w:pStyle w:val="Table-Heading"/>
              <w:rPr>
                <w:color w:val="FFFFFF" w:themeColor="background1"/>
                <w:lang w:val="en-US"/>
              </w:rPr>
            </w:pPr>
            <w:r>
              <w:rPr>
                <w:color w:val="FFFFFF" w:themeColor="background1"/>
              </w:rPr>
              <w:t>Evaluation Domain</w:t>
            </w:r>
          </w:p>
        </w:tc>
        <w:tc>
          <w:tcPr>
            <w:tcW w:w="1560" w:type="dxa"/>
            <w:shd w:val="clear" w:color="auto" w:fill="4B91D7"/>
          </w:tcPr>
          <w:p w14:paraId="52B606E7" w14:textId="5732B54F" w:rsidR="00634ED8" w:rsidRPr="00780518" w:rsidRDefault="00634ED8">
            <w:pPr>
              <w:pStyle w:val="Table-Heading"/>
              <w:rPr>
                <w:color w:val="FFFFFF" w:themeColor="background1"/>
              </w:rPr>
            </w:pPr>
            <w:r>
              <w:rPr>
                <w:color w:val="FFFFFF" w:themeColor="background1"/>
              </w:rPr>
              <w:t xml:space="preserve">Formative Evaluation Report </w:t>
            </w:r>
            <w:r w:rsidR="005A698F">
              <w:rPr>
                <w:color w:val="FFFFFF" w:themeColor="background1"/>
              </w:rPr>
              <w:br/>
              <w:t>(</w:t>
            </w:r>
            <w:r>
              <w:rPr>
                <w:color w:val="FFFFFF" w:themeColor="background1"/>
              </w:rPr>
              <w:t>Feb 2022)</w:t>
            </w:r>
          </w:p>
        </w:tc>
        <w:tc>
          <w:tcPr>
            <w:tcW w:w="1417" w:type="dxa"/>
            <w:shd w:val="clear" w:color="auto" w:fill="4B91D7"/>
          </w:tcPr>
          <w:p w14:paraId="24952B13" w14:textId="18CA6739" w:rsidR="00634ED8" w:rsidRPr="00780518" w:rsidRDefault="00634ED8">
            <w:pPr>
              <w:pStyle w:val="Table-Heading"/>
              <w:rPr>
                <w:color w:val="FFFFFF" w:themeColor="background1"/>
              </w:rPr>
            </w:pPr>
            <w:r>
              <w:rPr>
                <w:color w:val="FFFFFF" w:themeColor="background1"/>
              </w:rPr>
              <w:t>Interim</w:t>
            </w:r>
            <w:r w:rsidR="005A698F">
              <w:rPr>
                <w:color w:val="FFFFFF" w:themeColor="background1"/>
              </w:rPr>
              <w:t xml:space="preserve"> Evaluation Report </w:t>
            </w:r>
            <w:r w:rsidR="005A698F">
              <w:rPr>
                <w:color w:val="FFFFFF" w:themeColor="background1"/>
              </w:rPr>
              <w:br/>
              <w:t>(May 2023)</w:t>
            </w:r>
          </w:p>
        </w:tc>
        <w:tc>
          <w:tcPr>
            <w:tcW w:w="1467" w:type="dxa"/>
            <w:shd w:val="clear" w:color="auto" w:fill="4B91D7"/>
          </w:tcPr>
          <w:p w14:paraId="2C33A3E3" w14:textId="65540671" w:rsidR="00634ED8" w:rsidRPr="00780518" w:rsidRDefault="005A698F">
            <w:pPr>
              <w:pStyle w:val="Table-Heading"/>
              <w:rPr>
                <w:color w:val="FFFFFF" w:themeColor="background1"/>
              </w:rPr>
            </w:pPr>
            <w:r>
              <w:rPr>
                <w:color w:val="FFFFFF" w:themeColor="background1"/>
              </w:rPr>
              <w:t xml:space="preserve">Summative Evaluation Report </w:t>
            </w:r>
            <w:r>
              <w:rPr>
                <w:color w:val="FFFFFF" w:themeColor="background1"/>
              </w:rPr>
              <w:br/>
              <w:t>(July 2026)</w:t>
            </w:r>
          </w:p>
        </w:tc>
      </w:tr>
      <w:tr w:rsidR="00634ED8" w:rsidRPr="001169EF" w14:paraId="1D622B42" w14:textId="77777777" w:rsidTr="005A698F">
        <w:trPr>
          <w:trHeight w:val="474"/>
        </w:trPr>
        <w:tc>
          <w:tcPr>
            <w:tcW w:w="5098" w:type="dxa"/>
            <w:shd w:val="clear" w:color="auto" w:fill="auto"/>
          </w:tcPr>
          <w:p w14:paraId="5C9F94ED" w14:textId="008E1BBD" w:rsidR="00634ED8" w:rsidRPr="00780518" w:rsidRDefault="003D5129">
            <w:pPr>
              <w:pStyle w:val="Table-Text"/>
              <w:rPr>
                <w:rFonts w:cs="Arial"/>
                <w:szCs w:val="20"/>
              </w:rPr>
            </w:pPr>
            <w:r w:rsidRPr="003D5129">
              <w:rPr>
                <w:rFonts w:cs="Arial"/>
                <w:szCs w:val="20"/>
              </w:rPr>
              <w:t>The formative evaluation domain is focused on the initial development and implementation of the both the program model and the financing and contracting approach (the PAD).</w:t>
            </w:r>
          </w:p>
        </w:tc>
        <w:tc>
          <w:tcPr>
            <w:tcW w:w="1560" w:type="dxa"/>
            <w:shd w:val="clear" w:color="auto" w:fill="auto"/>
          </w:tcPr>
          <w:p w14:paraId="2454D413" w14:textId="0277F6A6" w:rsidR="00634ED8" w:rsidRPr="00634ED8" w:rsidRDefault="007A6BEE" w:rsidP="00634ED8">
            <w:pPr>
              <w:pStyle w:val="Table-Text"/>
            </w:pPr>
            <w:r>
              <w:t>Yes</w:t>
            </w:r>
          </w:p>
        </w:tc>
        <w:tc>
          <w:tcPr>
            <w:tcW w:w="1417" w:type="dxa"/>
          </w:tcPr>
          <w:p w14:paraId="43324311" w14:textId="7DE7F2C1" w:rsidR="00634ED8" w:rsidRPr="00780518" w:rsidRDefault="007A6BEE">
            <w:pPr>
              <w:pStyle w:val="Table-Text"/>
              <w:rPr>
                <w:rFonts w:cs="Arial"/>
                <w:szCs w:val="20"/>
              </w:rPr>
            </w:pPr>
            <w:r>
              <w:rPr>
                <w:rFonts w:cs="Arial"/>
                <w:szCs w:val="20"/>
              </w:rPr>
              <w:t>Yes</w:t>
            </w:r>
          </w:p>
        </w:tc>
        <w:tc>
          <w:tcPr>
            <w:tcW w:w="1467" w:type="dxa"/>
            <w:shd w:val="clear" w:color="auto" w:fill="auto"/>
          </w:tcPr>
          <w:p w14:paraId="1259E2E5" w14:textId="274E0E9A" w:rsidR="00634ED8" w:rsidRPr="00780518" w:rsidRDefault="007A6BEE">
            <w:pPr>
              <w:pStyle w:val="Table-Text"/>
              <w:rPr>
                <w:rFonts w:cs="Arial"/>
                <w:szCs w:val="20"/>
              </w:rPr>
            </w:pPr>
            <w:r>
              <w:rPr>
                <w:rFonts w:cs="Arial"/>
                <w:szCs w:val="20"/>
              </w:rPr>
              <w:t>No</w:t>
            </w:r>
          </w:p>
        </w:tc>
      </w:tr>
      <w:tr w:rsidR="00634ED8" w:rsidRPr="001169EF" w14:paraId="053CF185" w14:textId="77777777" w:rsidTr="005A698F">
        <w:trPr>
          <w:trHeight w:val="474"/>
        </w:trPr>
        <w:tc>
          <w:tcPr>
            <w:tcW w:w="5098" w:type="dxa"/>
            <w:shd w:val="clear" w:color="auto" w:fill="auto"/>
          </w:tcPr>
          <w:p w14:paraId="5A224211" w14:textId="5BC5494A" w:rsidR="00634ED8" w:rsidRPr="00780518" w:rsidRDefault="00FB73BE">
            <w:pPr>
              <w:pStyle w:val="Table-Text"/>
              <w:rPr>
                <w:rFonts w:cs="Arial"/>
                <w:szCs w:val="20"/>
              </w:rPr>
            </w:pPr>
            <w:r w:rsidRPr="00FB73BE">
              <w:rPr>
                <w:rFonts w:cs="Arial"/>
                <w:szCs w:val="20"/>
              </w:rPr>
              <w:t>The outcomes evaluation domain is focused on outcomes for the students under the Living Learning PAD model, and on understanding how the program design influences these outcomes.</w:t>
            </w:r>
          </w:p>
        </w:tc>
        <w:tc>
          <w:tcPr>
            <w:tcW w:w="1560" w:type="dxa"/>
            <w:shd w:val="clear" w:color="auto" w:fill="auto"/>
          </w:tcPr>
          <w:p w14:paraId="24337B4C" w14:textId="76ACB954" w:rsidR="00634ED8" w:rsidRPr="00634ED8" w:rsidRDefault="007A6BEE" w:rsidP="00634ED8">
            <w:pPr>
              <w:pStyle w:val="Table-Text"/>
            </w:pPr>
            <w:r>
              <w:t>No</w:t>
            </w:r>
          </w:p>
        </w:tc>
        <w:tc>
          <w:tcPr>
            <w:tcW w:w="1417" w:type="dxa"/>
          </w:tcPr>
          <w:p w14:paraId="05B7A2D7" w14:textId="1E2B5161" w:rsidR="00634ED8" w:rsidRPr="00780518" w:rsidRDefault="007A6BEE">
            <w:pPr>
              <w:pStyle w:val="Table-Text"/>
              <w:rPr>
                <w:rFonts w:cs="Arial"/>
                <w:szCs w:val="20"/>
              </w:rPr>
            </w:pPr>
            <w:r>
              <w:rPr>
                <w:rFonts w:cs="Arial"/>
                <w:szCs w:val="20"/>
              </w:rPr>
              <w:t>Yes</w:t>
            </w:r>
          </w:p>
        </w:tc>
        <w:tc>
          <w:tcPr>
            <w:tcW w:w="1467" w:type="dxa"/>
            <w:shd w:val="clear" w:color="auto" w:fill="auto"/>
          </w:tcPr>
          <w:p w14:paraId="3BC810E5" w14:textId="7B31317B" w:rsidR="00634ED8" w:rsidRPr="00780518" w:rsidRDefault="007A6BEE">
            <w:pPr>
              <w:pStyle w:val="Table-Text"/>
              <w:rPr>
                <w:rFonts w:cs="Arial"/>
                <w:szCs w:val="20"/>
              </w:rPr>
            </w:pPr>
            <w:r>
              <w:rPr>
                <w:rFonts w:cs="Arial"/>
                <w:szCs w:val="20"/>
              </w:rPr>
              <w:t>Yes</w:t>
            </w:r>
          </w:p>
        </w:tc>
      </w:tr>
      <w:tr w:rsidR="00634ED8" w:rsidRPr="001169EF" w14:paraId="28A173D4" w14:textId="77777777" w:rsidTr="005A698F">
        <w:trPr>
          <w:trHeight w:val="468"/>
        </w:trPr>
        <w:tc>
          <w:tcPr>
            <w:tcW w:w="5098" w:type="dxa"/>
            <w:shd w:val="clear" w:color="auto" w:fill="auto"/>
          </w:tcPr>
          <w:p w14:paraId="0E0A2401" w14:textId="152A9E06" w:rsidR="00634ED8" w:rsidRPr="00780518" w:rsidRDefault="00133EBB">
            <w:pPr>
              <w:pStyle w:val="Table-Text"/>
              <w:rPr>
                <w:rFonts w:cs="Arial"/>
                <w:szCs w:val="20"/>
              </w:rPr>
            </w:pPr>
            <w:r w:rsidRPr="00133EBB">
              <w:rPr>
                <w:rFonts w:cs="Arial"/>
                <w:szCs w:val="20"/>
              </w:rPr>
              <w:t xml:space="preserve">The economic evaluation domain will also examine the PAD funding model and its appropriateness as a tool for driving outcomes and value for </w:t>
            </w:r>
            <w:proofErr w:type="gramStart"/>
            <w:r w:rsidRPr="00133EBB">
              <w:rPr>
                <w:rFonts w:cs="Arial"/>
                <w:szCs w:val="20"/>
              </w:rPr>
              <w:t>money, and</w:t>
            </w:r>
            <w:proofErr w:type="gramEnd"/>
            <w:r w:rsidRPr="00133EBB">
              <w:rPr>
                <w:rFonts w:cs="Arial"/>
                <w:szCs w:val="20"/>
              </w:rPr>
              <w:t xml:space="preserve"> will calculate the net economic benefit generated by the program.</w:t>
            </w:r>
          </w:p>
        </w:tc>
        <w:tc>
          <w:tcPr>
            <w:tcW w:w="1560" w:type="dxa"/>
            <w:shd w:val="clear" w:color="auto" w:fill="auto"/>
          </w:tcPr>
          <w:p w14:paraId="4B52A05E" w14:textId="5F197F5F" w:rsidR="00634ED8" w:rsidRPr="00634ED8" w:rsidRDefault="007A6BEE" w:rsidP="00634ED8">
            <w:pPr>
              <w:pStyle w:val="Table-Text"/>
            </w:pPr>
            <w:r>
              <w:t>No</w:t>
            </w:r>
          </w:p>
        </w:tc>
        <w:tc>
          <w:tcPr>
            <w:tcW w:w="1417" w:type="dxa"/>
          </w:tcPr>
          <w:p w14:paraId="4E24DDFF" w14:textId="625F5C66" w:rsidR="00634ED8" w:rsidRPr="00780518" w:rsidRDefault="007A6BEE">
            <w:pPr>
              <w:pStyle w:val="Table-Text"/>
              <w:rPr>
                <w:rFonts w:cs="Arial"/>
                <w:szCs w:val="20"/>
              </w:rPr>
            </w:pPr>
            <w:r>
              <w:rPr>
                <w:rFonts w:cs="Arial"/>
                <w:szCs w:val="20"/>
              </w:rPr>
              <w:t>No</w:t>
            </w:r>
          </w:p>
        </w:tc>
        <w:tc>
          <w:tcPr>
            <w:tcW w:w="1467" w:type="dxa"/>
            <w:shd w:val="clear" w:color="auto" w:fill="auto"/>
          </w:tcPr>
          <w:p w14:paraId="769AB868" w14:textId="2C1313BF" w:rsidR="00634ED8" w:rsidRPr="00780518" w:rsidRDefault="007A6BEE">
            <w:pPr>
              <w:pStyle w:val="Table-Text"/>
              <w:rPr>
                <w:rFonts w:cs="Arial"/>
                <w:szCs w:val="20"/>
              </w:rPr>
            </w:pPr>
            <w:r>
              <w:rPr>
                <w:rFonts w:cs="Arial"/>
                <w:szCs w:val="20"/>
              </w:rPr>
              <w:t>Yes</w:t>
            </w:r>
          </w:p>
        </w:tc>
      </w:tr>
      <w:tr w:rsidR="00133EBB" w:rsidRPr="001169EF" w14:paraId="3FAF4D53" w14:textId="77777777" w:rsidTr="005A698F">
        <w:trPr>
          <w:trHeight w:val="468"/>
        </w:trPr>
        <w:tc>
          <w:tcPr>
            <w:tcW w:w="5098" w:type="dxa"/>
            <w:shd w:val="clear" w:color="auto" w:fill="auto"/>
          </w:tcPr>
          <w:p w14:paraId="2A57F4A3" w14:textId="088EEB17" w:rsidR="00133EBB" w:rsidRPr="00133EBB" w:rsidRDefault="007A6BEE">
            <w:pPr>
              <w:pStyle w:val="Table-Text"/>
              <w:rPr>
                <w:rFonts w:cs="Arial"/>
                <w:szCs w:val="20"/>
              </w:rPr>
            </w:pPr>
            <w:r w:rsidRPr="007A6BEE">
              <w:rPr>
                <w:rFonts w:cs="Arial"/>
                <w:szCs w:val="20"/>
              </w:rPr>
              <w:t>The strategic evaluation domain will focus on the broader implications emerging from the implementation of the Living Learning PAD, and its contribution to the broader evidence base.</w:t>
            </w:r>
          </w:p>
        </w:tc>
        <w:tc>
          <w:tcPr>
            <w:tcW w:w="1560" w:type="dxa"/>
            <w:shd w:val="clear" w:color="auto" w:fill="auto"/>
          </w:tcPr>
          <w:p w14:paraId="0B50D15B" w14:textId="59056039" w:rsidR="00133EBB" w:rsidRPr="00634ED8" w:rsidRDefault="007A6BEE" w:rsidP="00634ED8">
            <w:pPr>
              <w:pStyle w:val="Table-Text"/>
            </w:pPr>
            <w:r>
              <w:t>No</w:t>
            </w:r>
          </w:p>
        </w:tc>
        <w:tc>
          <w:tcPr>
            <w:tcW w:w="1417" w:type="dxa"/>
          </w:tcPr>
          <w:p w14:paraId="367C561E" w14:textId="51A577BA" w:rsidR="00133EBB" w:rsidRPr="00780518" w:rsidRDefault="007A6BEE">
            <w:pPr>
              <w:pStyle w:val="Table-Text"/>
              <w:rPr>
                <w:rFonts w:cs="Arial"/>
                <w:szCs w:val="20"/>
              </w:rPr>
            </w:pPr>
            <w:r>
              <w:rPr>
                <w:rFonts w:cs="Arial"/>
                <w:szCs w:val="20"/>
              </w:rPr>
              <w:t>Yes</w:t>
            </w:r>
          </w:p>
        </w:tc>
        <w:tc>
          <w:tcPr>
            <w:tcW w:w="1467" w:type="dxa"/>
            <w:shd w:val="clear" w:color="auto" w:fill="auto"/>
          </w:tcPr>
          <w:p w14:paraId="5B00905E" w14:textId="63CD2548" w:rsidR="00133EBB" w:rsidRPr="00780518" w:rsidRDefault="007A6BEE">
            <w:pPr>
              <w:pStyle w:val="Table-Text"/>
              <w:rPr>
                <w:rFonts w:cs="Arial"/>
                <w:szCs w:val="20"/>
              </w:rPr>
            </w:pPr>
            <w:r>
              <w:rPr>
                <w:rFonts w:cs="Arial"/>
                <w:szCs w:val="20"/>
              </w:rPr>
              <w:t>Yes</w:t>
            </w:r>
          </w:p>
        </w:tc>
      </w:tr>
    </w:tbl>
    <w:p w14:paraId="7507CE52" w14:textId="77777777" w:rsidR="00284D15" w:rsidRDefault="00284D15" w:rsidP="00284D15">
      <w:r>
        <w:br w:type="page"/>
      </w:r>
    </w:p>
    <w:p w14:paraId="3EFB9E71" w14:textId="491CE847" w:rsidR="00634ED8" w:rsidRDefault="007A6BEE" w:rsidP="007A6BEE">
      <w:pPr>
        <w:pStyle w:val="Head3"/>
      </w:pPr>
      <w:r>
        <w:t>Key evaluation questions</w:t>
      </w:r>
    </w:p>
    <w:p w14:paraId="3A01A1A4" w14:textId="531D0B06" w:rsidR="007A6BEE" w:rsidRDefault="00061660" w:rsidP="007A6BEE">
      <w:r w:rsidRPr="00061660">
        <w:t>The key evaluation questions in scope for this Interim Evaluation Report are summarised below.</w:t>
      </w:r>
    </w:p>
    <w:p w14:paraId="6F644CE9" w14:textId="2F1F5F63" w:rsidR="009D1821" w:rsidRDefault="009D1821" w:rsidP="009D1821">
      <w:pPr>
        <w:pStyle w:val="Caption"/>
      </w:pPr>
      <w:bookmarkStart w:id="11" w:name="_Toc150431952"/>
      <w:r>
        <w:t xml:space="preserve">Table </w:t>
      </w:r>
      <w:r>
        <w:fldChar w:fldCharType="begin"/>
      </w:r>
      <w:r>
        <w:instrText xml:space="preserve"> SEQ Table \* ARABIC </w:instrText>
      </w:r>
      <w:r>
        <w:fldChar w:fldCharType="separate"/>
      </w:r>
      <w:r w:rsidR="008D0FC1">
        <w:rPr>
          <w:noProof/>
        </w:rPr>
        <w:t>2</w:t>
      </w:r>
      <w:r>
        <w:fldChar w:fldCharType="end"/>
      </w:r>
      <w:r>
        <w:t xml:space="preserve"> Key evaluation questions</w:t>
      </w:r>
      <w:bookmarkEnd w:id="11"/>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CellMar>
          <w:left w:w="0" w:type="dxa"/>
          <w:right w:w="0" w:type="dxa"/>
        </w:tblCellMar>
        <w:tblLook w:val="0420" w:firstRow="1" w:lastRow="0" w:firstColumn="0" w:lastColumn="0" w:noHBand="0" w:noVBand="1"/>
        <w:tblDescription w:val="{&quot;Ott&quot;:{&quot;FirstRow&quot;:{&quot;Font&quot;:{&quot;Bold&quot;:true,&quot;Color&quot;:{&quot;Key&quot;:&quot;Text2&quot;}},&quot;WordStyle&quot;:&quot;Table - Heading&quot;,&quot;LineSpacing&quot;:{},&quot;Margin&quot;:{},&quot;Borders&quot;:{&quot;Vertical&quot;:{&quot;Color&quot;:{&quot;Key&quot;:&quot;Borders&quot;},&quot;BorderWeight&quot;:&quot;Pt0_5&quot;},&quot;Horizontal&quot;:{&quot;Color&quot;:{&quot;Key&quot;:&quot;Borders&quot;},&quot;BorderWeight&quot;:&quot;Pt0_5&quot;},&quot;Left&quot;:{&quot;Color&quot;:{&quot;Key&quot;:&quot;Borders&quot;},&quot;BorderWeight&quot;:&quot;Pt0_5&quot;},&quot;Top&quot;:{&quot;Color&quot;:{&quot;Key&quot;:&quot;Borders&quot;},&quot;BorderWeight&quot;:&quot;Pt0_5&quot;},&quot;Right&quot;:{&quot;Color&quot;:{&quot;Key&quot;:&quot;Borders&quot;},&quot;BorderWeight&quot;:&quot;Pt0_5&quot;},&quot;Bottom&quot;:{&quot;Color&quot;:{&quot;Key&quot;:&quot;Borders&quot;},&quot;BorderWeight&quot;:&quot;Pt0_5&quot;,&quot;Type&quot;:&quot;Solid&quot;,&quot;Visible&quot;:true}}},&quot;LastRow&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r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La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BandedRow&quot;:{&quot;Item&quot;:{&quot;BackgroundColor&quot;:{&quot;Key&quot;:&quot;Shading&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Type&quot;:&quot;BandFirst&quot;},&quot;BandedColumn&quot;:{&quot;Item&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tRowHeightPp&quot;:true,&quot;ZeroMarginsWord&quot;:true,&quot;BackgroundColor&quot;:{&quot;Key&quot;:&quot;Background&quot;},&quot;Font&quot;:{&quot;Name&quot;:&quot;Arial&quot;,&quot;Size&quot;:10.0,&quot;Color&quot;:{&quot;Key&quot;:&quot;Text1&quot;}},&quot;WordStyle&quot;:&quot;Table - Text&quot;,&quot;LineSpacing&quot;:{&quot;Spacing&quot;:14.0},&quot;Alignment&quot;:{&quot;Horizontal&quot;:&quot;Left&quot;,&quot;Vertical&quot;:&quot;Top&quot;},&quot;Margin&quot;:{},&quot;Borders&quot;:{&quot;Vertical&quot;:{&quot;Color&quot;:{&quot;Key&quot;:&quot;Borders&quot;},&quot;BorderWeight&quot;:&quot;Pt0_5&quot;,&quot;Type&quot;:&quot;Solid&quot;,&quot;Visible&quot;:true},&quot;Horizontal&quot;:{&quot;Color&quot;:{&quot;Key&quot;:&quot;Borders&quot;},&quot;BorderWeight&quot;:&quot;Pt0_5&quot;,&quot;Type&quot;:&quot;Solid&quot;,&quot;Visible&quot;:true},&quot;Left&quot;:{&quot;Color&quot;:{&quot;Key&quot;:&quot;Borders&quot;},&quot;BorderWeight&quot;:&quot;Pt0_5&quot;,&quot;Type&quot;:&quot;Solid&quot;,&quot;Visible&quot;:true},&quot;Top&quot;:{&quot;Color&quot;:{&quot;Key&quot;:&quot;Borders&quot;},&quot;BorderWeight&quot;:&quot;Pt0_5&quot;,&quot;Type&quot;:&quot;Solid&quot;,&quot;Visible&quot;:true},&quot;Right&quot;:{&quot;Color&quot;:{&quot;Key&quot;:&quot;Borders&quot;},&quot;BorderWeight&quot;:&quot;Pt0_5&quot;,&quot;Type&quot;:&quot;Solid&quot;,&quot;Visible&quot;:true},&quot;Bottom&quot;:{&quot;Color&quot;:{&quot;Key&quot;:&quot;Borders&quot;},&quot;BorderWeight&quot;:&quot;Pt0_5&quot;,&quot;Type&quot;:&quot;Solid&quot;,&quot;Visible&quot;:true}}},&quot;Ccs&quot;:{&quot;Borders&quot;:&quot;217, 217, 217&quot;,&quot;Shading&quot;:&quot;242, 242, 242&quot;,&quot;Text1&quot;:&quot;64, 64, 64&quot;,&quot;Text2&quot;:&quot;Black&quot;,&quot;Background&quot;:&quot;White&quot;},&quot;Cop&quot;:{&quot;FirstRow&quot;:true,&quot;BandedRows&quot;:true},&quot;Ia&quot;:0.0}"/>
      </w:tblPr>
      <w:tblGrid>
        <w:gridCol w:w="3180"/>
        <w:gridCol w:w="3181"/>
        <w:gridCol w:w="3181"/>
      </w:tblGrid>
      <w:tr w:rsidR="009D1821" w:rsidRPr="001169EF" w14:paraId="050BCEF9" w14:textId="77777777" w:rsidTr="00604C18">
        <w:trPr>
          <w:trHeight w:val="474"/>
          <w:tblHeader/>
        </w:trPr>
        <w:tc>
          <w:tcPr>
            <w:tcW w:w="3180" w:type="dxa"/>
            <w:shd w:val="clear" w:color="auto" w:fill="4B91D7"/>
          </w:tcPr>
          <w:p w14:paraId="30C6E63D" w14:textId="3DB75161" w:rsidR="009D1821" w:rsidRPr="00780518" w:rsidRDefault="00E531D8">
            <w:pPr>
              <w:pStyle w:val="Table-Heading"/>
              <w:rPr>
                <w:color w:val="FFFFFF" w:themeColor="background1"/>
              </w:rPr>
            </w:pPr>
            <w:r w:rsidRPr="00E531D8">
              <w:rPr>
                <w:color w:val="FFFFFF" w:themeColor="background1"/>
              </w:rPr>
              <w:t>Formative evaluation questions</w:t>
            </w:r>
          </w:p>
        </w:tc>
        <w:tc>
          <w:tcPr>
            <w:tcW w:w="3181" w:type="dxa"/>
            <w:shd w:val="clear" w:color="auto" w:fill="4B91D7"/>
          </w:tcPr>
          <w:p w14:paraId="597B900B" w14:textId="3F7E0621" w:rsidR="009D1821" w:rsidRPr="00780518" w:rsidRDefault="006A5980">
            <w:pPr>
              <w:pStyle w:val="Table-Heading"/>
              <w:rPr>
                <w:color w:val="FFFFFF" w:themeColor="background1"/>
              </w:rPr>
            </w:pPr>
            <w:r w:rsidRPr="006A5980">
              <w:rPr>
                <w:color w:val="FFFFFF" w:themeColor="background1"/>
              </w:rPr>
              <w:t>Outcomes evaluation questions</w:t>
            </w:r>
          </w:p>
        </w:tc>
        <w:tc>
          <w:tcPr>
            <w:tcW w:w="3181" w:type="dxa"/>
            <w:shd w:val="clear" w:color="auto" w:fill="4B91D7"/>
          </w:tcPr>
          <w:p w14:paraId="7451E6AF" w14:textId="7F0F3348" w:rsidR="009D1821" w:rsidRPr="00780518" w:rsidRDefault="00EB447B">
            <w:pPr>
              <w:pStyle w:val="Table-Heading"/>
              <w:rPr>
                <w:color w:val="FFFFFF" w:themeColor="background1"/>
              </w:rPr>
            </w:pPr>
            <w:r w:rsidRPr="00EB447B">
              <w:rPr>
                <w:color w:val="FFFFFF" w:themeColor="background1"/>
              </w:rPr>
              <w:t>Strategic evaluation questions</w:t>
            </w:r>
          </w:p>
        </w:tc>
      </w:tr>
      <w:tr w:rsidR="009D1821" w:rsidRPr="001169EF" w14:paraId="2D35FAA0" w14:textId="77777777" w:rsidTr="00604C18">
        <w:trPr>
          <w:trHeight w:val="474"/>
        </w:trPr>
        <w:tc>
          <w:tcPr>
            <w:tcW w:w="3180" w:type="dxa"/>
            <w:shd w:val="clear" w:color="auto" w:fill="auto"/>
          </w:tcPr>
          <w:p w14:paraId="6A70328A" w14:textId="3E70FCF7" w:rsidR="009D1821" w:rsidRDefault="00DD5229" w:rsidP="00E763AC">
            <w:pPr>
              <w:pStyle w:val="Table-Bullet"/>
            </w:pPr>
            <w:r w:rsidRPr="00DD5229">
              <w:t>F1: To what extent does the design of the Living Learning Program</w:t>
            </w:r>
            <w:r w:rsidR="00530B4A">
              <w:t xml:space="preserve"> </w:t>
            </w:r>
            <w:r w:rsidRPr="00DD5229">
              <w:t>model reflect contemporary or emerging evidence for good policy and practice?</w:t>
            </w:r>
          </w:p>
          <w:p w14:paraId="4975E87E" w14:textId="70A5571C" w:rsidR="00DD5229" w:rsidRPr="00634ED8" w:rsidRDefault="00173F96" w:rsidP="00E763AC">
            <w:pPr>
              <w:pStyle w:val="Table-Bullet"/>
            </w:pPr>
            <w:r w:rsidRPr="00173F96">
              <w:t>F2: To what extent has the Living Learning Program model been implemented as planned?</w:t>
            </w:r>
          </w:p>
        </w:tc>
        <w:tc>
          <w:tcPr>
            <w:tcW w:w="3181" w:type="dxa"/>
          </w:tcPr>
          <w:p w14:paraId="5AC41B45" w14:textId="77777777" w:rsidR="0059735C" w:rsidRPr="00FF7494" w:rsidRDefault="0059735C" w:rsidP="00E763AC">
            <w:pPr>
              <w:pStyle w:val="Table-Bullet"/>
            </w:pPr>
            <w:r w:rsidRPr="00FF7494">
              <w:t>O1: What outcomes are observed for program participants?</w:t>
            </w:r>
          </w:p>
          <w:p w14:paraId="305713FD" w14:textId="77777777" w:rsidR="0059735C" w:rsidRPr="00FF7494" w:rsidRDefault="0059735C" w:rsidP="00E763AC">
            <w:pPr>
              <w:pStyle w:val="Table-Bullet"/>
            </w:pPr>
            <w:r w:rsidRPr="00FF7494">
              <w:t>O2: What outcomes or impacts are observed for other program stakeholders?</w:t>
            </w:r>
          </w:p>
          <w:p w14:paraId="17A6964C" w14:textId="77777777" w:rsidR="0059735C" w:rsidRPr="00FF7494" w:rsidRDefault="0059735C" w:rsidP="00E763AC">
            <w:pPr>
              <w:pStyle w:val="Table-Bullet"/>
            </w:pPr>
            <w:r w:rsidRPr="00FF7494">
              <w:t>O3: What contribution does the Living Learning Program make to the observed outcomes?</w:t>
            </w:r>
          </w:p>
          <w:p w14:paraId="6CE09CBA" w14:textId="77777777" w:rsidR="0059735C" w:rsidRPr="00FF7494" w:rsidRDefault="0059735C" w:rsidP="00E763AC">
            <w:pPr>
              <w:pStyle w:val="Table-Bullet"/>
            </w:pPr>
            <w:r w:rsidRPr="00FF7494">
              <w:t>O4: What external factors influence program outcomes and impact?</w:t>
            </w:r>
          </w:p>
          <w:p w14:paraId="7FE97178" w14:textId="77777777" w:rsidR="0059735C" w:rsidRPr="00FF7494" w:rsidRDefault="0059735C" w:rsidP="00E763AC">
            <w:pPr>
              <w:pStyle w:val="Table-Bullet"/>
            </w:pPr>
            <w:r w:rsidRPr="00FF7494">
              <w:t>O5: How has the PAD funding model influenced the outcomes?</w:t>
            </w:r>
          </w:p>
          <w:p w14:paraId="4B6517D8" w14:textId="39B309FF" w:rsidR="009D1821" w:rsidRPr="00FF7494" w:rsidRDefault="0059735C" w:rsidP="00E763AC">
            <w:pPr>
              <w:pStyle w:val="Table-Bullet"/>
            </w:pPr>
            <w:r w:rsidRPr="00FF7494">
              <w:t>O6: How sustainable and scalable is the Living Learning Program with its current funding model?</w:t>
            </w:r>
          </w:p>
        </w:tc>
        <w:tc>
          <w:tcPr>
            <w:tcW w:w="3181" w:type="dxa"/>
            <w:shd w:val="clear" w:color="auto" w:fill="auto"/>
          </w:tcPr>
          <w:p w14:paraId="0075ED99" w14:textId="77777777" w:rsidR="00FF7494" w:rsidRPr="00FF7494" w:rsidRDefault="00FF7494" w:rsidP="00E763AC">
            <w:pPr>
              <w:pStyle w:val="Table-Bullet"/>
            </w:pPr>
            <w:r w:rsidRPr="00FF7494">
              <w:t>S1: In what ways does the Living Learning Program model contribute to the broader evidence base about effective responses for disengaged young people with mental illness within educational settings?</w:t>
            </w:r>
          </w:p>
          <w:p w14:paraId="00508CCB" w14:textId="4728ABD2" w:rsidR="009D1821" w:rsidRPr="00FF7494" w:rsidRDefault="00FF7494" w:rsidP="00E763AC">
            <w:pPr>
              <w:pStyle w:val="Table-Bullet"/>
            </w:pPr>
            <w:r w:rsidRPr="00FF7494">
              <w:t>S2: In what ways does the Living Learning PAD augment the range of available policy responses to strengthen social and economic participation for marginalised or disadvantaged young people?</w:t>
            </w:r>
          </w:p>
        </w:tc>
      </w:tr>
    </w:tbl>
    <w:p w14:paraId="3FF2E6DC" w14:textId="513A76FE" w:rsidR="00061660" w:rsidRDefault="00604C18" w:rsidP="00604C18">
      <w:pPr>
        <w:pStyle w:val="Head3"/>
      </w:pPr>
      <w:r>
        <w:t>Data collection and analysis</w:t>
      </w:r>
    </w:p>
    <w:p w14:paraId="773182B2" w14:textId="77777777" w:rsidR="0017692A" w:rsidRDefault="0017692A" w:rsidP="0017692A">
      <w:r>
        <w:t>This Living Learning Interim Evaluation Report builds upon the Formative Evaluation Report delivered in early 2022. This Interim Evaluation Report is focussed on the implementation of the program throughout 2022 (the program’s second year of operation). Primary data collection activities were undertaken between October 2022 and February 2023, while secondary data was compiled throughout 2022 and early 2023 as it became available.</w:t>
      </w:r>
    </w:p>
    <w:p w14:paraId="042BA1DF" w14:textId="162E679A" w:rsidR="00604C18" w:rsidRDefault="0017692A" w:rsidP="0017692A">
      <w:r>
        <w:t xml:space="preserve">The evaluation methodology combines the collection of primary qualitative and quantitative data with the use of program data, an approach that ensures sufficient evidence to draw conclusions and make recommendations, while minimising burden on program participants and stakeholders. This Interim Evaluation Report draws on six data sources, as outlined in </w:t>
      </w:r>
      <w:r w:rsidR="00266E29">
        <w:rPr>
          <w:highlight w:val="yellow"/>
        </w:rPr>
        <w:fldChar w:fldCharType="begin"/>
      </w:r>
      <w:r w:rsidR="00266E29">
        <w:instrText xml:space="preserve"> REF _Ref150430692 \h </w:instrText>
      </w:r>
      <w:r w:rsidR="00266E29">
        <w:rPr>
          <w:highlight w:val="yellow"/>
        </w:rPr>
      </w:r>
      <w:r w:rsidR="00266E29">
        <w:rPr>
          <w:highlight w:val="yellow"/>
        </w:rPr>
        <w:fldChar w:fldCharType="separate"/>
      </w:r>
      <w:r w:rsidR="008D0FC1">
        <w:t xml:space="preserve">Table </w:t>
      </w:r>
      <w:r w:rsidR="008D0FC1">
        <w:rPr>
          <w:noProof/>
        </w:rPr>
        <w:t>3</w:t>
      </w:r>
      <w:r w:rsidR="00266E29">
        <w:rPr>
          <w:highlight w:val="yellow"/>
        </w:rPr>
        <w:fldChar w:fldCharType="end"/>
      </w:r>
      <w:r>
        <w:t xml:space="preserve"> </w:t>
      </w:r>
      <w:r w:rsidR="009D0746">
        <w:t>in the following</w:t>
      </w:r>
      <w:r>
        <w:t>.</w:t>
      </w:r>
    </w:p>
    <w:p w14:paraId="3F276558" w14:textId="77777777" w:rsidR="009D0746" w:rsidRDefault="009D0746" w:rsidP="009D0746">
      <w:r>
        <w:t>Qualitative data from interviews was analysed against the key evaluation questions to determine the strength and veracity of findings. From this analysis, emergent themes and information gaps were identified, which informed additional data and information requests. Where possible, interview data was triangulated with other qualitative data (other stakeholder interviews) and with documentation and data. Relevant findings are discussed in the body of the report.</w:t>
      </w:r>
    </w:p>
    <w:p w14:paraId="6F87BACB" w14:textId="6567B3B0" w:rsidR="009D0746" w:rsidRDefault="009D0746" w:rsidP="009D0746">
      <w:r>
        <w:t>In total, 46 interviews were conducted both in person (at the HHA Sunshine, Prahran and City campuses) and online (via Microsoft Teams). In-person interviews were audio recorded and transcribed, and online interviews were video recorded and transcribed via the Microsoft Teams platform. Consent to record was sought and confirmed by all interviewees.</w:t>
      </w:r>
    </w:p>
    <w:p w14:paraId="63BC4CED" w14:textId="6936AFA1" w:rsidR="009D0746" w:rsidRDefault="009D0746" w:rsidP="009D0746">
      <w:pPr>
        <w:pStyle w:val="Caption"/>
      </w:pPr>
      <w:bookmarkStart w:id="12" w:name="_Ref150430692"/>
      <w:bookmarkStart w:id="13" w:name="_Toc150431953"/>
      <w:r>
        <w:t xml:space="preserve">Table </w:t>
      </w:r>
      <w:r>
        <w:fldChar w:fldCharType="begin"/>
      </w:r>
      <w:r>
        <w:instrText xml:space="preserve"> SEQ Table \* ARABIC </w:instrText>
      </w:r>
      <w:r>
        <w:fldChar w:fldCharType="separate"/>
      </w:r>
      <w:r w:rsidR="008D0FC1">
        <w:rPr>
          <w:noProof/>
        </w:rPr>
        <w:t>3</w:t>
      </w:r>
      <w:r>
        <w:fldChar w:fldCharType="end"/>
      </w:r>
      <w:bookmarkEnd w:id="12"/>
      <w:r>
        <w:t xml:space="preserve"> Interim Evaluation Report data sources</w:t>
      </w:r>
      <w:bookmarkEnd w:id="13"/>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CellMar>
          <w:left w:w="0" w:type="dxa"/>
          <w:right w:w="0" w:type="dxa"/>
        </w:tblCellMar>
        <w:tblLook w:val="0420" w:firstRow="1" w:lastRow="0" w:firstColumn="0" w:lastColumn="0" w:noHBand="0" w:noVBand="1"/>
      </w:tblPr>
      <w:tblGrid>
        <w:gridCol w:w="2122"/>
        <w:gridCol w:w="7420"/>
      </w:tblGrid>
      <w:tr w:rsidR="009D0746" w:rsidRPr="00780518" w14:paraId="593693A7" w14:textId="77777777" w:rsidTr="1A3CA43C">
        <w:trPr>
          <w:trHeight w:val="474"/>
          <w:tblHeader/>
        </w:trPr>
        <w:tc>
          <w:tcPr>
            <w:tcW w:w="2122" w:type="dxa"/>
            <w:shd w:val="clear" w:color="auto" w:fill="4B91D7"/>
          </w:tcPr>
          <w:p w14:paraId="3D542AB4" w14:textId="46037C1A" w:rsidR="009D0746" w:rsidRPr="003D5129" w:rsidRDefault="009D0746">
            <w:pPr>
              <w:pStyle w:val="Table-Heading"/>
              <w:rPr>
                <w:color w:val="FFFFFF" w:themeColor="background1"/>
                <w:lang w:val="en-US"/>
              </w:rPr>
            </w:pPr>
            <w:r>
              <w:rPr>
                <w:color w:val="FFFFFF" w:themeColor="background1"/>
                <w:lang w:val="en-US"/>
              </w:rPr>
              <w:t>Data source</w:t>
            </w:r>
          </w:p>
        </w:tc>
        <w:tc>
          <w:tcPr>
            <w:tcW w:w="7420" w:type="dxa"/>
            <w:shd w:val="clear" w:color="auto" w:fill="4B91D7"/>
          </w:tcPr>
          <w:p w14:paraId="474FBDF1" w14:textId="470FF46D" w:rsidR="009D0746" w:rsidRPr="00780518" w:rsidRDefault="009D0746">
            <w:pPr>
              <w:pStyle w:val="Table-Heading"/>
              <w:rPr>
                <w:color w:val="FFFFFF" w:themeColor="background1"/>
              </w:rPr>
            </w:pPr>
            <w:r>
              <w:rPr>
                <w:color w:val="FFFFFF" w:themeColor="background1"/>
              </w:rPr>
              <w:t>Details</w:t>
            </w:r>
          </w:p>
        </w:tc>
      </w:tr>
      <w:tr w:rsidR="00882A52" w:rsidRPr="00780518" w14:paraId="66C77390" w14:textId="77777777" w:rsidTr="1A3CA43C">
        <w:trPr>
          <w:trHeight w:val="474"/>
        </w:trPr>
        <w:tc>
          <w:tcPr>
            <w:tcW w:w="2122" w:type="dxa"/>
            <w:shd w:val="clear" w:color="auto" w:fill="auto"/>
          </w:tcPr>
          <w:p w14:paraId="1DCB43FD" w14:textId="45BFB137" w:rsidR="00882A52" w:rsidRPr="00F0023C" w:rsidRDefault="00882A52" w:rsidP="00882A52">
            <w:pPr>
              <w:pStyle w:val="Table-Text"/>
              <w:rPr>
                <w:rFonts w:cs="Arial"/>
                <w:b/>
                <w:bCs/>
                <w:szCs w:val="20"/>
              </w:rPr>
            </w:pPr>
            <w:r w:rsidRPr="00F0023C">
              <w:rPr>
                <w:b/>
                <w:bCs/>
              </w:rPr>
              <w:t>Documentation and participant data</w:t>
            </w:r>
          </w:p>
        </w:tc>
        <w:tc>
          <w:tcPr>
            <w:tcW w:w="7420" w:type="dxa"/>
            <w:shd w:val="clear" w:color="auto" w:fill="auto"/>
          </w:tcPr>
          <w:p w14:paraId="2826779C" w14:textId="50414E28" w:rsidR="00882A52" w:rsidRPr="00780518" w:rsidRDefault="00882A52" w:rsidP="00882A52">
            <w:pPr>
              <w:pStyle w:val="Table-Text"/>
              <w:rPr>
                <w:rFonts w:cs="Arial"/>
                <w:szCs w:val="20"/>
              </w:rPr>
            </w:pPr>
            <w:r w:rsidRPr="00743ABF">
              <w:t>Relevant documentation and participant data collected by Living Learning and HHA was reviewed and analysed to gather insights toward the evaluation domains. The document review was undertaken to validate and triangulate qualitative data collected through interviews.</w:t>
            </w:r>
          </w:p>
        </w:tc>
      </w:tr>
      <w:tr w:rsidR="00882A52" w:rsidRPr="00780518" w14:paraId="45F727B7" w14:textId="77777777" w:rsidTr="1A3CA43C">
        <w:trPr>
          <w:trHeight w:val="474"/>
        </w:trPr>
        <w:tc>
          <w:tcPr>
            <w:tcW w:w="2122" w:type="dxa"/>
            <w:shd w:val="clear" w:color="auto" w:fill="auto"/>
          </w:tcPr>
          <w:p w14:paraId="0CA937A1" w14:textId="65FE692A" w:rsidR="00882A52" w:rsidRPr="00F0023C" w:rsidRDefault="00882A52" w:rsidP="00882A52">
            <w:pPr>
              <w:pStyle w:val="Table-Text"/>
              <w:rPr>
                <w:rFonts w:cs="Arial"/>
                <w:b/>
                <w:bCs/>
                <w:szCs w:val="20"/>
              </w:rPr>
            </w:pPr>
            <w:r w:rsidRPr="00F0023C">
              <w:rPr>
                <w:b/>
                <w:bCs/>
              </w:rPr>
              <w:t xml:space="preserve">Living Learning participant interviews </w:t>
            </w:r>
          </w:p>
        </w:tc>
        <w:tc>
          <w:tcPr>
            <w:tcW w:w="7420" w:type="dxa"/>
            <w:shd w:val="clear" w:color="auto" w:fill="auto"/>
          </w:tcPr>
          <w:p w14:paraId="56FD140D" w14:textId="746033C3" w:rsidR="00882A52" w:rsidRPr="00780518" w:rsidRDefault="00882A52" w:rsidP="00882A52">
            <w:pPr>
              <w:pStyle w:val="Table-Text"/>
              <w:rPr>
                <w:rFonts w:cs="Arial"/>
                <w:szCs w:val="20"/>
              </w:rPr>
            </w:pPr>
            <w:r w:rsidRPr="00743ABF">
              <w:t>Consultations were conducted in person with current Living Learning participants (n=22) across the three program sites. Consent of a parent or guardian was sought for young people under the age of 18 and not deemed a mature minor by HHA. Consultations focused on participants’ motivations to join the program; their experiences in the program; the impact the program has had on their lives; and improvement opportunities. Interviews were audio recorded and transcribed, after which thematic analysis of interview data was undertaken using NVivo.</w:t>
            </w:r>
          </w:p>
        </w:tc>
      </w:tr>
      <w:tr w:rsidR="00882A52" w:rsidRPr="00780518" w14:paraId="7193D7B9" w14:textId="77777777" w:rsidTr="1A3CA43C">
        <w:trPr>
          <w:trHeight w:val="474"/>
        </w:trPr>
        <w:tc>
          <w:tcPr>
            <w:tcW w:w="2122" w:type="dxa"/>
            <w:shd w:val="clear" w:color="auto" w:fill="auto"/>
          </w:tcPr>
          <w:p w14:paraId="608FE1E7" w14:textId="6C155675" w:rsidR="00882A52" w:rsidRPr="00F0023C" w:rsidRDefault="00882A52" w:rsidP="00882A52">
            <w:pPr>
              <w:pStyle w:val="Table-Text"/>
              <w:rPr>
                <w:rFonts w:cs="Arial"/>
                <w:b/>
                <w:bCs/>
                <w:szCs w:val="20"/>
              </w:rPr>
            </w:pPr>
            <w:r w:rsidRPr="00F0023C">
              <w:rPr>
                <w:b/>
                <w:bCs/>
              </w:rPr>
              <w:t xml:space="preserve">Living Learning participant survey </w:t>
            </w:r>
          </w:p>
        </w:tc>
        <w:tc>
          <w:tcPr>
            <w:tcW w:w="7420" w:type="dxa"/>
            <w:shd w:val="clear" w:color="auto" w:fill="auto"/>
          </w:tcPr>
          <w:p w14:paraId="0ADA3E47" w14:textId="5A4777C5" w:rsidR="00882A52" w:rsidRPr="00780518" w:rsidRDefault="00882A52" w:rsidP="1A3CA43C">
            <w:pPr>
              <w:pStyle w:val="Table-Text"/>
              <w:rPr>
                <w:rFonts w:cs="Arial"/>
              </w:rPr>
            </w:pPr>
            <w:r>
              <w:t>Urbis conducted a survey of current Living Learning participants (n=32). The survey had a 33% response rate across the program’s three sites. Data was analysed and charted by question type. Open text comments were analysed thematically and presented according to the most material themes. More detail on client survey methodology is provided in Error! Reference source not found.</w:t>
            </w:r>
          </w:p>
        </w:tc>
      </w:tr>
      <w:tr w:rsidR="00882A52" w:rsidRPr="00780518" w14:paraId="4951A2C2" w14:textId="77777777" w:rsidTr="1A3CA43C">
        <w:trPr>
          <w:trHeight w:val="474"/>
        </w:trPr>
        <w:tc>
          <w:tcPr>
            <w:tcW w:w="2122" w:type="dxa"/>
            <w:shd w:val="clear" w:color="auto" w:fill="auto"/>
          </w:tcPr>
          <w:p w14:paraId="161522CF" w14:textId="09A2BD6B" w:rsidR="00882A52" w:rsidRPr="00F0023C" w:rsidRDefault="00882A52" w:rsidP="00882A52">
            <w:pPr>
              <w:pStyle w:val="Table-Text"/>
              <w:rPr>
                <w:rFonts w:cs="Arial"/>
                <w:b/>
                <w:bCs/>
                <w:szCs w:val="20"/>
              </w:rPr>
            </w:pPr>
            <w:r w:rsidRPr="00F0023C">
              <w:rPr>
                <w:b/>
                <w:bCs/>
              </w:rPr>
              <w:t>Living Learning staff interviews</w:t>
            </w:r>
          </w:p>
        </w:tc>
        <w:tc>
          <w:tcPr>
            <w:tcW w:w="7420" w:type="dxa"/>
            <w:shd w:val="clear" w:color="auto" w:fill="auto"/>
          </w:tcPr>
          <w:p w14:paraId="43E5288E" w14:textId="2F43E0BE" w:rsidR="00882A52" w:rsidRPr="00780518" w:rsidRDefault="00882A52" w:rsidP="00882A52">
            <w:pPr>
              <w:pStyle w:val="Table-Text"/>
              <w:rPr>
                <w:rFonts w:cs="Arial"/>
                <w:szCs w:val="20"/>
              </w:rPr>
            </w:pPr>
            <w:r w:rsidRPr="00743ABF">
              <w:t xml:space="preserve">Consultations were conducted online with Living Learning Program staff (n=10). Staff from the program’s Engagement, Allied Health, and Education streams, along with support staff and the Program Manager, participated in interviews. Semi-structured interviews explored lines of inquiry relevant to each staff member’s role. </w:t>
            </w:r>
          </w:p>
        </w:tc>
      </w:tr>
      <w:tr w:rsidR="00882A52" w:rsidRPr="00780518" w14:paraId="23F89831" w14:textId="77777777" w:rsidTr="1A3CA43C">
        <w:trPr>
          <w:trHeight w:val="474"/>
        </w:trPr>
        <w:tc>
          <w:tcPr>
            <w:tcW w:w="2122" w:type="dxa"/>
            <w:shd w:val="clear" w:color="auto" w:fill="auto"/>
          </w:tcPr>
          <w:p w14:paraId="5FEA983D" w14:textId="43496F8A" w:rsidR="00882A52" w:rsidRPr="00F0023C" w:rsidRDefault="00882A52" w:rsidP="00882A52">
            <w:pPr>
              <w:pStyle w:val="Table-Text"/>
              <w:rPr>
                <w:rFonts w:cs="Arial"/>
                <w:b/>
                <w:bCs/>
                <w:szCs w:val="20"/>
              </w:rPr>
            </w:pPr>
            <w:r w:rsidRPr="00F0023C">
              <w:rPr>
                <w:b/>
                <w:bCs/>
              </w:rPr>
              <w:t>Hester Hornbrook Academy staff interviews</w:t>
            </w:r>
          </w:p>
        </w:tc>
        <w:tc>
          <w:tcPr>
            <w:tcW w:w="7420" w:type="dxa"/>
            <w:shd w:val="clear" w:color="auto" w:fill="auto"/>
          </w:tcPr>
          <w:p w14:paraId="45DF5625" w14:textId="5A11A9CB" w:rsidR="00882A52" w:rsidRPr="00780518" w:rsidRDefault="00882A52" w:rsidP="00882A52">
            <w:pPr>
              <w:pStyle w:val="Table-Text"/>
              <w:rPr>
                <w:rFonts w:cs="Arial"/>
                <w:szCs w:val="20"/>
              </w:rPr>
            </w:pPr>
            <w:r w:rsidRPr="00743ABF">
              <w:t xml:space="preserve">Consultations were conducted online with HHA staff (n=6) in leadership roles across the school’s three campuses. The focus of these consultations was the functioning of Living Learning in the HHA school environment; the impact of Living Learning on the wider school community; and learnings to date. </w:t>
            </w:r>
          </w:p>
        </w:tc>
      </w:tr>
      <w:tr w:rsidR="00882A52" w:rsidRPr="00780518" w14:paraId="4EA8DF54" w14:textId="77777777" w:rsidTr="1A3CA43C">
        <w:trPr>
          <w:trHeight w:val="474"/>
        </w:trPr>
        <w:tc>
          <w:tcPr>
            <w:tcW w:w="2122" w:type="dxa"/>
            <w:shd w:val="clear" w:color="auto" w:fill="auto"/>
          </w:tcPr>
          <w:p w14:paraId="2A455082" w14:textId="7348C76A" w:rsidR="00882A52" w:rsidRPr="00F0023C" w:rsidRDefault="00882A52" w:rsidP="00882A52">
            <w:pPr>
              <w:pStyle w:val="Table-Text"/>
              <w:rPr>
                <w:rFonts w:cs="Arial"/>
                <w:b/>
                <w:bCs/>
                <w:szCs w:val="20"/>
              </w:rPr>
            </w:pPr>
            <w:r w:rsidRPr="00F0023C">
              <w:rPr>
                <w:b/>
                <w:bCs/>
              </w:rPr>
              <w:t xml:space="preserve">PAD stakeholder interviews </w:t>
            </w:r>
          </w:p>
        </w:tc>
        <w:tc>
          <w:tcPr>
            <w:tcW w:w="7420" w:type="dxa"/>
            <w:shd w:val="clear" w:color="auto" w:fill="auto"/>
          </w:tcPr>
          <w:p w14:paraId="402E636B" w14:textId="72ABC99A" w:rsidR="00882A52" w:rsidRPr="00780518" w:rsidRDefault="00882A52" w:rsidP="00882A52">
            <w:pPr>
              <w:pStyle w:val="Table-Text"/>
              <w:rPr>
                <w:rFonts w:cs="Arial"/>
                <w:szCs w:val="20"/>
              </w:rPr>
            </w:pPr>
            <w:r w:rsidRPr="00743ABF">
              <w:t xml:space="preserve">Consultations were conducted online with stakeholders from MCM (n=3), DFFH (n=3) and DTF (n=2). The focus of these consultations was on the PAD funding model; its impact on program delivery; the effectiveness of its governance mechanisms; and learnings to date. </w:t>
            </w:r>
          </w:p>
        </w:tc>
      </w:tr>
    </w:tbl>
    <w:p w14:paraId="47919C74" w14:textId="7F52AC9B" w:rsidR="00882A52" w:rsidRDefault="00882A52" w:rsidP="00D853E4">
      <w:pPr>
        <w:pStyle w:val="Head3"/>
      </w:pPr>
      <w:r>
        <w:t>Limitations</w:t>
      </w:r>
    </w:p>
    <w:p w14:paraId="235ECFF6" w14:textId="77777777" w:rsidR="00D853E4" w:rsidRDefault="00D853E4" w:rsidP="00D853E4">
      <w:r>
        <w:t>There are several limitations associated with the data collection and analysis:</w:t>
      </w:r>
    </w:p>
    <w:p w14:paraId="075CD634" w14:textId="0DBEF5D3" w:rsidR="00D853E4" w:rsidRDefault="00D853E4" w:rsidP="00D853E4">
      <w:pPr>
        <w:pStyle w:val="ListBullet"/>
      </w:pPr>
      <w:r>
        <w:t>We cannot exclude the possibility that the Living Learning participants interviewed were individuals who were more engaged with the program or who have generally more positive experiences of the program.</w:t>
      </w:r>
    </w:p>
    <w:p w14:paraId="579298E6" w14:textId="0B50FBF8" w:rsidR="008D680C" w:rsidRDefault="00D853E4">
      <w:pPr>
        <w:pStyle w:val="ListBullet"/>
      </w:pPr>
      <w:r>
        <w:t>We achieved a 33 per cent survey response rate (31 out of 96 young people), which gives a margin of error of +/-14.6 per cent. A further 22 young people were consulted through interviews. As such, findings do not represent the views of all Living Learning participants. The triangulation of qualitative (interview) data with survey responses adds to the richness and depth of survey data.</w:t>
      </w:r>
      <w:r w:rsidR="008D680C">
        <w:br w:type="page"/>
      </w:r>
    </w:p>
    <w:p w14:paraId="458EF084" w14:textId="5D773D21" w:rsidR="00870662" w:rsidRDefault="00870662" w:rsidP="00CF2EA0">
      <w:r>
        <w:rPr>
          <w:noProof/>
        </w:rPr>
        <w:drawing>
          <wp:anchor distT="0" distB="0" distL="114300" distR="114300" simplePos="0" relativeHeight="251658242" behindDoc="1" locked="0" layoutInCell="1" allowOverlap="1" wp14:anchorId="1CBEC317" wp14:editId="5ABCE26F">
            <wp:simplePos x="0" y="0"/>
            <wp:positionH relativeFrom="page">
              <wp:align>left</wp:align>
            </wp:positionH>
            <wp:positionV relativeFrom="paragraph">
              <wp:posOffset>-720139</wp:posOffset>
            </wp:positionV>
            <wp:extent cx="20262669" cy="10686361"/>
            <wp:effectExtent l="0" t="0" r="0" b="1270"/>
            <wp:wrapNone/>
            <wp:docPr id="1900783635" name="Picture 1900783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83635" name="Picture 1">
                      <a:extLst>
                        <a:ext uri="{C183D7F6-B498-43B3-948B-1728B52AA6E4}">
                          <adec:decorative xmlns:adec="http://schemas.microsoft.com/office/drawing/2017/decorative" val="1"/>
                        </a:ext>
                      </a:extLst>
                    </pic:cNvPr>
                    <pic:cNvPicPr/>
                  </pic:nvPicPr>
                  <pic:blipFill rotWithShape="1">
                    <a:blip r:embed="rId37" cstate="screen">
                      <a:extLst>
                        <a:ext uri="{28A0092B-C50C-407E-A947-70E740481C1C}">
                          <a14:useLocalDpi xmlns:a14="http://schemas.microsoft.com/office/drawing/2010/main"/>
                        </a:ext>
                      </a:extLst>
                    </a:blip>
                    <a:srcRect t="-103" r="-30981"/>
                    <a:stretch/>
                  </pic:blipFill>
                  <pic:spPr>
                    <a:xfrm>
                      <a:off x="0" y="0"/>
                      <a:ext cx="20262669" cy="1068636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A99DA7F" w14:textId="4C8D22A7" w:rsidR="007D2A9A" w:rsidRDefault="008D680C" w:rsidP="00CF2EA0">
      <w:pPr>
        <w:pStyle w:val="Heading1"/>
      </w:pPr>
      <w:bookmarkStart w:id="14" w:name="_Toc150431710"/>
      <w:r>
        <w:t>T</w:t>
      </w:r>
      <w:r w:rsidR="007D2A9A">
        <w:t>he Living Learning Program</w:t>
      </w:r>
      <w:bookmarkEnd w:id="14"/>
    </w:p>
    <w:p w14:paraId="4BE5FCCB" w14:textId="67BB2D1B" w:rsidR="00D853E4" w:rsidRPr="00C047FE" w:rsidRDefault="00C047FE" w:rsidP="00D853E4">
      <w:pPr>
        <w:rPr>
          <w:b/>
          <w:bCs/>
        </w:rPr>
      </w:pPr>
      <w:r w:rsidRPr="00C047FE">
        <w:rPr>
          <w:b/>
          <w:bCs/>
        </w:rPr>
        <w:t xml:space="preserve">This section provides an overview of the program aim and objectives and describes key aspects of the program including eligibility, referrals and intake process, and core supports provided in the school setting for engagement, mental </w:t>
      </w:r>
      <w:proofErr w:type="gramStart"/>
      <w:r w:rsidRPr="00C047FE">
        <w:rPr>
          <w:b/>
          <w:bCs/>
        </w:rPr>
        <w:t>health</w:t>
      </w:r>
      <w:proofErr w:type="gramEnd"/>
      <w:r w:rsidRPr="00C047FE">
        <w:rPr>
          <w:b/>
          <w:bCs/>
        </w:rPr>
        <w:t xml:space="preserve"> and education.</w:t>
      </w:r>
    </w:p>
    <w:p w14:paraId="710B5F0B" w14:textId="558864E2" w:rsidR="00122005" w:rsidRDefault="00122005" w:rsidP="00122005">
      <w:r>
        <w:t xml:space="preserve">The Living Learning Program has been designed to deliver services that address the barriers to personal and educational achievement for school leavers aged 15–24 who are experiencing mental health complexities and who are persistently not engaged in employment, </w:t>
      </w:r>
      <w:proofErr w:type="gramStart"/>
      <w:r>
        <w:t>education</w:t>
      </w:r>
      <w:proofErr w:type="gramEnd"/>
      <w:r>
        <w:t xml:space="preserve"> or training (NEET). It is an integrative program delivered by MCM and their independent school HHA that provides three years of wraparound support for young people who experience mental health challenges and have disengaged from traditional schooling.</w:t>
      </w:r>
    </w:p>
    <w:p w14:paraId="5C4A1424" w14:textId="77777777" w:rsidR="00122005" w:rsidRDefault="00122005" w:rsidP="00122005">
      <w:r>
        <w:t>The objective of the Living Learning Program is to:</w:t>
      </w:r>
    </w:p>
    <w:p w14:paraId="20F39FB1" w14:textId="542373EB" w:rsidR="00122005" w:rsidRDefault="00122005" w:rsidP="00122005">
      <w:pPr>
        <w:pStyle w:val="ListBullet"/>
      </w:pPr>
      <w:r>
        <w:t xml:space="preserve">support young people who are NEET, who have not completed secondary school and who are experiencing mental health conditions to re-engage with education and transition to a positive pathway of their </w:t>
      </w:r>
      <w:proofErr w:type="gramStart"/>
      <w:r>
        <w:t>choice</w:t>
      </w:r>
      <w:proofErr w:type="gramEnd"/>
    </w:p>
    <w:p w14:paraId="3D421162" w14:textId="73635AF2" w:rsidR="00122005" w:rsidRDefault="00122005" w:rsidP="00122005">
      <w:pPr>
        <w:pStyle w:val="ListBullet"/>
      </w:pPr>
      <w:r>
        <w:t xml:space="preserve">support the young people participating to establish and maintain their own mental health </w:t>
      </w:r>
      <w:proofErr w:type="gramStart"/>
      <w:r>
        <w:t>wellbeing</w:t>
      </w:r>
      <w:proofErr w:type="gramEnd"/>
    </w:p>
    <w:p w14:paraId="2AA1AC67" w14:textId="17580902" w:rsidR="00122005" w:rsidRDefault="00122005" w:rsidP="00122005">
      <w:pPr>
        <w:pStyle w:val="ListBullet"/>
      </w:pPr>
      <w:r>
        <w:t>provide a rigorous and wide-ranging evidence base for what works with this cohort of students, to inform future improvements at HHA, and in the education and mental health sectors more broadly.</w:t>
      </w:r>
    </w:p>
    <w:p w14:paraId="238F4AE9" w14:textId="0A56521E" w:rsidR="00C047FE" w:rsidRDefault="00122005" w:rsidP="00122005">
      <w:r>
        <w:t xml:space="preserve">In addition to the HHA model of student-centred applied learning, Living Learning offers additional mental health services and a high-touch support model for students to progress towards their goals, building upon the MCM evidence base regarding what works for disengaged youth to deliver a flexible and highly supportive program model. The student journey is depicted in </w:t>
      </w:r>
      <w:r w:rsidR="00266E29">
        <w:rPr>
          <w:highlight w:val="yellow"/>
        </w:rPr>
        <w:fldChar w:fldCharType="begin"/>
      </w:r>
      <w:r w:rsidR="00266E29">
        <w:instrText xml:space="preserve"> REF _Ref150430708 \h </w:instrText>
      </w:r>
      <w:r w:rsidR="00266E29">
        <w:rPr>
          <w:highlight w:val="yellow"/>
        </w:rPr>
      </w:r>
      <w:r w:rsidR="00266E29">
        <w:rPr>
          <w:highlight w:val="yellow"/>
        </w:rPr>
        <w:fldChar w:fldCharType="separate"/>
      </w:r>
      <w:r w:rsidR="008D0FC1">
        <w:t xml:space="preserve">Figure </w:t>
      </w:r>
      <w:r w:rsidR="008D0FC1">
        <w:rPr>
          <w:noProof/>
        </w:rPr>
        <w:t>1</w:t>
      </w:r>
      <w:r w:rsidR="00266E29">
        <w:rPr>
          <w:highlight w:val="yellow"/>
        </w:rPr>
        <w:fldChar w:fldCharType="end"/>
      </w:r>
      <w:r>
        <w:t>.</w:t>
      </w:r>
    </w:p>
    <w:p w14:paraId="24F159C1" w14:textId="793BC0B1" w:rsidR="005C5DC6" w:rsidRDefault="005C5DC6" w:rsidP="005C5DC6">
      <w:pPr>
        <w:pStyle w:val="Caption"/>
      </w:pPr>
      <w:bookmarkStart w:id="15" w:name="_Ref150430708"/>
      <w:bookmarkStart w:id="16" w:name="_Toc150431976"/>
      <w:r>
        <w:t xml:space="preserve">Figure </w:t>
      </w:r>
      <w:r>
        <w:fldChar w:fldCharType="begin"/>
      </w:r>
      <w:r>
        <w:instrText xml:space="preserve"> SEQ Figure \* ARABIC </w:instrText>
      </w:r>
      <w:r>
        <w:fldChar w:fldCharType="separate"/>
      </w:r>
      <w:r w:rsidR="008D0FC1">
        <w:rPr>
          <w:noProof/>
        </w:rPr>
        <w:t>1</w:t>
      </w:r>
      <w:r>
        <w:fldChar w:fldCharType="end"/>
      </w:r>
      <w:bookmarkEnd w:id="15"/>
      <w:r>
        <w:t xml:space="preserve"> Living Learning participant </w:t>
      </w:r>
      <w:proofErr w:type="gramStart"/>
      <w:r>
        <w:t>journey</w:t>
      </w:r>
      <w:bookmarkEnd w:id="16"/>
      <w:proofErr w:type="gramEnd"/>
    </w:p>
    <w:p w14:paraId="36641BB0" w14:textId="403EFBFF" w:rsidR="005C5DC6" w:rsidRPr="005C5DC6" w:rsidRDefault="00B7306D" w:rsidP="005C5DC6">
      <w:r w:rsidRPr="00B7306D">
        <w:rPr>
          <w:noProof/>
        </w:rPr>
        <w:drawing>
          <wp:inline distT="0" distB="0" distL="0" distR="0" wp14:anchorId="00FD0D7B" wp14:editId="5F45F9E0">
            <wp:extent cx="6120130" cy="1726565"/>
            <wp:effectExtent l="0" t="0" r="0" b="6985"/>
            <wp:docPr id="1386431670" name="Picture 1386431670" descr="This figure depicts seven generic steps of a Living Learning participant from being un-engaged in education or employment to a positive pathway of thei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31670" name="Picture 1" descr="This figure depicts seven generic steps of a Living Learning participant from being un-engaged in education or employment to a positive pathway of their choice"/>
                    <pic:cNvPicPr/>
                  </pic:nvPicPr>
                  <pic:blipFill>
                    <a:blip r:embed="rId38"/>
                    <a:stretch>
                      <a:fillRect/>
                    </a:stretch>
                  </pic:blipFill>
                  <pic:spPr>
                    <a:xfrm>
                      <a:off x="0" y="0"/>
                      <a:ext cx="6120130" cy="1726565"/>
                    </a:xfrm>
                    <a:prstGeom prst="rect">
                      <a:avLst/>
                    </a:prstGeom>
                  </pic:spPr>
                </pic:pic>
              </a:graphicData>
            </a:graphic>
          </wp:inline>
        </w:drawing>
      </w:r>
    </w:p>
    <w:p w14:paraId="3AD000EB" w14:textId="53A71BE0" w:rsidR="005C30C9" w:rsidRDefault="005C30C9" w:rsidP="005C30C9">
      <w:pPr>
        <w:pStyle w:val="ImageSource"/>
      </w:pPr>
      <w:r>
        <w:t>Source: MCM Living Learning Prospectus (2020)</w:t>
      </w:r>
    </w:p>
    <w:p w14:paraId="55864241" w14:textId="77777777" w:rsidR="000D4FF0" w:rsidRDefault="000D4FF0" w:rsidP="002C323E">
      <w:r w:rsidRPr="000D4FF0">
        <w:t>The Living Learning Program provides three years of support to three cohorts of 48 participants, 144 students in total. Depicted in Figure 2, the first, second and third cohorts commenced in January 2021, 2022, and 2023 respectively, and the program will operate from 2021 to 2025. The peak year of participants is 2023.</w:t>
      </w:r>
    </w:p>
    <w:p w14:paraId="12343307" w14:textId="131C148B" w:rsidR="008E0FD7" w:rsidRDefault="008E0FD7" w:rsidP="008E0FD7">
      <w:pPr>
        <w:pStyle w:val="Caption"/>
      </w:pPr>
      <w:bookmarkStart w:id="17" w:name="_Ref150431255"/>
      <w:bookmarkStart w:id="18" w:name="_Toc150431977"/>
      <w:r>
        <w:t xml:space="preserve">Figure </w:t>
      </w:r>
      <w:r>
        <w:fldChar w:fldCharType="begin"/>
      </w:r>
      <w:r>
        <w:instrText xml:space="preserve"> SEQ Figure \* ARABIC </w:instrText>
      </w:r>
      <w:r>
        <w:fldChar w:fldCharType="separate"/>
      </w:r>
      <w:r w:rsidR="008D0FC1">
        <w:rPr>
          <w:noProof/>
        </w:rPr>
        <w:t>2</w:t>
      </w:r>
      <w:r>
        <w:fldChar w:fldCharType="end"/>
      </w:r>
      <w:bookmarkEnd w:id="17"/>
      <w:r>
        <w:t xml:space="preserve"> Living Learning student population over the program durations (per year and cohort)</w:t>
      </w:r>
      <w:bookmarkEnd w:id="18"/>
    </w:p>
    <w:p w14:paraId="5B0323E5" w14:textId="7A6F16BD" w:rsidR="008E0FD7" w:rsidRDefault="00D251B4" w:rsidP="008E0FD7">
      <w:r w:rsidRPr="00D251B4">
        <w:rPr>
          <w:noProof/>
        </w:rPr>
        <w:drawing>
          <wp:inline distT="0" distB="0" distL="0" distR="0" wp14:anchorId="12C85284" wp14:editId="3E3D939B">
            <wp:extent cx="6120130" cy="1990090"/>
            <wp:effectExtent l="0" t="0" r="0" b="0"/>
            <wp:docPr id="1933296045" name="Picture 1933296045" descr="A table showing the student population of the program, from 2021 to 2025. 2021 has 48, 2022 has 96, 2023 has 144, 2024 has 96 and 2025 has 48 students. Each of the three cohorts are spread over three years and have 48 students per year. Cohort 1 is 2021-2023, cohort 2 is 2022-2024 and cohort 3 is 2023-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96045" name="Picture 1" descr="A table showing the student population of the program, from 2021 to 2025. 2021 has 48, 2022 has 96, 2023 has 144, 2024 has 96 and 2025 has 48 students. Each of the three cohorts are spread over three years and have 48 students per year. Cohort 1 is 2021-2023, cohort 2 is 2022-2024 and cohort 3 is 2023-2025."/>
                    <pic:cNvPicPr/>
                  </pic:nvPicPr>
                  <pic:blipFill>
                    <a:blip r:embed="rId39"/>
                    <a:stretch>
                      <a:fillRect/>
                    </a:stretch>
                  </pic:blipFill>
                  <pic:spPr>
                    <a:xfrm>
                      <a:off x="0" y="0"/>
                      <a:ext cx="6120130" cy="1990090"/>
                    </a:xfrm>
                    <a:prstGeom prst="rect">
                      <a:avLst/>
                    </a:prstGeom>
                  </pic:spPr>
                </pic:pic>
              </a:graphicData>
            </a:graphic>
          </wp:inline>
        </w:drawing>
      </w:r>
    </w:p>
    <w:p w14:paraId="0D04BF34" w14:textId="27FDE867" w:rsidR="00D23581" w:rsidRDefault="00D23581" w:rsidP="00D23581">
      <w:pPr>
        <w:pStyle w:val="Heading2"/>
      </w:pPr>
      <w:bookmarkStart w:id="19" w:name="_Toc150431711"/>
      <w:r>
        <w:t xml:space="preserve">Eligibility, </w:t>
      </w:r>
      <w:proofErr w:type="gramStart"/>
      <w:r>
        <w:t>referrals</w:t>
      </w:r>
      <w:proofErr w:type="gramEnd"/>
      <w:r>
        <w:t xml:space="preserve"> and intake</w:t>
      </w:r>
      <w:bookmarkEnd w:id="19"/>
    </w:p>
    <w:p w14:paraId="0E0267FD" w14:textId="54B826C1" w:rsidR="00D23581" w:rsidRDefault="00D23581" w:rsidP="00B131B9">
      <w:pPr>
        <w:pStyle w:val="Head3"/>
      </w:pPr>
      <w:r>
        <w:t>Eligibility</w:t>
      </w:r>
    </w:p>
    <w:p w14:paraId="7AAA4935" w14:textId="3E67B386" w:rsidR="00B131B9" w:rsidRDefault="00B131B9" w:rsidP="00B131B9">
      <w:r>
        <w:t>To be eligibility to participate in Living Learning, a young person must be persistently disengaged from school, experience a mental health condition, and be aged between 15 and 21 on referral. Exceptions may be considered (on a case-by-case basis) if extraordinary factors prevent the young person from re-engaging in mainstream education or if the young person in unable to return to the school they are enrolled at as a direct result of their parenthood status. A young person may be excluded from the program if they are assessed as presenting</w:t>
      </w:r>
      <w:r w:rsidR="00A35676">
        <w:t xml:space="preserve"> a safety risk to themselves or others.</w:t>
      </w:r>
    </w:p>
    <w:p w14:paraId="2B05C62F" w14:textId="5938C732" w:rsidR="00A35676" w:rsidRDefault="00A35676" w:rsidP="00B131B9">
      <w:r>
        <w:t>Living Learning is responsible for sourcing relevant evidence and recommending to the DFFH Government Contract Manager (GCM) whether a young person is eligible for the program. The GCM is responsible for approving referrals into the program.</w:t>
      </w:r>
    </w:p>
    <w:p w14:paraId="7614BAC7" w14:textId="37BE3497" w:rsidR="00A35676" w:rsidRDefault="00A35676" w:rsidP="00A35676">
      <w:pPr>
        <w:pStyle w:val="Head3"/>
      </w:pPr>
      <w:r>
        <w:t>Referrals</w:t>
      </w:r>
    </w:p>
    <w:p w14:paraId="48BEF9A3" w14:textId="4E7ECC5D" w:rsidR="00A35676" w:rsidRDefault="00A35676" w:rsidP="00B131B9">
      <w:r>
        <w:t xml:space="preserve">Referrals into Living Learning can be directly from a young person, their parent, </w:t>
      </w:r>
      <w:proofErr w:type="gramStart"/>
      <w:r>
        <w:t>guardian</w:t>
      </w:r>
      <w:proofErr w:type="gramEnd"/>
      <w:r>
        <w:t xml:space="preserve"> or caregiver, through government programs (such as the Navigator Program run by the Department of Education and Training) and from service providers (such as mental health and/or homelessness services).</w:t>
      </w:r>
    </w:p>
    <w:p w14:paraId="16B84515" w14:textId="1DF25548" w:rsidR="00A35676" w:rsidRDefault="00A35676" w:rsidP="00A35676">
      <w:pPr>
        <w:pStyle w:val="Head3"/>
      </w:pPr>
      <w:r>
        <w:t>Intake</w:t>
      </w:r>
    </w:p>
    <w:p w14:paraId="21EA6ED5" w14:textId="46C39257" w:rsidR="00A35676" w:rsidRDefault="00A35676" w:rsidP="00B131B9">
      <w:r>
        <w:t xml:space="preserve">During the intake period, Living Learning staff must explain to Living Learning participants how their personal information will be collected, </w:t>
      </w:r>
      <w:proofErr w:type="gramStart"/>
      <w:r>
        <w:t>used</w:t>
      </w:r>
      <w:proofErr w:type="gramEnd"/>
      <w:r>
        <w:t xml:space="preserve"> and disclosed. A young person must provide informed consent to be enrolled in the program.</w:t>
      </w:r>
    </w:p>
    <w:p w14:paraId="0FCD9312" w14:textId="744A05F7" w:rsidR="008D22B2" w:rsidRDefault="00A35676" w:rsidP="00B131B9">
      <w:r>
        <w:t>After</w:t>
      </w:r>
      <w:r w:rsidR="00680D5F">
        <w:t xml:space="preserve"> a young person is assessed as being eligible to participate in Living Learning, it could be up to three months before the next cohort start date. During this time, a young person can enrol and commence classes at HHA.</w:t>
      </w:r>
      <w:r w:rsidR="008D22B2">
        <w:br w:type="page"/>
      </w:r>
    </w:p>
    <w:p w14:paraId="519A3D76" w14:textId="336F22B0" w:rsidR="00FE25CC" w:rsidRDefault="00FE25CC" w:rsidP="00FE25CC">
      <w:pPr>
        <w:pStyle w:val="Heading2"/>
      </w:pPr>
      <w:bookmarkStart w:id="20" w:name="_Toc150431712"/>
      <w:r>
        <w:t>Program delivery</w:t>
      </w:r>
      <w:bookmarkEnd w:id="20"/>
    </w:p>
    <w:p w14:paraId="79A3F646" w14:textId="7B493C51" w:rsidR="003C1BCF" w:rsidRPr="00B131B9" w:rsidRDefault="00FE25CC" w:rsidP="00B131B9">
      <w:r>
        <w:t>The Living Learning Program is comprised of three activity streams: engagement, allied (mental) health and education, as depicted in the Program Logic (</w:t>
      </w:r>
      <w:r w:rsidR="00266E29">
        <w:rPr>
          <w:highlight w:val="yellow"/>
        </w:rPr>
        <w:fldChar w:fldCharType="begin"/>
      </w:r>
      <w:r w:rsidR="00266E29">
        <w:instrText xml:space="preserve"> REF _Ref150430757 \r \h </w:instrText>
      </w:r>
      <w:r w:rsidR="00266E29">
        <w:rPr>
          <w:highlight w:val="yellow"/>
        </w:rPr>
      </w:r>
      <w:r w:rsidR="00266E29">
        <w:rPr>
          <w:highlight w:val="yellow"/>
        </w:rPr>
        <w:fldChar w:fldCharType="separate"/>
      </w:r>
      <w:r w:rsidR="008D0FC1">
        <w:t xml:space="preserve">Appendix A </w:t>
      </w:r>
      <w:r w:rsidR="00266E29">
        <w:rPr>
          <w:highlight w:val="yellow"/>
        </w:rPr>
        <w:fldChar w:fldCharType="end"/>
      </w:r>
      <w:r>
        <w:t>) and described in more detailed below. The intended outcomes</w:t>
      </w:r>
      <w:r w:rsidR="003C1BCF">
        <w:t xml:space="preserve"> of the program are outlined in </w:t>
      </w:r>
      <w:r w:rsidR="00266E29">
        <w:rPr>
          <w:highlight w:val="yellow"/>
        </w:rPr>
        <w:fldChar w:fldCharType="begin"/>
      </w:r>
      <w:r w:rsidR="00266E29">
        <w:instrText xml:space="preserve"> REF _Ref150430776 \h </w:instrText>
      </w:r>
      <w:r w:rsidR="00266E29">
        <w:rPr>
          <w:highlight w:val="yellow"/>
        </w:rPr>
      </w:r>
      <w:r w:rsidR="00266E29">
        <w:rPr>
          <w:highlight w:val="yellow"/>
        </w:rPr>
        <w:fldChar w:fldCharType="separate"/>
      </w:r>
      <w:r w:rsidR="008D0FC1">
        <w:t xml:space="preserve">Figure </w:t>
      </w:r>
      <w:r w:rsidR="008D0FC1">
        <w:rPr>
          <w:noProof/>
        </w:rPr>
        <w:t>3</w:t>
      </w:r>
      <w:r w:rsidR="00266E29">
        <w:rPr>
          <w:highlight w:val="yellow"/>
        </w:rPr>
        <w:fldChar w:fldCharType="end"/>
      </w:r>
      <w:r w:rsidR="003C1BCF">
        <w:t xml:space="preserve"> </w:t>
      </w:r>
      <w:r w:rsidR="00266E29">
        <w:fldChar w:fldCharType="begin"/>
      </w:r>
      <w:r w:rsidR="00266E29">
        <w:instrText xml:space="preserve"> REF _Ref150430792 \p \h </w:instrText>
      </w:r>
      <w:r w:rsidR="00266E29">
        <w:fldChar w:fldCharType="separate"/>
      </w:r>
      <w:r w:rsidR="008D0FC1">
        <w:t>below</w:t>
      </w:r>
      <w:r w:rsidR="00266E29">
        <w:fldChar w:fldCharType="end"/>
      </w:r>
      <w:r w:rsidR="003C1BCF">
        <w:t>.</w:t>
      </w:r>
    </w:p>
    <w:p w14:paraId="65C7EC38" w14:textId="71596A4F" w:rsidR="008A27A5" w:rsidRDefault="008A27A5" w:rsidP="008A27A5">
      <w:pPr>
        <w:pStyle w:val="Caption"/>
      </w:pPr>
      <w:bookmarkStart w:id="21" w:name="_Ref150430776"/>
      <w:bookmarkStart w:id="22" w:name="_Ref150430792"/>
      <w:bookmarkStart w:id="23" w:name="_Toc150431978"/>
      <w:r>
        <w:t xml:space="preserve">Figure </w:t>
      </w:r>
      <w:r>
        <w:fldChar w:fldCharType="begin"/>
      </w:r>
      <w:r>
        <w:instrText xml:space="preserve"> SEQ Figure \* ARABIC </w:instrText>
      </w:r>
      <w:r>
        <w:fldChar w:fldCharType="separate"/>
      </w:r>
      <w:r w:rsidR="008D0FC1">
        <w:rPr>
          <w:noProof/>
        </w:rPr>
        <w:t>3</w:t>
      </w:r>
      <w:r>
        <w:fldChar w:fldCharType="end"/>
      </w:r>
      <w:bookmarkEnd w:id="21"/>
      <w:r>
        <w:t xml:space="preserve"> Participant outcomes</w:t>
      </w:r>
      <w:bookmarkEnd w:id="22"/>
      <w:bookmarkEnd w:id="23"/>
    </w:p>
    <w:p w14:paraId="27446F91" w14:textId="43E0D943" w:rsidR="008A27A5" w:rsidRDefault="008868D1" w:rsidP="008A27A5">
      <w:r w:rsidRPr="008868D1">
        <w:rPr>
          <w:noProof/>
        </w:rPr>
        <w:drawing>
          <wp:inline distT="0" distB="0" distL="0" distR="0" wp14:anchorId="23FBA626" wp14:editId="5B63BC95">
            <wp:extent cx="6120130" cy="2604770"/>
            <wp:effectExtent l="0" t="0" r="0" b="5080"/>
            <wp:docPr id="1359356263" name="Picture 1359356263" descr="An infographic describing the various outcomes that lead the student transitioning into a positive pathway of thei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56263" name="Picture 1" descr="An infographic describing the various outcomes that lead the student transitioning into a positive pathway of their choice."/>
                    <pic:cNvPicPr/>
                  </pic:nvPicPr>
                  <pic:blipFill>
                    <a:blip r:embed="rId40"/>
                    <a:stretch>
                      <a:fillRect/>
                    </a:stretch>
                  </pic:blipFill>
                  <pic:spPr>
                    <a:xfrm>
                      <a:off x="0" y="0"/>
                      <a:ext cx="6120130" cy="2604770"/>
                    </a:xfrm>
                    <a:prstGeom prst="rect">
                      <a:avLst/>
                    </a:prstGeom>
                  </pic:spPr>
                </pic:pic>
              </a:graphicData>
            </a:graphic>
          </wp:inline>
        </w:drawing>
      </w:r>
    </w:p>
    <w:p w14:paraId="2FC67372" w14:textId="595604EB" w:rsidR="006E6ECE" w:rsidRDefault="006E6ECE" w:rsidP="00633B66">
      <w:pPr>
        <w:pStyle w:val="ImageSource"/>
      </w:pPr>
      <w:r>
        <w:t>S</w:t>
      </w:r>
      <w:r w:rsidR="00633B66">
        <w:t>ource: MCM Living Learning Prospectus (2020)</w:t>
      </w:r>
    </w:p>
    <w:p w14:paraId="606A900E" w14:textId="2665C228" w:rsidR="00633B66" w:rsidRDefault="00633B66" w:rsidP="00633B66">
      <w:pPr>
        <w:pStyle w:val="Head3"/>
      </w:pPr>
      <w:r>
        <w:t>Engagement</w:t>
      </w:r>
    </w:p>
    <w:p w14:paraId="3125F03E" w14:textId="7D22397E" w:rsidR="00633B66" w:rsidRDefault="00633B66" w:rsidP="008A27A5">
      <w:r>
        <w:t xml:space="preserve">A </w:t>
      </w:r>
      <w:r w:rsidR="00DE0AE8">
        <w:t>core component of the Living Learning service offering is engagement activities providing tailored wrap</w:t>
      </w:r>
      <w:r w:rsidR="00890B14">
        <w:t>around support to young people to overcome barriers to getting to (and staying engaged in) school. In 2022, there were five Key Workers supporting Cohort 1 and 2 participants. Key Workers support young people</w:t>
      </w:r>
      <w:r w:rsidR="00E435C0">
        <w:t xml:space="preserve"> through provision of case coordination, helping them to develop supportive relationships with adults, supporting them to access relevant external services, and undertaking assertive outreach when required. The program design allows for a case load of up to 22</w:t>
      </w:r>
      <w:r w:rsidR="00155592">
        <w:t xml:space="preserve"> young people per Key Worker.</w:t>
      </w:r>
    </w:p>
    <w:p w14:paraId="54E4383B" w14:textId="76762807" w:rsidR="00155592" w:rsidRPr="008A27A5" w:rsidRDefault="00136B5A" w:rsidP="008A27A5">
      <w:r w:rsidRPr="00136B5A">
        <w:t xml:space="preserve">The Engagement team also assists in coordinating career planning and pathways support delivered by the HHA Careers Team. Engagement staff are also responsible for coordinating adventure learning activities, school holiday programming and Engage Youth, which are described in further detail below. Caseloads for Engagement supports are allocated using a client contact level system, presented in </w:t>
      </w:r>
      <w:r w:rsidR="00F35296">
        <w:rPr>
          <w:highlight w:val="yellow"/>
        </w:rPr>
        <w:fldChar w:fldCharType="begin"/>
      </w:r>
      <w:r w:rsidR="00F35296">
        <w:instrText xml:space="preserve"> REF _Ref150430812 \h </w:instrText>
      </w:r>
      <w:r w:rsidR="00F35296">
        <w:rPr>
          <w:highlight w:val="yellow"/>
        </w:rPr>
      </w:r>
      <w:r w:rsidR="00F35296">
        <w:rPr>
          <w:highlight w:val="yellow"/>
        </w:rPr>
        <w:fldChar w:fldCharType="separate"/>
      </w:r>
      <w:r w:rsidR="008D0FC1">
        <w:t xml:space="preserve">Table </w:t>
      </w:r>
      <w:r w:rsidR="008D0FC1">
        <w:rPr>
          <w:noProof/>
        </w:rPr>
        <w:t>4</w:t>
      </w:r>
      <w:r w:rsidR="00F35296">
        <w:rPr>
          <w:highlight w:val="yellow"/>
        </w:rPr>
        <w:fldChar w:fldCharType="end"/>
      </w:r>
      <w:r w:rsidRPr="00136B5A">
        <w:t>.</w:t>
      </w:r>
    </w:p>
    <w:p w14:paraId="36B5016E" w14:textId="3665295D" w:rsidR="00BA665A" w:rsidRDefault="00BA665A" w:rsidP="00BA665A">
      <w:pPr>
        <w:pStyle w:val="Caption"/>
      </w:pPr>
      <w:bookmarkStart w:id="24" w:name="_Ref150430812"/>
      <w:bookmarkStart w:id="25" w:name="_Toc150431954"/>
      <w:r>
        <w:t xml:space="preserve">Table </w:t>
      </w:r>
      <w:r>
        <w:fldChar w:fldCharType="begin"/>
      </w:r>
      <w:r>
        <w:instrText xml:space="preserve"> SEQ Table \* ARABIC </w:instrText>
      </w:r>
      <w:r>
        <w:fldChar w:fldCharType="separate"/>
      </w:r>
      <w:r w:rsidR="008D0FC1">
        <w:rPr>
          <w:noProof/>
        </w:rPr>
        <w:t>4</w:t>
      </w:r>
      <w:r>
        <w:fldChar w:fldCharType="end"/>
      </w:r>
      <w:bookmarkEnd w:id="24"/>
      <w:r>
        <w:t xml:space="preserve"> Living Learning client contact level </w:t>
      </w:r>
      <w:proofErr w:type="gramStart"/>
      <w:r>
        <w:t>system</w:t>
      </w:r>
      <w:bookmarkEnd w:id="25"/>
      <w:proofErr w:type="gramEnd"/>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CellMar>
          <w:left w:w="0" w:type="dxa"/>
          <w:right w:w="0" w:type="dxa"/>
        </w:tblCellMar>
        <w:tblLook w:val="0420" w:firstRow="1" w:lastRow="0" w:firstColumn="0" w:lastColumn="0" w:noHBand="0" w:noVBand="1"/>
      </w:tblPr>
      <w:tblGrid>
        <w:gridCol w:w="846"/>
        <w:gridCol w:w="1701"/>
        <w:gridCol w:w="7081"/>
      </w:tblGrid>
      <w:tr w:rsidR="00BA665A" w:rsidRPr="00780518" w14:paraId="547BD6CF" w14:textId="7CE8558B" w:rsidTr="00C1490D">
        <w:trPr>
          <w:trHeight w:val="474"/>
          <w:tblHeader/>
        </w:trPr>
        <w:tc>
          <w:tcPr>
            <w:tcW w:w="846" w:type="dxa"/>
            <w:shd w:val="clear" w:color="auto" w:fill="4B91D7"/>
          </w:tcPr>
          <w:p w14:paraId="38C64851" w14:textId="59C0850D" w:rsidR="00BA665A" w:rsidRPr="003D5129" w:rsidRDefault="00BA665A">
            <w:pPr>
              <w:pStyle w:val="Table-Heading"/>
              <w:rPr>
                <w:color w:val="FFFFFF" w:themeColor="background1"/>
                <w:lang w:val="en-US"/>
              </w:rPr>
            </w:pPr>
            <w:r>
              <w:rPr>
                <w:color w:val="FFFFFF" w:themeColor="background1"/>
                <w:lang w:val="en-US"/>
              </w:rPr>
              <w:t>Level</w:t>
            </w:r>
          </w:p>
        </w:tc>
        <w:tc>
          <w:tcPr>
            <w:tcW w:w="1701" w:type="dxa"/>
            <w:shd w:val="clear" w:color="auto" w:fill="4B91D7"/>
          </w:tcPr>
          <w:p w14:paraId="29D110BC" w14:textId="650A8A35" w:rsidR="00BA665A" w:rsidRPr="00780518" w:rsidRDefault="00BA665A">
            <w:pPr>
              <w:pStyle w:val="Table-Heading"/>
              <w:rPr>
                <w:color w:val="FFFFFF" w:themeColor="background1"/>
              </w:rPr>
            </w:pPr>
            <w:r>
              <w:rPr>
                <w:color w:val="FFFFFF" w:themeColor="background1"/>
              </w:rPr>
              <w:t>Category</w:t>
            </w:r>
          </w:p>
        </w:tc>
        <w:tc>
          <w:tcPr>
            <w:tcW w:w="7081" w:type="dxa"/>
            <w:shd w:val="clear" w:color="auto" w:fill="4B91D7"/>
          </w:tcPr>
          <w:p w14:paraId="7826C02F" w14:textId="36D0667A" w:rsidR="00BA665A" w:rsidRPr="00780518" w:rsidRDefault="00BA665A">
            <w:pPr>
              <w:pStyle w:val="Table-Heading"/>
              <w:rPr>
                <w:color w:val="FFFFFF" w:themeColor="background1"/>
              </w:rPr>
            </w:pPr>
            <w:r>
              <w:rPr>
                <w:color w:val="FFFFFF" w:themeColor="background1"/>
              </w:rPr>
              <w:t>Key Worker support</w:t>
            </w:r>
          </w:p>
        </w:tc>
      </w:tr>
      <w:tr w:rsidR="00C1490D" w:rsidRPr="00780518" w14:paraId="7C6B941B" w14:textId="4F70C63F" w:rsidTr="00C1490D">
        <w:trPr>
          <w:trHeight w:val="474"/>
        </w:trPr>
        <w:tc>
          <w:tcPr>
            <w:tcW w:w="846" w:type="dxa"/>
            <w:shd w:val="clear" w:color="auto" w:fill="auto"/>
          </w:tcPr>
          <w:p w14:paraId="2DECAD39" w14:textId="73F81E66" w:rsidR="00C1490D" w:rsidRPr="00C1490D" w:rsidRDefault="00C1490D" w:rsidP="00C1490D">
            <w:pPr>
              <w:pStyle w:val="Table-Text"/>
              <w:rPr>
                <w:rFonts w:cs="Arial"/>
                <w:szCs w:val="20"/>
              </w:rPr>
            </w:pPr>
            <w:r w:rsidRPr="00C1490D">
              <w:rPr>
                <w:rFonts w:cs="Arial"/>
                <w:szCs w:val="20"/>
              </w:rPr>
              <w:t>1</w:t>
            </w:r>
          </w:p>
        </w:tc>
        <w:tc>
          <w:tcPr>
            <w:tcW w:w="1701" w:type="dxa"/>
            <w:shd w:val="clear" w:color="auto" w:fill="auto"/>
          </w:tcPr>
          <w:p w14:paraId="6BBE3E5E" w14:textId="6653269B" w:rsidR="00C1490D" w:rsidRPr="00780518" w:rsidRDefault="00C1490D" w:rsidP="00C1490D">
            <w:pPr>
              <w:pStyle w:val="Table-Text"/>
              <w:rPr>
                <w:rFonts w:cs="Arial"/>
                <w:szCs w:val="20"/>
              </w:rPr>
            </w:pPr>
            <w:r>
              <w:rPr>
                <w:rFonts w:cs="Arial"/>
                <w:szCs w:val="20"/>
              </w:rPr>
              <w:t>High</w:t>
            </w:r>
          </w:p>
        </w:tc>
        <w:tc>
          <w:tcPr>
            <w:tcW w:w="7081" w:type="dxa"/>
          </w:tcPr>
          <w:p w14:paraId="34723817" w14:textId="531E9581" w:rsidR="00C1490D" w:rsidRPr="00780518" w:rsidRDefault="00C1490D" w:rsidP="00C1490D">
            <w:pPr>
              <w:pStyle w:val="Table-Text"/>
              <w:rPr>
                <w:rFonts w:cs="Arial"/>
                <w:szCs w:val="20"/>
              </w:rPr>
            </w:pPr>
            <w:r w:rsidRPr="00502AC0">
              <w:t>2 hours of Key Worker resourcing each week</w:t>
            </w:r>
          </w:p>
        </w:tc>
      </w:tr>
      <w:tr w:rsidR="00C1490D" w:rsidRPr="00780518" w14:paraId="701A6CD0" w14:textId="394A55F7" w:rsidTr="00C1490D">
        <w:trPr>
          <w:trHeight w:val="474"/>
        </w:trPr>
        <w:tc>
          <w:tcPr>
            <w:tcW w:w="846" w:type="dxa"/>
            <w:shd w:val="clear" w:color="auto" w:fill="auto"/>
          </w:tcPr>
          <w:p w14:paraId="461DC8AB" w14:textId="04AF8338" w:rsidR="00C1490D" w:rsidRPr="00C1490D" w:rsidRDefault="00C1490D" w:rsidP="00C1490D">
            <w:pPr>
              <w:pStyle w:val="Table-Text"/>
              <w:rPr>
                <w:rFonts w:cs="Arial"/>
                <w:szCs w:val="20"/>
              </w:rPr>
            </w:pPr>
            <w:r w:rsidRPr="00C1490D">
              <w:rPr>
                <w:rFonts w:cs="Arial"/>
                <w:szCs w:val="20"/>
              </w:rPr>
              <w:t>2</w:t>
            </w:r>
          </w:p>
        </w:tc>
        <w:tc>
          <w:tcPr>
            <w:tcW w:w="1701" w:type="dxa"/>
            <w:shd w:val="clear" w:color="auto" w:fill="auto"/>
          </w:tcPr>
          <w:p w14:paraId="7FA82182" w14:textId="234D2F65" w:rsidR="00C1490D" w:rsidRPr="00780518" w:rsidRDefault="00C1490D" w:rsidP="00C1490D">
            <w:pPr>
              <w:pStyle w:val="Table-Text"/>
              <w:rPr>
                <w:rFonts w:cs="Arial"/>
                <w:szCs w:val="20"/>
              </w:rPr>
            </w:pPr>
            <w:r>
              <w:rPr>
                <w:rFonts w:cs="Arial"/>
                <w:szCs w:val="20"/>
              </w:rPr>
              <w:t>Medium-High</w:t>
            </w:r>
          </w:p>
        </w:tc>
        <w:tc>
          <w:tcPr>
            <w:tcW w:w="7081" w:type="dxa"/>
          </w:tcPr>
          <w:p w14:paraId="73D0C8D5" w14:textId="575A6A73" w:rsidR="00C1490D" w:rsidRPr="00780518" w:rsidRDefault="00C1490D" w:rsidP="00C1490D">
            <w:pPr>
              <w:pStyle w:val="Table-Text"/>
              <w:rPr>
                <w:rFonts w:cs="Arial"/>
                <w:szCs w:val="20"/>
              </w:rPr>
            </w:pPr>
            <w:r w:rsidRPr="00502AC0">
              <w:t>1 hour of Key Worker resourcing each week</w:t>
            </w:r>
          </w:p>
        </w:tc>
      </w:tr>
      <w:tr w:rsidR="00C1490D" w:rsidRPr="00780518" w14:paraId="66F0ED65" w14:textId="77777777" w:rsidTr="00C1490D">
        <w:trPr>
          <w:trHeight w:val="474"/>
        </w:trPr>
        <w:tc>
          <w:tcPr>
            <w:tcW w:w="846" w:type="dxa"/>
            <w:shd w:val="clear" w:color="auto" w:fill="auto"/>
          </w:tcPr>
          <w:p w14:paraId="7FA19CF8" w14:textId="631FF2FB" w:rsidR="00C1490D" w:rsidRPr="00C1490D" w:rsidRDefault="00C1490D" w:rsidP="00C1490D">
            <w:pPr>
              <w:pStyle w:val="Table-Text"/>
              <w:rPr>
                <w:rFonts w:cs="Arial"/>
                <w:szCs w:val="20"/>
              </w:rPr>
            </w:pPr>
            <w:r w:rsidRPr="00C1490D">
              <w:rPr>
                <w:rFonts w:cs="Arial"/>
                <w:szCs w:val="20"/>
              </w:rPr>
              <w:t>3</w:t>
            </w:r>
          </w:p>
        </w:tc>
        <w:tc>
          <w:tcPr>
            <w:tcW w:w="1701" w:type="dxa"/>
            <w:shd w:val="clear" w:color="auto" w:fill="auto"/>
          </w:tcPr>
          <w:p w14:paraId="760FD70B" w14:textId="07F10A96" w:rsidR="00C1490D" w:rsidRPr="00780518" w:rsidRDefault="00C1490D" w:rsidP="00C1490D">
            <w:pPr>
              <w:pStyle w:val="Table-Text"/>
              <w:rPr>
                <w:rFonts w:cs="Arial"/>
                <w:szCs w:val="20"/>
              </w:rPr>
            </w:pPr>
            <w:r>
              <w:rPr>
                <w:rFonts w:cs="Arial"/>
                <w:szCs w:val="20"/>
              </w:rPr>
              <w:t>Low-Medium</w:t>
            </w:r>
          </w:p>
        </w:tc>
        <w:tc>
          <w:tcPr>
            <w:tcW w:w="7081" w:type="dxa"/>
          </w:tcPr>
          <w:p w14:paraId="58B9B210" w14:textId="42B2AFE5" w:rsidR="00C1490D" w:rsidRPr="00780518" w:rsidRDefault="00C1490D" w:rsidP="00C1490D">
            <w:pPr>
              <w:pStyle w:val="Table-Text"/>
              <w:rPr>
                <w:rFonts w:cs="Arial"/>
                <w:szCs w:val="20"/>
              </w:rPr>
            </w:pPr>
            <w:r w:rsidRPr="00502AC0">
              <w:t>30 minutes of Key Worker resourcing each week</w:t>
            </w:r>
          </w:p>
        </w:tc>
      </w:tr>
    </w:tbl>
    <w:p w14:paraId="6D2B3DA8" w14:textId="77777777" w:rsidR="00EF199F" w:rsidRDefault="00EF199F" w:rsidP="00EF199F">
      <w:pPr>
        <w:pStyle w:val="Head3"/>
      </w:pPr>
      <w:r>
        <w:t>Brokerage support</w:t>
      </w:r>
    </w:p>
    <w:p w14:paraId="253AC96A" w14:textId="126FA84D" w:rsidR="00BA665A" w:rsidRDefault="00EF199F" w:rsidP="00EF199F">
      <w:r>
        <w:t xml:space="preserve">Key Workers have access to a pool of brokerage funding which can be used discretionarily to support young people to achieve the intended outcomes of the program. Brokerage funding can be used flexibly by Key Workers to motivate, </w:t>
      </w:r>
      <w:proofErr w:type="gramStart"/>
      <w:r>
        <w:t>engage</w:t>
      </w:r>
      <w:proofErr w:type="gramEnd"/>
      <w:r>
        <w:t xml:space="preserve"> and support young people in ways that are most relevant to their needs. Examples of items funded through brokerage support include technology such as laptops or phones, fidgets and anxiety relieving tools, emergency food vouchers,</w:t>
      </w:r>
      <w:r w:rsidR="001704DB" w:rsidRPr="0082400B">
        <w:rPr>
          <w:rStyle w:val="EndnoteReference"/>
          <w:vertAlign w:val="superscript"/>
        </w:rPr>
        <w:endnoteReference w:id="2"/>
      </w:r>
      <w:r>
        <w:t xml:space="preserve"> clothing and shoes, and personal hygiene items.</w:t>
      </w:r>
      <w:r w:rsidR="00A028E4">
        <w:t xml:space="preserve"> </w:t>
      </w:r>
      <w:r>
        <w:t xml:space="preserve">Brokerage can also be used to purchase external services where needed, such as Allied Health care. Some items and services financed through Living Learning brokerage require approval of the Program Manager or the MCM Executive (e.g., </w:t>
      </w:r>
      <w:proofErr w:type="gramStart"/>
      <w:r>
        <w:t>orthodontic</w:t>
      </w:r>
      <w:proofErr w:type="gramEnd"/>
      <w:r>
        <w:t xml:space="preserve"> and dental treatments in excess of $10,000).</w:t>
      </w:r>
    </w:p>
    <w:p w14:paraId="24FC3E7F" w14:textId="77777777" w:rsidR="008D22B2" w:rsidRDefault="008D22B2" w:rsidP="008D22B2">
      <w:pPr>
        <w:pStyle w:val="Head3"/>
      </w:pPr>
      <w:r>
        <w:t>Adventure learning activities</w:t>
      </w:r>
    </w:p>
    <w:p w14:paraId="7BF6473B" w14:textId="77777777" w:rsidR="008D22B2" w:rsidRDefault="008D22B2" w:rsidP="008D22B2">
      <w:r>
        <w:t>Delivered weekly, trauma informed adventure learning activities are designed to provide new experiences to young people which push them outside of their comfort zones and challenge assumptions they may have about themselves. The intention of adventure learning activities is to develop the confidence, grit and resilience of young people and encourage positive relationships and memories.</w:t>
      </w:r>
    </w:p>
    <w:p w14:paraId="7BEEBADA" w14:textId="32178C02" w:rsidR="008B5406" w:rsidRPr="00BA665A" w:rsidRDefault="008D22B2" w:rsidP="008D22B2">
      <w:r>
        <w:t xml:space="preserve">Adventure learning activities are delivered in partnership with external provider EACH, who run the Wild program, and OceanMind, who run a surfing program. Wild is delivered over a semester to give young people the opportunity to participate in activities such as hiking, caving, abseiling and paddle boarding as a way of building their resilience, social </w:t>
      </w:r>
      <w:proofErr w:type="gramStart"/>
      <w:r>
        <w:t>skills</w:t>
      </w:r>
      <w:proofErr w:type="gramEnd"/>
      <w:r>
        <w:t xml:space="preserve"> and confidence. OceanMind is a seven-week program teaching young people how to surf and navigate the ocean. Through OceanMind, young people engage with positive adult role models and receive mentoring support. At the end of the program, young people have the chance to progress into peer leadership and mentoring roles for the next participant cohort.</w:t>
      </w:r>
    </w:p>
    <w:p w14:paraId="4B069F6E" w14:textId="77777777" w:rsidR="00C122ED" w:rsidRDefault="00C122ED" w:rsidP="00C122ED">
      <w:pPr>
        <w:pStyle w:val="Head3"/>
      </w:pPr>
      <w:r>
        <w:t>School holiday programming</w:t>
      </w:r>
    </w:p>
    <w:p w14:paraId="581F0E02" w14:textId="77777777" w:rsidR="00C122ED" w:rsidRDefault="00C122ED" w:rsidP="00C122ED">
      <w:r>
        <w:t>Living Learning runs social and therapeutic activities over the school holidays to give young people the opportunity to stay connected to a safe place and their school community, and to continue to develop relationships with peers. Some school holiday activities are specifically designed to support young people in accessing social and mental health supports.</w:t>
      </w:r>
    </w:p>
    <w:p w14:paraId="3A6954C5" w14:textId="77777777" w:rsidR="00C122ED" w:rsidRDefault="00C122ED" w:rsidP="00C122ED">
      <w:pPr>
        <w:pStyle w:val="Head3"/>
      </w:pPr>
      <w:r>
        <w:t>Engage Youth</w:t>
      </w:r>
    </w:p>
    <w:p w14:paraId="75E5CE93" w14:textId="77777777" w:rsidR="00C122ED" w:rsidRDefault="00C122ED" w:rsidP="00C122ED">
      <w:r>
        <w:t xml:space="preserve">The assertive outreach undertaken by the Living Learning Engagement Team complements HHA’s Engage Youth program, which provides outreach education, case management and small group-based workshops on campus two days per week. Engage Youth has been designed to support all HHA students who have more complex needs. Engage Youth is frequently used as a pathway to assist students transitioning into regular school attendance. While Engage Youth has a focus on the internal HHA school environment, assertive outreach by the Living Learning Engagement Team is more active in external settings, such as the </w:t>
      </w:r>
      <w:proofErr w:type="gramStart"/>
      <w:r>
        <w:t>home</w:t>
      </w:r>
      <w:proofErr w:type="gramEnd"/>
    </w:p>
    <w:p w14:paraId="0C32C269" w14:textId="77777777" w:rsidR="00C122ED" w:rsidRDefault="00C122ED" w:rsidP="00C122ED">
      <w:pPr>
        <w:pStyle w:val="Head3"/>
      </w:pPr>
      <w:r>
        <w:t>Allied Health</w:t>
      </w:r>
    </w:p>
    <w:p w14:paraId="1258E3EE" w14:textId="77777777" w:rsidR="00C122ED" w:rsidRDefault="00C122ED" w:rsidP="00C122ED">
      <w:r>
        <w:t>Mental health supports within the Living Learning Program are delivered by the Allied Health team, comprised of two Psychologists and an Occupational Therapist. The second program Psychologist commenced in 2023, to support the growing cohort size.</w:t>
      </w:r>
    </w:p>
    <w:p w14:paraId="772CD442" w14:textId="77777777" w:rsidR="00C122ED" w:rsidRDefault="00C122ED" w:rsidP="00C122ED">
      <w:r>
        <w:t xml:space="preserve">The Allied Health team support young people whose learning and engagement is impacted by mental or occupational health challenges, working to address young people’s immediate mental health </w:t>
      </w:r>
      <w:proofErr w:type="gramStart"/>
      <w:r>
        <w:t>needs</w:t>
      </w:r>
      <w:proofErr w:type="gramEnd"/>
      <w:r>
        <w:t xml:space="preserve"> and redirecting to external supports when appropriate. As clinical professionals, the Allied Health team can also provide secondary consults and advice to Living Learning Program staff and the wider HHA community.</w:t>
      </w:r>
    </w:p>
    <w:p w14:paraId="2ECE5059" w14:textId="10A9863C" w:rsidR="00865C38" w:rsidRDefault="00C122ED" w:rsidP="00C122ED">
      <w:r>
        <w:t xml:space="preserve">Young people are referred to the Allied Health team by their Key Worker and/or their classroom team. To participate in Allied Health supports, it must be established that the young person’s needs cannot be better met by an existing service provider, and the young person must consent to specific assessments and/or interventions. All interventions used by the Allied Health team are evidence-based and tailored to the specific needs of each </w:t>
      </w:r>
      <w:proofErr w:type="gramStart"/>
      <w:r>
        <w:t>student, and</w:t>
      </w:r>
      <w:proofErr w:type="gramEnd"/>
      <w:r>
        <w:t xml:space="preserve"> are listed in </w:t>
      </w:r>
      <w:r w:rsidR="00F35296">
        <w:rPr>
          <w:highlight w:val="yellow"/>
        </w:rPr>
        <w:fldChar w:fldCharType="begin"/>
      </w:r>
      <w:r w:rsidR="00F35296">
        <w:instrText xml:space="preserve"> REF _Ref150430828 \h </w:instrText>
      </w:r>
      <w:r w:rsidR="00F35296">
        <w:rPr>
          <w:highlight w:val="yellow"/>
        </w:rPr>
      </w:r>
      <w:r w:rsidR="00F35296">
        <w:rPr>
          <w:highlight w:val="yellow"/>
        </w:rPr>
        <w:fldChar w:fldCharType="separate"/>
      </w:r>
      <w:r w:rsidR="008D0FC1">
        <w:t xml:space="preserve">Table </w:t>
      </w:r>
      <w:r w:rsidR="008D0FC1">
        <w:rPr>
          <w:noProof/>
        </w:rPr>
        <w:t>5</w:t>
      </w:r>
      <w:r w:rsidR="00F35296">
        <w:rPr>
          <w:highlight w:val="yellow"/>
        </w:rPr>
        <w:fldChar w:fldCharType="end"/>
      </w:r>
      <w:r>
        <w:t>.</w:t>
      </w:r>
      <w:r w:rsidR="00865C38">
        <w:br w:type="page"/>
      </w:r>
    </w:p>
    <w:p w14:paraId="3CAA136D" w14:textId="479F5F87" w:rsidR="00C122ED" w:rsidRDefault="00C122ED" w:rsidP="00C122ED">
      <w:pPr>
        <w:pStyle w:val="Caption"/>
      </w:pPr>
      <w:bookmarkStart w:id="26" w:name="_Ref150430828"/>
      <w:bookmarkStart w:id="27" w:name="_Toc150431955"/>
      <w:r>
        <w:t xml:space="preserve">Table </w:t>
      </w:r>
      <w:r>
        <w:fldChar w:fldCharType="begin"/>
      </w:r>
      <w:r>
        <w:instrText xml:space="preserve"> SEQ Table \* ARABIC </w:instrText>
      </w:r>
      <w:r>
        <w:fldChar w:fldCharType="separate"/>
      </w:r>
      <w:r w:rsidR="008D0FC1">
        <w:rPr>
          <w:noProof/>
        </w:rPr>
        <w:t>5</w:t>
      </w:r>
      <w:r>
        <w:fldChar w:fldCharType="end"/>
      </w:r>
      <w:bookmarkEnd w:id="26"/>
      <w:r>
        <w:t xml:space="preserve"> Allied Health team interven</w:t>
      </w:r>
      <w:r w:rsidR="003D6F96">
        <w:t>tions</w:t>
      </w:r>
      <w:bookmarkEnd w:id="27"/>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CellMar>
          <w:left w:w="0" w:type="dxa"/>
          <w:right w:w="0" w:type="dxa"/>
        </w:tblCellMar>
        <w:tblLook w:val="0420" w:firstRow="1" w:lastRow="0" w:firstColumn="0" w:lastColumn="0" w:noHBand="0" w:noVBand="1"/>
      </w:tblPr>
      <w:tblGrid>
        <w:gridCol w:w="4814"/>
        <w:gridCol w:w="4814"/>
      </w:tblGrid>
      <w:tr w:rsidR="00F76874" w:rsidRPr="00780518" w14:paraId="11FC1002" w14:textId="77777777" w:rsidTr="00F76874">
        <w:trPr>
          <w:trHeight w:val="474"/>
          <w:tblHeader/>
        </w:trPr>
        <w:tc>
          <w:tcPr>
            <w:tcW w:w="4814" w:type="dxa"/>
            <w:shd w:val="clear" w:color="auto" w:fill="4B91D7"/>
          </w:tcPr>
          <w:p w14:paraId="7585EC59" w14:textId="4305BCCF" w:rsidR="00F76874" w:rsidRPr="00780518" w:rsidRDefault="00F76874">
            <w:pPr>
              <w:pStyle w:val="Table-Heading"/>
              <w:rPr>
                <w:color w:val="FFFFFF" w:themeColor="background1"/>
              </w:rPr>
            </w:pPr>
            <w:r>
              <w:rPr>
                <w:color w:val="FFFFFF" w:themeColor="background1"/>
              </w:rPr>
              <w:t>Psychology</w:t>
            </w:r>
          </w:p>
        </w:tc>
        <w:tc>
          <w:tcPr>
            <w:tcW w:w="4814" w:type="dxa"/>
            <w:shd w:val="clear" w:color="auto" w:fill="4B91D7"/>
          </w:tcPr>
          <w:p w14:paraId="2DC8F8C3" w14:textId="4C9AE23E" w:rsidR="00F76874" w:rsidRPr="00780518" w:rsidRDefault="00F76874">
            <w:pPr>
              <w:pStyle w:val="Table-Heading"/>
              <w:rPr>
                <w:color w:val="FFFFFF" w:themeColor="background1"/>
              </w:rPr>
            </w:pPr>
            <w:r>
              <w:rPr>
                <w:color w:val="FFFFFF" w:themeColor="background1"/>
              </w:rPr>
              <w:t>Occupational therapy</w:t>
            </w:r>
          </w:p>
        </w:tc>
      </w:tr>
      <w:tr w:rsidR="00F76874" w:rsidRPr="00780518" w14:paraId="0973A965" w14:textId="77777777" w:rsidTr="00F76874">
        <w:trPr>
          <w:trHeight w:val="474"/>
        </w:trPr>
        <w:tc>
          <w:tcPr>
            <w:tcW w:w="4814" w:type="dxa"/>
            <w:shd w:val="clear" w:color="auto" w:fill="auto"/>
          </w:tcPr>
          <w:p w14:paraId="6E22539C" w14:textId="77777777" w:rsidR="00F76874" w:rsidRDefault="00EA6202" w:rsidP="00E763AC">
            <w:pPr>
              <w:pStyle w:val="Table-Bullet"/>
            </w:pPr>
            <w:r>
              <w:t>Psychoeducation</w:t>
            </w:r>
          </w:p>
          <w:p w14:paraId="05102A97" w14:textId="77777777" w:rsidR="00EA6202" w:rsidRDefault="00EA6202" w:rsidP="00E763AC">
            <w:pPr>
              <w:pStyle w:val="Table-Bullet"/>
            </w:pPr>
            <w:r>
              <w:t>Emotion regulation skills</w:t>
            </w:r>
          </w:p>
          <w:p w14:paraId="3966F7F5" w14:textId="77777777" w:rsidR="00EA6202" w:rsidRDefault="00EA6202" w:rsidP="00E763AC">
            <w:pPr>
              <w:pStyle w:val="Table-Bullet"/>
            </w:pPr>
            <w:r>
              <w:t>Mindfulness-based stress regulation</w:t>
            </w:r>
          </w:p>
          <w:p w14:paraId="724CCE13" w14:textId="77777777" w:rsidR="00EA6202" w:rsidRDefault="00EA6202" w:rsidP="00E763AC">
            <w:pPr>
              <w:pStyle w:val="Table-Bullet"/>
            </w:pPr>
            <w:r>
              <w:t>Communicating assertiveness and boundary setting</w:t>
            </w:r>
          </w:p>
          <w:p w14:paraId="043B446B" w14:textId="2A3F5CD3" w:rsidR="00EA6202" w:rsidRPr="00780518" w:rsidRDefault="00EA6202" w:rsidP="00E763AC">
            <w:pPr>
              <w:pStyle w:val="Table-Bullet"/>
            </w:pPr>
            <w:r>
              <w:t>Self-compassion and self-care</w:t>
            </w:r>
          </w:p>
        </w:tc>
        <w:tc>
          <w:tcPr>
            <w:tcW w:w="4814" w:type="dxa"/>
          </w:tcPr>
          <w:p w14:paraId="669BC671" w14:textId="77777777" w:rsidR="00EA6202" w:rsidRDefault="00EA6202" w:rsidP="00E763AC">
            <w:pPr>
              <w:pStyle w:val="Table-Bullet"/>
            </w:pPr>
            <w:r>
              <w:t>Psychoeducation</w:t>
            </w:r>
          </w:p>
          <w:p w14:paraId="7A16F224" w14:textId="77777777" w:rsidR="00F76874" w:rsidRPr="00EA6202" w:rsidRDefault="00EA6202" w:rsidP="00E763AC">
            <w:pPr>
              <w:pStyle w:val="Table-Bullet"/>
            </w:pPr>
            <w:r w:rsidRPr="00EA6202">
              <w:t>Capacity building</w:t>
            </w:r>
          </w:p>
          <w:p w14:paraId="7926BCA8" w14:textId="77777777" w:rsidR="00EA6202" w:rsidRPr="00EA6202" w:rsidRDefault="00EA6202" w:rsidP="00E763AC">
            <w:pPr>
              <w:pStyle w:val="Table-Bullet"/>
            </w:pPr>
            <w:r>
              <w:t>Routine analysis</w:t>
            </w:r>
          </w:p>
          <w:p w14:paraId="62676C37" w14:textId="77777777" w:rsidR="00EA6202" w:rsidRPr="00EA6202" w:rsidRDefault="00EA6202" w:rsidP="00E763AC">
            <w:pPr>
              <w:pStyle w:val="Table-Bullet"/>
            </w:pPr>
            <w:r>
              <w:t>Adaptive interventions</w:t>
            </w:r>
          </w:p>
          <w:p w14:paraId="70BC78D0" w14:textId="40323A20" w:rsidR="00EA6202" w:rsidRPr="00EA6202" w:rsidRDefault="00EA6202" w:rsidP="00E763AC">
            <w:pPr>
              <w:pStyle w:val="Table-Bullet"/>
            </w:pPr>
            <w:r>
              <w:t>Self-care</w:t>
            </w:r>
          </w:p>
        </w:tc>
      </w:tr>
    </w:tbl>
    <w:p w14:paraId="55185E4E" w14:textId="50005402" w:rsidR="003D6F96" w:rsidRPr="003D6F96" w:rsidRDefault="00865C38" w:rsidP="006D5B2B">
      <w:pPr>
        <w:pStyle w:val="ImageSource"/>
      </w:pPr>
      <w:r>
        <w:t>Source: Living Learning Program Manual v7</w:t>
      </w:r>
    </w:p>
    <w:p w14:paraId="489AACD9" w14:textId="69B8ABAC" w:rsidR="00C122ED" w:rsidRDefault="0093144A" w:rsidP="00C122ED">
      <w:r w:rsidRPr="0093144A">
        <w:t>While a dedicated Occupational Therapist was not included in the program’s original design, this capacity was added when it was recognised some young people would benefit from strategies to build their day-to-day functioning and independence.</w:t>
      </w:r>
    </w:p>
    <w:p w14:paraId="7397BB47" w14:textId="77777777" w:rsidR="00605ED8" w:rsidRDefault="00605ED8" w:rsidP="00605ED8">
      <w:pPr>
        <w:pStyle w:val="Head3"/>
      </w:pPr>
      <w:r>
        <w:t>Education</w:t>
      </w:r>
    </w:p>
    <w:p w14:paraId="1EF8952C" w14:textId="77777777" w:rsidR="00605ED8" w:rsidRDefault="00605ED8" w:rsidP="00605ED8">
      <w:r>
        <w:t>Living Learning participants access a similar suite of education supports to those available to the broader HHA student population. At HHA, there is an average of 18.5 students per class. Each class has a Classroom Educator, an Education Support Officer (ESO) and a Youth Worker. Importantly, HHA doesn’t use time-limiting language to define a student’s learning, which means students are not described by their ‘year level’. Additionally, HHA’s education offering seeks to minimise potential stressors and anxieties relating to learning, which includes adjustments around formal assessment.</w:t>
      </w:r>
    </w:p>
    <w:p w14:paraId="417F6E8F" w14:textId="77777777" w:rsidR="00605ED8" w:rsidRDefault="00605ED8" w:rsidP="00605ED8">
      <w:r>
        <w:t>The Living Learning Education Team have been integrated into the HHA Teaching and Learning Team. HHA Classroom Educators deliver education and training courses to Living Learning participants. The Living Learning Education Team works alongside Classroom Educators to provide intensive and personalised support to Living Learning participants to help them overcome any educational barriers they face in their learning. For many Living Learning participants, the focus of the first year in the program is on engagement and organisational skills, while the second and third years are focussed on assisting young people to complete education outcomes.</w:t>
      </w:r>
    </w:p>
    <w:p w14:paraId="50C138EB" w14:textId="77777777" w:rsidR="00605ED8" w:rsidRDefault="00605ED8" w:rsidP="00605ED8">
      <w:r>
        <w:t>A young person’s disabilities and/or learning difficulties are identified upon intake into the program. The Living Learning Education Team can provide support directly to a young person (e.g., one-on-one sessions or additional classroom support) or to Living Learning or HHA staff (</w:t>
      </w:r>
      <w:proofErr w:type="gramStart"/>
      <w:r>
        <w:t>e.g.</w:t>
      </w:r>
      <w:proofErr w:type="gramEnd"/>
      <w:r>
        <w:t xml:space="preserve"> planning, engagement or professional development support).</w:t>
      </w:r>
    </w:p>
    <w:p w14:paraId="35572647" w14:textId="1FB16877" w:rsidR="00C122ED" w:rsidRDefault="00605ED8" w:rsidP="00605ED8">
      <w:r>
        <w:t>The Prahran and Sunshine campuses offer a Young Parents’ Classroom, specifically designed to facilitate the learning of parents or expecting parents. Additionally, the Prahran and Sunshine campuses, which are both equipped with industrial kitchens, offer the HEAT (Hospitality Employment and Training) program.</w:t>
      </w:r>
    </w:p>
    <w:p w14:paraId="08A84C4E" w14:textId="77777777" w:rsidR="00927537" w:rsidRDefault="00927537" w:rsidP="00927537">
      <w:pPr>
        <w:pStyle w:val="Head3"/>
      </w:pPr>
      <w:r>
        <w:t>Curriculum</w:t>
      </w:r>
    </w:p>
    <w:p w14:paraId="3B83F15A" w14:textId="77777777" w:rsidR="00927537" w:rsidRDefault="00927537" w:rsidP="00927537">
      <w:r>
        <w:t>Until 2023, HHA has offered Victorian Certificate of Applied Learning (VCAL) at Foundation, Intermediate and Senior levels, along with Vocational Education and Training in Schools (</w:t>
      </w:r>
      <w:proofErr w:type="spellStart"/>
      <w:r>
        <w:t>VETiS</w:t>
      </w:r>
      <w:proofErr w:type="spellEnd"/>
      <w:r>
        <w:t xml:space="preserve">) courses. From 2023, the Victorian Certificate of Education (VCE) Vocational Major (VM) and the Victorian Pathways Certificate (VPC) will be introduced, gradually replacing VCAL and </w:t>
      </w:r>
      <w:proofErr w:type="spellStart"/>
      <w:r>
        <w:t>VETiS</w:t>
      </w:r>
      <w:proofErr w:type="spellEnd"/>
      <w:r>
        <w:t>.</w:t>
      </w:r>
    </w:p>
    <w:p w14:paraId="120829CC" w14:textId="4FCED932" w:rsidR="00C122ED" w:rsidRDefault="00927537" w:rsidP="00927537">
      <w:r>
        <w:t xml:space="preserve">The VCE VM is a vocational and applied learning program within the VCE, designed to be completed over a minimum of two years. The VPC is an inclusive Year 11 and 12 standards-based </w:t>
      </w:r>
      <w:proofErr w:type="gramStart"/>
      <w:r>
        <w:t>certificate</w:t>
      </w:r>
      <w:proofErr w:type="gramEnd"/>
      <w:r>
        <w:t xml:space="preserve"> designed to meet the needs of a students who are not able or ready to complete the VCE. The minimum two-year, full-time duration of the VCE VM (which does not have a midway exit point) may require Cohort 3 Living Learning participants seeking to complete a Year 12 equivalent certificate to be engaged in school for up to three to four years </w:t>
      </w:r>
      <w:proofErr w:type="gramStart"/>
      <w:r>
        <w:t>in order to</w:t>
      </w:r>
      <w:proofErr w:type="gramEnd"/>
      <w:r>
        <w:t xml:space="preserve"> complete the necessary coursework.</w:t>
      </w:r>
    </w:p>
    <w:p w14:paraId="681C5D3E" w14:textId="12162B3B" w:rsidR="00C827A6" w:rsidRDefault="00C827A6" w:rsidP="00C827A6">
      <w:r>
        <w:t xml:space="preserve">As this transition occurs, there are bridging allowances to accommodate students midway through their VCAL </w:t>
      </w:r>
      <w:r w:rsidR="00B81555">
        <w:t>certificates. Young</w:t>
      </w:r>
      <w:r>
        <w:t xml:space="preserve"> people enrolled in Foundation VCAL in 2022 can complete Intermediate VCAL in 2023, and young people enrolled in Intermediate VCAL in 2022 can complete Intermediate VCAL in 2023. Beyond 2023, HHA will not offer pathways for completing the Intermediate Certificate.</w:t>
      </w:r>
    </w:p>
    <w:p w14:paraId="57A85C00" w14:textId="77777777" w:rsidR="003A6B38" w:rsidRDefault="003A6B38" w:rsidP="003A6B38">
      <w:pPr>
        <w:pStyle w:val="Head3"/>
      </w:pPr>
      <w:r>
        <w:t>Individual Education Plans</w:t>
      </w:r>
    </w:p>
    <w:p w14:paraId="70DE45C3" w14:textId="3E105E11" w:rsidR="003A6B38" w:rsidRDefault="003A6B38" w:rsidP="003A6B38">
      <w:r>
        <w:t>The Living Learning Education Team, in partnership with a young person’s Key Worker, Class Youth Worker, Classroom Educator, Clinician and other relevant staff, is responsible for developing a Living Learning student’s Individual Education Plan (IEP). The IEP is a student-facing document that ensures a young person is aware of how their education will progress in both the short and long term. Building on a young person’s strengths, an IEP ensures a young person is learning within their own zone of proximal development,</w:t>
      </w:r>
      <w:r w:rsidR="007F6A0B" w:rsidRPr="0082400B">
        <w:rPr>
          <w:rStyle w:val="EndnoteReference"/>
          <w:vertAlign w:val="superscript"/>
        </w:rPr>
        <w:endnoteReference w:id="3"/>
      </w:r>
      <w:r w:rsidRPr="0082400B">
        <w:rPr>
          <w:vertAlign w:val="superscript"/>
        </w:rPr>
        <w:t xml:space="preserve"> </w:t>
      </w:r>
      <w:r>
        <w:t>and outlines the most appropriate ways for that student to learn.</w:t>
      </w:r>
    </w:p>
    <w:p w14:paraId="1A273AE9" w14:textId="77777777" w:rsidR="003A6B38" w:rsidRDefault="003A6B38" w:rsidP="003A6B38">
      <w:pPr>
        <w:pStyle w:val="Head3"/>
      </w:pPr>
      <w:r>
        <w:t>Additional offerings</w:t>
      </w:r>
    </w:p>
    <w:p w14:paraId="735A2E41" w14:textId="1199A2EA" w:rsidR="003A6B38" w:rsidRDefault="003A6B38" w:rsidP="003A6B38">
      <w:r>
        <w:t xml:space="preserve">HHA also offers a range of programs and supports to all students. The HHA Alumni program supports past HHA students as they transition to further education or employment. A dedicated Alumni worker works with the HHA Career Practitioner to support students in navigating a positive pathway of their choice. Alumni program support might include support </w:t>
      </w:r>
      <w:r w:rsidR="0082400B">
        <w:t>to</w:t>
      </w:r>
      <w:r>
        <w:t xml:space="preserve"> enrol in further education and training; re-engage in a course; identify employment opportunities; plan for transition out of the school environment; and identify additional supports where required.</w:t>
      </w:r>
    </w:p>
    <w:p w14:paraId="2D5DEF2B" w14:textId="039B658C" w:rsidR="003A6B38" w:rsidRDefault="003A6B38" w:rsidP="003A6B38">
      <w:pPr>
        <w:pStyle w:val="Heading2"/>
      </w:pPr>
      <w:bookmarkStart w:id="28" w:name="_Toc150431713"/>
      <w:r>
        <w:t>Location and resourcing</w:t>
      </w:r>
      <w:bookmarkEnd w:id="28"/>
    </w:p>
    <w:p w14:paraId="1B756DBA" w14:textId="74ADBAA5" w:rsidR="003A6B38" w:rsidRDefault="00E97D9C" w:rsidP="003A6B38">
      <w:r w:rsidRPr="00E97D9C">
        <w:t xml:space="preserve">From 2021 to 2023, the Living Learning Program was delivered across three HHA campuses: City, </w:t>
      </w:r>
      <w:proofErr w:type="gramStart"/>
      <w:r w:rsidRPr="00E97D9C">
        <w:t>Prahran</w:t>
      </w:r>
      <w:proofErr w:type="gramEnd"/>
      <w:r w:rsidRPr="00E97D9C">
        <w:t xml:space="preserve"> and Sunshine. The Sunshine campus hosts </w:t>
      </w:r>
      <w:proofErr w:type="gramStart"/>
      <w:r w:rsidRPr="00E97D9C">
        <w:t>the majority of</w:t>
      </w:r>
      <w:proofErr w:type="gramEnd"/>
      <w:r w:rsidRPr="00E97D9C">
        <w:t xml:space="preserve"> Living Learning participants. In Term 1, 2023 a fourth HHA campus was opened in South Melbourne, which will also deliver the Living Learning Program. As </w:t>
      </w:r>
      <w:proofErr w:type="gramStart"/>
      <w:r w:rsidRPr="00E97D9C">
        <w:t>at</w:t>
      </w:r>
      <w:proofErr w:type="gramEnd"/>
      <w:r w:rsidRPr="00E97D9C">
        <w:t xml:space="preserve"> December 2022, the program was delivered by 17 staff, led by the Program Manager and supported by staff in tranches: Engagement, Education (Learning Specialists), and Allied Health, as well as support staff.</w:t>
      </w:r>
    </w:p>
    <w:p w14:paraId="2FF79E37" w14:textId="5219D0E7" w:rsidR="00E97D9C" w:rsidRDefault="00E97D9C" w:rsidP="00E97D9C">
      <w:pPr>
        <w:pStyle w:val="Caption"/>
      </w:pPr>
      <w:bookmarkStart w:id="29" w:name="_Toc150431979"/>
      <w:r>
        <w:t xml:space="preserve">Figure </w:t>
      </w:r>
      <w:r>
        <w:fldChar w:fldCharType="begin"/>
      </w:r>
      <w:r>
        <w:instrText xml:space="preserve"> SEQ Figure \* ARABIC </w:instrText>
      </w:r>
      <w:r>
        <w:fldChar w:fldCharType="separate"/>
      </w:r>
      <w:r w:rsidR="008D0FC1">
        <w:rPr>
          <w:noProof/>
        </w:rPr>
        <w:t>4</w:t>
      </w:r>
      <w:r>
        <w:fldChar w:fldCharType="end"/>
      </w:r>
      <w:r>
        <w:t xml:space="preserve"> Living Learning team </w:t>
      </w:r>
      <w:proofErr w:type="gramStart"/>
      <w:r>
        <w:t>structure</w:t>
      </w:r>
      <w:bookmarkEnd w:id="29"/>
      <w:proofErr w:type="gramEnd"/>
    </w:p>
    <w:p w14:paraId="0AE745C1" w14:textId="7F2C0886" w:rsidR="00E97D9C" w:rsidRDefault="00FA0ADA" w:rsidP="00E97D9C">
      <w:r w:rsidRPr="00FA0ADA">
        <w:rPr>
          <w:noProof/>
        </w:rPr>
        <w:drawing>
          <wp:inline distT="0" distB="0" distL="0" distR="0" wp14:anchorId="57500965" wp14:editId="06A20D9A">
            <wp:extent cx="6120130" cy="2719070"/>
            <wp:effectExtent l="0" t="0" r="0" b="5080"/>
            <wp:docPr id="1641433249" name="Picture 1641433249" descr="The team structure of the Living Learning team. Headed by the LLP program manager, the team is divided into four groups; Engagement, Allied Health, Learning Specialist and Support staff teams. Each of these have a team leader. The engagement team has 5 key workers, the Allied Health team has two psychologists, the Learning Specialists team has an educator and three education support officers, and the support staff have a Data Analyst and program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3249" name="Picture 1" descr="The team structure of the Living Learning team. Headed by the LLP program manager, the team is divided into four groups; Engagement, Allied Health, Learning Specialist and Support staff teams. Each of these have a team leader. The engagement team has 5 key workers, the Allied Health team has two psychologists, the Learning Specialists team has an educator and three education support officers, and the support staff have a Data Analyst and program administrator."/>
                    <pic:cNvPicPr/>
                  </pic:nvPicPr>
                  <pic:blipFill>
                    <a:blip r:embed="rId41"/>
                    <a:stretch>
                      <a:fillRect/>
                    </a:stretch>
                  </pic:blipFill>
                  <pic:spPr>
                    <a:xfrm>
                      <a:off x="0" y="0"/>
                      <a:ext cx="6120130" cy="2719070"/>
                    </a:xfrm>
                    <a:prstGeom prst="rect">
                      <a:avLst/>
                    </a:prstGeom>
                  </pic:spPr>
                </pic:pic>
              </a:graphicData>
            </a:graphic>
          </wp:inline>
        </w:drawing>
      </w:r>
    </w:p>
    <w:p w14:paraId="21A3EAE5" w14:textId="77777777" w:rsidR="008D680C" w:rsidRDefault="00FA0ADA" w:rsidP="008D680C">
      <w:pPr>
        <w:pStyle w:val="ImageSource"/>
      </w:pPr>
      <w:r>
        <w:t>Source: Living Learning Program Manual v7</w:t>
      </w:r>
      <w:r w:rsidR="008D680C">
        <w:br w:type="page"/>
      </w:r>
    </w:p>
    <w:p w14:paraId="66BA0C0A" w14:textId="548589E1" w:rsidR="001536B0" w:rsidRDefault="001536B0" w:rsidP="00284D15">
      <w:pPr>
        <w:pStyle w:val="Heading1"/>
        <w:spacing w:before="6400"/>
      </w:pPr>
      <w:bookmarkStart w:id="30" w:name="_Ref150430858"/>
      <w:bookmarkStart w:id="31" w:name="_Toc150431714"/>
      <w:r>
        <w:t>Program implementation</w:t>
      </w:r>
      <w:bookmarkEnd w:id="30"/>
      <w:bookmarkEnd w:id="31"/>
    </w:p>
    <w:p w14:paraId="58BE7571" w14:textId="18FE1F30" w:rsidR="00C9048A" w:rsidRDefault="00C9048A" w:rsidP="00657F14">
      <w:pPr>
        <w:pStyle w:val="Head2"/>
      </w:pPr>
      <w:r>
        <w:t>Key message</w:t>
      </w:r>
      <w:r w:rsidR="00443864">
        <w:t>s</w:t>
      </w:r>
    </w:p>
    <w:p w14:paraId="61C56DAD" w14:textId="36D23B89" w:rsidR="00D444CB" w:rsidRDefault="00D444CB" w:rsidP="00D444CB">
      <w:pPr>
        <w:pStyle w:val="ListBullet"/>
      </w:pPr>
      <w:r>
        <w:t>The second year of program implementation has generally been delivered as intended with key features of program delivery consolidated.</w:t>
      </w:r>
    </w:p>
    <w:p w14:paraId="6E0D7BA2" w14:textId="2578DCD9" w:rsidR="00D444CB" w:rsidRDefault="00D444CB" w:rsidP="00D444CB">
      <w:pPr>
        <w:pStyle w:val="ListBullet"/>
      </w:pPr>
      <w:r>
        <w:t>Weekly adventure activities were well run and attended, without any COVID-19 disruptions.</w:t>
      </w:r>
    </w:p>
    <w:p w14:paraId="164CE460" w14:textId="4543E14B" w:rsidR="00D444CB" w:rsidRDefault="00D444CB" w:rsidP="00D444CB">
      <w:pPr>
        <w:pStyle w:val="ListBullet"/>
      </w:pPr>
      <w:r>
        <w:t>Throughout 2022, a small but growing number of young people finished their studies at HHA but continue as program participants through offsite activities that are currently being trialled. As of December 2022, there were 16 ex-HHA participants involved in employment or further education activities including work, TAFE courses and TAFE bridging courses to gain entry to university.</w:t>
      </w:r>
    </w:p>
    <w:p w14:paraId="1EE1E75B" w14:textId="0BCDB8A3" w:rsidR="00D444CB" w:rsidRDefault="00D444CB" w:rsidP="00D444CB">
      <w:pPr>
        <w:pStyle w:val="ListBullet"/>
      </w:pPr>
      <w:r>
        <w:t>The second year of program delivery was generally considered to have improved communication and collaboration among Living Learning and HHA staff to resolve any discrepancy in policy and practice.</w:t>
      </w:r>
    </w:p>
    <w:p w14:paraId="46507A56" w14:textId="77777777" w:rsidR="00A070AD" w:rsidRDefault="005300CB" w:rsidP="00A070AD">
      <w:pPr>
        <w:pStyle w:val="ListBullet"/>
      </w:pPr>
      <w:r w:rsidRPr="00443864">
        <w:rPr>
          <w:noProof/>
        </w:rPr>
        <w:drawing>
          <wp:anchor distT="0" distB="0" distL="114300" distR="114300" simplePos="0" relativeHeight="251658254" behindDoc="1" locked="0" layoutInCell="1" allowOverlap="1" wp14:anchorId="3808C29E" wp14:editId="161867A4">
            <wp:simplePos x="0" y="0"/>
            <wp:positionH relativeFrom="page">
              <wp:align>left</wp:align>
            </wp:positionH>
            <wp:positionV relativeFrom="paragraph">
              <wp:posOffset>1018344</wp:posOffset>
            </wp:positionV>
            <wp:extent cx="7559015" cy="6346479"/>
            <wp:effectExtent l="0" t="0" r="4445" b="0"/>
            <wp:wrapNone/>
            <wp:docPr id="1326048476" name="Picture 1326048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48476" name="Picture 2">
                      <a:extLst>
                        <a:ext uri="{C183D7F6-B498-43B3-948B-1728B52AA6E4}">
                          <adec:decorative xmlns:adec="http://schemas.microsoft.com/office/drawing/2017/decorative" val="1"/>
                        </a:ext>
                      </a:extLst>
                    </pic:cNvPr>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7559015" cy="6346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4CB" w:rsidRPr="00443864">
        <w:t>Key risks to ongoing program delivery include the sustainability of the staff and resourcing model in the peak year of program delivery, managing the relationship with HHA, and the feasibility of interventions for the ex-HHA cohort</w:t>
      </w:r>
      <w:r w:rsidR="00D444CB">
        <w:t>.</w:t>
      </w:r>
    </w:p>
    <w:p w14:paraId="06D63219" w14:textId="6AF4A450" w:rsidR="00C224E7" w:rsidRDefault="0059037B" w:rsidP="00C224E7">
      <w:r>
        <w:br w:type="page"/>
      </w:r>
      <w:bookmarkStart w:id="32" w:name="_Toc97809207"/>
      <w:bookmarkEnd w:id="9"/>
      <w:r w:rsidR="00C224E7" w:rsidRPr="007945E3">
        <w:t xml:space="preserve">Section </w:t>
      </w:r>
      <w:r w:rsidR="007945E3" w:rsidRPr="007945E3">
        <w:fldChar w:fldCharType="begin"/>
      </w:r>
      <w:r w:rsidR="007945E3" w:rsidRPr="007945E3">
        <w:instrText xml:space="preserve"> REF _Ref150430858 \r \h </w:instrText>
      </w:r>
      <w:r w:rsidR="007945E3">
        <w:instrText xml:space="preserve"> \* MERGEFORMAT </w:instrText>
      </w:r>
      <w:r w:rsidR="007945E3" w:rsidRPr="007945E3">
        <w:fldChar w:fldCharType="separate"/>
      </w:r>
      <w:r w:rsidR="008D0FC1">
        <w:t>3</w:t>
      </w:r>
      <w:r w:rsidR="007945E3" w:rsidRPr="007945E3">
        <w:fldChar w:fldCharType="end"/>
      </w:r>
      <w:r w:rsidR="00C224E7" w:rsidRPr="007945E3">
        <w:t xml:space="preserve"> explores</w:t>
      </w:r>
      <w:r w:rsidR="00C224E7" w:rsidRPr="00C224E7">
        <w:t xml:space="preserve"> the extent to which the Living Learning Program model has been implemented as planned throughout the second year of operation, highlighting adaptations to program delivery.</w:t>
      </w:r>
      <w:bookmarkEnd w:id="32"/>
    </w:p>
    <w:p w14:paraId="6E0DC039" w14:textId="20F783E6" w:rsidR="00C224E7" w:rsidRDefault="00FE5963" w:rsidP="00FE5963">
      <w:pPr>
        <w:pStyle w:val="Heading2"/>
      </w:pPr>
      <w:bookmarkStart w:id="33" w:name="_Toc150431715"/>
      <w:r w:rsidRPr="00FE5963">
        <w:t>Second year of program implementation</w:t>
      </w:r>
      <w:bookmarkEnd w:id="33"/>
    </w:p>
    <w:p w14:paraId="30829BEF" w14:textId="77777777" w:rsidR="00EB1BB8" w:rsidRDefault="00EB1BB8" w:rsidP="00EB1BB8">
      <w:pPr>
        <w:pStyle w:val="Head3"/>
      </w:pPr>
      <w:proofErr w:type="gramStart"/>
      <w:r>
        <w:t>Generally</w:t>
      </w:r>
      <w:proofErr w:type="gramEnd"/>
      <w:r>
        <w:t xml:space="preserve"> the program has been delivered as intended with some adjustments</w:t>
      </w:r>
    </w:p>
    <w:p w14:paraId="5D94BA38" w14:textId="59D39721" w:rsidR="00EB1BB8" w:rsidRDefault="00EB1BB8" w:rsidP="00EB1BB8">
      <w:r>
        <w:t>The second year of the Living Learning Program was generally delivered as intended on time and budget. The commencement of Cohort 2 doubled the number of young people in the program, and the increased number of participants was managed well with no major issues identified. Among Cohort 1, by the end of the second year in the program 11 young people have finished their schooling at HHA but are still in the Living Learning Program, while one young person exited the program and one young person was uncontactable.</w:t>
      </w:r>
      <w:r w:rsidR="006B0944">
        <w:rPr>
          <w:rStyle w:val="EndnoteReference"/>
        </w:rPr>
        <w:endnoteReference w:id="4"/>
      </w:r>
      <w:r>
        <w:t xml:space="preserve"> Fortunately, there were no major COVID-19 disruptions in 2022 and staff commented that it felt like the first real year of program implementation. Delivery activities undertaken in the Engagement, Allied Health and Education streams are described below.</w:t>
      </w:r>
    </w:p>
    <w:p w14:paraId="2DB8F01B" w14:textId="77777777" w:rsidR="00EB1BB8" w:rsidRDefault="00EB1BB8" w:rsidP="00EB1BB8">
      <w:pPr>
        <w:pStyle w:val="Head3"/>
      </w:pPr>
      <w:r>
        <w:t>Engagement and Allied Health stream</w:t>
      </w:r>
    </w:p>
    <w:p w14:paraId="2A5C8E63" w14:textId="2ADFF5A8" w:rsidR="00FE5963" w:rsidRPr="00FE5963" w:rsidRDefault="00EB1BB8" w:rsidP="00EB1BB8">
      <w:r>
        <w:t>In 2022, engagement activities were largely delivered as planned, supported by two additional Key Workers to accommodate Cohort 2. In the absence of COVID-19 disruptions, adventure learning activities were regularly delivered twice a week and staff have reported that these sessions are well attended by young people. Approximately 40 per cent of Living Learning students attended either OceanMind or WILD in 2022.</w:t>
      </w:r>
    </w:p>
    <w:p w14:paraId="572A60F1" w14:textId="77777777" w:rsidR="00207947" w:rsidRDefault="00207947" w:rsidP="00C224E7">
      <w:r w:rsidRPr="00207947">
        <w:t>Key adjustments made to the Engagement stream include:</w:t>
      </w:r>
    </w:p>
    <w:p w14:paraId="54018BB4" w14:textId="160B93D9" w:rsidR="00AD7B8F" w:rsidRDefault="00AD7B8F" w:rsidP="00AD7B8F">
      <w:pPr>
        <w:pStyle w:val="ListBullet"/>
      </w:pPr>
      <w:r>
        <w:t>Changes to travel support – while Living Learning continued to provide Myki and taxi vouchers to young people for appointments on an as-needs basis, the Key Workers provided significantly less driving support to and from school. While staff noted that being in a car with a young person can be a great way to build rapport, these activities are time and resource intensive, and as a result, they were rationalised throughout 2022.</w:t>
      </w:r>
    </w:p>
    <w:p w14:paraId="5A596855" w14:textId="7057D3B6" w:rsidR="00AD7B8F" w:rsidRDefault="00AD7B8F" w:rsidP="00AD7B8F">
      <w:pPr>
        <w:pStyle w:val="ListBullet"/>
      </w:pPr>
      <w:r>
        <w:t>Additional off</w:t>
      </w:r>
      <w:r w:rsidR="00521DBE">
        <w:t>ic</w:t>
      </w:r>
      <w:r>
        <w:t>e Key Workers were able to access the new HHA campus in South Melbourne as an office space where they can undertake administrative tasks and conduct phone calls. Staff at HHA and Living Learning reported that this was a positive development as it took some pressure off the other campuses where Living Learning is delivered, and where meeting and office space is limited.</w:t>
      </w:r>
    </w:p>
    <w:p w14:paraId="6802CEF0" w14:textId="77777777" w:rsidR="00AD7B8F" w:rsidRDefault="00AD7B8F" w:rsidP="00AD7B8F">
      <w:pPr>
        <w:pStyle w:val="ListBullet"/>
      </w:pPr>
      <w:r>
        <w:t>An Occupational Therapist role was also introduced in 2022 and the vacant program psychologist role was filled. The Allied Health staff work in close collaboration with the Key Workers and reported that weekly meetings and frequent check-ins are productive ways to share information in the support of Living Learning young people.</w:t>
      </w:r>
    </w:p>
    <w:p w14:paraId="45B43864" w14:textId="77777777" w:rsidR="00551592" w:rsidRDefault="00551592" w:rsidP="00551592">
      <w:r>
        <w:t xml:space="preserve">Despite these changes and the recruitment of additional Key Workers, staff reported some challenges in managing workload, especially for Key Workers with high caseloads and those involved in managing adventure activities. Staff confirmed that a considerable amount of logistics is involved in organising events, including first aid, arranging </w:t>
      </w:r>
      <w:proofErr w:type="gramStart"/>
      <w:r>
        <w:t>transport</w:t>
      </w:r>
      <w:proofErr w:type="gramEnd"/>
      <w:r>
        <w:t xml:space="preserve"> and managing young people during the offsite activities.</w:t>
      </w:r>
    </w:p>
    <w:p w14:paraId="2DE42A6C" w14:textId="77777777" w:rsidR="00551592" w:rsidRDefault="00551592" w:rsidP="00551592">
      <w:r>
        <w:t>Towards the end of 2022, Living Learning commenced recruitment for an administrative staff member to assist the Program Manager with administrative tasks and finance approvals. It is anticipated that the administrative support role will alleviate considerable pressure on existing staff and enable staff resources to be more effectively targeted. Since the commencement of the program in January 2021 there has been very little staff turnover. Only two staff members across the Engagement and Allied Health streams have left their roles, and two ESOs within the Education stream moved on to other roles. Program staff did not perceive the turnover of ESOs to pose a significant risk to the program.</w:t>
      </w:r>
    </w:p>
    <w:p w14:paraId="2EF3AB91" w14:textId="51092189" w:rsidR="00AD1947" w:rsidRDefault="00551592" w:rsidP="00551592">
      <w:r>
        <w:t>In 2023, a further two Key Workers will commence to accommodate Cohort 3, along with a second program psychologist and a second Learning Specialist.</w:t>
      </w:r>
      <w:r w:rsidR="00AD1947">
        <w:br w:type="page"/>
      </w:r>
    </w:p>
    <w:p w14:paraId="110DFAD2" w14:textId="77777777" w:rsidR="005701A3" w:rsidRDefault="005701A3" w:rsidP="005701A3">
      <w:pPr>
        <w:pStyle w:val="Head3"/>
      </w:pPr>
      <w:r>
        <w:t>Education stream</w:t>
      </w:r>
    </w:p>
    <w:p w14:paraId="605C04BB" w14:textId="6BF2EBA2" w:rsidR="005701A3" w:rsidRDefault="005701A3" w:rsidP="005701A3">
      <w:r>
        <w:t>In 2022, the Education stream was largely delivered as planned with adjustments made to staffing and resourcing. To align classroom support with best-practice principles,</w:t>
      </w:r>
      <w:r w:rsidR="00CD7AB2" w:rsidRPr="00A90042">
        <w:rPr>
          <w:rStyle w:val="EndnoteReference"/>
          <w:vertAlign w:val="superscript"/>
        </w:rPr>
        <w:endnoteReference w:id="5"/>
      </w:r>
      <w:r>
        <w:t xml:space="preserve"> Living Learning has re-defined the role of Education Support Officers (ESOs) in the classroom. Generally, across educational settings, ESOs have been used in the classroom to sit next to and support students with high needs to undertake the allocated tasks.</w:t>
      </w:r>
    </w:p>
    <w:p w14:paraId="452E6DD9" w14:textId="77777777" w:rsidR="005701A3" w:rsidRDefault="005701A3" w:rsidP="005701A3">
      <w:r>
        <w:t>However, under the revised approach, ESOs will support the broader classroom, allowing teachers to focus on individual students with higher needs. Such an approach is intended to ensure students with the highest needs receive the most specialised support from the teacher, enabling autonomy-supportive teaching. Initially introduced by the Living Learning Education Specialist, this approach has been adopted by HHA more broadly. From 2023, HHA will have an ESO in every classroom.</w:t>
      </w:r>
    </w:p>
    <w:p w14:paraId="2138F799" w14:textId="77777777" w:rsidR="005701A3" w:rsidRDefault="005701A3" w:rsidP="0012285D">
      <w:pPr>
        <w:pStyle w:val="Head3"/>
      </w:pPr>
      <w:r>
        <w:t>Implementation within HHA school setting</w:t>
      </w:r>
    </w:p>
    <w:p w14:paraId="217F734A" w14:textId="77777777" w:rsidR="005701A3" w:rsidRDefault="005701A3" w:rsidP="005701A3">
      <w:r>
        <w:t xml:space="preserve">The Living Learning Program is being delivered at three HHA campuses and from </w:t>
      </w:r>
      <w:proofErr w:type="gramStart"/>
      <w:r>
        <w:t>2023, and</w:t>
      </w:r>
      <w:proofErr w:type="gramEnd"/>
      <w:r>
        <w:t xml:space="preserve"> will also be delivered at the new HHA campus in South Melbourne. In 2022, Living Learning comprised approximately 30 per cent of the total HHA student population and over half of the students at the Sunshine campus.</w:t>
      </w:r>
    </w:p>
    <w:p w14:paraId="31769508" w14:textId="77777777" w:rsidR="005701A3" w:rsidRDefault="005701A3" w:rsidP="0012285D">
      <w:pPr>
        <w:pStyle w:val="Head3"/>
      </w:pPr>
      <w:r>
        <w:t>Improved communication and collaboration</w:t>
      </w:r>
    </w:p>
    <w:p w14:paraId="404375FB" w14:textId="77777777" w:rsidR="00AD1947" w:rsidRDefault="005701A3" w:rsidP="005701A3">
      <w:r>
        <w:t>The Formative Evaluation identified some differences in expectations between HHA and Living Learning staff regarding how the program should operate within the HHA school environment. Both Living Learning and HHA staff acknowledged there have been ‘teething issues’ associated with implementing Living Learning within the school environment – stemming from differences of perspective and in ways of working – but these were being addressed and managed with increasing ease by all parties. HHA and Living Learning staff alike agreed that operational tensions had decreased significantly over the past 12 months, attributing this to increased understanding and respect between both staff groups.</w:t>
      </w:r>
    </w:p>
    <w:p w14:paraId="7473CCFB" w14:textId="77777777" w:rsidR="002B716B" w:rsidRDefault="002B716B" w:rsidP="002B716B">
      <w:pPr>
        <w:pStyle w:val="HangingQuote"/>
      </w:pPr>
      <w:r w:rsidRPr="002B716B">
        <w:rPr>
          <w:iCs/>
        </w:rPr>
        <w:t>[Living Learning and HHA]</w:t>
      </w:r>
      <w:r>
        <w:t xml:space="preserve"> have learnt a lot about each other … we have had to grow and create understanding … now we’re more aligned, </w:t>
      </w:r>
      <w:r w:rsidRPr="002B716B">
        <w:rPr>
          <w:iCs/>
        </w:rPr>
        <w:t>[have]</w:t>
      </w:r>
      <w:r>
        <w:t xml:space="preserve"> better communication and </w:t>
      </w:r>
      <w:r w:rsidRPr="002B716B">
        <w:rPr>
          <w:iCs/>
        </w:rPr>
        <w:t>[generate]</w:t>
      </w:r>
      <w:r>
        <w:t xml:space="preserve"> better outcomes for young people. </w:t>
      </w:r>
      <w:r w:rsidRPr="00B143B8">
        <w:rPr>
          <w:iCs/>
        </w:rPr>
        <w:t>(HHA staff interview)</w:t>
      </w:r>
    </w:p>
    <w:p w14:paraId="43936799" w14:textId="1F865F13" w:rsidR="002B716B" w:rsidRDefault="004B43DA" w:rsidP="002B716B">
      <w:r w:rsidRPr="004B43DA">
        <w:t>Living Learning and HHA staff interviewed believed that, while some tensions had stemmed from Living Learning staff having non-school backgrounds, the perspectives and expertise these staff members contributed to case management within the school setting enabled better outcomes for young people. The majority of HHA staff interviewed believed the benefits of Living Learning for the HHA community made tackling these types of challenges worthwhile.</w:t>
      </w:r>
    </w:p>
    <w:p w14:paraId="575FA9E8" w14:textId="34C775C5" w:rsidR="00B143B8" w:rsidRDefault="00B143B8" w:rsidP="00B143B8">
      <w:pPr>
        <w:pStyle w:val="HangingQuote"/>
      </w:pPr>
      <w:r>
        <w:t xml:space="preserve">I see the positive of </w:t>
      </w:r>
      <w:r w:rsidRPr="00B143B8">
        <w:rPr>
          <w:iCs/>
        </w:rPr>
        <w:t>[Living Learning]</w:t>
      </w:r>
      <w:r>
        <w:t xml:space="preserve"> excursions and camps, </w:t>
      </w:r>
      <w:r w:rsidRPr="00B143B8">
        <w:rPr>
          <w:iCs/>
        </w:rPr>
        <w:t>[these]</w:t>
      </w:r>
      <w:r>
        <w:t xml:space="preserve"> students are attending well … </w:t>
      </w:r>
      <w:r w:rsidRPr="00B143B8">
        <w:rPr>
          <w:iCs/>
        </w:rPr>
        <w:t>[they have increased]</w:t>
      </w:r>
      <w:r>
        <w:t xml:space="preserve"> confidence, self-identity and informal measurements have increased because of camps and adventure activities. </w:t>
      </w:r>
      <w:r w:rsidRPr="00B143B8">
        <w:rPr>
          <w:iCs/>
        </w:rPr>
        <w:t>(HHA staff interview)</w:t>
      </w:r>
    </w:p>
    <w:p w14:paraId="24CFBA68" w14:textId="77777777" w:rsidR="00842327" w:rsidRDefault="00842327" w:rsidP="00842327">
      <w:pPr>
        <w:pStyle w:val="Head3"/>
      </w:pPr>
      <w:r>
        <w:t xml:space="preserve">Living Learning staff expertise is having a positive influence on HHA </w:t>
      </w:r>
      <w:proofErr w:type="gramStart"/>
      <w:r>
        <w:t>operations</w:t>
      </w:r>
      <w:proofErr w:type="gramEnd"/>
    </w:p>
    <w:p w14:paraId="2C6B692C" w14:textId="502EF3C2" w:rsidR="004B43DA" w:rsidRDefault="00842327" w:rsidP="00842327">
      <w:r>
        <w:t xml:space="preserve">HHA staff interviewed believe the presence of Living Learning has had a positive impact on students at the school. The expertise and commitment of Living Learning’s specialist staff was broadly perceived as a very valuable addition to the HHA community. </w:t>
      </w:r>
      <w:proofErr w:type="gramStart"/>
      <w:r>
        <w:t>In particular, staff</w:t>
      </w:r>
      <w:proofErr w:type="gramEnd"/>
      <w:r>
        <w:t xml:space="preserve"> highlighted Living Learning’s contribution to strengthening HHA’s focus on literacy and numeracy.</w:t>
      </w:r>
    </w:p>
    <w:p w14:paraId="3F3E5676" w14:textId="638289EE" w:rsidR="00A32C48" w:rsidRDefault="00A32C48" w:rsidP="00A32C48">
      <w:r>
        <w:t xml:space="preserve">HHA staff interviewed believed the Living Learning Education Specialist has played a pivotal role in transforming how education is delivered at HHA, driving a focus on data and assessment as a means of delivering targeted interventions to young people. The Living Learning Education Specialist has developed a new ESO Framework to guide how ESOs are deployed in all HHA classrooms. The flexibility Living Learning </w:t>
      </w:r>
      <w:proofErr w:type="gramStart"/>
      <w:r>
        <w:t>has to</w:t>
      </w:r>
      <w:proofErr w:type="gramEnd"/>
      <w:r>
        <w:t xml:space="preserve"> allocate resourcing and funding to areas it deems as being most effective has also had considerable benefits for the HHA school community. For example, Living Learning and HHA have co-funded an in-school legal advisor delivered by external provider, </w:t>
      </w:r>
      <w:proofErr w:type="spellStart"/>
      <w:r>
        <w:t>WEstjustice</w:t>
      </w:r>
      <w:proofErr w:type="spellEnd"/>
      <w:r>
        <w:t>, which has been beneficial to all students.</w:t>
      </w:r>
    </w:p>
    <w:p w14:paraId="12AF4490" w14:textId="038327AA" w:rsidR="00C76200" w:rsidRDefault="00C76200" w:rsidP="00C76200">
      <w:pPr>
        <w:pStyle w:val="HangingQuote"/>
      </w:pPr>
      <w:r>
        <w:t xml:space="preserve">Both Living Learning and HHA students have access to lawyers on tap. The </w:t>
      </w:r>
      <w:r w:rsidRPr="00C76200">
        <w:rPr>
          <w:iCs/>
        </w:rPr>
        <w:t>[lawyer in school]</w:t>
      </w:r>
      <w:r>
        <w:t xml:space="preserve"> program has been great. </w:t>
      </w:r>
      <w:proofErr w:type="spellStart"/>
      <w:r>
        <w:t>WEstjustice</w:t>
      </w:r>
      <w:proofErr w:type="spellEnd"/>
      <w:r>
        <w:t xml:space="preserve"> understands the cohort and embedding them in the school environment has been </w:t>
      </w:r>
      <w:proofErr w:type="gramStart"/>
      <w:r>
        <w:t>really important</w:t>
      </w:r>
      <w:proofErr w:type="gramEnd"/>
      <w:r w:rsidRPr="00C76200">
        <w:rPr>
          <w:iCs/>
        </w:rPr>
        <w:t>. (Living Learning staff interview)</w:t>
      </w:r>
    </w:p>
    <w:p w14:paraId="6D1273FB" w14:textId="4DC4CC21" w:rsidR="00A32C48" w:rsidRPr="002B716B" w:rsidRDefault="00230EBE" w:rsidP="00A32C48">
      <w:r w:rsidRPr="00230EBE">
        <w:t>Professional learning is delivered by HHA to Living Learning staff, and there has been some discussion as to whether attending the full suite of HHA professional learning sessions is an appropriate use of time for all Living Learning staff (i.e., those whose role does not pertain to education and learning). Living Learning staff commenced delivery of professional learning sessions to HHA staff in 2022. These sessions, delivered by the Allied Health team, were highly valued by the HHA staff interviewed for the evaluation and seen as having equipped HHA staff with skills and deeper understanding of their students’ needs.</w:t>
      </w:r>
    </w:p>
    <w:p w14:paraId="4B6E4C23" w14:textId="77777777" w:rsidR="002673AA" w:rsidRDefault="002673AA" w:rsidP="002673AA">
      <w:pPr>
        <w:pStyle w:val="Heading2"/>
      </w:pPr>
      <w:bookmarkStart w:id="34" w:name="_Ref150431070"/>
      <w:bookmarkStart w:id="35" w:name="_Toc150431716"/>
      <w:r>
        <w:t>Program adaptations</w:t>
      </w:r>
      <w:bookmarkEnd w:id="34"/>
      <w:bookmarkEnd w:id="35"/>
    </w:p>
    <w:p w14:paraId="4EA75013" w14:textId="77777777" w:rsidR="00F46B9D" w:rsidRDefault="00F46B9D" w:rsidP="00F46B9D">
      <w:pPr>
        <w:pStyle w:val="Head3"/>
      </w:pPr>
      <w:r>
        <w:t xml:space="preserve">New supports have been devised for the growing ex-HHA </w:t>
      </w:r>
      <w:proofErr w:type="gramStart"/>
      <w:r>
        <w:t>cohort</w:t>
      </w:r>
      <w:proofErr w:type="gramEnd"/>
    </w:p>
    <w:p w14:paraId="03B7C96A" w14:textId="77777777" w:rsidR="00F46B9D" w:rsidRDefault="00F46B9D" w:rsidP="00F46B9D">
      <w:r>
        <w:t>Throughout 2022, a growing number of Living Learning young people finished their studies at HHA but continue to be engaged through the Living Learning Program. These young people are termed ‘ex-HHA’ and are entitled to receive Living Learning support throughout the full three years of program duration. As of December 2022, there were 16 ex-HHA participants (16 per cent of the total Living Learning student population) who are involved in employment or further education activities:</w:t>
      </w:r>
    </w:p>
    <w:p w14:paraId="3CB69930" w14:textId="341A5435" w:rsidR="00F46B9D" w:rsidRDefault="00F46B9D" w:rsidP="00F46B9D">
      <w:pPr>
        <w:pStyle w:val="ListBullet"/>
      </w:pPr>
      <w:r>
        <w:t>nine young people working (some both studying and working)</w:t>
      </w:r>
    </w:p>
    <w:p w14:paraId="441F8A53" w14:textId="43B84478" w:rsidR="00F46B9D" w:rsidRDefault="00F46B9D" w:rsidP="00F46B9D">
      <w:pPr>
        <w:pStyle w:val="ListBullet"/>
      </w:pPr>
      <w:r>
        <w:t xml:space="preserve">seven young people attending a TAFE </w:t>
      </w:r>
      <w:proofErr w:type="gramStart"/>
      <w:r>
        <w:t>course</w:t>
      </w:r>
      <w:proofErr w:type="gramEnd"/>
    </w:p>
    <w:p w14:paraId="090A5B5C" w14:textId="60EB817E" w:rsidR="00F46B9D" w:rsidRDefault="00F46B9D" w:rsidP="00F46B9D">
      <w:pPr>
        <w:pStyle w:val="ListBullet"/>
      </w:pPr>
      <w:r>
        <w:t>three young people undertaking TAFE bridging course to gain entry to university.</w:t>
      </w:r>
    </w:p>
    <w:p w14:paraId="08300994" w14:textId="5D778CE6" w:rsidR="00F46B9D" w:rsidRDefault="00F46B9D" w:rsidP="00F46B9D">
      <w:r>
        <w:t>Living Learning staff acknowledged that the emergence of ex-HHA participants was not anticipated at the program design phase and required the development of new supports specifically catering to this cohort outside of the HHA school environment. For students no longer attending HHA, Engagement and Allied Health supports are still delivered in person and online.</w:t>
      </w:r>
    </w:p>
    <w:p w14:paraId="35EC3A9F" w14:textId="77777777" w:rsidR="00F46B9D" w:rsidRDefault="00F46B9D" w:rsidP="00F46B9D">
      <w:r>
        <w:t>In 2022, Living Learning employed a Learning Specialist whose role is focussed on delivering education interventions to the growing ex-HHA participant cohort. As of January 2023, a three-tiered support scaffold was being developed to support ex-HHA young people to continue developing their literacy and numeracy skills post-HHA engagement (see Table 6). These supports are designed around the profiles and needs of the young people. Living Learning is seeking to leverage HHA’s existing Alumni Group to support the delivery of education supports to the program’s ex-HHA cohort.</w:t>
      </w:r>
    </w:p>
    <w:p w14:paraId="6F8B3FD7" w14:textId="749B1AC9" w:rsidR="007F3074" w:rsidRDefault="00F46B9D" w:rsidP="00F46B9D">
      <w:r>
        <w:t>While still in the early stages of design, these approaches will be trialled in 2023 and refined as required.</w:t>
      </w:r>
      <w:r w:rsidR="007F3074">
        <w:br w:type="page"/>
      </w:r>
    </w:p>
    <w:p w14:paraId="1A54A15E" w14:textId="1538A508" w:rsidR="00B57450" w:rsidRDefault="005C4DD2" w:rsidP="005C4DD2">
      <w:pPr>
        <w:pStyle w:val="Caption"/>
      </w:pPr>
      <w:bookmarkStart w:id="36" w:name="_Toc150431956"/>
      <w:r>
        <w:t xml:space="preserve">Table </w:t>
      </w:r>
      <w:r>
        <w:fldChar w:fldCharType="begin"/>
      </w:r>
      <w:r>
        <w:instrText xml:space="preserve"> SEQ Table \* ARABIC </w:instrText>
      </w:r>
      <w:r>
        <w:fldChar w:fldCharType="separate"/>
      </w:r>
      <w:r w:rsidR="008D0FC1">
        <w:rPr>
          <w:noProof/>
        </w:rPr>
        <w:t>6</w:t>
      </w:r>
      <w:r>
        <w:fldChar w:fldCharType="end"/>
      </w:r>
      <w:r>
        <w:t xml:space="preserve"> Planned education support for ex</w:t>
      </w:r>
      <w:r w:rsidR="00B57450">
        <w:t xml:space="preserve">-HHA </w:t>
      </w:r>
      <w:proofErr w:type="gramStart"/>
      <w:r w:rsidR="00B57450">
        <w:t>cohort</w:t>
      </w:r>
      <w:bookmarkEnd w:id="36"/>
      <w:proofErr w:type="gramEnd"/>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CellMar>
          <w:left w:w="0" w:type="dxa"/>
          <w:right w:w="0" w:type="dxa"/>
        </w:tblCellMar>
        <w:tblLook w:val="0420" w:firstRow="1" w:lastRow="0" w:firstColumn="0" w:lastColumn="0" w:noHBand="0" w:noVBand="1"/>
      </w:tblPr>
      <w:tblGrid>
        <w:gridCol w:w="2830"/>
        <w:gridCol w:w="5245"/>
        <w:gridCol w:w="1553"/>
      </w:tblGrid>
      <w:tr w:rsidR="00B57450" w:rsidRPr="00780518" w14:paraId="3FA21510" w14:textId="77777777" w:rsidTr="007F3074">
        <w:trPr>
          <w:trHeight w:val="474"/>
          <w:tblHeader/>
        </w:trPr>
        <w:tc>
          <w:tcPr>
            <w:tcW w:w="2830" w:type="dxa"/>
            <w:shd w:val="clear" w:color="auto" w:fill="4B91D7"/>
          </w:tcPr>
          <w:p w14:paraId="03E2BD44" w14:textId="4BD14575" w:rsidR="00B57450" w:rsidRPr="003D5129" w:rsidRDefault="00B82AFF">
            <w:pPr>
              <w:pStyle w:val="Table-Heading"/>
              <w:rPr>
                <w:color w:val="FFFFFF" w:themeColor="background1"/>
                <w:lang w:val="en-US"/>
              </w:rPr>
            </w:pPr>
            <w:r>
              <w:rPr>
                <w:color w:val="FFFFFF" w:themeColor="background1"/>
                <w:lang w:val="en-US"/>
              </w:rPr>
              <w:t>Profile</w:t>
            </w:r>
          </w:p>
        </w:tc>
        <w:tc>
          <w:tcPr>
            <w:tcW w:w="5245" w:type="dxa"/>
            <w:shd w:val="clear" w:color="auto" w:fill="4B91D7"/>
          </w:tcPr>
          <w:p w14:paraId="2C837D5F" w14:textId="7E103F2E" w:rsidR="00B57450" w:rsidRPr="00780518" w:rsidRDefault="007F3074">
            <w:pPr>
              <w:pStyle w:val="Table-Heading"/>
              <w:rPr>
                <w:color w:val="FFFFFF" w:themeColor="background1"/>
              </w:rPr>
            </w:pPr>
            <w:r>
              <w:rPr>
                <w:color w:val="FFFFFF" w:themeColor="background1"/>
              </w:rPr>
              <w:t>Planned support</w:t>
            </w:r>
          </w:p>
        </w:tc>
        <w:tc>
          <w:tcPr>
            <w:tcW w:w="1553" w:type="dxa"/>
            <w:shd w:val="clear" w:color="auto" w:fill="4B91D7"/>
          </w:tcPr>
          <w:p w14:paraId="4B6D6AAC" w14:textId="5EE064AB" w:rsidR="00B57450" w:rsidRPr="00780518" w:rsidRDefault="007F3074">
            <w:pPr>
              <w:pStyle w:val="Table-Heading"/>
              <w:rPr>
                <w:color w:val="FFFFFF" w:themeColor="background1"/>
              </w:rPr>
            </w:pPr>
            <w:r>
              <w:rPr>
                <w:color w:val="FFFFFF" w:themeColor="background1"/>
              </w:rPr>
              <w:t>Capacity</w:t>
            </w:r>
          </w:p>
        </w:tc>
      </w:tr>
      <w:tr w:rsidR="00B57450" w:rsidRPr="00780518" w14:paraId="762CD138" w14:textId="77777777" w:rsidTr="007F3074">
        <w:trPr>
          <w:trHeight w:val="474"/>
        </w:trPr>
        <w:tc>
          <w:tcPr>
            <w:tcW w:w="2830" w:type="dxa"/>
            <w:shd w:val="clear" w:color="auto" w:fill="auto"/>
          </w:tcPr>
          <w:p w14:paraId="480ED2B7" w14:textId="31188945" w:rsidR="00B57450" w:rsidRPr="00C1490D" w:rsidRDefault="00CF0188" w:rsidP="00D908A7">
            <w:pPr>
              <w:pStyle w:val="Table-Text"/>
              <w:numPr>
                <w:ilvl w:val="0"/>
                <w:numId w:val="20"/>
              </w:numPr>
              <w:rPr>
                <w:rFonts w:cs="Arial"/>
                <w:szCs w:val="20"/>
              </w:rPr>
            </w:pPr>
            <w:r>
              <w:rPr>
                <w:rFonts w:cs="Arial"/>
                <w:szCs w:val="20"/>
              </w:rPr>
              <w:t>Young people who exit HHA prematurely with very low literacy and numeracy skills</w:t>
            </w:r>
          </w:p>
        </w:tc>
        <w:tc>
          <w:tcPr>
            <w:tcW w:w="5245" w:type="dxa"/>
            <w:shd w:val="clear" w:color="auto" w:fill="auto"/>
          </w:tcPr>
          <w:p w14:paraId="693FC4C2" w14:textId="77777777" w:rsidR="00B9260F" w:rsidRPr="00B9260F" w:rsidRDefault="00B9260F" w:rsidP="00B9260F">
            <w:pPr>
              <w:pStyle w:val="Table-Text"/>
              <w:rPr>
                <w:rFonts w:cs="Arial"/>
                <w:szCs w:val="20"/>
              </w:rPr>
            </w:pPr>
            <w:r w:rsidRPr="00B9260F">
              <w:rPr>
                <w:rFonts w:cs="Arial"/>
                <w:szCs w:val="20"/>
              </w:rPr>
              <w:t>Young people leaving HHA with literacy and/or numeracy capabilities at Grade 1 – 2 level.</w:t>
            </w:r>
          </w:p>
          <w:p w14:paraId="7BB69064" w14:textId="4E6C2449" w:rsidR="00B57450" w:rsidRPr="00780518" w:rsidRDefault="00B9260F" w:rsidP="00B9260F">
            <w:pPr>
              <w:pStyle w:val="Table-Text"/>
              <w:rPr>
                <w:rFonts w:cs="Arial"/>
                <w:szCs w:val="20"/>
              </w:rPr>
            </w:pPr>
            <w:r w:rsidRPr="00B9260F">
              <w:rPr>
                <w:rFonts w:cs="Arial"/>
                <w:szCs w:val="20"/>
              </w:rPr>
              <w:t>Ex-HHA focussed Educator will spend the first half of 2023 identifying the most appropriate programs for this cohort and establishing a network of support services providing tutorials and mentoring programs.</w:t>
            </w:r>
          </w:p>
        </w:tc>
        <w:tc>
          <w:tcPr>
            <w:tcW w:w="1553" w:type="dxa"/>
          </w:tcPr>
          <w:p w14:paraId="25CE4B55" w14:textId="3B8F27AE" w:rsidR="00B57450" w:rsidRPr="00780518" w:rsidRDefault="00220236">
            <w:pPr>
              <w:pStyle w:val="Table-Text"/>
              <w:rPr>
                <w:rFonts w:cs="Arial"/>
                <w:szCs w:val="20"/>
              </w:rPr>
            </w:pPr>
            <w:r w:rsidRPr="00220236">
              <w:rPr>
                <w:rFonts w:cs="Arial"/>
                <w:szCs w:val="20"/>
              </w:rPr>
              <w:t>~8 students</w:t>
            </w:r>
          </w:p>
        </w:tc>
      </w:tr>
      <w:tr w:rsidR="00B57450" w:rsidRPr="00780518" w14:paraId="46C62BB5" w14:textId="77777777" w:rsidTr="007F3074">
        <w:trPr>
          <w:trHeight w:val="474"/>
        </w:trPr>
        <w:tc>
          <w:tcPr>
            <w:tcW w:w="2830" w:type="dxa"/>
            <w:shd w:val="clear" w:color="auto" w:fill="auto"/>
          </w:tcPr>
          <w:p w14:paraId="30634D47" w14:textId="04E0A923" w:rsidR="00B57450" w:rsidRPr="00C1490D" w:rsidRDefault="00CF0188" w:rsidP="00D908A7">
            <w:pPr>
              <w:pStyle w:val="Table-Text"/>
              <w:numPr>
                <w:ilvl w:val="0"/>
                <w:numId w:val="20"/>
              </w:numPr>
              <w:rPr>
                <w:rFonts w:cs="Arial"/>
                <w:szCs w:val="20"/>
              </w:rPr>
            </w:pPr>
            <w:r>
              <w:rPr>
                <w:rFonts w:cs="Arial"/>
                <w:szCs w:val="20"/>
              </w:rPr>
              <w:t xml:space="preserve">Young people exiting HHA </w:t>
            </w:r>
            <w:r w:rsidR="00F4471E">
              <w:rPr>
                <w:rFonts w:cs="Arial"/>
                <w:szCs w:val="20"/>
              </w:rPr>
              <w:t>and enrolling in TAFE or further education</w:t>
            </w:r>
          </w:p>
        </w:tc>
        <w:tc>
          <w:tcPr>
            <w:tcW w:w="5245" w:type="dxa"/>
            <w:shd w:val="clear" w:color="auto" w:fill="auto"/>
          </w:tcPr>
          <w:p w14:paraId="6C98610D" w14:textId="022D406C" w:rsidR="00B57450" w:rsidRPr="00780518" w:rsidRDefault="00777528">
            <w:pPr>
              <w:pStyle w:val="Table-Text"/>
              <w:rPr>
                <w:rFonts w:cs="Arial"/>
                <w:szCs w:val="20"/>
              </w:rPr>
            </w:pPr>
            <w:r w:rsidRPr="00777528">
              <w:rPr>
                <w:rFonts w:cs="Arial"/>
                <w:szCs w:val="20"/>
              </w:rPr>
              <w:t>Young people enrolling in TAFE or further education who may require sporadic or informal support (e.g., to complete assignments or build time management skills). Will be supported by HHA Alumni Group.</w:t>
            </w:r>
          </w:p>
        </w:tc>
        <w:tc>
          <w:tcPr>
            <w:tcW w:w="1553" w:type="dxa"/>
          </w:tcPr>
          <w:p w14:paraId="2CD01BC5" w14:textId="343D75F0" w:rsidR="00B57450" w:rsidRPr="00780518" w:rsidRDefault="0023422D">
            <w:pPr>
              <w:pStyle w:val="Table-Text"/>
              <w:rPr>
                <w:rFonts w:cs="Arial"/>
                <w:szCs w:val="20"/>
              </w:rPr>
            </w:pPr>
            <w:r w:rsidRPr="0023422D">
              <w:rPr>
                <w:rFonts w:cs="Arial"/>
                <w:szCs w:val="20"/>
              </w:rPr>
              <w:t>Undefined</w:t>
            </w:r>
          </w:p>
        </w:tc>
      </w:tr>
      <w:tr w:rsidR="00B57450" w:rsidRPr="00780518" w14:paraId="772DC051" w14:textId="77777777" w:rsidTr="007F3074">
        <w:trPr>
          <w:trHeight w:val="474"/>
        </w:trPr>
        <w:tc>
          <w:tcPr>
            <w:tcW w:w="2830" w:type="dxa"/>
            <w:shd w:val="clear" w:color="auto" w:fill="auto"/>
          </w:tcPr>
          <w:p w14:paraId="3B87A21C" w14:textId="697CB8F3" w:rsidR="00B57450" w:rsidRPr="00C1490D" w:rsidRDefault="00F4471E" w:rsidP="00D908A7">
            <w:pPr>
              <w:pStyle w:val="Table-Text"/>
              <w:numPr>
                <w:ilvl w:val="0"/>
                <w:numId w:val="20"/>
              </w:numPr>
              <w:rPr>
                <w:rFonts w:cs="Arial"/>
                <w:szCs w:val="20"/>
              </w:rPr>
            </w:pPr>
            <w:r>
              <w:rPr>
                <w:rFonts w:cs="Arial"/>
                <w:szCs w:val="20"/>
              </w:rPr>
              <w:t>Young people who are disengaged from HHA and who intend on exiting school</w:t>
            </w:r>
          </w:p>
        </w:tc>
        <w:tc>
          <w:tcPr>
            <w:tcW w:w="5245" w:type="dxa"/>
            <w:shd w:val="clear" w:color="auto" w:fill="auto"/>
          </w:tcPr>
          <w:p w14:paraId="5D62E077" w14:textId="45B266FB" w:rsidR="00B57450" w:rsidRPr="00780518" w:rsidRDefault="00E70FCA">
            <w:pPr>
              <w:pStyle w:val="Table-Text"/>
              <w:rPr>
                <w:rFonts w:cs="Arial"/>
                <w:szCs w:val="20"/>
              </w:rPr>
            </w:pPr>
            <w:r w:rsidRPr="00E70FCA">
              <w:rPr>
                <w:rFonts w:cs="Arial"/>
                <w:szCs w:val="20"/>
              </w:rPr>
              <w:t>Young people may receive intensive outreach support from the ex- HHA focussed Educator, followed by in-reach support on campus. Intention to prevent young people exiting HHA by identifying barriers to school participation and slowly introducing young people to school environment.</w:t>
            </w:r>
          </w:p>
        </w:tc>
        <w:tc>
          <w:tcPr>
            <w:tcW w:w="1553" w:type="dxa"/>
          </w:tcPr>
          <w:p w14:paraId="354A1C55" w14:textId="726536E3" w:rsidR="00B57450" w:rsidRPr="00780518" w:rsidRDefault="007F3074">
            <w:pPr>
              <w:pStyle w:val="Table-Text"/>
              <w:rPr>
                <w:rFonts w:cs="Arial"/>
                <w:szCs w:val="20"/>
              </w:rPr>
            </w:pPr>
            <w:r w:rsidRPr="007F3074">
              <w:rPr>
                <w:rFonts w:cs="Arial"/>
                <w:szCs w:val="20"/>
              </w:rPr>
              <w:t>~2 students</w:t>
            </w:r>
          </w:p>
        </w:tc>
      </w:tr>
    </w:tbl>
    <w:p w14:paraId="692243FD" w14:textId="70FD59DF" w:rsidR="00B57450" w:rsidRDefault="007F3074" w:rsidP="004443DE">
      <w:pPr>
        <w:pStyle w:val="ImageSource"/>
      </w:pPr>
      <w:r>
        <w:t>Source: Living Learning 2023</w:t>
      </w:r>
    </w:p>
    <w:p w14:paraId="57C77E9C" w14:textId="77777777" w:rsidR="0051467F" w:rsidRDefault="0051467F" w:rsidP="0051467F">
      <w:pPr>
        <w:pStyle w:val="Head3"/>
      </w:pPr>
      <w:r>
        <w:t xml:space="preserve">Changes to case management roles were </w:t>
      </w:r>
      <w:proofErr w:type="gramStart"/>
      <w:r>
        <w:t>trialled</w:t>
      </w:r>
      <w:proofErr w:type="gramEnd"/>
    </w:p>
    <w:p w14:paraId="1B511711" w14:textId="77777777" w:rsidR="0051467F" w:rsidRDefault="0051467F" w:rsidP="0051467F">
      <w:r>
        <w:t>Towards the end of 2022, it was recognised by program staff that managing caseloads of 22 young people was very challenging and not sustainable for Key Workers. Engagement staff reported that the client contact level system (presented in Table 1) did not reflect the realities of support required by young people, or the time staff invest with them. Most Key Workers considered many of their clients to be ‘medium-high’ to ‘high’ in terms of needs, meaning they required higher levels of support which varied day to day.</w:t>
      </w:r>
    </w:p>
    <w:p w14:paraId="10EEAC56" w14:textId="77777777" w:rsidR="0051467F" w:rsidRDefault="0051467F" w:rsidP="0051467F">
      <w:proofErr w:type="gramStart"/>
      <w:r>
        <w:t>In an effort to</w:t>
      </w:r>
      <w:proofErr w:type="gramEnd"/>
      <w:r>
        <w:t xml:space="preserve"> relieve pressure on the Engagement team and ensure support provided to young people was not compromised, some specialist staff members (including Allied Health and Education staff) were allocated up to five young people as the case management ‘lead’. Under this model, all Living Learning young people had an allocated Living Learning staff member as their ‘lead’ case manager. Living Learning staff were allocated to young people based on their area of expertise and the expected needs of young people.</w:t>
      </w:r>
    </w:p>
    <w:p w14:paraId="2F562BD2" w14:textId="77777777" w:rsidR="0051467F" w:rsidRDefault="0051467F" w:rsidP="0051467F">
      <w:r>
        <w:t xml:space="preserve">While this was intended to create a more sustainable resourcing model, there were challenges in clarifying roles and responsibilities among staff, particularly at the start of the school year with the commencement of Cohort 3. In early March 2023, this approach was </w:t>
      </w:r>
      <w:proofErr w:type="gramStart"/>
      <w:r>
        <w:t>discontinued</w:t>
      </w:r>
      <w:proofErr w:type="gramEnd"/>
      <w:r>
        <w:t xml:space="preserve"> and case management responsibility returned to Key Workers who manage 22 young people each. As a result of this trial, Living Learning are currently reviewing and streamlining internal processes for managing referrals that will help to streamline management of the program.</w:t>
      </w:r>
    </w:p>
    <w:p w14:paraId="4BA0B782" w14:textId="094D2070" w:rsidR="004443DE" w:rsidRDefault="0051467F" w:rsidP="0051467F">
      <w:r>
        <w:t>Staff have reflected that new processes are now required to manage the increased number of young people and staff in the program, given existing processes for case management were not sustainable. Staff commented that in the first year of implementation, when the number of staff and students was much smaller, they were able to function effectively with informal processes, but with the rapid growth of the program over the last two years these protocols are no longer efficient. Living Learning staff reflected that to better manage program growth phases (associated with the commencement of new student cohorts and staff), the Living Learning team needs to invest more time and effort in preparing change management processes to streamline internal workflow and expedite onboarding new staff.</w:t>
      </w:r>
    </w:p>
    <w:p w14:paraId="5DF49A87" w14:textId="77777777" w:rsidR="00A66F16" w:rsidRDefault="00A66F16" w:rsidP="00A66F16">
      <w:pPr>
        <w:pStyle w:val="Head3"/>
      </w:pPr>
      <w:r>
        <w:t xml:space="preserve">Data collection processes deepen understanding of participant needs and allow staff to deliver targeted </w:t>
      </w:r>
      <w:proofErr w:type="gramStart"/>
      <w:r>
        <w:t>interventions</w:t>
      </w:r>
      <w:proofErr w:type="gramEnd"/>
    </w:p>
    <w:p w14:paraId="0BD913FF" w14:textId="77777777" w:rsidR="00A66F16" w:rsidRDefault="00A66F16" w:rsidP="00A66F16">
      <w:r>
        <w:t>Participant monitoring and data collection is critical in ensuring the targeted effectiveness of the Living Learning Program. A range of data points are collected by HHA and Living Learning Program staff and used to assess wellbeing, track a young person’s progress, and identify opportunities for improvement in different areas. These include:</w:t>
      </w:r>
    </w:p>
    <w:p w14:paraId="21E0E725" w14:textId="0E4A1DF7" w:rsidR="00A66F16" w:rsidRDefault="00A66F16" w:rsidP="00A66F16">
      <w:pPr>
        <w:pStyle w:val="ListBullet"/>
      </w:pPr>
      <w:r>
        <w:t>class attendance</w:t>
      </w:r>
    </w:p>
    <w:p w14:paraId="4C10312F" w14:textId="1E1F7FFA" w:rsidR="00A66F16" w:rsidRDefault="00A66F16" w:rsidP="00A66F16">
      <w:pPr>
        <w:pStyle w:val="ListBullet"/>
      </w:pPr>
      <w:r>
        <w:t>psychological wellbeing measures</w:t>
      </w:r>
      <w:r w:rsidR="008676D0">
        <w:t xml:space="preserve"> </w:t>
      </w:r>
      <w:r w:rsidR="008676D0" w:rsidRPr="007352EF">
        <w:rPr>
          <w:rStyle w:val="EndnoteReference"/>
          <w:vertAlign w:val="superscript"/>
        </w:rPr>
        <w:endnoteReference w:id="6"/>
      </w:r>
      <w:r w:rsidRPr="007352EF">
        <w:rPr>
          <w:vertAlign w:val="superscript"/>
        </w:rPr>
        <w:t xml:space="preserve"> </w:t>
      </w:r>
      <w:r>
        <w:t>including daily RIPPLE check-in and Strengths and Difficulties Questionnaire (SDQ)</w:t>
      </w:r>
    </w:p>
    <w:p w14:paraId="243BC180" w14:textId="7071C40E" w:rsidR="00A66F16" w:rsidRDefault="00A66F16" w:rsidP="00A66F16">
      <w:pPr>
        <w:pStyle w:val="ListBullet"/>
      </w:pPr>
      <w:r>
        <w:t>educational attainment and goals through the Basic Key Sills Builder (BKSB) assessment and the IEP</w:t>
      </w:r>
    </w:p>
    <w:p w14:paraId="237B14C8" w14:textId="61BFA40C" w:rsidR="00A66F16" w:rsidRDefault="00A66F16" w:rsidP="00A66F16">
      <w:pPr>
        <w:pStyle w:val="ListBullet"/>
      </w:pPr>
      <w:r>
        <w:t>experience of school (HHA Student Satisfaction Survey and the Living Learning Student Outcomes Survey).</w:t>
      </w:r>
    </w:p>
    <w:p w14:paraId="7471378A" w14:textId="284F2A61" w:rsidR="00870662" w:rsidRDefault="00A66F16" w:rsidP="00A66F16">
      <w:r>
        <w:t>Supported by the program’s dedicated data analyst, staff utilise these datasets in conjunction with enrolment and demographic data, case notes and staff observations to provide tailored support to young people. Living Learning engagement staff have been using this data to identify students in greatest need and to deliver targeted interventions to them. Living Learning Education staff explained that the program has ambitions to be evidence-driven and increasingly use real-time data to inform their approaches. BKSB assessments are increasingly being used to inform interventions and act as an evidence base for transitioning toward a more explicit ‘skill-based’ curriculum across the school.</w:t>
      </w:r>
      <w:r w:rsidR="00870662">
        <w:br w:type="page"/>
      </w:r>
    </w:p>
    <w:p w14:paraId="40820450" w14:textId="0F8DA937" w:rsidR="00A66F16" w:rsidRDefault="00A66F16" w:rsidP="004670EB">
      <w:pPr>
        <w:pStyle w:val="Heading1"/>
        <w:spacing w:before="7600"/>
      </w:pPr>
      <w:bookmarkStart w:id="37" w:name="_Ref150430895"/>
      <w:bookmarkStart w:id="38" w:name="_Toc150431717"/>
      <w:r>
        <w:t>Participant</w:t>
      </w:r>
      <w:r w:rsidR="00264D8C">
        <w:t xml:space="preserve"> profile, </w:t>
      </w:r>
      <w:proofErr w:type="gramStart"/>
      <w:r w:rsidR="00264D8C">
        <w:t>experience</w:t>
      </w:r>
      <w:proofErr w:type="gramEnd"/>
      <w:r w:rsidR="00264D8C">
        <w:t xml:space="preserve"> and attendance</w:t>
      </w:r>
      <w:bookmarkEnd w:id="37"/>
      <w:bookmarkEnd w:id="38"/>
    </w:p>
    <w:p w14:paraId="6A2C3D7E" w14:textId="0B3F3B12" w:rsidR="00264D8C" w:rsidRDefault="00264D8C" w:rsidP="00264D8C">
      <w:pPr>
        <w:pStyle w:val="Head2"/>
      </w:pPr>
      <w:r>
        <w:t>Key messages</w:t>
      </w:r>
    </w:p>
    <w:p w14:paraId="468EED0C" w14:textId="68064C4E" w:rsidR="000D3D90" w:rsidRDefault="000D3D90" w:rsidP="000D3D90">
      <w:pPr>
        <w:pStyle w:val="ListBullet"/>
      </w:pPr>
      <w:r>
        <w:t>The demographic profiles of Cohort 1 and 2 participants show some key differences in complexity of mental health diagnoses, age, gender and living situation.</w:t>
      </w:r>
    </w:p>
    <w:p w14:paraId="578CD81B" w14:textId="76A15968" w:rsidR="000D3D90" w:rsidRDefault="000D3D90" w:rsidP="000D3D90">
      <w:pPr>
        <w:pStyle w:val="ListBullet"/>
      </w:pPr>
      <w:r>
        <w:t>Referral pathways into the program were diverse for both Cohort 1 and 2. A greater portion of Cohort 1 participants were referred to the program by government services (e.g., Navigator program or DFFH), while a greater portion of Cohort 2 participants were referred into the program by a family member or guardian.</w:t>
      </w:r>
    </w:p>
    <w:p w14:paraId="5725CF01" w14:textId="4F013C0C" w:rsidR="000D3D90" w:rsidRDefault="000D3D90" w:rsidP="000D3D90">
      <w:pPr>
        <w:pStyle w:val="ListBullet"/>
      </w:pPr>
      <w:r>
        <w:t>Key factors that motivated young people to join Living Learning have been the features of the program itself, including the mental health support, adventure learning activities and the flexibility of the education program. Some young people were attracted to the social elements of the program, while others were motivated by environmental factors, in particular gaining access to a safe and inclusive environment.</w:t>
      </w:r>
    </w:p>
    <w:p w14:paraId="60834509" w14:textId="7396767A" w:rsidR="000D3D90" w:rsidRDefault="000D3D90" w:rsidP="000D3D90">
      <w:pPr>
        <w:pStyle w:val="ListBullet"/>
      </w:pPr>
      <w:r>
        <w:t>Attendance rates show mixed results with Cohort 1 participants dropping (on average) by 14 per cent in their second year of the program. For some students, attendance reduced by approximately 20 per cent and is attributed to individual circumstances including housing instability and gender transition, while other students increasingly participated in employment and training programs. Average attendance among Cohort 2 is slightly higher than the broader HHA student population in their first year of the program.</w:t>
      </w:r>
    </w:p>
    <w:p w14:paraId="042FF44D" w14:textId="6E4C192F" w:rsidR="00C224E7" w:rsidRDefault="005300CB">
      <w:pPr>
        <w:pStyle w:val="ListBullet"/>
      </w:pPr>
      <w:r>
        <w:rPr>
          <w:noProof/>
        </w:rPr>
        <w:drawing>
          <wp:anchor distT="0" distB="0" distL="114300" distR="114300" simplePos="0" relativeHeight="251658240" behindDoc="1" locked="0" layoutInCell="1" allowOverlap="1" wp14:anchorId="286CB297" wp14:editId="33BF7167">
            <wp:simplePos x="0" y="0"/>
            <wp:positionH relativeFrom="page">
              <wp:align>left</wp:align>
            </wp:positionH>
            <wp:positionV relativeFrom="paragraph">
              <wp:posOffset>1008380</wp:posOffset>
            </wp:positionV>
            <wp:extent cx="7567440" cy="5044698"/>
            <wp:effectExtent l="0" t="0" r="0" b="3810"/>
            <wp:wrapNone/>
            <wp:docPr id="393782438" name="Picture 393782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82438" name="Picture 3">
                      <a:extLst>
                        <a:ext uri="{C183D7F6-B498-43B3-948B-1728B52AA6E4}">
                          <adec:decorative xmlns:adec="http://schemas.microsoft.com/office/drawing/2017/decorative" val="1"/>
                        </a:ext>
                      </a:extLst>
                    </pic:cNvPr>
                    <pic:cNvPicPr/>
                  </pic:nvPicPr>
                  <pic:blipFill>
                    <a:blip r:embed="rId43" cstate="screen">
                      <a:extLst>
                        <a:ext uri="{28A0092B-C50C-407E-A947-70E740481C1C}">
                          <a14:useLocalDpi xmlns:a14="http://schemas.microsoft.com/office/drawing/2010/main"/>
                        </a:ext>
                      </a:extLst>
                    </a:blip>
                    <a:stretch>
                      <a:fillRect/>
                    </a:stretch>
                  </pic:blipFill>
                  <pic:spPr>
                    <a:xfrm>
                      <a:off x="0" y="0"/>
                      <a:ext cx="7567440" cy="5044698"/>
                    </a:xfrm>
                    <a:prstGeom prst="rect">
                      <a:avLst/>
                    </a:prstGeom>
                  </pic:spPr>
                </pic:pic>
              </a:graphicData>
            </a:graphic>
            <wp14:sizeRelH relativeFrom="margin">
              <wp14:pctWidth>0</wp14:pctWidth>
            </wp14:sizeRelH>
            <wp14:sizeRelV relativeFrom="margin">
              <wp14:pctHeight>0</wp14:pctHeight>
            </wp14:sizeRelV>
          </wp:anchor>
        </w:drawing>
      </w:r>
      <w:r w:rsidR="000D3D90">
        <w:t>Young people are highly satisfied with their experiences in the program to date. Friendly and non-judgemental staff and the flexibility of the program to provide supports tailored to their individual needs were most valued by young people.</w:t>
      </w:r>
      <w:r w:rsidR="00C224E7">
        <w:br w:type="page"/>
      </w:r>
    </w:p>
    <w:p w14:paraId="17620FF9" w14:textId="3EF98CA0" w:rsidR="00B42927" w:rsidRDefault="00B42927" w:rsidP="00C224E7">
      <w:r w:rsidRPr="00730EEE">
        <w:t xml:space="preserve">Section </w:t>
      </w:r>
      <w:r w:rsidR="00730EEE" w:rsidRPr="00730EEE">
        <w:fldChar w:fldCharType="begin"/>
      </w:r>
      <w:r w:rsidR="00730EEE" w:rsidRPr="00730EEE">
        <w:instrText xml:space="preserve"> REF _Ref150430895 \r \h </w:instrText>
      </w:r>
      <w:r w:rsidR="00730EEE">
        <w:instrText xml:space="preserve"> \* MERGEFORMAT </w:instrText>
      </w:r>
      <w:r w:rsidR="00730EEE" w:rsidRPr="00730EEE">
        <w:fldChar w:fldCharType="separate"/>
      </w:r>
      <w:r w:rsidR="008D0FC1">
        <w:t>4</w:t>
      </w:r>
      <w:r w:rsidR="00730EEE" w:rsidRPr="00730EEE">
        <w:fldChar w:fldCharType="end"/>
      </w:r>
      <w:r w:rsidRPr="00730EEE">
        <w:t xml:space="preserve"> provides</w:t>
      </w:r>
      <w:r w:rsidRPr="00B42927">
        <w:t xml:space="preserve"> an overview of Cohort 1 and 2 participants and referral pathways. It also presents trends in school attendance over both cohorts and participant satisfaction with the program.</w:t>
      </w:r>
    </w:p>
    <w:p w14:paraId="695DD31F" w14:textId="01E1305B" w:rsidR="00B42927" w:rsidRDefault="00B34572" w:rsidP="00B34572">
      <w:pPr>
        <w:pStyle w:val="Heading2"/>
      </w:pPr>
      <w:bookmarkStart w:id="39" w:name="_Toc150431718"/>
      <w:r w:rsidRPr="00B34572">
        <w:t>Participant profile of cohort 1 and 2</w:t>
      </w:r>
      <w:bookmarkEnd w:id="39"/>
    </w:p>
    <w:p w14:paraId="16EB93EB" w14:textId="77777777" w:rsidR="008378AC" w:rsidRDefault="008378AC" w:rsidP="008378AC">
      <w:r>
        <w:t>There are several notable differences in the demographic profile of the young people enrolled in the second year of Living Learning. Compared to Cohort 1, young people in Cohort 2 tended to:</w:t>
      </w:r>
    </w:p>
    <w:p w14:paraId="669667B9" w14:textId="3FFC3AB2" w:rsidR="008378AC" w:rsidRDefault="008378AC" w:rsidP="008378AC">
      <w:pPr>
        <w:pStyle w:val="ListBullet"/>
      </w:pPr>
      <w:r>
        <w:t>be slightly younger, with an average age of 16 years (compared to 17 years in Cohort 1)</w:t>
      </w:r>
    </w:p>
    <w:p w14:paraId="33161DBE" w14:textId="39A1DC53" w:rsidR="008378AC" w:rsidRDefault="008378AC" w:rsidP="008378AC">
      <w:pPr>
        <w:pStyle w:val="ListBullet"/>
      </w:pPr>
      <w:r>
        <w:t>have fewer mental health complexities or multiple diagnoses compared to Cohort 1</w:t>
      </w:r>
    </w:p>
    <w:p w14:paraId="727FCD53" w14:textId="339E5F85" w:rsidR="008378AC" w:rsidRDefault="008378AC" w:rsidP="008378AC">
      <w:pPr>
        <w:pStyle w:val="ListBullet"/>
      </w:pPr>
      <w:r>
        <w:t xml:space="preserve">more often be living at home with family – there are significantly fewer participants living independently in Cohort 2 (4 per cent) compared to Cohort 1 (19 per cent), which may correlate with their </w:t>
      </w:r>
      <w:proofErr w:type="gramStart"/>
      <w:r>
        <w:t>age</w:t>
      </w:r>
      <w:proofErr w:type="gramEnd"/>
    </w:p>
    <w:p w14:paraId="2BF4D80C" w14:textId="029BE0E5" w:rsidR="008378AC" w:rsidRDefault="008378AC" w:rsidP="008378AC">
      <w:pPr>
        <w:pStyle w:val="ListBullet"/>
      </w:pPr>
      <w:r>
        <w:t>more culturally diverse – twice as many students born overseas (n=8) compared to Cohort 1 (n=4) and twice as many students who identify as Aboriginal or Torres Strait Islander (n=7) compared to Cohort 1</w:t>
      </w:r>
    </w:p>
    <w:p w14:paraId="6B11179A" w14:textId="18F96622" w:rsidR="008378AC" w:rsidRDefault="008378AC" w:rsidP="008378AC">
      <w:pPr>
        <w:pStyle w:val="ListBullet"/>
      </w:pPr>
      <w:r>
        <w:t>have more female or trans/non-binary identifying students (75%) compared to Cohort 1 (65%).</w:t>
      </w:r>
    </w:p>
    <w:p w14:paraId="26CD94A2" w14:textId="09C36795" w:rsidR="00B34572" w:rsidRDefault="008378AC" w:rsidP="008378AC">
      <w:r>
        <w:t>This shift in participant profile may have been influenced by changes to dominant referral pathways into both HHA and Living Learning. A promotional campaign of HHA in 2021 is likely to have contributed to the increased referrals from parents rather than from services for Cohort 2. It is also likely that disengagement was exacerbated by COVID-19 lockdowns – which increased numbers of school-refusers across Australia – motivating more young people and their families to explore alternative school settings.</w:t>
      </w:r>
    </w:p>
    <w:p w14:paraId="5A4271B4" w14:textId="3C826B84" w:rsidR="00F731ED" w:rsidRDefault="00F731ED" w:rsidP="00F731ED">
      <w:pPr>
        <w:pStyle w:val="Caption"/>
      </w:pPr>
      <w:bookmarkStart w:id="40" w:name="_Toc150431980"/>
      <w:r>
        <w:t xml:space="preserve">Figure </w:t>
      </w:r>
      <w:r>
        <w:fldChar w:fldCharType="begin"/>
      </w:r>
      <w:r>
        <w:instrText xml:space="preserve"> SEQ Figure \* ARABIC </w:instrText>
      </w:r>
      <w:r>
        <w:fldChar w:fldCharType="separate"/>
      </w:r>
      <w:r w:rsidR="008D0FC1">
        <w:rPr>
          <w:noProof/>
        </w:rPr>
        <w:t>5</w:t>
      </w:r>
      <w:r>
        <w:fldChar w:fldCharType="end"/>
      </w:r>
      <w:r>
        <w:t xml:space="preserve"> Participant profile of cohorts 1 and 2</w:t>
      </w:r>
      <w:bookmarkEnd w:id="40"/>
    </w:p>
    <w:p w14:paraId="7F5F28AB" w14:textId="3AF2805C" w:rsidR="00F731ED" w:rsidRDefault="00B826D8" w:rsidP="00F731ED">
      <w:r w:rsidRPr="00B826D8">
        <w:rPr>
          <w:noProof/>
        </w:rPr>
        <w:drawing>
          <wp:inline distT="0" distB="0" distL="0" distR="0" wp14:anchorId="043323CA" wp14:editId="0672B73F">
            <wp:extent cx="6120130" cy="3989705"/>
            <wp:effectExtent l="0" t="0" r="0" b="0"/>
            <wp:docPr id="1705987520" name="Picture 1705987520" descr="Under gender, cohort 1 had 24 female, 19 male and 5 other identifying participants. cohort had 26 female, 14 male and 8 other identifying participants.&#10;For mental health diagnosis, both cohorts had a majority diagnosis in anxiety and in depression. For age, the majority of participants were within the ages of 15 and 18. For living situation, 17% of cohort 1 and 6% of cohort 2 participants were living in out of home care or crisis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87520" name="Picture 1" descr="Under gender, cohort 1 had 24 female, 19 male and 5 other identifying participants. cohort had 26 female, 14 male and 8 other identifying participants.&#10;For mental health diagnosis, both cohorts had a majority diagnosis in anxiety and in depression. For age, the majority of participants were within the ages of 15 and 18. For living situation, 17% of cohort 1 and 6% of cohort 2 participants were living in out of home care or crisis accommodation."/>
                    <pic:cNvPicPr/>
                  </pic:nvPicPr>
                  <pic:blipFill>
                    <a:blip r:embed="rId44"/>
                    <a:stretch>
                      <a:fillRect/>
                    </a:stretch>
                  </pic:blipFill>
                  <pic:spPr>
                    <a:xfrm>
                      <a:off x="0" y="0"/>
                      <a:ext cx="6120130" cy="3989705"/>
                    </a:xfrm>
                    <a:prstGeom prst="rect">
                      <a:avLst/>
                    </a:prstGeom>
                  </pic:spPr>
                </pic:pic>
              </a:graphicData>
            </a:graphic>
          </wp:inline>
        </w:drawing>
      </w:r>
    </w:p>
    <w:p w14:paraId="5B78D088" w14:textId="53889F82" w:rsidR="00EA03BA" w:rsidRDefault="0077526A" w:rsidP="00EA03BA">
      <w:pPr>
        <w:pStyle w:val="ImageSource"/>
      </w:pPr>
      <w:r>
        <w:t xml:space="preserve">Source: </w:t>
      </w:r>
      <w:r w:rsidR="00EA03BA">
        <w:t>MCM Living Learning Report to Joint Working Group (2021)</w:t>
      </w:r>
      <w:r w:rsidR="00EA03BA">
        <w:br w:type="page"/>
      </w:r>
    </w:p>
    <w:p w14:paraId="3B5C30A5" w14:textId="3B7E8A11" w:rsidR="0077526A" w:rsidRDefault="00F55A7A" w:rsidP="00F55A7A">
      <w:pPr>
        <w:pStyle w:val="Heading2"/>
      </w:pPr>
      <w:bookmarkStart w:id="41" w:name="_Toc150431719"/>
      <w:r>
        <w:t>Referral and enrolment</w:t>
      </w:r>
      <w:bookmarkEnd w:id="41"/>
    </w:p>
    <w:p w14:paraId="5334AA5D" w14:textId="77777777" w:rsidR="00B756E3" w:rsidRDefault="00B756E3" w:rsidP="00B756E3">
      <w:pPr>
        <w:pStyle w:val="Head3"/>
      </w:pPr>
      <w:r>
        <w:t xml:space="preserve">Program referrals came from varied </w:t>
      </w:r>
      <w:proofErr w:type="gramStart"/>
      <w:r>
        <w:t>pathways</w:t>
      </w:r>
      <w:proofErr w:type="gramEnd"/>
    </w:p>
    <w:p w14:paraId="7D7C7DA9" w14:textId="4EDDC228" w:rsidR="00B756E3" w:rsidRDefault="00B756E3" w:rsidP="00B756E3">
      <w:r>
        <w:t>The enrolment of Cohort 2 students occurred gradually throughout the first semester of 2022 with 77 students referred and 48 enrolled in the program. Program staff confirmed that referral and intake processes were well managed in 2022, in line with the Operations Manual. Several young people commenced at HHA between confirmation of their eligibility and the Cohort 2 intake date. This ensured participants were connected to, and able to start receiving, support as soon as their needs were recognised.</w:t>
      </w:r>
    </w:p>
    <w:p w14:paraId="30E8D3FE" w14:textId="3BE8D926" w:rsidR="00F55A7A" w:rsidRPr="00F55A7A" w:rsidRDefault="00B756E3" w:rsidP="00B756E3">
      <w:r>
        <w:t xml:space="preserve">The Formative evaluation highlighted that not documenting referral sources was a shortcoming of the program’s first year of operation. In 2022, referral sources were well documented, which illustrates how young people arrived in the program through a multitude of pathways as outlined in </w:t>
      </w:r>
      <w:r w:rsidR="00C47C2D">
        <w:rPr>
          <w:highlight w:val="yellow"/>
        </w:rPr>
        <w:fldChar w:fldCharType="begin"/>
      </w:r>
      <w:r w:rsidR="00C47C2D">
        <w:instrText xml:space="preserve"> REF _Ref150430973 \h </w:instrText>
      </w:r>
      <w:r w:rsidR="00C47C2D">
        <w:rPr>
          <w:highlight w:val="yellow"/>
        </w:rPr>
      </w:r>
      <w:r w:rsidR="00C47C2D">
        <w:rPr>
          <w:highlight w:val="yellow"/>
        </w:rPr>
        <w:fldChar w:fldCharType="separate"/>
      </w:r>
      <w:r w:rsidR="008D0FC1">
        <w:t xml:space="preserve">Table </w:t>
      </w:r>
      <w:r w:rsidR="008D0FC1">
        <w:rPr>
          <w:noProof/>
        </w:rPr>
        <w:t>7</w:t>
      </w:r>
      <w:r w:rsidR="00C47C2D">
        <w:rPr>
          <w:highlight w:val="yellow"/>
        </w:rPr>
        <w:fldChar w:fldCharType="end"/>
      </w:r>
      <w:r>
        <w:t>.</w:t>
      </w:r>
    </w:p>
    <w:p w14:paraId="51592B70" w14:textId="2A3736BE" w:rsidR="00EA03BA" w:rsidRDefault="00973B23" w:rsidP="00973B23">
      <w:pPr>
        <w:pStyle w:val="Caption"/>
      </w:pPr>
      <w:bookmarkStart w:id="42" w:name="_Ref150430973"/>
      <w:bookmarkStart w:id="43" w:name="_Toc150431957"/>
      <w:r>
        <w:t xml:space="preserve">Table </w:t>
      </w:r>
      <w:r>
        <w:fldChar w:fldCharType="begin"/>
      </w:r>
      <w:r>
        <w:instrText xml:space="preserve"> SEQ Table \* ARABIC </w:instrText>
      </w:r>
      <w:r>
        <w:fldChar w:fldCharType="separate"/>
      </w:r>
      <w:r w:rsidR="008D0FC1">
        <w:rPr>
          <w:noProof/>
        </w:rPr>
        <w:t>7</w:t>
      </w:r>
      <w:r>
        <w:fldChar w:fldCharType="end"/>
      </w:r>
      <w:bookmarkEnd w:id="42"/>
      <w:r>
        <w:t xml:space="preserve"> Referral sources of Cohort 1 and 2 participants</w:t>
      </w:r>
      <w:bookmarkEnd w:id="43"/>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CellMar>
          <w:left w:w="0" w:type="dxa"/>
          <w:right w:w="0" w:type="dxa"/>
        </w:tblCellMar>
        <w:tblLook w:val="0420" w:firstRow="1" w:lastRow="0" w:firstColumn="0" w:lastColumn="0" w:noHBand="0" w:noVBand="1"/>
      </w:tblPr>
      <w:tblGrid>
        <w:gridCol w:w="7225"/>
        <w:gridCol w:w="1201"/>
        <w:gridCol w:w="1202"/>
      </w:tblGrid>
      <w:tr w:rsidR="00BC0B30" w:rsidRPr="00780518" w14:paraId="665843BC" w14:textId="77777777" w:rsidTr="00BC0B30">
        <w:trPr>
          <w:trHeight w:val="474"/>
          <w:tblHeader/>
        </w:trPr>
        <w:tc>
          <w:tcPr>
            <w:tcW w:w="7225" w:type="dxa"/>
            <w:shd w:val="clear" w:color="auto" w:fill="4B91D7"/>
          </w:tcPr>
          <w:p w14:paraId="1B8C15BB" w14:textId="2E1353EB" w:rsidR="00973B23" w:rsidRPr="003D5129" w:rsidRDefault="00973B23">
            <w:pPr>
              <w:pStyle w:val="Table-Heading"/>
              <w:rPr>
                <w:color w:val="FFFFFF" w:themeColor="background1"/>
                <w:lang w:val="en-US"/>
              </w:rPr>
            </w:pPr>
            <w:r>
              <w:rPr>
                <w:color w:val="FFFFFF" w:themeColor="background1"/>
                <w:lang w:val="en-US"/>
              </w:rPr>
              <w:t>Referral source</w:t>
            </w:r>
          </w:p>
        </w:tc>
        <w:tc>
          <w:tcPr>
            <w:tcW w:w="1201" w:type="dxa"/>
            <w:shd w:val="clear" w:color="auto" w:fill="4B91D7"/>
          </w:tcPr>
          <w:p w14:paraId="682A7A54" w14:textId="39FC3966" w:rsidR="00973B23" w:rsidRPr="00780518" w:rsidRDefault="00973B23" w:rsidP="00BC0B30">
            <w:pPr>
              <w:pStyle w:val="Table-Heading"/>
              <w:jc w:val="center"/>
              <w:rPr>
                <w:color w:val="FFFFFF" w:themeColor="background1"/>
              </w:rPr>
            </w:pPr>
            <w:r>
              <w:rPr>
                <w:color w:val="FFFFFF" w:themeColor="background1"/>
              </w:rPr>
              <w:t>Cohort 1</w:t>
            </w:r>
          </w:p>
        </w:tc>
        <w:tc>
          <w:tcPr>
            <w:tcW w:w="1202" w:type="dxa"/>
            <w:shd w:val="clear" w:color="auto" w:fill="4B91D7"/>
          </w:tcPr>
          <w:p w14:paraId="40A3C8B9" w14:textId="10840CF4" w:rsidR="00973B23" w:rsidRPr="00780518" w:rsidRDefault="00973B23" w:rsidP="00BC0B30">
            <w:pPr>
              <w:pStyle w:val="Table-Heading"/>
              <w:jc w:val="center"/>
              <w:rPr>
                <w:color w:val="FFFFFF" w:themeColor="background1"/>
              </w:rPr>
            </w:pPr>
            <w:r>
              <w:rPr>
                <w:color w:val="FFFFFF" w:themeColor="background1"/>
              </w:rPr>
              <w:t>Cohort 2</w:t>
            </w:r>
          </w:p>
        </w:tc>
      </w:tr>
      <w:tr w:rsidR="00BC0B30" w:rsidRPr="00780518" w14:paraId="64E5C056" w14:textId="77777777" w:rsidTr="00BC0B30">
        <w:trPr>
          <w:trHeight w:val="474"/>
        </w:trPr>
        <w:tc>
          <w:tcPr>
            <w:tcW w:w="7225" w:type="dxa"/>
            <w:shd w:val="clear" w:color="auto" w:fill="auto"/>
          </w:tcPr>
          <w:p w14:paraId="632B7E07" w14:textId="446DBBD4" w:rsidR="00B81CEC" w:rsidRPr="00C1490D" w:rsidRDefault="00B81CEC" w:rsidP="00B81CEC">
            <w:pPr>
              <w:pStyle w:val="Table-Text"/>
              <w:rPr>
                <w:rFonts w:cs="Arial"/>
                <w:szCs w:val="20"/>
              </w:rPr>
            </w:pPr>
            <w:r w:rsidRPr="00411442">
              <w:t>Family</w:t>
            </w:r>
          </w:p>
        </w:tc>
        <w:tc>
          <w:tcPr>
            <w:tcW w:w="1201" w:type="dxa"/>
            <w:shd w:val="clear" w:color="auto" w:fill="auto"/>
          </w:tcPr>
          <w:p w14:paraId="7D801A5A" w14:textId="4E8E1AE0" w:rsidR="00B81CEC" w:rsidRPr="00780518" w:rsidRDefault="00B81CEC" w:rsidP="00BC0B30">
            <w:pPr>
              <w:pStyle w:val="Table-Text"/>
              <w:jc w:val="center"/>
              <w:rPr>
                <w:rFonts w:cs="Arial"/>
                <w:szCs w:val="20"/>
              </w:rPr>
            </w:pPr>
            <w:r w:rsidRPr="00EE0F94">
              <w:t>10</w:t>
            </w:r>
          </w:p>
        </w:tc>
        <w:tc>
          <w:tcPr>
            <w:tcW w:w="1202" w:type="dxa"/>
          </w:tcPr>
          <w:p w14:paraId="367FEE4D" w14:textId="3CA9F318" w:rsidR="00B81CEC" w:rsidRPr="00780518" w:rsidRDefault="00B81CEC" w:rsidP="00BC0B30">
            <w:pPr>
              <w:pStyle w:val="Table-Text"/>
              <w:jc w:val="center"/>
              <w:rPr>
                <w:rFonts w:cs="Arial"/>
                <w:szCs w:val="20"/>
              </w:rPr>
            </w:pPr>
            <w:r w:rsidRPr="00EE0F94">
              <w:t>22</w:t>
            </w:r>
          </w:p>
        </w:tc>
      </w:tr>
      <w:tr w:rsidR="00BC0B30" w:rsidRPr="00780518" w14:paraId="4EFFC80D" w14:textId="77777777" w:rsidTr="00BC0B30">
        <w:trPr>
          <w:trHeight w:val="474"/>
        </w:trPr>
        <w:tc>
          <w:tcPr>
            <w:tcW w:w="7225" w:type="dxa"/>
            <w:shd w:val="clear" w:color="auto" w:fill="auto"/>
          </w:tcPr>
          <w:p w14:paraId="5D107E34" w14:textId="40CB992B" w:rsidR="00B81CEC" w:rsidRPr="00C1490D" w:rsidRDefault="00B81CEC" w:rsidP="00B81CEC">
            <w:pPr>
              <w:pStyle w:val="Table-Text"/>
              <w:rPr>
                <w:rFonts w:cs="Arial"/>
                <w:szCs w:val="20"/>
              </w:rPr>
            </w:pPr>
            <w:r w:rsidRPr="00411442">
              <w:t>Self</w:t>
            </w:r>
          </w:p>
        </w:tc>
        <w:tc>
          <w:tcPr>
            <w:tcW w:w="1201" w:type="dxa"/>
            <w:shd w:val="clear" w:color="auto" w:fill="auto"/>
          </w:tcPr>
          <w:p w14:paraId="5CC67E5C" w14:textId="5EDFB2E3" w:rsidR="00B81CEC" w:rsidRPr="00780518" w:rsidRDefault="00B81CEC" w:rsidP="00BC0B30">
            <w:pPr>
              <w:pStyle w:val="Table-Text"/>
              <w:jc w:val="center"/>
              <w:rPr>
                <w:rFonts w:cs="Arial"/>
                <w:szCs w:val="20"/>
              </w:rPr>
            </w:pPr>
            <w:r w:rsidRPr="00EE0F94">
              <w:t>11</w:t>
            </w:r>
          </w:p>
        </w:tc>
        <w:tc>
          <w:tcPr>
            <w:tcW w:w="1202" w:type="dxa"/>
          </w:tcPr>
          <w:p w14:paraId="45EA77B9" w14:textId="46DEA022" w:rsidR="00B81CEC" w:rsidRPr="00780518" w:rsidRDefault="00B81CEC" w:rsidP="00BC0B30">
            <w:pPr>
              <w:pStyle w:val="Table-Text"/>
              <w:jc w:val="center"/>
              <w:rPr>
                <w:rFonts w:cs="Arial"/>
                <w:szCs w:val="20"/>
              </w:rPr>
            </w:pPr>
            <w:r w:rsidRPr="00EE0F94">
              <w:t>6</w:t>
            </w:r>
          </w:p>
        </w:tc>
      </w:tr>
      <w:tr w:rsidR="00B81CEC" w:rsidRPr="00780518" w14:paraId="604F0CF9" w14:textId="77777777" w:rsidTr="00BC0B30">
        <w:trPr>
          <w:trHeight w:val="474"/>
        </w:trPr>
        <w:tc>
          <w:tcPr>
            <w:tcW w:w="7225" w:type="dxa"/>
            <w:shd w:val="clear" w:color="auto" w:fill="auto"/>
          </w:tcPr>
          <w:p w14:paraId="45AA7E61" w14:textId="5DBFE8B3" w:rsidR="00B81CEC" w:rsidRPr="00C1490D" w:rsidRDefault="00B81CEC" w:rsidP="00B81CEC">
            <w:pPr>
              <w:pStyle w:val="Table-Text"/>
              <w:rPr>
                <w:rFonts w:cs="Arial"/>
                <w:szCs w:val="20"/>
              </w:rPr>
            </w:pPr>
            <w:r w:rsidRPr="00411442">
              <w:t>Social and community services (e.g., Anglicare, YSAS, Salvation Army)</w:t>
            </w:r>
          </w:p>
        </w:tc>
        <w:tc>
          <w:tcPr>
            <w:tcW w:w="1201" w:type="dxa"/>
            <w:shd w:val="clear" w:color="auto" w:fill="auto"/>
          </w:tcPr>
          <w:p w14:paraId="38BF190B" w14:textId="65B200E1" w:rsidR="00B81CEC" w:rsidRPr="00780518" w:rsidRDefault="00B81CEC" w:rsidP="00BC0B30">
            <w:pPr>
              <w:pStyle w:val="Table-Text"/>
              <w:jc w:val="center"/>
              <w:rPr>
                <w:rFonts w:cs="Arial"/>
                <w:szCs w:val="20"/>
              </w:rPr>
            </w:pPr>
            <w:r w:rsidRPr="00EE0F94">
              <w:t>9</w:t>
            </w:r>
          </w:p>
        </w:tc>
        <w:tc>
          <w:tcPr>
            <w:tcW w:w="1202" w:type="dxa"/>
          </w:tcPr>
          <w:p w14:paraId="1630919E" w14:textId="78D8B158" w:rsidR="00B81CEC" w:rsidRPr="00780518" w:rsidRDefault="00B81CEC" w:rsidP="00BC0B30">
            <w:pPr>
              <w:pStyle w:val="Table-Text"/>
              <w:jc w:val="center"/>
              <w:rPr>
                <w:rFonts w:cs="Arial"/>
                <w:szCs w:val="20"/>
              </w:rPr>
            </w:pPr>
            <w:r w:rsidRPr="00EE0F94">
              <w:t>5</w:t>
            </w:r>
          </w:p>
        </w:tc>
      </w:tr>
      <w:tr w:rsidR="00B81CEC" w:rsidRPr="00780518" w14:paraId="7130F315" w14:textId="77777777" w:rsidTr="00BC0B30">
        <w:trPr>
          <w:trHeight w:val="474"/>
        </w:trPr>
        <w:tc>
          <w:tcPr>
            <w:tcW w:w="7225" w:type="dxa"/>
            <w:shd w:val="clear" w:color="auto" w:fill="auto"/>
          </w:tcPr>
          <w:p w14:paraId="5F5D0CEF" w14:textId="264F1251" w:rsidR="00B81CEC" w:rsidRPr="00C1490D" w:rsidRDefault="00B81CEC" w:rsidP="00B81CEC">
            <w:pPr>
              <w:pStyle w:val="Table-Text"/>
              <w:rPr>
                <w:rFonts w:cs="Arial"/>
                <w:szCs w:val="20"/>
              </w:rPr>
            </w:pPr>
            <w:r w:rsidRPr="00411442">
              <w:t>Previous (mainstream) school</w:t>
            </w:r>
          </w:p>
        </w:tc>
        <w:tc>
          <w:tcPr>
            <w:tcW w:w="1201" w:type="dxa"/>
            <w:shd w:val="clear" w:color="auto" w:fill="auto"/>
          </w:tcPr>
          <w:p w14:paraId="0FC604CB" w14:textId="2C18759B" w:rsidR="00B81CEC" w:rsidRPr="00780518" w:rsidRDefault="00B81CEC" w:rsidP="00BC0B30">
            <w:pPr>
              <w:pStyle w:val="Table-Text"/>
              <w:jc w:val="center"/>
              <w:rPr>
                <w:rFonts w:cs="Arial"/>
                <w:szCs w:val="20"/>
              </w:rPr>
            </w:pPr>
            <w:r w:rsidRPr="00EE0F94">
              <w:t>3</w:t>
            </w:r>
          </w:p>
        </w:tc>
        <w:tc>
          <w:tcPr>
            <w:tcW w:w="1202" w:type="dxa"/>
          </w:tcPr>
          <w:p w14:paraId="3AB29CAA" w14:textId="41647FDE" w:rsidR="00B81CEC" w:rsidRPr="00780518" w:rsidRDefault="00B81CEC" w:rsidP="00BC0B30">
            <w:pPr>
              <w:pStyle w:val="Table-Text"/>
              <w:jc w:val="center"/>
              <w:rPr>
                <w:rFonts w:cs="Arial"/>
                <w:szCs w:val="20"/>
              </w:rPr>
            </w:pPr>
            <w:r w:rsidRPr="00EE0F94">
              <w:t>4</w:t>
            </w:r>
          </w:p>
        </w:tc>
      </w:tr>
      <w:tr w:rsidR="00B81CEC" w:rsidRPr="00780518" w14:paraId="67258804" w14:textId="77777777" w:rsidTr="00BC0B30">
        <w:trPr>
          <w:trHeight w:val="474"/>
        </w:trPr>
        <w:tc>
          <w:tcPr>
            <w:tcW w:w="7225" w:type="dxa"/>
            <w:shd w:val="clear" w:color="auto" w:fill="auto"/>
          </w:tcPr>
          <w:p w14:paraId="732854BF" w14:textId="427E677F" w:rsidR="00B81CEC" w:rsidRPr="00C1490D" w:rsidRDefault="00B81CEC" w:rsidP="00B81CEC">
            <w:pPr>
              <w:pStyle w:val="Table-Text"/>
              <w:rPr>
                <w:rFonts w:cs="Arial"/>
                <w:szCs w:val="20"/>
              </w:rPr>
            </w:pPr>
            <w:r w:rsidRPr="00411442">
              <w:t>Flexible learning program / school (</w:t>
            </w:r>
            <w:proofErr w:type="gramStart"/>
            <w:r w:rsidRPr="00411442">
              <w:t>e.g.</w:t>
            </w:r>
            <w:proofErr w:type="gramEnd"/>
            <w:r w:rsidRPr="00411442">
              <w:t xml:space="preserve"> FLIP program)</w:t>
            </w:r>
          </w:p>
        </w:tc>
        <w:tc>
          <w:tcPr>
            <w:tcW w:w="1201" w:type="dxa"/>
            <w:shd w:val="clear" w:color="auto" w:fill="auto"/>
          </w:tcPr>
          <w:p w14:paraId="6D48065D" w14:textId="478A4934" w:rsidR="00B81CEC" w:rsidRPr="00780518" w:rsidRDefault="00B81CEC" w:rsidP="00BC0B30">
            <w:pPr>
              <w:pStyle w:val="Table-Text"/>
              <w:jc w:val="center"/>
              <w:rPr>
                <w:rFonts w:cs="Arial"/>
                <w:szCs w:val="20"/>
              </w:rPr>
            </w:pPr>
            <w:r w:rsidRPr="00EE0F94">
              <w:t>2</w:t>
            </w:r>
          </w:p>
        </w:tc>
        <w:tc>
          <w:tcPr>
            <w:tcW w:w="1202" w:type="dxa"/>
          </w:tcPr>
          <w:p w14:paraId="7F291C09" w14:textId="1F273CC4" w:rsidR="00B81CEC" w:rsidRPr="00780518" w:rsidRDefault="00B81CEC" w:rsidP="00BC0B30">
            <w:pPr>
              <w:pStyle w:val="Table-Text"/>
              <w:jc w:val="center"/>
              <w:rPr>
                <w:rFonts w:cs="Arial"/>
                <w:szCs w:val="20"/>
              </w:rPr>
            </w:pPr>
            <w:r w:rsidRPr="00EE0F94">
              <w:t>5</w:t>
            </w:r>
          </w:p>
        </w:tc>
      </w:tr>
      <w:tr w:rsidR="00B81CEC" w:rsidRPr="00780518" w14:paraId="74DE2EDE" w14:textId="77777777" w:rsidTr="00BC0B30">
        <w:trPr>
          <w:trHeight w:val="474"/>
        </w:trPr>
        <w:tc>
          <w:tcPr>
            <w:tcW w:w="7225" w:type="dxa"/>
            <w:shd w:val="clear" w:color="auto" w:fill="auto"/>
          </w:tcPr>
          <w:p w14:paraId="16F2E03C" w14:textId="06554437" w:rsidR="00B81CEC" w:rsidRPr="00C1490D" w:rsidRDefault="00B81CEC" w:rsidP="00B81CEC">
            <w:pPr>
              <w:pStyle w:val="Table-Text"/>
              <w:rPr>
                <w:rFonts w:cs="Arial"/>
                <w:szCs w:val="20"/>
              </w:rPr>
            </w:pPr>
            <w:r w:rsidRPr="00411442">
              <w:t xml:space="preserve">Health service (e.g., </w:t>
            </w:r>
            <w:proofErr w:type="spellStart"/>
            <w:r w:rsidRPr="00411442">
              <w:t>Orygen</w:t>
            </w:r>
            <w:proofErr w:type="spellEnd"/>
            <w:r w:rsidRPr="00411442">
              <w:t>, EACH, headspace)</w:t>
            </w:r>
          </w:p>
        </w:tc>
        <w:tc>
          <w:tcPr>
            <w:tcW w:w="1201" w:type="dxa"/>
            <w:shd w:val="clear" w:color="auto" w:fill="auto"/>
          </w:tcPr>
          <w:p w14:paraId="7E911C35" w14:textId="3F52DBC2" w:rsidR="00B81CEC" w:rsidRPr="00780518" w:rsidRDefault="00B81CEC" w:rsidP="00BC0B30">
            <w:pPr>
              <w:pStyle w:val="Table-Text"/>
              <w:jc w:val="center"/>
              <w:rPr>
                <w:rFonts w:cs="Arial"/>
                <w:szCs w:val="20"/>
              </w:rPr>
            </w:pPr>
            <w:r w:rsidRPr="00EE0F94">
              <w:t>3</w:t>
            </w:r>
          </w:p>
        </w:tc>
        <w:tc>
          <w:tcPr>
            <w:tcW w:w="1202" w:type="dxa"/>
          </w:tcPr>
          <w:p w14:paraId="1FF42939" w14:textId="68C56FED" w:rsidR="00B81CEC" w:rsidRPr="00780518" w:rsidRDefault="00B81CEC" w:rsidP="00BC0B30">
            <w:pPr>
              <w:pStyle w:val="Table-Text"/>
              <w:jc w:val="center"/>
              <w:rPr>
                <w:rFonts w:cs="Arial"/>
                <w:szCs w:val="20"/>
              </w:rPr>
            </w:pPr>
            <w:r w:rsidRPr="00EE0F94">
              <w:t>3</w:t>
            </w:r>
          </w:p>
        </w:tc>
      </w:tr>
      <w:tr w:rsidR="00B81CEC" w:rsidRPr="00780518" w14:paraId="7077177B" w14:textId="77777777" w:rsidTr="00BC0B30">
        <w:trPr>
          <w:trHeight w:val="474"/>
        </w:trPr>
        <w:tc>
          <w:tcPr>
            <w:tcW w:w="7225" w:type="dxa"/>
            <w:shd w:val="clear" w:color="auto" w:fill="auto"/>
          </w:tcPr>
          <w:p w14:paraId="35C70290" w14:textId="102693A0" w:rsidR="00B81CEC" w:rsidRPr="00C1490D" w:rsidRDefault="00B81CEC" w:rsidP="00B81CEC">
            <w:pPr>
              <w:pStyle w:val="Table-Text"/>
              <w:rPr>
                <w:rFonts w:cs="Arial"/>
                <w:szCs w:val="20"/>
              </w:rPr>
            </w:pPr>
            <w:r w:rsidRPr="00411442">
              <w:t>Navigator program</w:t>
            </w:r>
          </w:p>
        </w:tc>
        <w:tc>
          <w:tcPr>
            <w:tcW w:w="1201" w:type="dxa"/>
            <w:shd w:val="clear" w:color="auto" w:fill="auto"/>
          </w:tcPr>
          <w:p w14:paraId="2EBA3112" w14:textId="7963B7C1" w:rsidR="00B81CEC" w:rsidRPr="00780518" w:rsidRDefault="00B81CEC" w:rsidP="00BC0B30">
            <w:pPr>
              <w:pStyle w:val="Table-Text"/>
              <w:jc w:val="center"/>
              <w:rPr>
                <w:rFonts w:cs="Arial"/>
                <w:szCs w:val="20"/>
              </w:rPr>
            </w:pPr>
            <w:r w:rsidRPr="00EE0F94">
              <w:t>5</w:t>
            </w:r>
          </w:p>
        </w:tc>
        <w:tc>
          <w:tcPr>
            <w:tcW w:w="1202" w:type="dxa"/>
          </w:tcPr>
          <w:p w14:paraId="37F94273" w14:textId="018D4D18" w:rsidR="00B81CEC" w:rsidRPr="00780518" w:rsidRDefault="00B81CEC" w:rsidP="00BC0B30">
            <w:pPr>
              <w:pStyle w:val="Table-Text"/>
              <w:jc w:val="center"/>
              <w:rPr>
                <w:rFonts w:cs="Arial"/>
                <w:szCs w:val="20"/>
              </w:rPr>
            </w:pPr>
            <w:r w:rsidRPr="00EE0F94">
              <w:t>0</w:t>
            </w:r>
          </w:p>
        </w:tc>
      </w:tr>
      <w:tr w:rsidR="00B81CEC" w:rsidRPr="00780518" w14:paraId="00B8F960" w14:textId="77777777" w:rsidTr="00BC0B30">
        <w:trPr>
          <w:trHeight w:val="474"/>
        </w:trPr>
        <w:tc>
          <w:tcPr>
            <w:tcW w:w="7225" w:type="dxa"/>
            <w:shd w:val="clear" w:color="auto" w:fill="auto"/>
          </w:tcPr>
          <w:p w14:paraId="61796EC7" w14:textId="32FA29F5" w:rsidR="00B81CEC" w:rsidRPr="00C1490D" w:rsidRDefault="00B81CEC" w:rsidP="00B81CEC">
            <w:pPr>
              <w:pStyle w:val="Table-Text"/>
              <w:rPr>
                <w:rFonts w:cs="Arial"/>
                <w:szCs w:val="20"/>
              </w:rPr>
            </w:pPr>
            <w:r w:rsidRPr="00411442">
              <w:t>DET or DFFH</w:t>
            </w:r>
          </w:p>
        </w:tc>
        <w:tc>
          <w:tcPr>
            <w:tcW w:w="1201" w:type="dxa"/>
            <w:shd w:val="clear" w:color="auto" w:fill="auto"/>
          </w:tcPr>
          <w:p w14:paraId="0A9BA7C1" w14:textId="24D34D70" w:rsidR="00B81CEC" w:rsidRPr="00780518" w:rsidRDefault="00B81CEC" w:rsidP="00BC0B30">
            <w:pPr>
              <w:pStyle w:val="Table-Text"/>
              <w:jc w:val="center"/>
              <w:rPr>
                <w:rFonts w:cs="Arial"/>
                <w:szCs w:val="20"/>
              </w:rPr>
            </w:pPr>
            <w:r w:rsidRPr="00EE0F94">
              <w:t>4</w:t>
            </w:r>
          </w:p>
        </w:tc>
        <w:tc>
          <w:tcPr>
            <w:tcW w:w="1202" w:type="dxa"/>
          </w:tcPr>
          <w:p w14:paraId="107F5A54" w14:textId="594E929C" w:rsidR="00B81CEC" w:rsidRPr="00780518" w:rsidRDefault="00B81CEC" w:rsidP="00BC0B30">
            <w:pPr>
              <w:pStyle w:val="Table-Text"/>
              <w:jc w:val="center"/>
              <w:rPr>
                <w:rFonts w:cs="Arial"/>
                <w:szCs w:val="20"/>
              </w:rPr>
            </w:pPr>
            <w:r w:rsidRPr="00EE0F94">
              <w:t>1</w:t>
            </w:r>
          </w:p>
        </w:tc>
      </w:tr>
      <w:tr w:rsidR="00B81CEC" w:rsidRPr="00780518" w14:paraId="7BFD40BA" w14:textId="77777777" w:rsidTr="00BC0B30">
        <w:trPr>
          <w:trHeight w:val="474"/>
        </w:trPr>
        <w:tc>
          <w:tcPr>
            <w:tcW w:w="7225" w:type="dxa"/>
            <w:tcBorders>
              <w:bottom w:val="single" w:sz="12" w:space="0" w:color="69ACDF" w:themeColor="accent2"/>
            </w:tcBorders>
            <w:shd w:val="clear" w:color="auto" w:fill="auto"/>
          </w:tcPr>
          <w:p w14:paraId="07AD3C0E" w14:textId="5FFCEE9C" w:rsidR="00B81CEC" w:rsidRPr="00411442" w:rsidRDefault="00B81CEC" w:rsidP="00B81CEC">
            <w:pPr>
              <w:pStyle w:val="Table-Text"/>
            </w:pPr>
            <w:r>
              <w:t>Melbourne City Mission</w:t>
            </w:r>
          </w:p>
        </w:tc>
        <w:tc>
          <w:tcPr>
            <w:tcW w:w="1201" w:type="dxa"/>
            <w:tcBorders>
              <w:bottom w:val="single" w:sz="12" w:space="0" w:color="69ACDF" w:themeColor="accent2"/>
            </w:tcBorders>
            <w:shd w:val="clear" w:color="auto" w:fill="auto"/>
          </w:tcPr>
          <w:p w14:paraId="1BE58FCC" w14:textId="365B569B" w:rsidR="00B81CEC" w:rsidRPr="00780518" w:rsidRDefault="00B81CEC" w:rsidP="00BC0B30">
            <w:pPr>
              <w:pStyle w:val="Table-Text"/>
              <w:jc w:val="center"/>
              <w:rPr>
                <w:rFonts w:cs="Arial"/>
                <w:szCs w:val="20"/>
              </w:rPr>
            </w:pPr>
            <w:r w:rsidRPr="00EE0F94">
              <w:t>1</w:t>
            </w:r>
          </w:p>
        </w:tc>
        <w:tc>
          <w:tcPr>
            <w:tcW w:w="1202" w:type="dxa"/>
            <w:tcBorders>
              <w:bottom w:val="single" w:sz="12" w:space="0" w:color="69ACDF" w:themeColor="accent2"/>
            </w:tcBorders>
          </w:tcPr>
          <w:p w14:paraId="50CA4D1D" w14:textId="69165811" w:rsidR="00B81CEC" w:rsidRPr="00780518" w:rsidRDefault="00B81CEC" w:rsidP="00BC0B30">
            <w:pPr>
              <w:pStyle w:val="Table-Text"/>
              <w:jc w:val="center"/>
              <w:rPr>
                <w:rFonts w:cs="Arial"/>
                <w:szCs w:val="20"/>
              </w:rPr>
            </w:pPr>
            <w:r w:rsidRPr="00EE0F94">
              <w:t>2</w:t>
            </w:r>
          </w:p>
        </w:tc>
      </w:tr>
      <w:tr w:rsidR="00B81CEC" w:rsidRPr="00780518" w14:paraId="57FD6E29" w14:textId="77777777" w:rsidTr="00BC0B30">
        <w:trPr>
          <w:trHeight w:val="474"/>
        </w:trPr>
        <w:tc>
          <w:tcPr>
            <w:tcW w:w="7225" w:type="dxa"/>
            <w:tcBorders>
              <w:top w:val="single" w:sz="12" w:space="0" w:color="69ACDF" w:themeColor="accent2"/>
              <w:bottom w:val="single" w:sz="12" w:space="0" w:color="69ACDF" w:themeColor="accent2"/>
            </w:tcBorders>
            <w:shd w:val="clear" w:color="auto" w:fill="E0EEF8" w:themeFill="accent2" w:themeFillTint="33"/>
          </w:tcPr>
          <w:p w14:paraId="53B5B72D" w14:textId="070F8C34" w:rsidR="00B81CEC" w:rsidRPr="004A3E90" w:rsidRDefault="00B81CEC" w:rsidP="00B81CEC">
            <w:pPr>
              <w:pStyle w:val="Table-Text"/>
              <w:rPr>
                <w:b/>
                <w:bCs/>
              </w:rPr>
            </w:pPr>
            <w:r w:rsidRPr="004A3E90">
              <w:rPr>
                <w:b/>
                <w:bCs/>
              </w:rPr>
              <w:t>Total</w:t>
            </w:r>
          </w:p>
        </w:tc>
        <w:tc>
          <w:tcPr>
            <w:tcW w:w="1201" w:type="dxa"/>
            <w:tcBorders>
              <w:top w:val="single" w:sz="12" w:space="0" w:color="69ACDF" w:themeColor="accent2"/>
              <w:bottom w:val="single" w:sz="12" w:space="0" w:color="69ACDF" w:themeColor="accent2"/>
            </w:tcBorders>
            <w:shd w:val="clear" w:color="auto" w:fill="E0EEF8" w:themeFill="accent2" w:themeFillTint="33"/>
          </w:tcPr>
          <w:p w14:paraId="7D4124A4" w14:textId="6471CFF6" w:rsidR="00B81CEC" w:rsidRPr="004A3E90" w:rsidRDefault="00B81CEC" w:rsidP="00BC0B30">
            <w:pPr>
              <w:pStyle w:val="Table-Text"/>
              <w:jc w:val="center"/>
              <w:rPr>
                <w:b/>
                <w:bCs/>
              </w:rPr>
            </w:pPr>
            <w:r w:rsidRPr="004A3E90">
              <w:rPr>
                <w:b/>
                <w:bCs/>
              </w:rPr>
              <w:t>48</w:t>
            </w:r>
          </w:p>
        </w:tc>
        <w:tc>
          <w:tcPr>
            <w:tcW w:w="1202" w:type="dxa"/>
            <w:tcBorders>
              <w:top w:val="single" w:sz="12" w:space="0" w:color="69ACDF" w:themeColor="accent2"/>
              <w:bottom w:val="single" w:sz="12" w:space="0" w:color="69ACDF" w:themeColor="accent2"/>
            </w:tcBorders>
            <w:shd w:val="clear" w:color="auto" w:fill="E0EEF8" w:themeFill="accent2" w:themeFillTint="33"/>
          </w:tcPr>
          <w:p w14:paraId="4727ABFA" w14:textId="370BA4E9" w:rsidR="00B81CEC" w:rsidRPr="004A3E90" w:rsidRDefault="00B81CEC" w:rsidP="00BC0B30">
            <w:pPr>
              <w:pStyle w:val="Table-Text"/>
              <w:jc w:val="center"/>
              <w:rPr>
                <w:b/>
                <w:bCs/>
              </w:rPr>
            </w:pPr>
            <w:r w:rsidRPr="004A3E90">
              <w:rPr>
                <w:b/>
                <w:bCs/>
              </w:rPr>
              <w:t>48</w:t>
            </w:r>
          </w:p>
        </w:tc>
      </w:tr>
    </w:tbl>
    <w:p w14:paraId="08A0CAAD" w14:textId="4C520462" w:rsidR="00973B23" w:rsidRPr="00973B23" w:rsidRDefault="007511D8" w:rsidP="000846C1">
      <w:pPr>
        <w:pStyle w:val="ImageSource"/>
      </w:pPr>
      <w:r>
        <w:t>Source: Living Learning data (2023)</w:t>
      </w:r>
    </w:p>
    <w:p w14:paraId="59A97DE8" w14:textId="77777777" w:rsidR="004C2E35" w:rsidRDefault="004C2E35" w:rsidP="004C2E35">
      <w:pPr>
        <w:pStyle w:val="Head3"/>
      </w:pPr>
      <w:r>
        <w:t>Aspects of the Living Learning model, as well as social and environmental factors, motivated young people to join Living Learning</w:t>
      </w:r>
    </w:p>
    <w:p w14:paraId="70EEA29F" w14:textId="77777777" w:rsidR="00676001" w:rsidRDefault="004C2E35" w:rsidP="004C2E35">
      <w:r>
        <w:t xml:space="preserve">Young people participating in Living Learning have been disengaged from education for a significant </w:t>
      </w:r>
      <w:proofErr w:type="gramStart"/>
      <w:r>
        <w:t>period of time</w:t>
      </w:r>
      <w:proofErr w:type="gramEnd"/>
      <w:r>
        <w:t xml:space="preserve">. For this reason, it is important to explore the factors and circumstances that made previously disengaged young people believe Living Learning is a program worth engaging with. In interviews, young people described multiple unsuccessful attempts by their families, schools, Youth </w:t>
      </w:r>
      <w:proofErr w:type="gramStart"/>
      <w:r>
        <w:t>Workers</w:t>
      </w:r>
      <w:proofErr w:type="gramEnd"/>
      <w:r>
        <w:t xml:space="preserve"> and support services to re-engage them into school and school-based activities. Many young people interviewed had, at some point, resolved to not participate in secondary education. Time away from education before enrolling in Living Learning varied from a few months to several years.</w:t>
      </w:r>
    </w:p>
    <w:p w14:paraId="32C4E4BD" w14:textId="77777777" w:rsidR="00C74853" w:rsidRDefault="007741A7" w:rsidP="007741A7">
      <w:pPr>
        <w:pStyle w:val="HangingQuote"/>
        <w:rPr>
          <w:i/>
          <w:iCs/>
        </w:rPr>
      </w:pPr>
      <w:r>
        <w:t xml:space="preserve">It’s </w:t>
      </w:r>
      <w:proofErr w:type="gramStart"/>
      <w:r>
        <w:t>absolutely no</w:t>
      </w:r>
      <w:proofErr w:type="gramEnd"/>
      <w:r>
        <w:t xml:space="preserve"> over-exaggeration to say I dropped out of every year of high school, and even when I was in high school, I was not going to classes … it was really rough for me. In 2020, I had pretty much decided that I was just not going to go back. </w:t>
      </w:r>
      <w:r w:rsidRPr="007741A7">
        <w:rPr>
          <w:iCs/>
        </w:rPr>
        <w:t>(Young person interview)</w:t>
      </w:r>
    </w:p>
    <w:p w14:paraId="0E2A8C3D" w14:textId="77777777" w:rsidR="003D4B35" w:rsidRDefault="003D4B35" w:rsidP="003D4B35">
      <w:r>
        <w:t>Young people interviewed were asked to share their motivations for joining Living Learning. Generally, responses fell into three categories: features of the model; social factors; and environmental factors.</w:t>
      </w:r>
    </w:p>
    <w:p w14:paraId="07E843AD" w14:textId="77777777" w:rsidR="00471432" w:rsidRDefault="003D4B35" w:rsidP="003D4B35">
      <w:r>
        <w:t>Features of the model identified by young people as having influenced their decision to enter the program included the availability of mental health supports, financial brokerage, adventure learning activities, the flexibility of the model (including later start times, no uniform, capacity to accommodate young parents) and the education offering (the opportunity to complete VCAL).</w:t>
      </w:r>
    </w:p>
    <w:p w14:paraId="7BE33C9A" w14:textId="55161171" w:rsidR="00471432" w:rsidRDefault="00471432" w:rsidP="00471432">
      <w:pPr>
        <w:pStyle w:val="HangingQuote"/>
      </w:pPr>
      <w:r>
        <w:t xml:space="preserve">The reason I agreed to </w:t>
      </w:r>
      <w:r w:rsidRPr="00471432">
        <w:rPr>
          <w:iCs/>
        </w:rPr>
        <w:t>[join Living Learning]</w:t>
      </w:r>
      <w:r>
        <w:t xml:space="preserve"> was because I’m not financially stable at all; I can’t afford to pay for psychiatrists … when </w:t>
      </w:r>
      <w:r w:rsidRPr="00471432">
        <w:rPr>
          <w:iCs/>
        </w:rPr>
        <w:t>[the Key Worker]</w:t>
      </w:r>
      <w:r>
        <w:t xml:space="preserve"> said </w:t>
      </w:r>
      <w:r w:rsidRPr="00471432">
        <w:rPr>
          <w:iCs/>
        </w:rPr>
        <w:t>[Living Learning]</w:t>
      </w:r>
      <w:r>
        <w:t xml:space="preserve"> could cover all that, I was like, “Oh my god, this is what I need” … it would also help me with coming to school, because I need </w:t>
      </w:r>
      <w:r w:rsidRPr="00471432">
        <w:rPr>
          <w:iCs/>
        </w:rPr>
        <w:t>[mental health support]</w:t>
      </w:r>
      <w:r>
        <w:t xml:space="preserve"> there … </w:t>
      </w:r>
      <w:r w:rsidRPr="00471432">
        <w:rPr>
          <w:iCs/>
        </w:rPr>
        <w:t>(Young person interview)</w:t>
      </w:r>
    </w:p>
    <w:p w14:paraId="56819F55" w14:textId="6D8D58A1" w:rsidR="00471432" w:rsidRDefault="003328FC" w:rsidP="00471432">
      <w:r w:rsidRPr="003328FC">
        <w:t xml:space="preserve">Social factors that influenced young people’s decisions to enter the program included a desire to connect with peers and make friends, as well as pressure from family, </w:t>
      </w:r>
      <w:proofErr w:type="gramStart"/>
      <w:r w:rsidRPr="003328FC">
        <w:t>caregivers</w:t>
      </w:r>
      <w:proofErr w:type="gramEnd"/>
      <w:r w:rsidRPr="003328FC">
        <w:t xml:space="preserve"> or other adults in their life to re-engage in school. Some young people reported being ‘sick’ of virtual school environments and open to returning to the physical school environment, under the right circumstances, so they could be face to face with their peers again.</w:t>
      </w:r>
    </w:p>
    <w:p w14:paraId="53677437" w14:textId="03F0881C" w:rsidR="00471432" w:rsidRDefault="00943D45" w:rsidP="00943D45">
      <w:pPr>
        <w:pStyle w:val="HangingQuote"/>
      </w:pPr>
      <w:r w:rsidRPr="00943D45">
        <w:rPr>
          <w:iCs/>
        </w:rPr>
        <w:t>[I joined Living Learning to]</w:t>
      </w:r>
      <w:r>
        <w:t xml:space="preserve"> get my </w:t>
      </w:r>
      <w:r w:rsidRPr="00943D45">
        <w:rPr>
          <w:iCs/>
        </w:rPr>
        <w:t>[external]</w:t>
      </w:r>
      <w:r>
        <w:t xml:space="preserve"> Youth Worker off my back, and also to </w:t>
      </w:r>
      <w:r w:rsidRPr="00943D45">
        <w:rPr>
          <w:iCs/>
        </w:rPr>
        <w:t>[make]</w:t>
      </w:r>
      <w:r>
        <w:t xml:space="preserve"> some progress in my </w:t>
      </w:r>
      <w:proofErr w:type="gramStart"/>
      <w:r>
        <w:t>school work</w:t>
      </w:r>
      <w:proofErr w:type="gramEnd"/>
      <w:r>
        <w:t xml:space="preserve">. </w:t>
      </w:r>
      <w:r w:rsidRPr="00943D45">
        <w:rPr>
          <w:iCs/>
        </w:rPr>
        <w:t>(Young person interview)</w:t>
      </w:r>
    </w:p>
    <w:p w14:paraId="02319E64" w14:textId="0CC56A00" w:rsidR="00471432" w:rsidRDefault="00C210B6" w:rsidP="00471432">
      <w:r w:rsidRPr="00C210B6">
        <w:t>Environmental factors that influenced young people’s decision to enter the program included the physical school environment and the perception that HHA is an environment where staff understand mental health and where less ‘drama’ occurs. Other young people reported having a lack of better or suitable alternatives, they were already at HHA and learnt from other staff and students about the benefits of Living Learning as a ‘value add’. Several young people also described how their mental health was ‘under control’ at the time which they entered the program, meaning they were in a position in which they felt they could safely engage in a school environment. For these young people, having their mental health needs met was a critical precursor to re-engaging in education.</w:t>
      </w:r>
    </w:p>
    <w:p w14:paraId="26AC1AF1" w14:textId="70FBBA31" w:rsidR="00C210B6" w:rsidRDefault="00A9746E" w:rsidP="00A9746E">
      <w:pPr>
        <w:pStyle w:val="HangingQuote"/>
      </w:pPr>
      <w:r>
        <w:t xml:space="preserve">I started recovering a bit from my mental issues, things were starting to get a bit better and one of the psychologists I was going to mentioned </w:t>
      </w:r>
      <w:r w:rsidRPr="00A9746E">
        <w:rPr>
          <w:iCs/>
        </w:rPr>
        <w:t>[HHA]</w:t>
      </w:r>
      <w:r>
        <w:t xml:space="preserve"> … </w:t>
      </w:r>
      <w:r w:rsidRPr="00A9746E">
        <w:rPr>
          <w:iCs/>
        </w:rPr>
        <w:t>(Young person interview)</w:t>
      </w:r>
    </w:p>
    <w:p w14:paraId="3330FA49" w14:textId="21EF41EB" w:rsidR="00471432" w:rsidRDefault="00A9746E" w:rsidP="00A9746E">
      <w:pPr>
        <w:pStyle w:val="Heading2"/>
      </w:pPr>
      <w:bookmarkStart w:id="44" w:name="_Toc150431720"/>
      <w:r>
        <w:t>Attendance at school and experience</w:t>
      </w:r>
      <w:bookmarkEnd w:id="44"/>
    </w:p>
    <w:p w14:paraId="5AABAF8C" w14:textId="77777777" w:rsidR="002923E3" w:rsidRDefault="002923E3" w:rsidP="002923E3">
      <w:pPr>
        <w:pStyle w:val="Head3"/>
      </w:pPr>
      <w:r>
        <w:t xml:space="preserve">Attendance rates in 2022 show mixed results across the </w:t>
      </w:r>
      <w:proofErr w:type="gramStart"/>
      <w:r>
        <w:t>cohorts</w:t>
      </w:r>
      <w:proofErr w:type="gramEnd"/>
    </w:p>
    <w:p w14:paraId="077A7F74" w14:textId="77777777" w:rsidR="002923E3" w:rsidRDefault="002923E3" w:rsidP="002923E3">
      <w:r>
        <w:t xml:space="preserve">Attending school is an important underlying aim of the Living Learning Program. As a place-based intervention, the physical space of each campus has been designed to promote safety and inclusiveness, particularly for young people who have low attendance and/or high levels of disengagement at other schools. All Living Learning educational classes are delivered in person and attendance on campus is a key to accessing the specialist support provided by staff, other on-site </w:t>
      </w:r>
      <w:proofErr w:type="gramStart"/>
      <w:r>
        <w:t>facilities</w:t>
      </w:r>
      <w:proofErr w:type="gramEnd"/>
      <w:r>
        <w:t xml:space="preserve"> and socialising with other students. Significant work is undertaken by Key Workers to reduce the mental and physical barriers to attending school.</w:t>
      </w:r>
    </w:p>
    <w:p w14:paraId="017846B5" w14:textId="3C91577D" w:rsidR="00F530E1" w:rsidRDefault="002923E3" w:rsidP="002923E3">
      <w:r>
        <w:t>Living Learning supports young people to get to school by paying for public transport fares and for rideshare, eliminating significant barriers to participation for some young people.</w:t>
      </w:r>
      <w:r w:rsidR="00F530E1">
        <w:br w:type="page"/>
      </w:r>
    </w:p>
    <w:p w14:paraId="7C2C31CE" w14:textId="7E3D3EC1" w:rsidR="00A9746E" w:rsidRDefault="002923E3" w:rsidP="002923E3">
      <w:r>
        <w:t>Each young person has a tailored schedule depending on which class they are in, other appointments with staff or on-site activities (such as adventure activities and fitness classes). Depending on which class the young person attends, they have classes on campus two or five days per week. For some young people, the simple act of getting to school is a huge achievement and a key enabler of accessing the supports provided on-site.</w:t>
      </w:r>
    </w:p>
    <w:p w14:paraId="31638B24" w14:textId="5A0A8D71" w:rsidR="00392A7A" w:rsidRDefault="007D039D" w:rsidP="007D039D">
      <w:pPr>
        <w:pStyle w:val="HangingQuote"/>
        <w:spacing w:after="480"/>
      </w:pPr>
      <w:r>
        <w:rPr>
          <w:noProof/>
        </w:rPr>
        <mc:AlternateContent>
          <mc:Choice Requires="wps">
            <w:drawing>
              <wp:anchor distT="0" distB="0" distL="114300" distR="114300" simplePos="0" relativeHeight="251658255" behindDoc="0" locked="0" layoutInCell="1" allowOverlap="1" wp14:anchorId="75C9AD8D" wp14:editId="500E8287">
                <wp:simplePos x="0" y="0"/>
                <wp:positionH relativeFrom="margin">
                  <wp:posOffset>721435</wp:posOffset>
                </wp:positionH>
                <wp:positionV relativeFrom="paragraph">
                  <wp:posOffset>901506</wp:posOffset>
                </wp:positionV>
                <wp:extent cx="4716000" cy="0"/>
                <wp:effectExtent l="0" t="19050" r="46990" b="38100"/>
                <wp:wrapNone/>
                <wp:docPr id="2117299046" name="Straight Connector 21172990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1600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2AE0DBFF">
              <v:line id="Straight Connector 4" style="position:absolute;z-index:251657728;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69acdf [3205]" strokeweight="4.5pt" from="56.8pt,71pt" to="428.15pt,71pt" w14:anchorId="5070D8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n0vAEAAOIDAAAOAAAAZHJzL2Uyb0RvYy54bWysU8Fu1DAQvSPxD5bvbJIVbVG02R5alQuC&#10;CugHuM54Y8n2WLbZZP+esZPNVgUhgbg49njemzfPk93tZA07QogaXcebTc0ZOIm9doeOP31/ePeB&#10;s5iE64VBBx0/QeS3+7dvdqNvYYsDmh4CIxIX29F3fEjJt1UV5QBWxA16cHSpMFiR6BgOVR/ESOzW&#10;VNu6vq5GDL0PKCFGit7Pl3xf+JUCmb4oFSEx03HSlsoayvqc12q/E+0hCD9oucgQ/6DCCu2o6Ep1&#10;L5JgP4L+hcpqGTCiShuJtkKltITSA3XT1K+6+TYID6UXMif61ab4/2jl5+Odewxkw+hjG/1jyF1M&#10;Ktj8JX1sKmadVrNgSkxS8P1Nc13X5Kk831UXoA8xfQS0LG86brTLfYhWHD/FRMUo9ZySw8axseNX&#10;N81VXdIiGt0/aGPyZZkFuDOBHQW9opASXNrmlyOWF5l0Mo6Cl0bKLp0MzDW+gmK6J+nNXCTP2Gve&#10;ZuE1jrIzTJGKFbio+xNwyc9QKPP3N+AVUSqjSyvYaofhd7LTdJas5vyzA3Pf2YJn7E/liYs1NEjF&#10;uWXo86S+PBf45dfc/wQAAP//AwBQSwMEFAAGAAgAAAAhAMMfKBDdAAAACwEAAA8AAABkcnMvZG93&#10;bnJldi54bWxMj0FLw0AQhe+C/2EZwUuxm7Ya2phNkYKix0bpeZudZkN3Z0N226b/3hEEvc2bebz5&#10;XrkevRNnHGIXSMFsmoFAaoLpqFXw9fn6sAQRkyajXSBUcMUI6+r2ptSFCRfa4rlOreAQioVWYFPq&#10;CyljY9HrOA09Et8OYfA6sRxaaQZ94XDv5DzLcul1R/zB6h43FptjffIKdvUbvrtNZsNuNcQjfkyu&#10;Wk6Uur8bX55BJBzTnxl+8BkdKmbahxOZKBzr2SJnKw+Pcy7FjuVTvgCx/93IqpT/O1TfAAAA//8D&#10;AFBLAQItABQABgAIAAAAIQC2gziS/gAAAOEBAAATAAAAAAAAAAAAAAAAAAAAAABbQ29udGVudF9U&#10;eXBlc10ueG1sUEsBAi0AFAAGAAgAAAAhADj9If/WAAAAlAEAAAsAAAAAAAAAAAAAAAAALwEAAF9y&#10;ZWxzLy5yZWxzUEsBAi0AFAAGAAgAAAAhAELPifS8AQAA4gMAAA4AAAAAAAAAAAAAAAAALgIAAGRy&#10;cy9lMm9Eb2MueG1sUEsBAi0AFAAGAAgAAAAhAMMfKBDdAAAACwEAAA8AAAAAAAAAAAAAAAAAFgQA&#10;AGRycy9kb3ducmV2LnhtbFBLBQYAAAAABAAEAPMAAAAgBQAAAAA=&#10;">
                <w10:wrap anchorx="margin"/>
              </v:line>
            </w:pict>
          </mc:Fallback>
        </mc:AlternateContent>
      </w:r>
      <w:r w:rsidR="00392A7A">
        <w:t xml:space="preserve">If I’m having a bad day I’d be like, “Oh, I really don’t want to go,” but then I’d be like “No. I’ll just go to school” because I know once I get there, I’ll feel a lot better. </w:t>
      </w:r>
      <w:r w:rsidR="00392A7A" w:rsidRPr="00392A7A">
        <w:rPr>
          <w:iCs/>
        </w:rPr>
        <w:t>(Young person interview)</w:t>
      </w:r>
    </w:p>
    <w:p w14:paraId="767D3A39" w14:textId="5F68FEF9" w:rsidR="002923E3" w:rsidRDefault="00582D60" w:rsidP="003D3F0D">
      <w:pPr>
        <w:pStyle w:val="HangingQuote"/>
      </w:pPr>
      <w:r>
        <w:t xml:space="preserve">I struggle </w:t>
      </w:r>
      <w:proofErr w:type="gramStart"/>
      <w:r>
        <w:t>really badly</w:t>
      </w:r>
      <w:proofErr w:type="gramEnd"/>
      <w:r>
        <w:t xml:space="preserve"> with my mental health </w:t>
      </w:r>
      <w:r w:rsidRPr="007D039D">
        <w:rPr>
          <w:iCs/>
        </w:rPr>
        <w:t>[but]</w:t>
      </w:r>
      <w:r>
        <w:t xml:space="preserve"> I know when I do come to school … I always have that support … you don’t just have your Youth Worker and your Key Worker, you’ve got all these other youth workers and teachers who are going to check in if they see you upset … if your worker isn’t there you’re not left in the dark, you’ve always got help with coping mechanisms or friendship … no matter what you’re not alone … that really stands out at this school. </w:t>
      </w:r>
      <w:r w:rsidRPr="007D039D">
        <w:rPr>
          <w:iCs/>
        </w:rPr>
        <w:t>(Young person interview)</w:t>
      </w:r>
    </w:p>
    <w:p w14:paraId="275D6D0E" w14:textId="7747B9EA" w:rsidR="00582D60" w:rsidRDefault="00AB4895" w:rsidP="00582D60">
      <w:r w:rsidRPr="00AB4895">
        <w:t>Attendance on campus is recorded for all HHA students including Living Learning young people. Attendance rates are calculated as a percentage of the total number of days of class activities for which an individual student attends school. In March 2022, MCM rolled out new software to capture attendance that accounts for the number of days per week that classes were offered to students.</w:t>
      </w:r>
    </w:p>
    <w:p w14:paraId="2A91FF8B" w14:textId="1EED9648" w:rsidR="00582D60" w:rsidRDefault="00AB4895" w:rsidP="00AB4895">
      <w:pPr>
        <w:pStyle w:val="Caption"/>
      </w:pPr>
      <w:bookmarkStart w:id="45" w:name="_Toc150431958"/>
      <w:r>
        <w:t xml:space="preserve">Table </w:t>
      </w:r>
      <w:r>
        <w:fldChar w:fldCharType="begin"/>
      </w:r>
      <w:r>
        <w:instrText xml:space="preserve"> SEQ Table \* ARABIC </w:instrText>
      </w:r>
      <w:r>
        <w:fldChar w:fldCharType="separate"/>
      </w:r>
      <w:r w:rsidR="008D0FC1">
        <w:rPr>
          <w:noProof/>
        </w:rPr>
        <w:t>8</w:t>
      </w:r>
      <w:r>
        <w:fldChar w:fldCharType="end"/>
      </w:r>
      <w:r>
        <w:t xml:space="preserve"> Attendance percentage for Living Learning and HHA students in 2021</w:t>
      </w:r>
      <w:r w:rsidR="00467239">
        <w:t xml:space="preserve"> and </w:t>
      </w:r>
      <w:proofErr w:type="gramStart"/>
      <w:r w:rsidR="00467239">
        <w:t>2022</w:t>
      </w:r>
      <w:bookmarkEnd w:id="45"/>
      <w:proofErr w:type="gramEnd"/>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CellMar>
          <w:left w:w="0" w:type="dxa"/>
          <w:right w:w="0" w:type="dxa"/>
        </w:tblCellMar>
        <w:tblLook w:val="0420" w:firstRow="1" w:lastRow="0" w:firstColumn="0" w:lastColumn="0" w:noHBand="0" w:noVBand="1"/>
      </w:tblPr>
      <w:tblGrid>
        <w:gridCol w:w="988"/>
        <w:gridCol w:w="2160"/>
        <w:gridCol w:w="2160"/>
        <w:gridCol w:w="2160"/>
        <w:gridCol w:w="2160"/>
      </w:tblGrid>
      <w:tr w:rsidR="00467239" w:rsidRPr="00780518" w14:paraId="54E836D7" w14:textId="77777777" w:rsidTr="00467239">
        <w:trPr>
          <w:trHeight w:val="474"/>
          <w:tblHeader/>
        </w:trPr>
        <w:tc>
          <w:tcPr>
            <w:tcW w:w="988" w:type="dxa"/>
            <w:shd w:val="clear" w:color="auto" w:fill="4B91D7"/>
          </w:tcPr>
          <w:p w14:paraId="6C5D088C" w14:textId="3ACBD0EE" w:rsidR="00467239" w:rsidRPr="003D5129" w:rsidRDefault="00467239">
            <w:pPr>
              <w:pStyle w:val="Table-Heading"/>
              <w:rPr>
                <w:color w:val="FFFFFF" w:themeColor="background1"/>
                <w:lang w:val="en-US"/>
              </w:rPr>
            </w:pPr>
            <w:r>
              <w:rPr>
                <w:color w:val="FFFFFF" w:themeColor="background1"/>
                <w:lang w:val="en-US"/>
              </w:rPr>
              <w:t>Year</w:t>
            </w:r>
          </w:p>
        </w:tc>
        <w:tc>
          <w:tcPr>
            <w:tcW w:w="2160" w:type="dxa"/>
            <w:shd w:val="clear" w:color="auto" w:fill="4B91D7"/>
          </w:tcPr>
          <w:p w14:paraId="601EA5A9" w14:textId="6B44A6ED" w:rsidR="00467239" w:rsidRPr="00780518" w:rsidRDefault="00467239">
            <w:pPr>
              <w:pStyle w:val="Table-Heading"/>
              <w:rPr>
                <w:color w:val="FFFFFF" w:themeColor="background1"/>
              </w:rPr>
            </w:pPr>
            <w:r>
              <w:rPr>
                <w:color w:val="FFFFFF" w:themeColor="background1"/>
              </w:rPr>
              <w:t>Living Learning Cohort 1</w:t>
            </w:r>
          </w:p>
        </w:tc>
        <w:tc>
          <w:tcPr>
            <w:tcW w:w="2160" w:type="dxa"/>
            <w:shd w:val="clear" w:color="auto" w:fill="4B91D7"/>
          </w:tcPr>
          <w:p w14:paraId="61B02AB2" w14:textId="395BCB76" w:rsidR="00467239" w:rsidRPr="00780518" w:rsidRDefault="00467239">
            <w:pPr>
              <w:pStyle w:val="Table-Heading"/>
              <w:rPr>
                <w:color w:val="FFFFFF" w:themeColor="background1"/>
              </w:rPr>
            </w:pPr>
            <w:r>
              <w:rPr>
                <w:color w:val="FFFFFF" w:themeColor="background1"/>
              </w:rPr>
              <w:t>Living Learning Cohort 2</w:t>
            </w:r>
          </w:p>
        </w:tc>
        <w:tc>
          <w:tcPr>
            <w:tcW w:w="2160" w:type="dxa"/>
            <w:shd w:val="clear" w:color="auto" w:fill="4B91D7"/>
          </w:tcPr>
          <w:p w14:paraId="481DD4E6" w14:textId="3E41585E" w:rsidR="00467239" w:rsidRPr="00780518" w:rsidRDefault="00467239">
            <w:pPr>
              <w:pStyle w:val="Table-Heading"/>
              <w:rPr>
                <w:color w:val="FFFFFF" w:themeColor="background1"/>
              </w:rPr>
            </w:pPr>
            <w:r>
              <w:rPr>
                <w:color w:val="FFFFFF" w:themeColor="background1"/>
              </w:rPr>
              <w:t>Non-Living Learning students</w:t>
            </w:r>
          </w:p>
        </w:tc>
        <w:tc>
          <w:tcPr>
            <w:tcW w:w="2160" w:type="dxa"/>
            <w:shd w:val="clear" w:color="auto" w:fill="4B91D7"/>
          </w:tcPr>
          <w:p w14:paraId="3B7D6714" w14:textId="2F0FDE07" w:rsidR="00467239" w:rsidRPr="00780518" w:rsidRDefault="00467239">
            <w:pPr>
              <w:pStyle w:val="Table-Heading"/>
              <w:rPr>
                <w:color w:val="FFFFFF" w:themeColor="background1"/>
              </w:rPr>
            </w:pPr>
            <w:r>
              <w:rPr>
                <w:color w:val="FFFFFF" w:themeColor="background1"/>
              </w:rPr>
              <w:t>AI HHA* students</w:t>
            </w:r>
          </w:p>
        </w:tc>
      </w:tr>
      <w:tr w:rsidR="001E3B35" w:rsidRPr="00780518" w14:paraId="6905DD6D" w14:textId="77777777" w:rsidTr="00467239">
        <w:trPr>
          <w:trHeight w:val="474"/>
        </w:trPr>
        <w:tc>
          <w:tcPr>
            <w:tcW w:w="988" w:type="dxa"/>
            <w:shd w:val="clear" w:color="auto" w:fill="auto"/>
          </w:tcPr>
          <w:p w14:paraId="6B8CC85E" w14:textId="1DA051AD" w:rsidR="001E3B35" w:rsidRPr="00C1490D" w:rsidRDefault="001E3B35" w:rsidP="001E3B35">
            <w:pPr>
              <w:pStyle w:val="Table-Text"/>
              <w:rPr>
                <w:rFonts w:cs="Arial"/>
                <w:szCs w:val="20"/>
              </w:rPr>
            </w:pPr>
            <w:r>
              <w:rPr>
                <w:rFonts w:cs="Arial"/>
                <w:szCs w:val="20"/>
              </w:rPr>
              <w:t>2021</w:t>
            </w:r>
          </w:p>
        </w:tc>
        <w:tc>
          <w:tcPr>
            <w:tcW w:w="2160" w:type="dxa"/>
          </w:tcPr>
          <w:p w14:paraId="7874BEEB" w14:textId="39447EED" w:rsidR="001E3B35" w:rsidRPr="00780518" w:rsidRDefault="001E3B35" w:rsidP="001E3B35">
            <w:pPr>
              <w:pStyle w:val="Table-Text"/>
              <w:rPr>
                <w:rFonts w:cs="Arial"/>
                <w:szCs w:val="20"/>
              </w:rPr>
            </w:pPr>
            <w:r w:rsidRPr="0001502E">
              <w:t>50.9% (n=47)</w:t>
            </w:r>
          </w:p>
        </w:tc>
        <w:tc>
          <w:tcPr>
            <w:tcW w:w="2160" w:type="dxa"/>
          </w:tcPr>
          <w:p w14:paraId="6FF0DC63" w14:textId="13C60C30" w:rsidR="001E3B35" w:rsidRPr="00780518" w:rsidRDefault="001E3B35" w:rsidP="001E3B35">
            <w:pPr>
              <w:pStyle w:val="Table-Text"/>
              <w:rPr>
                <w:rFonts w:cs="Arial"/>
                <w:szCs w:val="20"/>
              </w:rPr>
            </w:pPr>
            <w:r w:rsidRPr="0001502E">
              <w:t>n/a</w:t>
            </w:r>
          </w:p>
        </w:tc>
        <w:tc>
          <w:tcPr>
            <w:tcW w:w="2160" w:type="dxa"/>
            <w:shd w:val="clear" w:color="auto" w:fill="auto"/>
          </w:tcPr>
          <w:p w14:paraId="12EFBE6E" w14:textId="2FCE48DB" w:rsidR="001E3B35" w:rsidRPr="00780518" w:rsidRDefault="001E3B35" w:rsidP="001E3B35">
            <w:pPr>
              <w:pStyle w:val="Table-Text"/>
              <w:rPr>
                <w:rFonts w:cs="Arial"/>
                <w:szCs w:val="20"/>
              </w:rPr>
            </w:pPr>
            <w:r w:rsidRPr="0001502E">
              <w:t>44.0% (n=301)</w:t>
            </w:r>
          </w:p>
        </w:tc>
        <w:tc>
          <w:tcPr>
            <w:tcW w:w="2160" w:type="dxa"/>
          </w:tcPr>
          <w:p w14:paraId="1269343E" w14:textId="17CDD4F9" w:rsidR="001E3B35" w:rsidRPr="00780518" w:rsidRDefault="001E3B35" w:rsidP="001E3B35">
            <w:pPr>
              <w:pStyle w:val="Table-Text"/>
              <w:rPr>
                <w:rFonts w:cs="Arial"/>
                <w:szCs w:val="20"/>
              </w:rPr>
            </w:pPr>
            <w:r w:rsidRPr="0001502E">
              <w:t>45.1% (n=348)</w:t>
            </w:r>
          </w:p>
        </w:tc>
      </w:tr>
      <w:tr w:rsidR="001E3B35" w:rsidRPr="00780518" w14:paraId="67BC7F43" w14:textId="77777777" w:rsidTr="00467239">
        <w:trPr>
          <w:trHeight w:val="474"/>
        </w:trPr>
        <w:tc>
          <w:tcPr>
            <w:tcW w:w="988" w:type="dxa"/>
            <w:shd w:val="clear" w:color="auto" w:fill="auto"/>
          </w:tcPr>
          <w:p w14:paraId="210C9390" w14:textId="72C8665B" w:rsidR="001E3B35" w:rsidRPr="00C1490D" w:rsidRDefault="001E3B35" w:rsidP="001E3B35">
            <w:pPr>
              <w:pStyle w:val="Table-Text"/>
              <w:rPr>
                <w:rFonts w:cs="Arial"/>
                <w:szCs w:val="20"/>
              </w:rPr>
            </w:pPr>
            <w:r>
              <w:rPr>
                <w:rFonts w:cs="Arial"/>
                <w:szCs w:val="20"/>
              </w:rPr>
              <w:t>2022</w:t>
            </w:r>
          </w:p>
        </w:tc>
        <w:tc>
          <w:tcPr>
            <w:tcW w:w="2160" w:type="dxa"/>
          </w:tcPr>
          <w:p w14:paraId="2F5B56CA" w14:textId="4E701F03" w:rsidR="001E3B35" w:rsidRPr="00780518" w:rsidRDefault="001E3B35" w:rsidP="001E3B35">
            <w:pPr>
              <w:pStyle w:val="Table-Text"/>
              <w:rPr>
                <w:rFonts w:cs="Arial"/>
                <w:szCs w:val="20"/>
              </w:rPr>
            </w:pPr>
            <w:r w:rsidRPr="0001502E">
              <w:t>36.7% (n=36#)</w:t>
            </w:r>
          </w:p>
        </w:tc>
        <w:tc>
          <w:tcPr>
            <w:tcW w:w="2160" w:type="dxa"/>
          </w:tcPr>
          <w:p w14:paraId="46E162E8" w14:textId="3E6285AA" w:rsidR="001E3B35" w:rsidRPr="00780518" w:rsidRDefault="001E3B35" w:rsidP="001E3B35">
            <w:pPr>
              <w:pStyle w:val="Table-Text"/>
              <w:rPr>
                <w:rFonts w:cs="Arial"/>
                <w:szCs w:val="20"/>
              </w:rPr>
            </w:pPr>
            <w:r w:rsidRPr="0001502E">
              <w:t>45.3% (n=48)</w:t>
            </w:r>
          </w:p>
        </w:tc>
        <w:tc>
          <w:tcPr>
            <w:tcW w:w="2160" w:type="dxa"/>
            <w:shd w:val="clear" w:color="auto" w:fill="auto"/>
          </w:tcPr>
          <w:p w14:paraId="7A85C38A" w14:textId="64AEA0D9" w:rsidR="001E3B35" w:rsidRPr="00780518" w:rsidRDefault="001E3B35" w:rsidP="001E3B35">
            <w:pPr>
              <w:pStyle w:val="Table-Text"/>
              <w:rPr>
                <w:rFonts w:cs="Arial"/>
                <w:szCs w:val="20"/>
              </w:rPr>
            </w:pPr>
            <w:r w:rsidRPr="0001502E">
              <w:t>42.6% (n=415)</w:t>
            </w:r>
          </w:p>
        </w:tc>
        <w:tc>
          <w:tcPr>
            <w:tcW w:w="2160" w:type="dxa"/>
          </w:tcPr>
          <w:p w14:paraId="78AB893A" w14:textId="1A5D99B9" w:rsidR="001E3B35" w:rsidRPr="00780518" w:rsidRDefault="001E3B35" w:rsidP="001E3B35">
            <w:pPr>
              <w:pStyle w:val="Table-Text"/>
              <w:rPr>
                <w:rFonts w:cs="Arial"/>
                <w:szCs w:val="20"/>
              </w:rPr>
            </w:pPr>
            <w:r w:rsidRPr="0001502E">
              <w:t>42.1% (n=499)</w:t>
            </w:r>
          </w:p>
        </w:tc>
      </w:tr>
      <w:tr w:rsidR="001E3B35" w:rsidRPr="00780518" w14:paraId="4C24D520" w14:textId="77777777" w:rsidTr="00467239">
        <w:trPr>
          <w:trHeight w:val="474"/>
        </w:trPr>
        <w:tc>
          <w:tcPr>
            <w:tcW w:w="988" w:type="dxa"/>
            <w:tcBorders>
              <w:top w:val="single" w:sz="12" w:space="0" w:color="69ACDF" w:themeColor="accent2"/>
              <w:bottom w:val="single" w:sz="12" w:space="0" w:color="69ACDF" w:themeColor="accent2"/>
            </w:tcBorders>
            <w:shd w:val="clear" w:color="auto" w:fill="E0EEF8" w:themeFill="accent2" w:themeFillTint="33"/>
          </w:tcPr>
          <w:p w14:paraId="0C901482" w14:textId="39A404FF" w:rsidR="001E3B35" w:rsidRPr="004A3E90" w:rsidRDefault="001E3B35" w:rsidP="001E3B35">
            <w:pPr>
              <w:pStyle w:val="Table-Text"/>
              <w:rPr>
                <w:b/>
                <w:bCs/>
              </w:rPr>
            </w:pPr>
            <w:r>
              <w:rPr>
                <w:b/>
                <w:bCs/>
              </w:rPr>
              <w:t>Change</w:t>
            </w:r>
          </w:p>
        </w:tc>
        <w:tc>
          <w:tcPr>
            <w:tcW w:w="2160" w:type="dxa"/>
            <w:tcBorders>
              <w:top w:val="single" w:sz="12" w:space="0" w:color="69ACDF" w:themeColor="accent2"/>
              <w:bottom w:val="single" w:sz="12" w:space="0" w:color="69ACDF" w:themeColor="accent2"/>
            </w:tcBorders>
            <w:shd w:val="clear" w:color="auto" w:fill="E0EEF8" w:themeFill="accent2" w:themeFillTint="33"/>
          </w:tcPr>
          <w:p w14:paraId="6180D074" w14:textId="13DF0F79" w:rsidR="001E3B35" w:rsidRPr="001E3B35" w:rsidRDefault="001E3B35" w:rsidP="001E3B35">
            <w:pPr>
              <w:pStyle w:val="Table-Text"/>
              <w:rPr>
                <w:b/>
                <w:bCs/>
              </w:rPr>
            </w:pPr>
            <w:r w:rsidRPr="001E3B35">
              <w:rPr>
                <w:b/>
                <w:bCs/>
              </w:rPr>
              <w:t>-14.2%</w:t>
            </w:r>
          </w:p>
        </w:tc>
        <w:tc>
          <w:tcPr>
            <w:tcW w:w="2160" w:type="dxa"/>
            <w:tcBorders>
              <w:top w:val="single" w:sz="12" w:space="0" w:color="69ACDF" w:themeColor="accent2"/>
              <w:bottom w:val="single" w:sz="12" w:space="0" w:color="69ACDF" w:themeColor="accent2"/>
            </w:tcBorders>
            <w:shd w:val="clear" w:color="auto" w:fill="E0EEF8" w:themeFill="accent2" w:themeFillTint="33"/>
          </w:tcPr>
          <w:p w14:paraId="6D93F4A3" w14:textId="6F615073" w:rsidR="001E3B35" w:rsidRPr="001E3B35" w:rsidRDefault="001E3B35" w:rsidP="001E3B35">
            <w:pPr>
              <w:pStyle w:val="Table-Text"/>
              <w:rPr>
                <w:b/>
                <w:bCs/>
              </w:rPr>
            </w:pPr>
            <w:r w:rsidRPr="001E3B35">
              <w:rPr>
                <w:b/>
                <w:bCs/>
              </w:rPr>
              <w:t>n/a</w:t>
            </w:r>
          </w:p>
        </w:tc>
        <w:tc>
          <w:tcPr>
            <w:tcW w:w="2160" w:type="dxa"/>
            <w:tcBorders>
              <w:top w:val="single" w:sz="12" w:space="0" w:color="69ACDF" w:themeColor="accent2"/>
              <w:bottom w:val="single" w:sz="12" w:space="0" w:color="69ACDF" w:themeColor="accent2"/>
            </w:tcBorders>
            <w:shd w:val="clear" w:color="auto" w:fill="E0EEF8" w:themeFill="accent2" w:themeFillTint="33"/>
          </w:tcPr>
          <w:p w14:paraId="0E6F78ED" w14:textId="03582E2A" w:rsidR="001E3B35" w:rsidRPr="001E3B35" w:rsidRDefault="001E3B35" w:rsidP="001E3B35">
            <w:pPr>
              <w:pStyle w:val="Table-Text"/>
              <w:rPr>
                <w:b/>
                <w:bCs/>
              </w:rPr>
            </w:pPr>
            <w:r w:rsidRPr="001E3B35">
              <w:rPr>
                <w:b/>
                <w:bCs/>
              </w:rPr>
              <w:t>-1.4%</w:t>
            </w:r>
          </w:p>
        </w:tc>
        <w:tc>
          <w:tcPr>
            <w:tcW w:w="2160" w:type="dxa"/>
            <w:tcBorders>
              <w:top w:val="single" w:sz="12" w:space="0" w:color="69ACDF" w:themeColor="accent2"/>
              <w:bottom w:val="single" w:sz="12" w:space="0" w:color="69ACDF" w:themeColor="accent2"/>
            </w:tcBorders>
            <w:shd w:val="clear" w:color="auto" w:fill="E0EEF8" w:themeFill="accent2" w:themeFillTint="33"/>
          </w:tcPr>
          <w:p w14:paraId="657ECA54" w14:textId="68EFA166" w:rsidR="001E3B35" w:rsidRPr="001E3B35" w:rsidRDefault="001E3B35" w:rsidP="001E3B35">
            <w:pPr>
              <w:pStyle w:val="Table-Text"/>
              <w:rPr>
                <w:b/>
                <w:bCs/>
              </w:rPr>
            </w:pPr>
            <w:r w:rsidRPr="001E3B35">
              <w:rPr>
                <w:b/>
                <w:bCs/>
              </w:rPr>
              <w:t>-3.0%</w:t>
            </w:r>
          </w:p>
        </w:tc>
      </w:tr>
    </w:tbl>
    <w:p w14:paraId="05E0F63B" w14:textId="77777777" w:rsidR="00F530E1" w:rsidRDefault="00F530E1" w:rsidP="00F530E1">
      <w:pPr>
        <w:pStyle w:val="ImageSource"/>
        <w:spacing w:after="0"/>
      </w:pPr>
      <w:r>
        <w:t>Note: *'All HHA' includes enrolments throughout the year, so not all necessarily enrolled at the one point in time.</w:t>
      </w:r>
    </w:p>
    <w:p w14:paraId="568AE3CA" w14:textId="77777777" w:rsidR="00F530E1" w:rsidRDefault="00F530E1" w:rsidP="00A724E8">
      <w:pPr>
        <w:pStyle w:val="ImageSource"/>
      </w:pPr>
      <w:r>
        <w:t># Among Cohort 1, 11 young people left HHA in 2022 and as a result no attendance data is recorded after their departure. Source: HHA and Living Learning data.</w:t>
      </w:r>
    </w:p>
    <w:p w14:paraId="024A7890" w14:textId="77777777" w:rsidR="000F7769" w:rsidRDefault="000F7769" w:rsidP="000F7769">
      <w:r>
        <w:t>As noted in the Formative Report, in 2021 Cohort 1 attended school at higher rates compared with the other HHA students, with average attendance 50.9 per cent compared to 44 per cent for non-Living Learning students. As shown in Table 8, in 2022, attendance rates among Cohort 1 participants in their second year of program participation generally decreased by approximately 14 per cent.</w:t>
      </w:r>
    </w:p>
    <w:p w14:paraId="7DFFCD81" w14:textId="788C9C80" w:rsidR="000F7769" w:rsidRDefault="000F7769" w:rsidP="000F7769">
      <w:r>
        <w:t>Among the 36 young people in Cohort 1 who remained at HHA throughout 2022, average attendance was 36.7 per cent, a 14.2 per cent decline on the previous year. For over half of Cohort 1 (58 per cent) average attendance decreased by more than 20 per cent between 2021 and 2022, while average attendance increased for four Cohort 1 participants.</w:t>
      </w:r>
      <w:r>
        <w:br w:type="page"/>
      </w:r>
    </w:p>
    <w:p w14:paraId="597BB99C" w14:textId="77777777" w:rsidR="000F7769" w:rsidRDefault="000F7769" w:rsidP="000F7769">
      <w:r>
        <w:t>Living Learning staff have identified three main drivers for the change in attendance rates in Cohort 1 including:</w:t>
      </w:r>
    </w:p>
    <w:p w14:paraId="7A8C8E3A" w14:textId="4BB8D7D5" w:rsidR="000F7769" w:rsidRDefault="000F7769" w:rsidP="000F7769">
      <w:pPr>
        <w:pStyle w:val="ListBullet"/>
      </w:pPr>
      <w:r>
        <w:t xml:space="preserve">Intensive support and transport </w:t>
      </w:r>
      <w:proofErr w:type="gramStart"/>
      <w:r>
        <w:t>was</w:t>
      </w:r>
      <w:proofErr w:type="gramEnd"/>
      <w:r>
        <w:t xml:space="preserve"> provided to students in 2021 during and after COVID-19 lockdowns to manage student engagement and support regular attendance.</w:t>
      </w:r>
    </w:p>
    <w:p w14:paraId="7D39513C" w14:textId="39589718" w:rsidR="000F7769" w:rsidRDefault="000F7769" w:rsidP="000F7769">
      <w:pPr>
        <w:pStyle w:val="ListBullet"/>
      </w:pPr>
      <w:r>
        <w:t>Some Cohort 1 students have experienced challenges due individual circumstance relating to gender transition, housing insecurity, transition out of out-of-home care, exiting youth detention and struggling with mental health. Attendance among some of these young people dropped by approximately 20 per cent in 2022.</w:t>
      </w:r>
    </w:p>
    <w:p w14:paraId="1AEE68E7" w14:textId="46390375" w:rsidR="000F7769" w:rsidRDefault="000F7769" w:rsidP="000F7769">
      <w:pPr>
        <w:pStyle w:val="ListBullet"/>
      </w:pPr>
      <w:r>
        <w:t>Among some young people in this cohort there is a sense of ‘outgrowing’ the school environment while simultaneously seeking out more opportunities to work or pursue higher studies including apprenticeships. During this transition period HHA will intentionally keep their enrolment open, and record attendance, to ensure the student has a ‘fall back’ option if the new activity falls through quickly. This is driving large reductions (40-50%) for four students in this period.</w:t>
      </w:r>
    </w:p>
    <w:p w14:paraId="35FE4EDD" w14:textId="286A8628" w:rsidR="00262B3C" w:rsidRDefault="000F7769" w:rsidP="000F7769">
      <w:r>
        <w:t xml:space="preserve">Attendance data across the four school terms shows a lower rate of attendance in Term 3 for both Living Learning cohorts and the broader HHA population. In 2022, attendance trends down from Term 1 to Term 3 and shows an increase in Term 4, as presented in </w:t>
      </w:r>
      <w:r w:rsidR="002145A0">
        <w:rPr>
          <w:highlight w:val="yellow"/>
        </w:rPr>
        <w:fldChar w:fldCharType="begin"/>
      </w:r>
      <w:r w:rsidR="002145A0">
        <w:instrText xml:space="preserve"> REF _Ref150431015 \h </w:instrText>
      </w:r>
      <w:r w:rsidR="002145A0">
        <w:rPr>
          <w:highlight w:val="yellow"/>
        </w:rPr>
      </w:r>
      <w:r w:rsidR="002145A0">
        <w:rPr>
          <w:highlight w:val="yellow"/>
        </w:rPr>
        <w:fldChar w:fldCharType="separate"/>
      </w:r>
      <w:r w:rsidR="008D0FC1">
        <w:t xml:space="preserve">Table </w:t>
      </w:r>
      <w:r w:rsidR="008D0FC1">
        <w:rPr>
          <w:noProof/>
        </w:rPr>
        <w:t>9</w:t>
      </w:r>
      <w:r w:rsidR="002145A0">
        <w:rPr>
          <w:highlight w:val="yellow"/>
        </w:rPr>
        <w:fldChar w:fldCharType="end"/>
      </w:r>
      <w:r>
        <w:t>.</w:t>
      </w:r>
    </w:p>
    <w:p w14:paraId="02E913B7" w14:textId="7BB55755" w:rsidR="00262B3C" w:rsidRDefault="00262B3C" w:rsidP="00262B3C">
      <w:pPr>
        <w:pStyle w:val="Caption"/>
      </w:pPr>
      <w:bookmarkStart w:id="46" w:name="_Ref150431015"/>
      <w:bookmarkStart w:id="47" w:name="_Toc150431959"/>
      <w:r>
        <w:t xml:space="preserve">Table </w:t>
      </w:r>
      <w:r>
        <w:fldChar w:fldCharType="begin"/>
      </w:r>
      <w:r>
        <w:instrText xml:space="preserve"> SEQ Table \* ARABIC </w:instrText>
      </w:r>
      <w:r>
        <w:fldChar w:fldCharType="separate"/>
      </w:r>
      <w:r w:rsidR="008D0FC1">
        <w:rPr>
          <w:noProof/>
        </w:rPr>
        <w:t>9</w:t>
      </w:r>
      <w:r>
        <w:fldChar w:fldCharType="end"/>
      </w:r>
      <w:bookmarkEnd w:id="46"/>
      <w:r>
        <w:t xml:space="preserve"> Attendance percentage by school terms for Living Learning and HHA students in 2021 and </w:t>
      </w:r>
      <w:proofErr w:type="gramStart"/>
      <w:r>
        <w:t>2022</w:t>
      </w:r>
      <w:bookmarkEnd w:id="47"/>
      <w:proofErr w:type="gramEnd"/>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CellMar>
          <w:left w:w="0" w:type="dxa"/>
          <w:right w:w="0" w:type="dxa"/>
        </w:tblCellMar>
        <w:tblLook w:val="0420" w:firstRow="1" w:lastRow="0" w:firstColumn="0" w:lastColumn="0" w:noHBand="0" w:noVBand="1"/>
      </w:tblPr>
      <w:tblGrid>
        <w:gridCol w:w="890"/>
        <w:gridCol w:w="948"/>
        <w:gridCol w:w="1947"/>
        <w:gridCol w:w="1948"/>
        <w:gridCol w:w="1947"/>
        <w:gridCol w:w="1948"/>
      </w:tblGrid>
      <w:tr w:rsidR="00262B3C" w:rsidRPr="00780518" w14:paraId="5F9221EF" w14:textId="77777777" w:rsidTr="00262B3C">
        <w:trPr>
          <w:trHeight w:val="474"/>
          <w:tblHeader/>
        </w:trPr>
        <w:tc>
          <w:tcPr>
            <w:tcW w:w="890" w:type="dxa"/>
            <w:shd w:val="clear" w:color="auto" w:fill="4B91D7"/>
          </w:tcPr>
          <w:p w14:paraId="5278F398" w14:textId="77777777" w:rsidR="00262B3C" w:rsidRPr="003D5129" w:rsidRDefault="00262B3C">
            <w:pPr>
              <w:pStyle w:val="Table-Heading"/>
              <w:rPr>
                <w:color w:val="FFFFFF" w:themeColor="background1"/>
                <w:lang w:val="en-US"/>
              </w:rPr>
            </w:pPr>
            <w:r>
              <w:rPr>
                <w:color w:val="FFFFFF" w:themeColor="background1"/>
                <w:lang w:val="en-US"/>
              </w:rPr>
              <w:t>Year</w:t>
            </w:r>
          </w:p>
        </w:tc>
        <w:tc>
          <w:tcPr>
            <w:tcW w:w="948" w:type="dxa"/>
            <w:shd w:val="clear" w:color="auto" w:fill="4B91D7"/>
          </w:tcPr>
          <w:p w14:paraId="256619B5" w14:textId="27027026" w:rsidR="00262B3C" w:rsidRDefault="00262B3C">
            <w:pPr>
              <w:pStyle w:val="Table-Heading"/>
              <w:rPr>
                <w:color w:val="FFFFFF" w:themeColor="background1"/>
              </w:rPr>
            </w:pPr>
            <w:r>
              <w:rPr>
                <w:color w:val="FFFFFF" w:themeColor="background1"/>
              </w:rPr>
              <w:t>Term</w:t>
            </w:r>
          </w:p>
        </w:tc>
        <w:tc>
          <w:tcPr>
            <w:tcW w:w="1947" w:type="dxa"/>
            <w:shd w:val="clear" w:color="auto" w:fill="4B91D7"/>
          </w:tcPr>
          <w:p w14:paraId="0525F4A6" w14:textId="35B96BB7" w:rsidR="00262B3C" w:rsidRPr="00780518" w:rsidRDefault="00262B3C">
            <w:pPr>
              <w:pStyle w:val="Table-Heading"/>
              <w:rPr>
                <w:color w:val="FFFFFF" w:themeColor="background1"/>
              </w:rPr>
            </w:pPr>
            <w:r>
              <w:rPr>
                <w:color w:val="FFFFFF" w:themeColor="background1"/>
              </w:rPr>
              <w:t>Living Learning Cohort 1</w:t>
            </w:r>
          </w:p>
        </w:tc>
        <w:tc>
          <w:tcPr>
            <w:tcW w:w="1948" w:type="dxa"/>
            <w:shd w:val="clear" w:color="auto" w:fill="4B91D7"/>
          </w:tcPr>
          <w:p w14:paraId="1C274366" w14:textId="77777777" w:rsidR="00262B3C" w:rsidRPr="00780518" w:rsidRDefault="00262B3C">
            <w:pPr>
              <w:pStyle w:val="Table-Heading"/>
              <w:rPr>
                <w:color w:val="FFFFFF" w:themeColor="background1"/>
              </w:rPr>
            </w:pPr>
            <w:r>
              <w:rPr>
                <w:color w:val="FFFFFF" w:themeColor="background1"/>
              </w:rPr>
              <w:t>Living Learning Cohort 2</w:t>
            </w:r>
          </w:p>
        </w:tc>
        <w:tc>
          <w:tcPr>
            <w:tcW w:w="1947" w:type="dxa"/>
            <w:shd w:val="clear" w:color="auto" w:fill="4B91D7"/>
          </w:tcPr>
          <w:p w14:paraId="29515149" w14:textId="77777777" w:rsidR="00262B3C" w:rsidRPr="00780518" w:rsidRDefault="00262B3C">
            <w:pPr>
              <w:pStyle w:val="Table-Heading"/>
              <w:rPr>
                <w:color w:val="FFFFFF" w:themeColor="background1"/>
              </w:rPr>
            </w:pPr>
            <w:r>
              <w:rPr>
                <w:color w:val="FFFFFF" w:themeColor="background1"/>
              </w:rPr>
              <w:t>Non-Living Learning students</w:t>
            </w:r>
          </w:p>
        </w:tc>
        <w:tc>
          <w:tcPr>
            <w:tcW w:w="1948" w:type="dxa"/>
            <w:shd w:val="clear" w:color="auto" w:fill="4B91D7"/>
          </w:tcPr>
          <w:p w14:paraId="2FA81DF6" w14:textId="77777777" w:rsidR="00262B3C" w:rsidRPr="00780518" w:rsidRDefault="00262B3C">
            <w:pPr>
              <w:pStyle w:val="Table-Heading"/>
              <w:rPr>
                <w:color w:val="FFFFFF" w:themeColor="background1"/>
              </w:rPr>
            </w:pPr>
            <w:r>
              <w:rPr>
                <w:color w:val="FFFFFF" w:themeColor="background1"/>
              </w:rPr>
              <w:t>AI HHA* students</w:t>
            </w:r>
          </w:p>
        </w:tc>
      </w:tr>
      <w:tr w:rsidR="00C53C43" w:rsidRPr="00780518" w14:paraId="30101F06" w14:textId="77777777" w:rsidTr="00262B3C">
        <w:trPr>
          <w:trHeight w:val="474"/>
        </w:trPr>
        <w:tc>
          <w:tcPr>
            <w:tcW w:w="890" w:type="dxa"/>
            <w:shd w:val="clear" w:color="auto" w:fill="auto"/>
          </w:tcPr>
          <w:p w14:paraId="042CB72D" w14:textId="7399042F" w:rsidR="00C53C43" w:rsidRPr="00C1490D" w:rsidRDefault="00C53C43" w:rsidP="00C53C43">
            <w:pPr>
              <w:pStyle w:val="Table-Text"/>
              <w:rPr>
                <w:rFonts w:cs="Arial"/>
                <w:szCs w:val="20"/>
              </w:rPr>
            </w:pPr>
            <w:r>
              <w:rPr>
                <w:rFonts w:cs="Arial"/>
                <w:szCs w:val="20"/>
              </w:rPr>
              <w:t>2021</w:t>
            </w:r>
          </w:p>
        </w:tc>
        <w:tc>
          <w:tcPr>
            <w:tcW w:w="948" w:type="dxa"/>
          </w:tcPr>
          <w:p w14:paraId="419A5E73" w14:textId="5E7E8276" w:rsidR="00C53C43" w:rsidRPr="0001502E" w:rsidRDefault="00C53C43" w:rsidP="00C53C43">
            <w:pPr>
              <w:pStyle w:val="Table-Text"/>
            </w:pPr>
            <w:r w:rsidRPr="003C2FBC">
              <w:t>Term 1</w:t>
            </w:r>
          </w:p>
        </w:tc>
        <w:tc>
          <w:tcPr>
            <w:tcW w:w="1947" w:type="dxa"/>
          </w:tcPr>
          <w:p w14:paraId="427BFBA9" w14:textId="3C7CB3D6" w:rsidR="00C53C43" w:rsidRPr="00780518" w:rsidRDefault="00C53C43" w:rsidP="00C53C43">
            <w:pPr>
              <w:pStyle w:val="Table-Text"/>
              <w:rPr>
                <w:rFonts w:cs="Arial"/>
                <w:szCs w:val="20"/>
              </w:rPr>
            </w:pPr>
            <w:r w:rsidRPr="009819C8">
              <w:t>52.6%</w:t>
            </w:r>
          </w:p>
        </w:tc>
        <w:tc>
          <w:tcPr>
            <w:tcW w:w="1948" w:type="dxa"/>
          </w:tcPr>
          <w:p w14:paraId="297252B8" w14:textId="170BF954" w:rsidR="00C53C43" w:rsidRPr="00780518" w:rsidRDefault="00C53C43" w:rsidP="00C53C43">
            <w:pPr>
              <w:pStyle w:val="Table-Text"/>
              <w:rPr>
                <w:rFonts w:cs="Arial"/>
                <w:szCs w:val="20"/>
              </w:rPr>
            </w:pPr>
            <w:r w:rsidRPr="009819C8">
              <w:t>NA</w:t>
            </w:r>
          </w:p>
        </w:tc>
        <w:tc>
          <w:tcPr>
            <w:tcW w:w="1947" w:type="dxa"/>
            <w:shd w:val="clear" w:color="auto" w:fill="auto"/>
          </w:tcPr>
          <w:p w14:paraId="21DC2BE5" w14:textId="4168C429" w:rsidR="00C53C43" w:rsidRPr="00780518" w:rsidRDefault="00C53C43" w:rsidP="00C53C43">
            <w:pPr>
              <w:pStyle w:val="Table-Text"/>
              <w:rPr>
                <w:rFonts w:cs="Arial"/>
                <w:szCs w:val="20"/>
              </w:rPr>
            </w:pPr>
            <w:r w:rsidRPr="009819C8">
              <w:t>41.6%</w:t>
            </w:r>
          </w:p>
        </w:tc>
        <w:tc>
          <w:tcPr>
            <w:tcW w:w="1948" w:type="dxa"/>
          </w:tcPr>
          <w:p w14:paraId="168CBBDF" w14:textId="6B3A3F05" w:rsidR="00C53C43" w:rsidRPr="00780518" w:rsidRDefault="00C53C43" w:rsidP="00C53C43">
            <w:pPr>
              <w:pStyle w:val="Table-Text"/>
              <w:rPr>
                <w:rFonts w:cs="Arial"/>
                <w:szCs w:val="20"/>
              </w:rPr>
            </w:pPr>
            <w:r w:rsidRPr="009819C8">
              <w:t>42.9%</w:t>
            </w:r>
          </w:p>
        </w:tc>
      </w:tr>
      <w:tr w:rsidR="00C53C43" w:rsidRPr="00780518" w14:paraId="36D39777" w14:textId="77777777" w:rsidTr="00262B3C">
        <w:trPr>
          <w:trHeight w:val="474"/>
        </w:trPr>
        <w:tc>
          <w:tcPr>
            <w:tcW w:w="890" w:type="dxa"/>
            <w:shd w:val="clear" w:color="auto" w:fill="auto"/>
          </w:tcPr>
          <w:p w14:paraId="3A2AAF62" w14:textId="0F639AEC" w:rsidR="00C53C43" w:rsidRPr="00C1490D" w:rsidRDefault="00C53C43" w:rsidP="00C53C43">
            <w:pPr>
              <w:pStyle w:val="Table-Text"/>
              <w:rPr>
                <w:rFonts w:cs="Arial"/>
                <w:szCs w:val="20"/>
              </w:rPr>
            </w:pPr>
            <w:r>
              <w:rPr>
                <w:rFonts w:cs="Arial"/>
                <w:szCs w:val="20"/>
              </w:rPr>
              <w:t>2021</w:t>
            </w:r>
          </w:p>
        </w:tc>
        <w:tc>
          <w:tcPr>
            <w:tcW w:w="948" w:type="dxa"/>
          </w:tcPr>
          <w:p w14:paraId="1297115B" w14:textId="365FC39B" w:rsidR="00C53C43" w:rsidRPr="0001502E" w:rsidRDefault="00C53C43" w:rsidP="00C53C43">
            <w:pPr>
              <w:pStyle w:val="Table-Text"/>
            </w:pPr>
            <w:r w:rsidRPr="003C2FBC">
              <w:t>Term 2</w:t>
            </w:r>
          </w:p>
        </w:tc>
        <w:tc>
          <w:tcPr>
            <w:tcW w:w="1947" w:type="dxa"/>
          </w:tcPr>
          <w:p w14:paraId="48817FDD" w14:textId="349092C3" w:rsidR="00C53C43" w:rsidRPr="00780518" w:rsidRDefault="00C53C43" w:rsidP="00C53C43">
            <w:pPr>
              <w:pStyle w:val="Table-Text"/>
              <w:rPr>
                <w:rFonts w:cs="Arial"/>
                <w:szCs w:val="20"/>
              </w:rPr>
            </w:pPr>
            <w:r w:rsidRPr="009819C8">
              <w:t>55.9%</w:t>
            </w:r>
          </w:p>
        </w:tc>
        <w:tc>
          <w:tcPr>
            <w:tcW w:w="1948" w:type="dxa"/>
          </w:tcPr>
          <w:p w14:paraId="2B1316C8" w14:textId="295B04B4" w:rsidR="00C53C43" w:rsidRPr="00780518" w:rsidRDefault="00C53C43" w:rsidP="00C53C43">
            <w:pPr>
              <w:pStyle w:val="Table-Text"/>
              <w:rPr>
                <w:rFonts w:cs="Arial"/>
                <w:szCs w:val="20"/>
              </w:rPr>
            </w:pPr>
            <w:r w:rsidRPr="009819C8">
              <w:t>NA</w:t>
            </w:r>
          </w:p>
        </w:tc>
        <w:tc>
          <w:tcPr>
            <w:tcW w:w="1947" w:type="dxa"/>
            <w:shd w:val="clear" w:color="auto" w:fill="auto"/>
          </w:tcPr>
          <w:p w14:paraId="165DB3CD" w14:textId="23D03A45" w:rsidR="00C53C43" w:rsidRPr="00780518" w:rsidRDefault="00C53C43" w:rsidP="00C53C43">
            <w:pPr>
              <w:pStyle w:val="Table-Text"/>
              <w:rPr>
                <w:rFonts w:cs="Arial"/>
                <w:szCs w:val="20"/>
              </w:rPr>
            </w:pPr>
            <w:r w:rsidRPr="009819C8">
              <w:t>44.0%</w:t>
            </w:r>
          </w:p>
        </w:tc>
        <w:tc>
          <w:tcPr>
            <w:tcW w:w="1948" w:type="dxa"/>
          </w:tcPr>
          <w:p w14:paraId="23C77B58" w14:textId="06582A7C" w:rsidR="00C53C43" w:rsidRPr="00780518" w:rsidRDefault="00C53C43" w:rsidP="00C53C43">
            <w:pPr>
              <w:pStyle w:val="Table-Text"/>
              <w:rPr>
                <w:rFonts w:cs="Arial"/>
                <w:szCs w:val="20"/>
              </w:rPr>
            </w:pPr>
            <w:r w:rsidRPr="009819C8">
              <w:t>46.0%</w:t>
            </w:r>
          </w:p>
        </w:tc>
      </w:tr>
      <w:tr w:rsidR="00C53C43" w:rsidRPr="00780518" w14:paraId="7790BC33" w14:textId="77777777" w:rsidTr="00262B3C">
        <w:trPr>
          <w:trHeight w:val="474"/>
        </w:trPr>
        <w:tc>
          <w:tcPr>
            <w:tcW w:w="890" w:type="dxa"/>
            <w:shd w:val="clear" w:color="auto" w:fill="auto"/>
          </w:tcPr>
          <w:p w14:paraId="34953744" w14:textId="73818CBA" w:rsidR="00C53C43" w:rsidRPr="00C1490D" w:rsidRDefault="00C53C43" w:rsidP="00C53C43">
            <w:pPr>
              <w:pStyle w:val="Table-Text"/>
              <w:rPr>
                <w:rFonts w:cs="Arial"/>
                <w:szCs w:val="20"/>
              </w:rPr>
            </w:pPr>
            <w:r>
              <w:rPr>
                <w:rFonts w:cs="Arial"/>
                <w:szCs w:val="20"/>
              </w:rPr>
              <w:t>2021</w:t>
            </w:r>
          </w:p>
        </w:tc>
        <w:tc>
          <w:tcPr>
            <w:tcW w:w="948" w:type="dxa"/>
          </w:tcPr>
          <w:p w14:paraId="5B7605FE" w14:textId="12DFE9E0" w:rsidR="00C53C43" w:rsidRPr="0001502E" w:rsidRDefault="00C53C43" w:rsidP="00C53C43">
            <w:pPr>
              <w:pStyle w:val="Table-Text"/>
            </w:pPr>
            <w:r w:rsidRPr="003C2FBC">
              <w:t>Term 3</w:t>
            </w:r>
          </w:p>
        </w:tc>
        <w:tc>
          <w:tcPr>
            <w:tcW w:w="1947" w:type="dxa"/>
          </w:tcPr>
          <w:p w14:paraId="59D0B664" w14:textId="7F627A1C" w:rsidR="00C53C43" w:rsidRPr="00780518" w:rsidRDefault="00C53C43" w:rsidP="00C53C43">
            <w:pPr>
              <w:pStyle w:val="Table-Text"/>
              <w:rPr>
                <w:rFonts w:cs="Arial"/>
                <w:szCs w:val="20"/>
              </w:rPr>
            </w:pPr>
            <w:r w:rsidRPr="009819C8">
              <w:t>45.8%</w:t>
            </w:r>
          </w:p>
        </w:tc>
        <w:tc>
          <w:tcPr>
            <w:tcW w:w="1948" w:type="dxa"/>
          </w:tcPr>
          <w:p w14:paraId="36F2015B" w14:textId="7FF384AC" w:rsidR="00C53C43" w:rsidRPr="00780518" w:rsidRDefault="00C53C43" w:rsidP="00C53C43">
            <w:pPr>
              <w:pStyle w:val="Table-Text"/>
              <w:rPr>
                <w:rFonts w:cs="Arial"/>
                <w:szCs w:val="20"/>
              </w:rPr>
            </w:pPr>
            <w:r w:rsidRPr="009819C8">
              <w:t>NA</w:t>
            </w:r>
          </w:p>
        </w:tc>
        <w:tc>
          <w:tcPr>
            <w:tcW w:w="1947" w:type="dxa"/>
            <w:shd w:val="clear" w:color="auto" w:fill="auto"/>
          </w:tcPr>
          <w:p w14:paraId="7D2AD087" w14:textId="3C35A81B" w:rsidR="00C53C43" w:rsidRPr="00780518" w:rsidRDefault="00C53C43" w:rsidP="00C53C43">
            <w:pPr>
              <w:pStyle w:val="Table-Text"/>
              <w:rPr>
                <w:rFonts w:cs="Arial"/>
                <w:szCs w:val="20"/>
              </w:rPr>
            </w:pPr>
            <w:r w:rsidRPr="009819C8">
              <w:t>41.0%</w:t>
            </w:r>
          </w:p>
        </w:tc>
        <w:tc>
          <w:tcPr>
            <w:tcW w:w="1948" w:type="dxa"/>
          </w:tcPr>
          <w:p w14:paraId="6E8ECE64" w14:textId="717EE3C1" w:rsidR="00C53C43" w:rsidRPr="00780518" w:rsidRDefault="00C53C43" w:rsidP="00C53C43">
            <w:pPr>
              <w:pStyle w:val="Table-Text"/>
              <w:rPr>
                <w:rFonts w:cs="Arial"/>
                <w:szCs w:val="20"/>
              </w:rPr>
            </w:pPr>
            <w:r w:rsidRPr="009819C8">
              <w:t>41.6%</w:t>
            </w:r>
          </w:p>
        </w:tc>
      </w:tr>
      <w:tr w:rsidR="00C53C43" w:rsidRPr="00780518" w14:paraId="60970A1E" w14:textId="77777777" w:rsidTr="00262B3C">
        <w:trPr>
          <w:trHeight w:val="474"/>
        </w:trPr>
        <w:tc>
          <w:tcPr>
            <w:tcW w:w="890" w:type="dxa"/>
            <w:shd w:val="clear" w:color="auto" w:fill="auto"/>
          </w:tcPr>
          <w:p w14:paraId="6C3E6E21" w14:textId="4CEDBD28" w:rsidR="00C53C43" w:rsidRPr="00C1490D" w:rsidRDefault="00C53C43" w:rsidP="00C53C43">
            <w:pPr>
              <w:pStyle w:val="Table-Text"/>
              <w:rPr>
                <w:rFonts w:cs="Arial"/>
                <w:szCs w:val="20"/>
              </w:rPr>
            </w:pPr>
            <w:r>
              <w:rPr>
                <w:rFonts w:cs="Arial"/>
                <w:szCs w:val="20"/>
              </w:rPr>
              <w:t>2021</w:t>
            </w:r>
          </w:p>
        </w:tc>
        <w:tc>
          <w:tcPr>
            <w:tcW w:w="948" w:type="dxa"/>
          </w:tcPr>
          <w:p w14:paraId="3213D310" w14:textId="331C04AD" w:rsidR="00C53C43" w:rsidRPr="0001502E" w:rsidRDefault="00C53C43" w:rsidP="00C53C43">
            <w:pPr>
              <w:pStyle w:val="Table-Text"/>
            </w:pPr>
            <w:r w:rsidRPr="003C2FBC">
              <w:t>Term 4</w:t>
            </w:r>
          </w:p>
        </w:tc>
        <w:tc>
          <w:tcPr>
            <w:tcW w:w="1947" w:type="dxa"/>
          </w:tcPr>
          <w:p w14:paraId="3D94D605" w14:textId="2BF45C0D" w:rsidR="00C53C43" w:rsidRPr="00780518" w:rsidRDefault="00C53C43" w:rsidP="00C53C43">
            <w:pPr>
              <w:pStyle w:val="Table-Text"/>
              <w:rPr>
                <w:rFonts w:cs="Arial"/>
                <w:szCs w:val="20"/>
              </w:rPr>
            </w:pPr>
            <w:r w:rsidRPr="009819C8">
              <w:t>50.6%</w:t>
            </w:r>
          </w:p>
        </w:tc>
        <w:tc>
          <w:tcPr>
            <w:tcW w:w="1948" w:type="dxa"/>
          </w:tcPr>
          <w:p w14:paraId="11E3430E" w14:textId="587C18CA" w:rsidR="00C53C43" w:rsidRPr="00780518" w:rsidRDefault="00C53C43" w:rsidP="00C53C43">
            <w:pPr>
              <w:pStyle w:val="Table-Text"/>
              <w:rPr>
                <w:rFonts w:cs="Arial"/>
                <w:szCs w:val="20"/>
              </w:rPr>
            </w:pPr>
            <w:r w:rsidRPr="009819C8">
              <w:t>NA</w:t>
            </w:r>
          </w:p>
        </w:tc>
        <w:tc>
          <w:tcPr>
            <w:tcW w:w="1947" w:type="dxa"/>
            <w:shd w:val="clear" w:color="auto" w:fill="auto"/>
          </w:tcPr>
          <w:p w14:paraId="56901D44" w14:textId="2BCFF4D2" w:rsidR="00C53C43" w:rsidRPr="00780518" w:rsidRDefault="00C53C43" w:rsidP="00C53C43">
            <w:pPr>
              <w:pStyle w:val="Table-Text"/>
              <w:rPr>
                <w:rFonts w:cs="Arial"/>
                <w:szCs w:val="20"/>
              </w:rPr>
            </w:pPr>
            <w:r w:rsidRPr="009819C8">
              <w:t>48.7%</w:t>
            </w:r>
          </w:p>
        </w:tc>
        <w:tc>
          <w:tcPr>
            <w:tcW w:w="1948" w:type="dxa"/>
          </w:tcPr>
          <w:p w14:paraId="71BFA7D8" w14:textId="63EFE44B" w:rsidR="00C53C43" w:rsidRPr="00780518" w:rsidRDefault="00C53C43" w:rsidP="00C53C43">
            <w:pPr>
              <w:pStyle w:val="Table-Text"/>
              <w:rPr>
                <w:rFonts w:cs="Arial"/>
                <w:szCs w:val="20"/>
              </w:rPr>
            </w:pPr>
            <w:r w:rsidRPr="009819C8">
              <w:t>49.1%</w:t>
            </w:r>
          </w:p>
        </w:tc>
      </w:tr>
      <w:tr w:rsidR="00C53C43" w:rsidRPr="00780518" w14:paraId="530A867C" w14:textId="77777777" w:rsidTr="00262B3C">
        <w:trPr>
          <w:trHeight w:val="474"/>
        </w:trPr>
        <w:tc>
          <w:tcPr>
            <w:tcW w:w="890" w:type="dxa"/>
            <w:shd w:val="clear" w:color="auto" w:fill="auto"/>
          </w:tcPr>
          <w:p w14:paraId="6C83DE4F" w14:textId="338B0415" w:rsidR="00C53C43" w:rsidRPr="00C1490D" w:rsidRDefault="00C53C43" w:rsidP="00C53C43">
            <w:pPr>
              <w:pStyle w:val="Table-Text"/>
              <w:rPr>
                <w:rFonts w:cs="Arial"/>
                <w:szCs w:val="20"/>
              </w:rPr>
            </w:pPr>
            <w:r>
              <w:rPr>
                <w:rFonts w:cs="Arial"/>
                <w:szCs w:val="20"/>
              </w:rPr>
              <w:t>2022</w:t>
            </w:r>
          </w:p>
        </w:tc>
        <w:tc>
          <w:tcPr>
            <w:tcW w:w="948" w:type="dxa"/>
          </w:tcPr>
          <w:p w14:paraId="19F47FE7" w14:textId="54EC3391" w:rsidR="00C53C43" w:rsidRPr="0001502E" w:rsidRDefault="00C53C43" w:rsidP="00C53C43">
            <w:pPr>
              <w:pStyle w:val="Table-Text"/>
            </w:pPr>
            <w:r w:rsidRPr="003C2FBC">
              <w:t>Term 1</w:t>
            </w:r>
          </w:p>
        </w:tc>
        <w:tc>
          <w:tcPr>
            <w:tcW w:w="1947" w:type="dxa"/>
          </w:tcPr>
          <w:p w14:paraId="53DB767E" w14:textId="05160072" w:rsidR="00C53C43" w:rsidRPr="00780518" w:rsidRDefault="00C53C43" w:rsidP="00C53C43">
            <w:pPr>
              <w:pStyle w:val="Table-Text"/>
              <w:rPr>
                <w:rFonts w:cs="Arial"/>
                <w:szCs w:val="20"/>
              </w:rPr>
            </w:pPr>
            <w:r w:rsidRPr="009819C8">
              <w:t>40.6%</w:t>
            </w:r>
          </w:p>
        </w:tc>
        <w:tc>
          <w:tcPr>
            <w:tcW w:w="1948" w:type="dxa"/>
          </w:tcPr>
          <w:p w14:paraId="255D94BE" w14:textId="381BB7CF" w:rsidR="00C53C43" w:rsidRPr="00780518" w:rsidRDefault="00C53C43" w:rsidP="00C53C43">
            <w:pPr>
              <w:pStyle w:val="Table-Text"/>
              <w:rPr>
                <w:rFonts w:cs="Arial"/>
                <w:szCs w:val="20"/>
              </w:rPr>
            </w:pPr>
            <w:r w:rsidRPr="009819C8">
              <w:t>51.2%</w:t>
            </w:r>
          </w:p>
        </w:tc>
        <w:tc>
          <w:tcPr>
            <w:tcW w:w="1947" w:type="dxa"/>
            <w:shd w:val="clear" w:color="auto" w:fill="auto"/>
          </w:tcPr>
          <w:p w14:paraId="1220161E" w14:textId="1A6741FD" w:rsidR="00C53C43" w:rsidRPr="00780518" w:rsidRDefault="00C53C43" w:rsidP="00C53C43">
            <w:pPr>
              <w:pStyle w:val="Table-Text"/>
              <w:rPr>
                <w:rFonts w:cs="Arial"/>
                <w:szCs w:val="20"/>
              </w:rPr>
            </w:pPr>
            <w:r w:rsidRPr="009819C8">
              <w:t>44.2%</w:t>
            </w:r>
          </w:p>
        </w:tc>
        <w:tc>
          <w:tcPr>
            <w:tcW w:w="1948" w:type="dxa"/>
          </w:tcPr>
          <w:p w14:paraId="73FD2F3F" w14:textId="065B4CD2" w:rsidR="00C53C43" w:rsidRPr="00780518" w:rsidRDefault="00C53C43" w:rsidP="00C53C43">
            <w:pPr>
              <w:pStyle w:val="Table-Text"/>
              <w:rPr>
                <w:rFonts w:cs="Arial"/>
                <w:szCs w:val="20"/>
              </w:rPr>
            </w:pPr>
            <w:r w:rsidRPr="009819C8">
              <w:t>44.5%</w:t>
            </w:r>
          </w:p>
        </w:tc>
      </w:tr>
      <w:tr w:rsidR="00C53C43" w:rsidRPr="00780518" w14:paraId="6DB52225" w14:textId="77777777" w:rsidTr="00262B3C">
        <w:trPr>
          <w:trHeight w:val="474"/>
        </w:trPr>
        <w:tc>
          <w:tcPr>
            <w:tcW w:w="890" w:type="dxa"/>
            <w:shd w:val="clear" w:color="auto" w:fill="auto"/>
          </w:tcPr>
          <w:p w14:paraId="69C4D0CA" w14:textId="103D5A68" w:rsidR="00C53C43" w:rsidRPr="00C1490D" w:rsidRDefault="00C53C43" w:rsidP="00C53C43">
            <w:pPr>
              <w:pStyle w:val="Table-Text"/>
              <w:rPr>
                <w:rFonts w:cs="Arial"/>
                <w:szCs w:val="20"/>
              </w:rPr>
            </w:pPr>
            <w:r>
              <w:rPr>
                <w:rFonts w:cs="Arial"/>
                <w:szCs w:val="20"/>
              </w:rPr>
              <w:t>2022</w:t>
            </w:r>
          </w:p>
        </w:tc>
        <w:tc>
          <w:tcPr>
            <w:tcW w:w="948" w:type="dxa"/>
          </w:tcPr>
          <w:p w14:paraId="3E8AB233" w14:textId="04832FE6" w:rsidR="00C53C43" w:rsidRPr="0001502E" w:rsidRDefault="00C53C43" w:rsidP="00C53C43">
            <w:pPr>
              <w:pStyle w:val="Table-Text"/>
            </w:pPr>
            <w:r w:rsidRPr="003C2FBC">
              <w:t>Term 2</w:t>
            </w:r>
          </w:p>
        </w:tc>
        <w:tc>
          <w:tcPr>
            <w:tcW w:w="1947" w:type="dxa"/>
          </w:tcPr>
          <w:p w14:paraId="69E33241" w14:textId="779ED9D2" w:rsidR="00C53C43" w:rsidRPr="00780518" w:rsidRDefault="00C53C43" w:rsidP="00C53C43">
            <w:pPr>
              <w:pStyle w:val="Table-Text"/>
              <w:rPr>
                <w:rFonts w:cs="Arial"/>
                <w:szCs w:val="20"/>
              </w:rPr>
            </w:pPr>
            <w:r w:rsidRPr="009819C8">
              <w:t>33.7%</w:t>
            </w:r>
          </w:p>
        </w:tc>
        <w:tc>
          <w:tcPr>
            <w:tcW w:w="1948" w:type="dxa"/>
          </w:tcPr>
          <w:p w14:paraId="4C0BDEC0" w14:textId="24173CB6" w:rsidR="00C53C43" w:rsidRPr="00780518" w:rsidRDefault="00C53C43" w:rsidP="00C53C43">
            <w:pPr>
              <w:pStyle w:val="Table-Text"/>
              <w:rPr>
                <w:rFonts w:cs="Arial"/>
                <w:szCs w:val="20"/>
              </w:rPr>
            </w:pPr>
            <w:r w:rsidRPr="009819C8">
              <w:t>48.0%</w:t>
            </w:r>
          </w:p>
        </w:tc>
        <w:tc>
          <w:tcPr>
            <w:tcW w:w="1947" w:type="dxa"/>
            <w:shd w:val="clear" w:color="auto" w:fill="auto"/>
          </w:tcPr>
          <w:p w14:paraId="7E6D3E3E" w14:textId="2A80C97E" w:rsidR="00C53C43" w:rsidRPr="00780518" w:rsidRDefault="00C53C43" w:rsidP="00C53C43">
            <w:pPr>
              <w:pStyle w:val="Table-Text"/>
              <w:rPr>
                <w:rFonts w:cs="Arial"/>
                <w:szCs w:val="20"/>
              </w:rPr>
            </w:pPr>
            <w:r w:rsidRPr="009819C8">
              <w:t>41.9%</w:t>
            </w:r>
          </w:p>
        </w:tc>
        <w:tc>
          <w:tcPr>
            <w:tcW w:w="1948" w:type="dxa"/>
          </w:tcPr>
          <w:p w14:paraId="3FF9D034" w14:textId="29BEA32B" w:rsidR="00C53C43" w:rsidRPr="00780518" w:rsidRDefault="00C53C43" w:rsidP="00C53C43">
            <w:pPr>
              <w:pStyle w:val="Table-Text"/>
              <w:rPr>
                <w:rFonts w:cs="Arial"/>
                <w:szCs w:val="20"/>
              </w:rPr>
            </w:pPr>
            <w:r w:rsidRPr="009819C8">
              <w:t>41.5%</w:t>
            </w:r>
          </w:p>
        </w:tc>
      </w:tr>
      <w:tr w:rsidR="00C53C43" w:rsidRPr="00780518" w14:paraId="4709D4EE" w14:textId="77777777" w:rsidTr="00262B3C">
        <w:trPr>
          <w:trHeight w:val="474"/>
        </w:trPr>
        <w:tc>
          <w:tcPr>
            <w:tcW w:w="890" w:type="dxa"/>
            <w:shd w:val="clear" w:color="auto" w:fill="auto"/>
          </w:tcPr>
          <w:p w14:paraId="342EE5D1" w14:textId="48A80E33" w:rsidR="00C53C43" w:rsidRPr="00C1490D" w:rsidRDefault="00C53C43" w:rsidP="00C53C43">
            <w:pPr>
              <w:pStyle w:val="Table-Text"/>
              <w:rPr>
                <w:rFonts w:cs="Arial"/>
                <w:szCs w:val="20"/>
              </w:rPr>
            </w:pPr>
            <w:r>
              <w:rPr>
                <w:rFonts w:cs="Arial"/>
                <w:szCs w:val="20"/>
              </w:rPr>
              <w:t>2022</w:t>
            </w:r>
          </w:p>
        </w:tc>
        <w:tc>
          <w:tcPr>
            <w:tcW w:w="948" w:type="dxa"/>
          </w:tcPr>
          <w:p w14:paraId="06335ECB" w14:textId="37D14573" w:rsidR="00C53C43" w:rsidRPr="0001502E" w:rsidRDefault="00C53C43" w:rsidP="00C53C43">
            <w:pPr>
              <w:pStyle w:val="Table-Text"/>
            </w:pPr>
            <w:r w:rsidRPr="003C2FBC">
              <w:t>Term 3</w:t>
            </w:r>
          </w:p>
        </w:tc>
        <w:tc>
          <w:tcPr>
            <w:tcW w:w="1947" w:type="dxa"/>
          </w:tcPr>
          <w:p w14:paraId="7BC83961" w14:textId="11866B89" w:rsidR="00C53C43" w:rsidRPr="00780518" w:rsidRDefault="00C53C43" w:rsidP="00C53C43">
            <w:pPr>
              <w:pStyle w:val="Table-Text"/>
              <w:rPr>
                <w:rFonts w:cs="Arial"/>
                <w:szCs w:val="20"/>
              </w:rPr>
            </w:pPr>
            <w:r w:rsidRPr="009819C8">
              <w:t>30.8%</w:t>
            </w:r>
          </w:p>
        </w:tc>
        <w:tc>
          <w:tcPr>
            <w:tcW w:w="1948" w:type="dxa"/>
          </w:tcPr>
          <w:p w14:paraId="4B4E41D0" w14:textId="6CD8221C" w:rsidR="00C53C43" w:rsidRPr="00780518" w:rsidRDefault="00C53C43" w:rsidP="00C53C43">
            <w:pPr>
              <w:pStyle w:val="Table-Text"/>
              <w:rPr>
                <w:rFonts w:cs="Arial"/>
                <w:szCs w:val="20"/>
              </w:rPr>
            </w:pPr>
            <w:r w:rsidRPr="009819C8">
              <w:t>42.0%</w:t>
            </w:r>
          </w:p>
        </w:tc>
        <w:tc>
          <w:tcPr>
            <w:tcW w:w="1947" w:type="dxa"/>
            <w:shd w:val="clear" w:color="auto" w:fill="auto"/>
          </w:tcPr>
          <w:p w14:paraId="143FA0E8" w14:textId="3AA186FB" w:rsidR="00C53C43" w:rsidRPr="00780518" w:rsidRDefault="00C53C43" w:rsidP="00C53C43">
            <w:pPr>
              <w:pStyle w:val="Table-Text"/>
              <w:rPr>
                <w:rFonts w:cs="Arial"/>
                <w:szCs w:val="20"/>
              </w:rPr>
            </w:pPr>
            <w:r w:rsidRPr="009819C8">
              <w:t>39.7%</w:t>
            </w:r>
          </w:p>
        </w:tc>
        <w:tc>
          <w:tcPr>
            <w:tcW w:w="1948" w:type="dxa"/>
          </w:tcPr>
          <w:p w14:paraId="680C9DAD" w14:textId="61C419EE" w:rsidR="00C53C43" w:rsidRPr="00780518" w:rsidRDefault="00C53C43" w:rsidP="00C53C43">
            <w:pPr>
              <w:pStyle w:val="Table-Text"/>
              <w:rPr>
                <w:rFonts w:cs="Arial"/>
                <w:szCs w:val="20"/>
              </w:rPr>
            </w:pPr>
            <w:r w:rsidRPr="009819C8">
              <w:t>38.9%</w:t>
            </w:r>
          </w:p>
        </w:tc>
      </w:tr>
      <w:tr w:rsidR="00C53C43" w:rsidRPr="00780518" w14:paraId="0C5917F6" w14:textId="77777777" w:rsidTr="00262B3C">
        <w:trPr>
          <w:trHeight w:val="474"/>
        </w:trPr>
        <w:tc>
          <w:tcPr>
            <w:tcW w:w="890" w:type="dxa"/>
            <w:shd w:val="clear" w:color="auto" w:fill="auto"/>
          </w:tcPr>
          <w:p w14:paraId="59E24E9A" w14:textId="6B7CB31B" w:rsidR="00C53C43" w:rsidRPr="00C1490D" w:rsidRDefault="00C53C43" w:rsidP="00C53C43">
            <w:pPr>
              <w:pStyle w:val="Table-Text"/>
              <w:rPr>
                <w:rFonts w:cs="Arial"/>
                <w:szCs w:val="20"/>
              </w:rPr>
            </w:pPr>
            <w:r>
              <w:rPr>
                <w:rFonts w:cs="Arial"/>
                <w:szCs w:val="20"/>
              </w:rPr>
              <w:t>2022</w:t>
            </w:r>
          </w:p>
        </w:tc>
        <w:tc>
          <w:tcPr>
            <w:tcW w:w="948" w:type="dxa"/>
          </w:tcPr>
          <w:p w14:paraId="59EE4249" w14:textId="72621DC6" w:rsidR="00C53C43" w:rsidRPr="0001502E" w:rsidRDefault="00C53C43" w:rsidP="00C53C43">
            <w:pPr>
              <w:pStyle w:val="Table-Text"/>
            </w:pPr>
            <w:r w:rsidRPr="003C2FBC">
              <w:t>Term 4</w:t>
            </w:r>
          </w:p>
        </w:tc>
        <w:tc>
          <w:tcPr>
            <w:tcW w:w="1947" w:type="dxa"/>
          </w:tcPr>
          <w:p w14:paraId="2471CA48" w14:textId="3B23BBFE" w:rsidR="00C53C43" w:rsidRPr="00780518" w:rsidRDefault="00C53C43" w:rsidP="00C53C43">
            <w:pPr>
              <w:pStyle w:val="Table-Text"/>
              <w:rPr>
                <w:rFonts w:cs="Arial"/>
                <w:szCs w:val="20"/>
              </w:rPr>
            </w:pPr>
            <w:r w:rsidRPr="009819C8">
              <w:t>35.2%</w:t>
            </w:r>
          </w:p>
        </w:tc>
        <w:tc>
          <w:tcPr>
            <w:tcW w:w="1948" w:type="dxa"/>
          </w:tcPr>
          <w:p w14:paraId="3C69E4E1" w14:textId="64EFD4C4" w:rsidR="00C53C43" w:rsidRPr="00780518" w:rsidRDefault="00C53C43" w:rsidP="00C53C43">
            <w:pPr>
              <w:pStyle w:val="Table-Text"/>
              <w:rPr>
                <w:rFonts w:cs="Arial"/>
                <w:szCs w:val="20"/>
              </w:rPr>
            </w:pPr>
            <w:r w:rsidRPr="009819C8">
              <w:t>42.5%</w:t>
            </w:r>
          </w:p>
        </w:tc>
        <w:tc>
          <w:tcPr>
            <w:tcW w:w="1947" w:type="dxa"/>
            <w:shd w:val="clear" w:color="auto" w:fill="auto"/>
          </w:tcPr>
          <w:p w14:paraId="457E5278" w14:textId="5FC246B5" w:rsidR="00C53C43" w:rsidRPr="00780518" w:rsidRDefault="00C53C43" w:rsidP="00C53C43">
            <w:pPr>
              <w:pStyle w:val="Table-Text"/>
              <w:rPr>
                <w:rFonts w:cs="Arial"/>
                <w:szCs w:val="20"/>
              </w:rPr>
            </w:pPr>
            <w:r w:rsidRPr="009819C8">
              <w:t>45.3%</w:t>
            </w:r>
          </w:p>
        </w:tc>
        <w:tc>
          <w:tcPr>
            <w:tcW w:w="1948" w:type="dxa"/>
          </w:tcPr>
          <w:p w14:paraId="1A2EB16B" w14:textId="3B1F6FFC" w:rsidR="00C53C43" w:rsidRPr="00780518" w:rsidRDefault="00C53C43" w:rsidP="00C53C43">
            <w:pPr>
              <w:pStyle w:val="Table-Text"/>
              <w:rPr>
                <w:rFonts w:cs="Arial"/>
                <w:szCs w:val="20"/>
              </w:rPr>
            </w:pPr>
            <w:r w:rsidRPr="009819C8">
              <w:t>44.2%</w:t>
            </w:r>
          </w:p>
        </w:tc>
      </w:tr>
    </w:tbl>
    <w:p w14:paraId="4F0D8335" w14:textId="77777777" w:rsidR="005D132E" w:rsidRDefault="005D132E" w:rsidP="005D132E">
      <w:pPr>
        <w:pStyle w:val="ImageSource"/>
      </w:pPr>
      <w:r>
        <w:t>Source: HHA and Living Learning data</w:t>
      </w:r>
    </w:p>
    <w:p w14:paraId="546F5EA5" w14:textId="77777777" w:rsidR="005D132E" w:rsidRDefault="005D132E" w:rsidP="005D132E">
      <w:r>
        <w:t>Living Learning staff cautioned against using attendance as a direct or only proxy of engagement in the program and noted that there are many factors that impact upon attendance. Interviewees also pointed out that some students are more engaged in education when delivered through online classes.</w:t>
      </w:r>
    </w:p>
    <w:p w14:paraId="65E7D0CD" w14:textId="5BF96BC3" w:rsidR="000A2B77" w:rsidRDefault="005D132E" w:rsidP="005D132E">
      <w:r>
        <w:t>Attendance trends for all Living Learning cohorts will be explored in future phases of evaluation research.</w:t>
      </w:r>
      <w:r w:rsidR="000A2B77">
        <w:br w:type="page"/>
      </w:r>
    </w:p>
    <w:p w14:paraId="44B69ADA" w14:textId="77777777" w:rsidR="00246B5F" w:rsidRDefault="00246B5F" w:rsidP="00246B5F">
      <w:pPr>
        <w:pStyle w:val="Head3"/>
      </w:pPr>
      <w:r>
        <w:t>Young people are highly satisfied with their experiences in Living Learning</w:t>
      </w:r>
    </w:p>
    <w:p w14:paraId="2C5F8473" w14:textId="77777777" w:rsidR="00246B5F" w:rsidRDefault="00246B5F" w:rsidP="00246B5F">
      <w:r>
        <w:t>Overall, young people consulted for the evaluation reported very high levels of satisfaction with Living Learning. Almost all interview participants spoke positively of their experiences in the program, sentiments that were also reflected in participant survey responses. Key features of the program highlighted by young people included the unconditional positive regard from staff, which helped to build their confidence and self-worth, the flexibility of the program to provide tailored supports, and the program’s brokerage funding. Some participants described feeling privileged to have had the opportunity to participate in Living Learning.</w:t>
      </w:r>
    </w:p>
    <w:p w14:paraId="6768EECA" w14:textId="77777777" w:rsidR="00246B5F" w:rsidRDefault="00246B5F" w:rsidP="00246B5F">
      <w:r>
        <w:t>Young people were very positive when describing how they had experienced varied supports available through Living Learning. Nearly all participant survey respondents (n=26 of 30) indicated they were either ‘very happy’ (n=18) or ‘happy’ (n=8) with the support they had received from their Living Learning Key Worker, and only two respondents indicated they were dissatisfied (n=2) with the support they had received. Of the participant survey respondents who reported having accessed Living Learning Allied Health support (n=21), the overwhelming majority indicated they were ‘very happy’ (n=8) or ‘happy’ (n=8) with the support received from their Living Learning Psychologist or Occupational Therapist. No respondents reported being dissatisfied with this tranche of support, however three respondents indicated feeling ambivalent and two reported being unsure.</w:t>
      </w:r>
    </w:p>
    <w:p w14:paraId="68C3D80F" w14:textId="27763C62" w:rsidR="00870662" w:rsidRDefault="00246B5F" w:rsidP="00246B5F">
      <w:r>
        <w:t xml:space="preserve">When asked to describe opportunities for program improvements, very few participant survey respondents indicated that improvements should be considered. Of those who did, four (n=4) mentioned interpersonal relationships with both staff and participants. Two young people described in interviews feeling dissatisfied with the boundaries established by Key Workers, while a further three young people asserted that they didn’t connect with some program staff, however they acknowledged this was not necessarily the fault of the program. The remaining suggestions for improvement included offering more camps and activities, extending the program’s </w:t>
      </w:r>
      <w:proofErr w:type="gramStart"/>
      <w:r>
        <w:t>duration</w:t>
      </w:r>
      <w:proofErr w:type="gramEnd"/>
      <w:r>
        <w:t xml:space="preserve"> and improving classroom facilities.</w:t>
      </w:r>
      <w:r w:rsidR="00870662">
        <w:br w:type="page"/>
      </w:r>
    </w:p>
    <w:p w14:paraId="22EA9C5E" w14:textId="316F604E" w:rsidR="00C61EE4" w:rsidRDefault="00B76010" w:rsidP="008A3F8E">
      <w:pPr>
        <w:pStyle w:val="Heading1"/>
        <w:spacing w:before="7200"/>
      </w:pPr>
      <w:bookmarkStart w:id="48" w:name="_Toc150431721"/>
      <w:r>
        <w:t xml:space="preserve">Outcomes and achievements for Living Learning young </w:t>
      </w:r>
      <w:proofErr w:type="gramStart"/>
      <w:r>
        <w:t>people</w:t>
      </w:r>
      <w:bookmarkEnd w:id="48"/>
      <w:proofErr w:type="gramEnd"/>
    </w:p>
    <w:p w14:paraId="472240B5" w14:textId="45DAAE74" w:rsidR="00B76010" w:rsidRDefault="00B76010" w:rsidP="008A3F8E">
      <w:pPr>
        <w:pStyle w:val="Head2"/>
      </w:pPr>
      <w:r>
        <w:t>Key messages</w:t>
      </w:r>
    </w:p>
    <w:p w14:paraId="4AEBF657" w14:textId="77777777" w:rsidR="002A323C" w:rsidRDefault="008A3F8E" w:rsidP="008A3F8E">
      <w:pPr>
        <w:pStyle w:val="ListBullet"/>
      </w:pPr>
      <w:r>
        <w:t xml:space="preserve">Living Learning contributes to improved mental health among young people. </w:t>
      </w:r>
    </w:p>
    <w:p w14:paraId="345DD241" w14:textId="0A5E11EB" w:rsidR="008A3F8E" w:rsidRDefault="008A3F8E">
      <w:pPr>
        <w:pStyle w:val="ListBullet"/>
      </w:pPr>
      <w:r>
        <w:t>Better</w:t>
      </w:r>
      <w:r w:rsidR="002A323C">
        <w:t xml:space="preserve"> </w:t>
      </w:r>
      <w:r>
        <w:t>mental health is an enabler of positive outcomes including improved confidence and self-efficacy, ability to advocate for themselves, form relationships and attend school.</w:t>
      </w:r>
    </w:p>
    <w:p w14:paraId="0E57CBF4" w14:textId="51002D71" w:rsidR="008A3F8E" w:rsidRDefault="008A3F8E" w:rsidP="008A3F8E">
      <w:pPr>
        <w:pStyle w:val="ListBullet"/>
      </w:pPr>
      <w:r>
        <w:t>Participation in the program and regular contact with Key Workers has supported young people to form positive relationships with adults and their peers at school. Some young people have also been supported to repair relationships and reconnect with family members.</w:t>
      </w:r>
    </w:p>
    <w:p w14:paraId="5937F5EE" w14:textId="311DA64F" w:rsidR="008A3F8E" w:rsidRDefault="008A3F8E" w:rsidP="008A3F8E">
      <w:pPr>
        <w:pStyle w:val="ListBullet"/>
      </w:pPr>
      <w:r>
        <w:t>Living Learning increases the capacity of young people to set and work towards their goals, resulting in higher levels of confidence and self-efficacy. Young people are better equipped to navigate social scenarios and conflict.</w:t>
      </w:r>
    </w:p>
    <w:p w14:paraId="561558AC" w14:textId="6E1B52D8" w:rsidR="008A3F8E" w:rsidRDefault="008A3F8E">
      <w:pPr>
        <w:pStyle w:val="ListBullet"/>
      </w:pPr>
      <w:r>
        <w:t>The supportive and tailored classroom environment has assisted young people to think and feel more positively about education. Living Learning encourages young people to challenge assumptions they have about themselves and towards school and learning.</w:t>
      </w:r>
    </w:p>
    <w:p w14:paraId="0BF79781" w14:textId="2A9E30A2" w:rsidR="008A3F8E" w:rsidRDefault="008A3F8E" w:rsidP="008A3F8E">
      <w:pPr>
        <w:pStyle w:val="ListBullet"/>
      </w:pPr>
      <w:r>
        <w:t>Participation in Living Learning has improved the physical health of many participants. This has been largely driven by Key Workers who have assisted young people to build trust with healthcare providers and where possible, access bulk billing specialists such as dentists.</w:t>
      </w:r>
    </w:p>
    <w:p w14:paraId="428DD118" w14:textId="284FB51A" w:rsidR="00513222" w:rsidRDefault="008A3F8E">
      <w:pPr>
        <w:pStyle w:val="ListBullet"/>
      </w:pPr>
      <w:r>
        <w:t>There is some evidence Living Learning has contributed to improved housing outcomes by connecting young people to housing services. A lack of suitable housing options means there are limited avenues through which young people can access secure, long-term housing.</w:t>
      </w:r>
    </w:p>
    <w:p w14:paraId="092F4D6F" w14:textId="27DA83E1" w:rsidR="00513222" w:rsidRPr="006E5BA2" w:rsidRDefault="00513222" w:rsidP="006E5BA2">
      <w:r w:rsidRPr="006E5BA2">
        <w:t xml:space="preserve">This section presents outcomes observed for program participants in mental health, relationships, self- efficacy, health, </w:t>
      </w:r>
      <w:proofErr w:type="gramStart"/>
      <w:r w:rsidRPr="006E5BA2">
        <w:t>education</w:t>
      </w:r>
      <w:proofErr w:type="gramEnd"/>
      <w:r w:rsidRPr="006E5BA2">
        <w:t xml:space="preserve"> and housing. Findings have been drawn from consultations with young people (n=22), participant survey responses (n=32), consultations with Living Learning and HHA staff (n=16), and a review of secondary participant data collated by Living Learning and HHA.</w:t>
      </w:r>
    </w:p>
    <w:p w14:paraId="64A3F931" w14:textId="18CE57D2" w:rsidR="005300CB" w:rsidRDefault="005300CB" w:rsidP="00513222">
      <w:r>
        <w:rPr>
          <w:noProof/>
        </w:rPr>
        <w:drawing>
          <wp:anchor distT="0" distB="0" distL="114300" distR="114300" simplePos="0" relativeHeight="251658257" behindDoc="1" locked="0" layoutInCell="1" allowOverlap="1" wp14:anchorId="7F33F1D6" wp14:editId="1FACF3D2">
            <wp:simplePos x="0" y="0"/>
            <wp:positionH relativeFrom="page">
              <wp:posOffset>-1</wp:posOffset>
            </wp:positionH>
            <wp:positionV relativeFrom="paragraph">
              <wp:posOffset>908978</wp:posOffset>
            </wp:positionV>
            <wp:extent cx="7557135" cy="3904565"/>
            <wp:effectExtent l="0" t="0" r="5715" b="1270"/>
            <wp:wrapNone/>
            <wp:docPr id="8480883" name="Picture 8480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883" name="Picture 6">
                      <a:extLst>
                        <a:ext uri="{C183D7F6-B498-43B3-948B-1728B52AA6E4}">
                          <adec:decorative xmlns:adec="http://schemas.microsoft.com/office/drawing/2017/decorative" val="1"/>
                        </a:ext>
                      </a:extLst>
                    </pic:cNvPr>
                    <pic:cNvPicPr/>
                  </pic:nvPicPr>
                  <pic:blipFill rotWithShape="1">
                    <a:blip r:embed="rId45" cstate="screen">
                      <a:extLst>
                        <a:ext uri="{28A0092B-C50C-407E-A947-70E740481C1C}">
                          <a14:useLocalDpi xmlns:a14="http://schemas.microsoft.com/office/drawing/2010/main"/>
                        </a:ext>
                      </a:extLst>
                    </a:blip>
                    <a:srcRect l="15" t="8489" r="-15" b="10249"/>
                    <a:stretch/>
                  </pic:blipFill>
                  <pic:spPr bwMode="auto">
                    <a:xfrm flipH="1">
                      <a:off x="0" y="0"/>
                      <a:ext cx="7557714" cy="39048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222">
        <w:t>As noted in the limitations section of this report, we cannot exclude the possibility that participants we spoke with were more engaged with or had generally more positive experiences of the program. Our findings represent consistent themes among young people who completed the survey and who were interviewed. When available, linked data will enable reporting on oncomes without limitation of participation bias.</w:t>
      </w:r>
      <w:r>
        <w:br w:type="page"/>
      </w:r>
    </w:p>
    <w:p w14:paraId="40C03C08" w14:textId="487C7BA3" w:rsidR="006E5BA2" w:rsidRDefault="006E5BA2" w:rsidP="006E5BA2">
      <w:pPr>
        <w:pStyle w:val="Heading2"/>
      </w:pPr>
      <w:bookmarkStart w:id="49" w:name="_Toc150431722"/>
      <w:r>
        <w:t>Mental health</w:t>
      </w:r>
      <w:bookmarkEnd w:id="49"/>
    </w:p>
    <w:p w14:paraId="0BBCCFAB" w14:textId="77777777" w:rsidR="00315049" w:rsidRDefault="00315049" w:rsidP="00315049">
      <w:pPr>
        <w:pStyle w:val="Head3"/>
      </w:pPr>
      <w:r>
        <w:t xml:space="preserve">Living Learning improves young people’s mental health and </w:t>
      </w:r>
      <w:proofErr w:type="gramStart"/>
      <w:r>
        <w:t>wellbeing</w:t>
      </w:r>
      <w:proofErr w:type="gramEnd"/>
    </w:p>
    <w:p w14:paraId="65777D9A" w14:textId="70CF968F" w:rsidR="00315049" w:rsidRDefault="00315049" w:rsidP="00315049">
      <w:r>
        <w:t xml:space="preserve">There is strong evidence that Living Learning contributes to improved mental health among participants, with many young people reporting positive changes </w:t>
      </w:r>
      <w:proofErr w:type="gramStart"/>
      <w:r>
        <w:t>as a result of</w:t>
      </w:r>
      <w:proofErr w:type="gramEnd"/>
      <w:r>
        <w:t xml:space="preserve"> program participation. Improved mental health is a particularly transformative outcome of the program, considering its potential to increase engagement and connectedness, social and economic participation, and productivity.</w:t>
      </w:r>
      <w:r w:rsidR="00AE6919" w:rsidRPr="00012DDD">
        <w:rPr>
          <w:rStyle w:val="EndnoteReference"/>
          <w:vertAlign w:val="superscript"/>
        </w:rPr>
        <w:endnoteReference w:id="7"/>
      </w:r>
      <w:r>
        <w:t xml:space="preserve"> For many young people interviewed, improved mental health was the most important and life changing aspect of the program. Participant survey respondents were asked whether participation in</w:t>
      </w:r>
    </w:p>
    <w:p w14:paraId="341A7CC6" w14:textId="77777777" w:rsidR="00315049" w:rsidRDefault="00315049" w:rsidP="00315049">
      <w:r>
        <w:t>Living Learning had ‘made [them] happier’. Two-thirds (n=19) of respondents ‘agreed’ (n=12) or ‘strongly agreed’ (n=7) with this statement. Reasons for improvement in mental health and wellbeing were further explored in interviews and survey responses and are described below.</w:t>
      </w:r>
    </w:p>
    <w:p w14:paraId="77318D1F" w14:textId="77777777" w:rsidR="00315049" w:rsidRDefault="00315049" w:rsidP="00315049">
      <w:r>
        <w:t>Living Learning participants have significantly better access to mental health supports and to a community of skilled and dedicated professionals invested in their social and emotional wellbeing. Young people described how having designated clinical mental health staff at school made accessing support far easier, while also increasing their sense of safety by acting as a ‘security blanket’ if they were to experience crisis.</w:t>
      </w:r>
    </w:p>
    <w:p w14:paraId="7D84A4C4" w14:textId="42FFCC42" w:rsidR="006E5BA2" w:rsidRDefault="00315049" w:rsidP="00315049">
      <w:r>
        <w:t>Young people discussed how a strong understanding and acceptance of mental health among non-clinical Living Learning and HHA staff aided in creating an environment in which they felt truly seen and supported. Young people also described how the skills and strategies they had developed helped them better manage their mental health and regulate their behaviours, which improved their resilience in varied environments and scenarios.</w:t>
      </w:r>
    </w:p>
    <w:p w14:paraId="6B5FE941" w14:textId="79BBF8C6" w:rsidR="00315049" w:rsidRDefault="00B36872" w:rsidP="00B36872">
      <w:pPr>
        <w:pStyle w:val="HangingQuote"/>
        <w:rPr>
          <w:i/>
          <w:iCs/>
        </w:rPr>
      </w:pPr>
      <w:r>
        <w:t xml:space="preserve">I </w:t>
      </w:r>
      <w:proofErr w:type="gramStart"/>
      <w:r>
        <w:t>definitely feel</w:t>
      </w:r>
      <w:proofErr w:type="gramEnd"/>
      <w:r>
        <w:t xml:space="preserve"> a lot better about myself, both physically and mentally … that’s probably the most important thing to me. </w:t>
      </w:r>
      <w:r w:rsidRPr="00B36872">
        <w:rPr>
          <w:iCs/>
        </w:rPr>
        <w:t>(Young person interview)</w:t>
      </w:r>
    </w:p>
    <w:p w14:paraId="4EE451DE" w14:textId="11002A11" w:rsidR="00751DF5" w:rsidRDefault="00751DF5" w:rsidP="00751DF5">
      <w:r w:rsidRPr="00751DF5">
        <w:t>The safety of the physical school environment was as important for some young people as the Allied Health supports available on campus. Several young people described how, by just being at school, their mental health and wellbeing was improved because they knew they would be cared for by one of the many HHA and Living Learning staff available.</w:t>
      </w:r>
    </w:p>
    <w:p w14:paraId="7A64248F" w14:textId="3CFC1DC5" w:rsidR="00751DF5" w:rsidRDefault="002A5DD8" w:rsidP="002A5DD8">
      <w:pPr>
        <w:pStyle w:val="HangingQuote"/>
        <w:rPr>
          <w:i/>
          <w:iCs/>
        </w:rPr>
      </w:pPr>
      <w:r>
        <w:t xml:space="preserve">Some days you just want to come, do your work, and get out of the school. </w:t>
      </w:r>
      <w:r w:rsidRPr="002A5DD8">
        <w:rPr>
          <w:iCs/>
        </w:rPr>
        <w:t>[Other]</w:t>
      </w:r>
      <w:r>
        <w:t xml:space="preserve"> days you want to come here, but you really want someone to just be there for you, to help you, get you food, calm you down, just reassure you that everything’s fine. I think it’s </w:t>
      </w:r>
      <w:proofErr w:type="gramStart"/>
      <w:r>
        <w:t>really helpful</w:t>
      </w:r>
      <w:proofErr w:type="gramEnd"/>
      <w:r>
        <w:t xml:space="preserve"> … there’s always someone there, other than the teacher, to look after you. </w:t>
      </w:r>
      <w:r w:rsidRPr="002A5DD8">
        <w:rPr>
          <w:iCs/>
        </w:rPr>
        <w:t>(Young person interview)</w:t>
      </w:r>
    </w:p>
    <w:p w14:paraId="32A9CB78" w14:textId="4318E1C5" w:rsidR="00A66570" w:rsidRPr="00A66570" w:rsidRDefault="00A66570" w:rsidP="00A66570">
      <w:r w:rsidRPr="00A66570">
        <w:t xml:space="preserve">Living Learning has also helped young people to identify and access appropriate external mental health supports, ranging from local headspace services to specialist psychological and psychiatric support. Living Learning provides funding for mental health services and assessments wherever necessary. Living Learning </w:t>
      </w:r>
      <w:proofErr w:type="gramStart"/>
      <w:r w:rsidRPr="00A66570">
        <w:t>bridges</w:t>
      </w:r>
      <w:proofErr w:type="gramEnd"/>
      <w:r w:rsidRPr="00A66570">
        <w:t xml:space="preserve"> a critical gap in mental health service provision by assisting participants in finding and accessing suitable supports.</w:t>
      </w:r>
      <w:r w:rsidR="003246FD" w:rsidRPr="00C433AA">
        <w:rPr>
          <w:rStyle w:val="EndnoteReference"/>
          <w:vertAlign w:val="superscript"/>
        </w:rPr>
        <w:endnoteReference w:id="8"/>
      </w:r>
      <w:r w:rsidRPr="00A66570">
        <w:t xml:space="preserve"> Without Living Learning, many young people would not have engaged with the external mental health services or secured the assessments and diagnoses necessary for accessing ongoing funding and support.</w:t>
      </w:r>
    </w:p>
    <w:p w14:paraId="1C4FD914" w14:textId="1C486A1B" w:rsidR="00634DC2" w:rsidRDefault="00EB367B" w:rsidP="00EB367B">
      <w:pPr>
        <w:pStyle w:val="HangingQuote"/>
        <w:rPr>
          <w:i/>
          <w:iCs/>
        </w:rPr>
      </w:pPr>
      <w:r>
        <w:t xml:space="preserve">I </w:t>
      </w:r>
      <w:r w:rsidRPr="0079332E">
        <w:rPr>
          <w:iCs/>
        </w:rPr>
        <w:t>[thought]</w:t>
      </w:r>
      <w:r>
        <w:t xml:space="preserve"> I really should see a psychiatrist, but the money and all the organising … I’ve never done that before, that’s channels that I don’t want to go through … but I can just talk to the </w:t>
      </w:r>
      <w:r w:rsidRPr="0079332E">
        <w:rPr>
          <w:iCs/>
        </w:rPr>
        <w:t>[people in Living Learning]</w:t>
      </w:r>
      <w:r>
        <w:t xml:space="preserve"> who are there to help me with those things. </w:t>
      </w:r>
      <w:r w:rsidRPr="0079332E">
        <w:rPr>
          <w:iCs/>
        </w:rPr>
        <w:t>(Young person interview)</w:t>
      </w:r>
      <w:r w:rsidR="00634DC2">
        <w:rPr>
          <w:i/>
          <w:iCs/>
        </w:rPr>
        <w:br w:type="page"/>
      </w:r>
    </w:p>
    <w:p w14:paraId="7EF0E5CF" w14:textId="56B946D8" w:rsidR="00EB367B" w:rsidRDefault="008D4E96" w:rsidP="00513222">
      <w:r w:rsidRPr="008D4E96">
        <w:t>There is strong evidence that Living Learning has increased young people’s mental health literacy, improving how they perceive and manage their mental health. Over half (n=17) of participant survey respondents ‘agreed’ (n=12) or ‘strongly agreed’ (n=5) the program had positively impacted how they manage their mental health (n=29). In interviews, there were many instances in which young people described how they had increased their help-seeking behaviours and awareness of potential support networks. Several young people described feeling comfortable to approach Living Learning or HHA staff to let them know if they were experiencing poor mental health and were concerned about their wellbeing.</w:t>
      </w:r>
    </w:p>
    <w:p w14:paraId="22DE818C" w14:textId="337110F4" w:rsidR="008D4E96" w:rsidRDefault="002D6EA4" w:rsidP="002D6EA4">
      <w:pPr>
        <w:pStyle w:val="HangingQuote"/>
        <w:spacing w:after="480"/>
      </w:pPr>
      <w:r>
        <w:rPr>
          <w:noProof/>
        </w:rPr>
        <mc:AlternateContent>
          <mc:Choice Requires="wps">
            <w:drawing>
              <wp:anchor distT="0" distB="0" distL="114300" distR="114300" simplePos="0" relativeHeight="251658258" behindDoc="0" locked="0" layoutInCell="1" allowOverlap="1" wp14:anchorId="7B89AC94" wp14:editId="10A59FF2">
                <wp:simplePos x="0" y="0"/>
                <wp:positionH relativeFrom="margin">
                  <wp:posOffset>723835</wp:posOffset>
                </wp:positionH>
                <wp:positionV relativeFrom="paragraph">
                  <wp:posOffset>744220</wp:posOffset>
                </wp:positionV>
                <wp:extent cx="4716000" cy="0"/>
                <wp:effectExtent l="0" t="19050" r="46990" b="38100"/>
                <wp:wrapNone/>
                <wp:docPr id="814761818" name="Straight Connector 8147618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1600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6EDA6995">
              <v:line id="Straight Connector 4" style="position:absolute;z-index:251659776;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69acdf [3205]" strokeweight="4.5pt" from="57pt,58.6pt" to="428.35pt,58.6pt" w14:anchorId="7C4F8F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n0vAEAAOIDAAAOAAAAZHJzL2Uyb0RvYy54bWysU8Fu1DAQvSPxD5bvbJIVbVG02R5alQuC&#10;CugHuM54Y8n2WLbZZP+esZPNVgUhgbg49njemzfPk93tZA07QogaXcebTc0ZOIm9doeOP31/ePeB&#10;s5iE64VBBx0/QeS3+7dvdqNvYYsDmh4CIxIX29F3fEjJt1UV5QBWxA16cHSpMFiR6BgOVR/ESOzW&#10;VNu6vq5GDL0PKCFGit7Pl3xf+JUCmb4oFSEx03HSlsoayvqc12q/E+0hCD9oucgQ/6DCCu2o6Ep1&#10;L5JgP4L+hcpqGTCiShuJtkKltITSA3XT1K+6+TYID6UXMif61ab4/2jl5+Odewxkw+hjG/1jyF1M&#10;Ktj8JX1sKmadVrNgSkxS8P1Nc13X5Kk831UXoA8xfQS0LG86brTLfYhWHD/FRMUo9ZySw8axseNX&#10;N81VXdIiGt0/aGPyZZkFuDOBHQW9opASXNrmlyOWF5l0Mo6Cl0bKLp0MzDW+gmK6J+nNXCTP2Gve&#10;ZuE1jrIzTJGKFbio+xNwyc9QKPP3N+AVUSqjSyvYaofhd7LTdJas5vyzA3Pf2YJn7E/liYs1NEjF&#10;uWXo86S+PBf45dfc/wQAAP//AwBQSwMEFAAGAAgAAAAhALfYTXncAAAACwEAAA8AAABkcnMvZG93&#10;bnJldi54bWxMj09Lw0AQxe+C32EZwUuxmxZta8ymSEHRo1F6nmbHbOj+CbvbNv32TkHQ27yZx5vf&#10;q9ajs+JIMfXBK5hNCxDk26B73yn4+ny5W4FIGb1GGzwpOFOCdX19VWGpw8l/0LHJneAQn0pUYHIe&#10;SilTa8hhmoaBPN++Q3SYWcZO6ognDndWzotiIR32nj8YHGhjqN03B6dg27zSm90UJmwfY9rT++SM&#10;cqLU7c34/AQi05j/zHDBZ3SomWkXDl4nYVnP7rlLvgzLOQh2rB4WSxC7342sK/m/Q/0DAAD//wMA&#10;UEsBAi0AFAAGAAgAAAAhALaDOJL+AAAA4QEAABMAAAAAAAAAAAAAAAAAAAAAAFtDb250ZW50X1R5&#10;cGVzXS54bWxQSwECLQAUAAYACAAAACEAOP0h/9YAAACUAQAACwAAAAAAAAAAAAAAAAAvAQAAX3Jl&#10;bHMvLnJlbHNQSwECLQAUAAYACAAAACEAQs+J9LwBAADiAwAADgAAAAAAAAAAAAAAAAAuAgAAZHJz&#10;L2Uyb0RvYy54bWxQSwECLQAUAAYACAAAACEAt9hNedwAAAALAQAADwAAAAAAAAAAAAAAAAAWBAAA&#10;ZHJzL2Rvd25yZXYueG1sUEsFBgAAAAAEAAQA8wAAAB8FAAAAAA==&#10;">
                <w10:wrap anchorx="margin"/>
              </v:line>
            </w:pict>
          </mc:Fallback>
        </mc:AlternateContent>
      </w:r>
      <w:r w:rsidR="000D27A2">
        <w:t>If I know I’m going downhill I can ask for help or say something is up … it’s nice knowing the options are always there. (Young person interview)</w:t>
      </w:r>
      <w:r w:rsidRPr="002D6EA4">
        <w:rPr>
          <w:noProof/>
        </w:rPr>
        <w:t xml:space="preserve"> </w:t>
      </w:r>
    </w:p>
    <w:p w14:paraId="44216EA1" w14:textId="08EE220B" w:rsidR="00EB367B" w:rsidRDefault="002D6EA4" w:rsidP="002D6EA4">
      <w:pPr>
        <w:pStyle w:val="HangingQuote"/>
      </w:pPr>
      <w:r>
        <w:t>Before I came here [I] did not understand mental health. (Young person interview)</w:t>
      </w:r>
    </w:p>
    <w:p w14:paraId="19853C73" w14:textId="77777777" w:rsidR="00346BC5" w:rsidRDefault="00346BC5" w:rsidP="00346BC5">
      <w:r>
        <w:t>Young people also reflected on improvements to their mental health specifically within classroom settings, spaces which in the past had caused considerable distress. Nearly two-thirds (n=18) of participant survey respondents ‘agreed’ (n=10) or ‘strongly agreed’ (n=8) that the presence of more staff in the classroom reduced their anxiety while learning.</w:t>
      </w:r>
    </w:p>
    <w:p w14:paraId="1EF8946E" w14:textId="276CD76E" w:rsidR="00346BC5" w:rsidRDefault="00346BC5" w:rsidP="00346BC5">
      <w:r>
        <w:t>Living Learning has also alleviated anxiety associated with young people’s experiences of financial insecurity. In interviews, young people regularly described feeling stressed about their own or their family’s financial situation. Several young people reported the financial brokerage available to them through Living Learning had enabled them to purchase essentials such as food and electronics, which had greatly alleviated their anxiety.</w:t>
      </w:r>
    </w:p>
    <w:p w14:paraId="4E65D93E" w14:textId="5E97EEEE" w:rsidR="00AF3717" w:rsidRDefault="00AF3717" w:rsidP="00AF3717">
      <w:pPr>
        <w:pStyle w:val="HangingQuote"/>
      </w:pPr>
      <w:r>
        <w:t>I stress a lot about money, and what am I going to do … if I can’t pay for something. Having that reassurance of [financial support] releases my stress and makes me not overthink what’s going to happen in a couple of months … (Young person interview)</w:t>
      </w:r>
    </w:p>
    <w:p w14:paraId="7D23179B" w14:textId="20080CF1" w:rsidR="00346BC5" w:rsidRDefault="00A57B11" w:rsidP="00346BC5">
      <w:r w:rsidRPr="00A57B11">
        <w:t xml:space="preserve">Additionally, several young people who identified as LGBTIQ+ described how their mental health had improved </w:t>
      </w:r>
      <w:proofErr w:type="gramStart"/>
      <w:r w:rsidRPr="00A57B11">
        <w:t>as a result of</w:t>
      </w:r>
      <w:proofErr w:type="gramEnd"/>
      <w:r w:rsidRPr="00A57B11">
        <w:t xml:space="preserve"> them feeling comfortable and supported to be their authentic self within the program. For several young people interviewed, Living Learning was the first environment in which they could affirm their gender identify. For these young people, having their sexuality and/or gender identity not only embraced but celebrated by both their peers and staff in the school community transformed their emotional wellbeing and immediately improved their mental health.</w:t>
      </w:r>
    </w:p>
    <w:p w14:paraId="3254A7E1" w14:textId="77777777" w:rsidR="00634DC2" w:rsidRDefault="000831BF" w:rsidP="000831BF">
      <w:pPr>
        <w:pStyle w:val="HangingQuote"/>
        <w:rPr>
          <w:i/>
          <w:iCs/>
        </w:rPr>
      </w:pPr>
      <w:r>
        <w:t xml:space="preserve">I was already being heavily bullied for just literally being mentally ill, for literally just struggling to come to school … I was being bullied for being bullied so how would … people have reacted about me coming out? I would have </w:t>
      </w:r>
      <w:proofErr w:type="gramStart"/>
      <w:r>
        <w:t>actually been</w:t>
      </w:r>
      <w:proofErr w:type="gramEnd"/>
      <w:r>
        <w:t xml:space="preserve"> bashed up. </w:t>
      </w:r>
      <w:r w:rsidRPr="000831BF">
        <w:rPr>
          <w:iCs/>
        </w:rPr>
        <w:t>(Young person interview)</w:t>
      </w:r>
    </w:p>
    <w:p w14:paraId="2D6F9F67" w14:textId="585C6FAC" w:rsidR="00190569" w:rsidRDefault="00190569" w:rsidP="00190569">
      <w:pPr>
        <w:pStyle w:val="Heading2"/>
      </w:pPr>
      <w:bookmarkStart w:id="50" w:name="_Toc150431723"/>
      <w:r>
        <w:t>Relationships</w:t>
      </w:r>
      <w:bookmarkEnd w:id="50"/>
    </w:p>
    <w:p w14:paraId="234A1C76" w14:textId="77777777" w:rsidR="00EC40A2" w:rsidRDefault="00EC40A2" w:rsidP="00EC40A2">
      <w:pPr>
        <w:pStyle w:val="Head3"/>
      </w:pPr>
      <w:r>
        <w:t xml:space="preserve">Living Learning supports young people to form positive relationships with </w:t>
      </w:r>
      <w:proofErr w:type="gramStart"/>
      <w:r>
        <w:t>adults</w:t>
      </w:r>
      <w:proofErr w:type="gramEnd"/>
    </w:p>
    <w:p w14:paraId="4B7C8A3F" w14:textId="5787494B" w:rsidR="00EC40A2" w:rsidRDefault="00EC40A2" w:rsidP="00EC40A2">
      <w:r>
        <w:t>There is robust evidence that Living Learning equips young people to form strong and positive relationships with adults in the school environment. This was evidenced in participant survey responses and in interviews with young people and Living Learning staff. Assisting young people to form strong and trusting bonds with at least three adults is a fundamental aspect of the Living Learning Program’s relational approach. As such, establishing the extent to which young people felt genuinely connected to adults (whether these were Living Learning, HHA or other program affiliated staff) was a key area of exploration in research activities.</w:t>
      </w:r>
    </w:p>
    <w:p w14:paraId="39A622E3" w14:textId="03D077AB" w:rsidR="00190569" w:rsidRDefault="00EC40A2" w:rsidP="00EC40A2">
      <w:r>
        <w:t>Most young people were effusive about the Living Learning and HHA staff they engaged with, and their role in creating a safe and supportive environment, describing how they considered certain staff genuine allies and trusted confidants. These staff were commonly Living Learning Engagement and Allied Health team members, and HHA Youth Workers and teachers. Young people reported sensing genuine care and concern from the Living Learning and HHA staff they interacted with, and that among these staff there was reverence for young people’s needs and desires, particularly around privacy and boundaries.</w:t>
      </w:r>
    </w:p>
    <w:p w14:paraId="788AC8BD" w14:textId="5A5A6C69" w:rsidR="00D52783" w:rsidRDefault="00D52783" w:rsidP="00D52783">
      <w:pPr>
        <w:pStyle w:val="HangingQuote"/>
      </w:pPr>
      <w:r w:rsidRPr="00D52783">
        <w:rPr>
          <w:iCs/>
        </w:rPr>
        <w:t>[Living Learning staff]</w:t>
      </w:r>
      <w:r>
        <w:t xml:space="preserve"> are very good with their privacy. They will keep things between you guys … they notice when you’re upset; they’ll pull you aside and let you talk and just not say anything. (Young person interview)</w:t>
      </w:r>
    </w:p>
    <w:p w14:paraId="19DC0EA4" w14:textId="77777777" w:rsidR="0072232E" w:rsidRDefault="0072232E" w:rsidP="0072232E">
      <w:r>
        <w:t>Expectedly, young people ascribed a very high value to the relationship they have with their Living Learning Key Worker, and it was this relationship young people often chose to elaborate on in interviews. Asked to describe how important the relationship with their Key Worker is, more than three-quarters (n=25) of participant survey respondents indicated the relationship with their Living Learning Key Worker was ‘very important’ to them (n=25). Living Learning engagement staff characterised relationships they seek to form with young people as reciprocal and grounded on the notion that both parties can hold the other accountable.</w:t>
      </w:r>
    </w:p>
    <w:p w14:paraId="40DA59E2" w14:textId="2A2A76C2" w:rsidR="0072232E" w:rsidRDefault="0072232E" w:rsidP="0072232E">
      <w:r>
        <w:t>Young people reported having formed positive and reciprocal relationships with adults who they saw as being ‘authority’ figures. For many young people interviewed, establishing genuine trust with an adult they viewed as being in a position of power or authority was not something they had experienced prior to program participation. Asked to characterise the relationship between themself and the staff they interact with, one young person described feeling as though they had greater agency in decision making when engaging with professionals / staff through the program.</w:t>
      </w:r>
    </w:p>
    <w:p w14:paraId="1DFC1848" w14:textId="23A11023" w:rsidR="008D61EB" w:rsidRDefault="00B47026" w:rsidP="00B47026">
      <w:pPr>
        <w:pStyle w:val="HangingQuote"/>
        <w:spacing w:after="480"/>
      </w:pPr>
      <w:r>
        <w:rPr>
          <w:noProof/>
        </w:rPr>
        <mc:AlternateContent>
          <mc:Choice Requires="wps">
            <w:drawing>
              <wp:anchor distT="0" distB="0" distL="114300" distR="114300" simplePos="0" relativeHeight="251658259" behindDoc="0" locked="0" layoutInCell="1" allowOverlap="1" wp14:anchorId="13A7CB29" wp14:editId="519A71D6">
                <wp:simplePos x="0" y="0"/>
                <wp:positionH relativeFrom="margin">
                  <wp:posOffset>724546</wp:posOffset>
                </wp:positionH>
                <wp:positionV relativeFrom="paragraph">
                  <wp:posOffset>752217</wp:posOffset>
                </wp:positionV>
                <wp:extent cx="4716000" cy="0"/>
                <wp:effectExtent l="0" t="19050" r="46990" b="38100"/>
                <wp:wrapNone/>
                <wp:docPr id="513897057" name="Straight Connector 513897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1600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2ED6F978">
              <v:line id="Straight Connector 4" style="position:absolute;z-index:251660800;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69acdf [3205]" strokeweight="4.5pt" from="57.05pt,59.25pt" to="428.4pt,59.25pt" w14:anchorId="746C8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n0vAEAAOIDAAAOAAAAZHJzL2Uyb0RvYy54bWysU8Fu1DAQvSPxD5bvbJIVbVG02R5alQuC&#10;CugHuM54Y8n2WLbZZP+esZPNVgUhgbg49njemzfPk93tZA07QogaXcebTc0ZOIm9doeOP31/ePeB&#10;s5iE64VBBx0/QeS3+7dvdqNvYYsDmh4CIxIX29F3fEjJt1UV5QBWxA16cHSpMFiR6BgOVR/ESOzW&#10;VNu6vq5GDL0PKCFGit7Pl3xf+JUCmb4oFSEx03HSlsoayvqc12q/E+0hCD9oucgQ/6DCCu2o6Ep1&#10;L5JgP4L+hcpqGTCiShuJtkKltITSA3XT1K+6+TYID6UXMif61ab4/2jl5+Odewxkw+hjG/1jyF1M&#10;Ktj8JX1sKmadVrNgSkxS8P1Nc13X5Kk831UXoA8xfQS0LG86brTLfYhWHD/FRMUo9ZySw8axseNX&#10;N81VXdIiGt0/aGPyZZkFuDOBHQW9opASXNrmlyOWF5l0Mo6Cl0bKLp0MzDW+gmK6J+nNXCTP2Gve&#10;ZuE1jrIzTJGKFbio+xNwyc9QKPP3N+AVUSqjSyvYaofhd7LTdJas5vyzA3Pf2YJn7E/liYs1NEjF&#10;uWXo86S+PBf45dfc/wQAAP//AwBQSwMEFAAGAAgAAAAhAJDNiKzcAAAACwEAAA8AAABkcnMvZG93&#10;bnJldi54bWxMj0FLw0AQhe8F/8MygpdiNxFbYsymSEHRY6P0vM2OSejubNjdtum/dwqC3ubNPN58&#10;r1pPzooThjh4UpAvMhBIrTcDdQq+Pl/vCxAxaTLaekIFF4ywrm9mlS6NP9MWT03qBIdQLLWCPqWx&#10;lDK2PTodF35E4tu3D04nlqGTJugzhzsrH7JsJZ0eiD/0esRNj+2hOToFu+YN3+0m6/3uKcQDfswv&#10;Ws6VurudXp5BJJzSnxmu+IwONTPt/ZFMFJZ1/piz9ToUSxDsKJYrLrP/3ci6kv871D8AAAD//wMA&#10;UEsBAi0AFAAGAAgAAAAhALaDOJL+AAAA4QEAABMAAAAAAAAAAAAAAAAAAAAAAFtDb250ZW50X1R5&#10;cGVzXS54bWxQSwECLQAUAAYACAAAACEAOP0h/9YAAACUAQAACwAAAAAAAAAAAAAAAAAvAQAAX3Jl&#10;bHMvLnJlbHNQSwECLQAUAAYACAAAACEAQs+J9LwBAADiAwAADgAAAAAAAAAAAAAAAAAuAgAAZHJz&#10;L2Uyb0RvYy54bWxQSwECLQAUAAYACAAAACEAkM2IrNwAAAALAQAADwAAAAAAAAAAAAAAAAAWBAAA&#10;ZHJzL2Rvd25yZXYueG1sUEsFBgAAAAAEAAQA8wAAAB8FAAAAAA==&#10;">
                <w10:wrap anchorx="margin"/>
              </v:line>
            </w:pict>
          </mc:Fallback>
        </mc:AlternateContent>
      </w:r>
      <w:r w:rsidR="008D61EB" w:rsidRPr="008D61EB">
        <w:rPr>
          <w:iCs/>
        </w:rPr>
        <w:t>[Program staff]</w:t>
      </w:r>
      <w:r w:rsidR="008D61EB">
        <w:t xml:space="preserve"> are the first people that I was ever able to fully trust in authority. (Young person interview)</w:t>
      </w:r>
    </w:p>
    <w:p w14:paraId="700819F4" w14:textId="32709215" w:rsidR="00B47026" w:rsidRDefault="00B47026" w:rsidP="00B47026">
      <w:pPr>
        <w:pStyle w:val="HangingQuote"/>
        <w:rPr>
          <w:i/>
          <w:iCs/>
        </w:rPr>
      </w:pPr>
      <w:r>
        <w:t xml:space="preserve">At </w:t>
      </w:r>
      <w:r w:rsidRPr="00B47026">
        <w:rPr>
          <w:iCs/>
        </w:rPr>
        <w:t>[mainstream]</w:t>
      </w:r>
      <w:r>
        <w:t xml:space="preserve"> school, </w:t>
      </w:r>
      <w:r w:rsidRPr="00B47026">
        <w:rPr>
          <w:iCs/>
        </w:rPr>
        <w:t>[staff]</w:t>
      </w:r>
      <w:r>
        <w:t xml:space="preserve"> are in charge and you </w:t>
      </w:r>
      <w:proofErr w:type="gramStart"/>
      <w:r>
        <w:t>have to</w:t>
      </w:r>
      <w:proofErr w:type="gramEnd"/>
      <w:r>
        <w:t xml:space="preserve"> do what they say, but here … they’re like mates. It’s not like </w:t>
      </w:r>
      <w:r w:rsidRPr="00B47026">
        <w:rPr>
          <w:iCs/>
        </w:rPr>
        <w:t>[</w:t>
      </w:r>
      <w:proofErr w:type="gramStart"/>
      <w:r w:rsidRPr="00B47026">
        <w:rPr>
          <w:iCs/>
        </w:rPr>
        <w:t>the]</w:t>
      </w:r>
      <w:r w:rsidRPr="00B47026">
        <w:rPr>
          <w:noProof/>
        </w:rPr>
        <w:t xml:space="preserve"> </w:t>
      </w:r>
      <w:r>
        <w:t xml:space="preserve"> authority</w:t>
      </w:r>
      <w:proofErr w:type="gramEnd"/>
      <w:r>
        <w:t xml:space="preserve"> figure and then the student. It’s like you’re working together to get stuff done. </w:t>
      </w:r>
      <w:r w:rsidRPr="00B47026">
        <w:rPr>
          <w:iCs/>
        </w:rPr>
        <w:t>(Young person interview)</w:t>
      </w:r>
    </w:p>
    <w:p w14:paraId="55125781" w14:textId="23EBEEE0" w:rsidR="003313FE" w:rsidRDefault="003313FE" w:rsidP="003313FE">
      <w:r>
        <w:t xml:space="preserve">The absence of a perceived ‘hierarchy’ between young people and Living Learning / HHA staff has facilitated the development of positive relationships between young people and adults. Young people cited evidence for a less ‘authoritative’ approach as demonstrated </w:t>
      </w:r>
      <w:proofErr w:type="gramStart"/>
      <w:r>
        <w:t>by the use of</w:t>
      </w:r>
      <w:proofErr w:type="gramEnd"/>
      <w:r>
        <w:t xml:space="preserve"> first or preferred names for both staff and students, and the absence of punitive discipline. Young people also described how staff members were often open about and willing to share their authentic, personal experiences, which were often relating to normalising discussion of mental health. Several young people reported feeling more comfortable with the adults around them when they were able to identify similarities between their own and the adult’s experience.</w:t>
      </w:r>
    </w:p>
    <w:p w14:paraId="7C600947" w14:textId="2D99F108" w:rsidR="003313FE" w:rsidRDefault="00386622" w:rsidP="00386622">
      <w:pPr>
        <w:pStyle w:val="HangingQuote"/>
        <w:rPr>
          <w:i/>
          <w:iCs/>
        </w:rPr>
      </w:pPr>
      <w:r>
        <w:t xml:space="preserve">Some of the teachers struggle from </w:t>
      </w:r>
      <w:r w:rsidRPr="00386622">
        <w:rPr>
          <w:iCs/>
        </w:rPr>
        <w:t>[mental disorders]</w:t>
      </w:r>
      <w:r>
        <w:t xml:space="preserve"> too so when a teacher has the same thing as you it’s sort of a comfort, so if you have chronic depression but the teacher’s got depression, they can pull you aside and give you a pat and say are you okay … they just know, it’s a good thing. </w:t>
      </w:r>
      <w:r w:rsidRPr="00386622">
        <w:rPr>
          <w:iCs/>
        </w:rPr>
        <w:t>(Young person interview)</w:t>
      </w:r>
    </w:p>
    <w:p w14:paraId="112F8716" w14:textId="3E2810CD" w:rsidR="00B16A9C" w:rsidRDefault="00B16A9C" w:rsidP="00B16A9C">
      <w:r w:rsidRPr="00B16A9C">
        <w:t xml:space="preserve">Young people also reported becoming more willing to </w:t>
      </w:r>
      <w:proofErr w:type="gramStart"/>
      <w:r w:rsidRPr="00B16A9C">
        <w:t>open up</w:t>
      </w:r>
      <w:proofErr w:type="gramEnd"/>
      <w:r w:rsidRPr="00B16A9C">
        <w:t xml:space="preserve"> to adults and ask them for help. The understanding shown by program staff was the second most influential element of Living Learning in helping young people go to school, with a vast majority (n=19 of 25) of participant survey respondents noting its importance.</w:t>
      </w:r>
    </w:p>
    <w:p w14:paraId="6303E3DB" w14:textId="1219D18E" w:rsidR="00B16A9C" w:rsidRDefault="00DA33F8" w:rsidP="00DA33F8">
      <w:pPr>
        <w:pStyle w:val="HangingQuote"/>
        <w:rPr>
          <w:i/>
          <w:iCs/>
        </w:rPr>
      </w:pPr>
      <w:r>
        <w:t xml:space="preserve">Yeah, </w:t>
      </w:r>
      <w:r w:rsidRPr="00DA33F8">
        <w:rPr>
          <w:iCs/>
        </w:rPr>
        <w:t>[my Key Worker]</w:t>
      </w:r>
      <w:r>
        <w:t xml:space="preserve"> was a lot like a friend as well, so it’s been really [good] to talk to her about anything. </w:t>
      </w:r>
      <w:r w:rsidRPr="00DA33F8">
        <w:rPr>
          <w:iCs/>
        </w:rPr>
        <w:t>(Young person interview)</w:t>
      </w:r>
    </w:p>
    <w:p w14:paraId="0A0EF821" w14:textId="1E52B87E" w:rsidR="00DC6E58" w:rsidRDefault="00DC6E58" w:rsidP="00DC6E58">
      <w:r w:rsidRPr="00DC6E58">
        <w:t xml:space="preserve">A small number (n=4) of participant survey respondents indicated that they had a better relationship with other Living Learning or HHA staff than they did with their Key Worker. Considering the changes made to the case management approach in 2023 (discussed in Section </w:t>
      </w:r>
      <w:r w:rsidR="002A323C">
        <w:rPr>
          <w:highlight w:val="yellow"/>
        </w:rPr>
        <w:fldChar w:fldCharType="begin"/>
      </w:r>
      <w:r w:rsidR="002A323C">
        <w:instrText xml:space="preserve"> REF _Ref150431070 \r \h </w:instrText>
      </w:r>
      <w:r w:rsidR="002A323C">
        <w:rPr>
          <w:highlight w:val="yellow"/>
        </w:rPr>
      </w:r>
      <w:r w:rsidR="002A323C">
        <w:rPr>
          <w:highlight w:val="yellow"/>
        </w:rPr>
        <w:fldChar w:fldCharType="separate"/>
      </w:r>
      <w:r w:rsidR="008D0FC1">
        <w:t>3.2</w:t>
      </w:r>
      <w:r w:rsidR="002A323C">
        <w:rPr>
          <w:highlight w:val="yellow"/>
        </w:rPr>
        <w:fldChar w:fldCharType="end"/>
      </w:r>
      <w:r w:rsidRPr="00DC6E58">
        <w:t>), the number of participants who feel they have a closer relationship to a member of staff who isn’t their Key Worker will be an outcome to observe.</w:t>
      </w:r>
    </w:p>
    <w:p w14:paraId="2A3F3E03" w14:textId="77777777" w:rsidR="00737D15" w:rsidRDefault="00737D15" w:rsidP="00737D15">
      <w:pPr>
        <w:pStyle w:val="Head3"/>
      </w:pPr>
      <w:r>
        <w:t xml:space="preserve">Living Learning supports young people to form positive relationships with their </w:t>
      </w:r>
      <w:proofErr w:type="gramStart"/>
      <w:r>
        <w:t>peers</w:t>
      </w:r>
      <w:proofErr w:type="gramEnd"/>
    </w:p>
    <w:p w14:paraId="573AD494" w14:textId="77777777" w:rsidR="00737D15" w:rsidRDefault="00737D15" w:rsidP="00737D15">
      <w:r>
        <w:t>Young people reported forming fulfilling friendships with peers at HHA. For some young people, this was a novel or rare experience for them in school settings. A shared understanding of each other’s circumstances appears to enable closer and mutually respectful bonds while also reducing the occurrence of bullying, which many young people had experienced prior to HHA. The support around mental health at HHA, as well as its position as an inclusive and queer-friendly space, seemed to be major contributors to these improved relationships.</w:t>
      </w:r>
    </w:p>
    <w:p w14:paraId="0352E39B" w14:textId="06FA034B" w:rsidR="00737D15" w:rsidRDefault="00737D15" w:rsidP="00737D15">
      <w:r>
        <w:t>The contrast young people noted between their past and current relationships with their peers was stark. Some young people mentioned that they had never really had friends before HHA, and others noted that the friendships formed at HHA were more comfortable and less exclusive. Living Learning staff also reported the transformative impact of a young person making even one new friend, which made an observable difference to a young person’s confidence and engagement with school.</w:t>
      </w:r>
    </w:p>
    <w:p w14:paraId="633B8E81" w14:textId="0AAFD901" w:rsidR="004B6375" w:rsidRDefault="001C74F1" w:rsidP="001C74F1">
      <w:pPr>
        <w:pStyle w:val="HangingQuote"/>
        <w:spacing w:after="480"/>
      </w:pPr>
      <w:r>
        <w:rPr>
          <w:noProof/>
        </w:rPr>
        <mc:AlternateContent>
          <mc:Choice Requires="wps">
            <w:drawing>
              <wp:anchor distT="0" distB="0" distL="114300" distR="114300" simplePos="0" relativeHeight="251658260" behindDoc="0" locked="0" layoutInCell="1" allowOverlap="1" wp14:anchorId="64E64846" wp14:editId="1FE6FC28">
                <wp:simplePos x="0" y="0"/>
                <wp:positionH relativeFrom="margin">
                  <wp:posOffset>716796</wp:posOffset>
                </wp:positionH>
                <wp:positionV relativeFrom="paragraph">
                  <wp:posOffset>604111</wp:posOffset>
                </wp:positionV>
                <wp:extent cx="4716000" cy="0"/>
                <wp:effectExtent l="0" t="19050" r="46990" b="38100"/>
                <wp:wrapNone/>
                <wp:docPr id="410055242" name="Straight Connector 410055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1600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4B35FEA">
              <v:line id="Straight Connector 4" style="position:absolute;z-index:251661824;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69acdf [3205]" strokeweight="4.5pt" from="56.45pt,47.55pt" to="427.8pt,47.55pt" w14:anchorId="3771B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n0vAEAAOIDAAAOAAAAZHJzL2Uyb0RvYy54bWysU8Fu1DAQvSPxD5bvbJIVbVG02R5alQuC&#10;CugHuM54Y8n2WLbZZP+esZPNVgUhgbg49njemzfPk93tZA07QogaXcebTc0ZOIm9doeOP31/ePeB&#10;s5iE64VBBx0/QeS3+7dvdqNvYYsDmh4CIxIX29F3fEjJt1UV5QBWxA16cHSpMFiR6BgOVR/ESOzW&#10;VNu6vq5GDL0PKCFGit7Pl3xf+JUCmb4oFSEx03HSlsoayvqc12q/E+0hCD9oucgQ/6DCCu2o6Ep1&#10;L5JgP4L+hcpqGTCiShuJtkKltITSA3XT1K+6+TYID6UXMif61ab4/2jl5+Odewxkw+hjG/1jyF1M&#10;Ktj8JX1sKmadVrNgSkxS8P1Nc13X5Kk831UXoA8xfQS0LG86brTLfYhWHD/FRMUo9ZySw8axseNX&#10;N81VXdIiGt0/aGPyZZkFuDOBHQW9opASXNrmlyOWF5l0Mo6Cl0bKLp0MzDW+gmK6J+nNXCTP2Gve&#10;ZuE1jrIzTJGKFbio+xNwyc9QKPP3N+AVUSqjSyvYaofhd7LTdJas5vyzA3Pf2YJn7E/liYs1NEjF&#10;uWXo86S+PBf45dfc/wQAAP//AwBQSwMEFAAGAAgAAAAhAAXBDRnbAAAACQEAAA8AAABkcnMvZG93&#10;bnJldi54bWxMj8FOwzAMhu9IvENkJC4TSzup01qaTmgSCI4UtHPWmKZa41RJtnVvjxEHOP72p9+f&#10;6+3sRnHGEAdPCvJlBgKp82agXsHnx/PDBkRMmowePaGCK0bYNrc3ta6Mv9A7ntvUCy6hWGkFNqWp&#10;kjJ2Fp2OSz8h8e7LB6cTx9BLE/SFy90oV1m2lk4PxBesnnBnsTu2J6dg377g67jLrN+XIR7xbXHV&#10;cqHU/d389Agi4Zz+YPjRZ3Vo2OngT2SiGDnnq5JRBWWRg2BgUxRrEIffgWxq+f+D5hsAAP//AwBQ&#10;SwECLQAUAAYACAAAACEAtoM4kv4AAADhAQAAEwAAAAAAAAAAAAAAAAAAAAAAW0NvbnRlbnRfVHlw&#10;ZXNdLnhtbFBLAQItABQABgAIAAAAIQA4/SH/1gAAAJQBAAALAAAAAAAAAAAAAAAAAC8BAABfcmVs&#10;cy8ucmVsc1BLAQItABQABgAIAAAAIQBCz4n0vAEAAOIDAAAOAAAAAAAAAAAAAAAAAC4CAABkcnMv&#10;ZTJvRG9jLnhtbFBLAQItABQABgAIAAAAIQAFwQ0Z2wAAAAkBAAAPAAAAAAAAAAAAAAAAABYEAABk&#10;cnMvZG93bnJldi54bWxQSwUGAAAAAAQABADzAAAAHgUAAAAA&#10;">
                <w10:wrap anchorx="margin"/>
              </v:line>
            </w:pict>
          </mc:Fallback>
        </mc:AlternateContent>
      </w:r>
      <w:r w:rsidR="004B6375">
        <w:t xml:space="preserve">I never used to have friends at my old school. </w:t>
      </w:r>
      <w:r w:rsidR="004B6375" w:rsidRPr="001C74F1">
        <w:rPr>
          <w:iCs/>
        </w:rPr>
        <w:t>(Young person interview)</w:t>
      </w:r>
    </w:p>
    <w:p w14:paraId="6309FEAB" w14:textId="61B8D427" w:rsidR="00DE5290" w:rsidRDefault="00DE5290" w:rsidP="00DE5290">
      <w:pPr>
        <w:pStyle w:val="HangingQuote"/>
      </w:pPr>
      <w:r>
        <w:t xml:space="preserve">Friends </w:t>
      </w:r>
      <w:r w:rsidRPr="001C74F1">
        <w:rPr>
          <w:iCs/>
        </w:rPr>
        <w:t>[at HHA are]</w:t>
      </w:r>
      <w:r>
        <w:t xml:space="preserve"> so much better. I’m able to </w:t>
      </w:r>
      <w:proofErr w:type="gramStart"/>
      <w:r>
        <w:t>actually go</w:t>
      </w:r>
      <w:proofErr w:type="gramEnd"/>
      <w:r>
        <w:t xml:space="preserve"> out and enjoy my time with them and not be scared that they’re going to do something bad to me. I feel very safe around them. </w:t>
      </w:r>
      <w:r w:rsidRPr="001C74F1">
        <w:rPr>
          <w:iCs/>
        </w:rPr>
        <w:t>(Young person interview)</w:t>
      </w:r>
    </w:p>
    <w:p w14:paraId="3F936A0C" w14:textId="00C8FA18" w:rsidR="001C74F1" w:rsidRPr="001C74F1" w:rsidRDefault="001C74F1" w:rsidP="001C74F1">
      <w:r w:rsidRPr="001C74F1">
        <w:t>The more casual and social nature of the Living Learning environment allowed young people to create stronger relationships. This was also observed by Living Learning and HHA staff, who noted that weekly adventure activities helped to foster new friendships between Living Learning young people.</w:t>
      </w:r>
    </w:p>
    <w:p w14:paraId="1D3E46A2" w14:textId="71F6CFD8" w:rsidR="00634DC2" w:rsidRDefault="009F1371" w:rsidP="00E56046">
      <w:pPr>
        <w:pStyle w:val="HangingQuote"/>
      </w:pPr>
      <w:r>
        <w:t>A lot of the time classmates are just people who you know – they’re just there as well, you’re not doing anything fun and interesting, you’re just kind of suffering in the same room. Whereas Living Learning you’re going out and doing stuff … it’s a lot easier to make friends and talk to other people and feel a sense of camaraderie. (Young person interview)</w:t>
      </w:r>
    </w:p>
    <w:p w14:paraId="2724B4A1" w14:textId="24908D41" w:rsidR="00E56046" w:rsidRDefault="008A6EC3" w:rsidP="00072ABF">
      <w:pPr>
        <w:pStyle w:val="HangingQuote"/>
        <w:spacing w:before="480"/>
        <w:rPr>
          <w:i/>
          <w:iCs/>
        </w:rPr>
      </w:pPr>
      <w:r>
        <w:rPr>
          <w:noProof/>
        </w:rPr>
        <mc:AlternateContent>
          <mc:Choice Requires="wps">
            <w:drawing>
              <wp:anchor distT="0" distB="0" distL="114300" distR="114300" simplePos="0" relativeHeight="251658261" behindDoc="0" locked="0" layoutInCell="1" allowOverlap="1" wp14:anchorId="7097BEA5" wp14:editId="67FC815F">
                <wp:simplePos x="0" y="0"/>
                <wp:positionH relativeFrom="margin">
                  <wp:posOffset>678815</wp:posOffset>
                </wp:positionH>
                <wp:positionV relativeFrom="paragraph">
                  <wp:posOffset>-2540</wp:posOffset>
                </wp:positionV>
                <wp:extent cx="4715510" cy="0"/>
                <wp:effectExtent l="0" t="19050" r="46990" b="38100"/>
                <wp:wrapNone/>
                <wp:docPr id="178498909" name="Straight Connector 178498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1551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6EE96BF9">
              <v:line id="Straight Connector 4" style="position:absolute;z-index:251662848;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69acdf [3205]" strokeweight="4.5pt" from="53.45pt,-.2pt" to="424.75pt,-.2pt" w14:anchorId="10C28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r4uwEAAOIDAAAOAAAAZHJzL2Uyb0RvYy54bWysU8GO0zAQvSPxD5bvNElFAUVN97Cr5YJg&#10;BewHeJ1xY8n2WLZp0r9n7KTpakFIIC6OPZ735s3zZH8zWcNOEKJG1/FmU3MGTmKv3bHjj9/v33zg&#10;LCbhemHQQcfPEPnN4fWr/ehb2OKApofAiMTFdvQdH1LybVVFOYAVcYMeHF0qDFYkOoZj1QcxErs1&#10;1bau31Ujht4HlBAjRe/mS34o/EqBTF+UipCY6ThpS2UNZX3Ka3XYi/YYhB+0XGSIf1BhhXZUdKW6&#10;E0mwH0H/QmW1DBhRpY1EW6FSWkLpgbpp6hfdfBuEh9ILmRP9alP8f7Ty8+nWPQSyYfSxjf4h5C4m&#10;FWz+kj42FbPOq1kwJSYp+PZ9s9s15Km83FVXoA8xfQS0LG86brTLfYhWnD7FRMUo9ZKSw8axseM7&#10;YqxLWkSj+3ttTL4sswC3JrCToFcUUoJL2/xyxPIsk07GUfDaSNmls4G5xldQTPckvZmL5Bl7ydss&#10;vMZRdoYpUrECF3V/Ai75GQpl/v4GvCJKZXRpBVvtMPxOdpouktWcf3Fg7jtb8IT9uTxxsYYGqTi3&#10;DH2e1OfnAr/+moefAAAA//8DAFBLAwQUAAYACAAAACEAwnbVHtkAAAAHAQAADwAAAGRycy9kb3du&#10;cmV2LnhtbEyOwU7DMBBE70j8g7VIXKrWBpWqCXEqVAkERwLqeRsvcdR4Hdlum/49hgscn2Y086rN&#10;5AZxohB7zxruFgoEcetNz52Gz4/n+RpETMgGB8+k4UIRNvX1VYWl8Wd+p1OTOpFHOJaowaY0llLG&#10;1pLDuPAjcc6+fHCYMoZOmoDnPO4Gea/USjrsOT9YHGlrqT00R6dh17zQ67BV1u+KEA/0NrugnGl9&#10;ezM9PYJINKW/MvzoZ3Wos9PeH9lEMWRWqyJXNcyXIHK+XhYPIPa/LOtK/vevvwEAAP//AwBQSwEC&#10;LQAUAAYACAAAACEAtoM4kv4AAADhAQAAEwAAAAAAAAAAAAAAAAAAAAAAW0NvbnRlbnRfVHlwZXNd&#10;LnhtbFBLAQItABQABgAIAAAAIQA4/SH/1gAAAJQBAAALAAAAAAAAAAAAAAAAAC8BAABfcmVscy8u&#10;cmVsc1BLAQItABQABgAIAAAAIQB3j1r4uwEAAOIDAAAOAAAAAAAAAAAAAAAAAC4CAABkcnMvZTJv&#10;RG9jLnhtbFBLAQItABQABgAIAAAAIQDCdtUe2QAAAAcBAAAPAAAAAAAAAAAAAAAAABUEAABkcnMv&#10;ZG93bnJldi54bWxQSwUGAAAAAAQABADzAAAAGwUAAAAA&#10;">
                <w10:wrap anchorx="margin"/>
              </v:line>
            </w:pict>
          </mc:Fallback>
        </mc:AlternateContent>
      </w:r>
      <w:r w:rsidR="00E56046">
        <w:t xml:space="preserve">I wasn’t particularly social back in mainstream because there was so much work to do … when I </w:t>
      </w:r>
      <w:r w:rsidR="00E56046" w:rsidRPr="002C1B05">
        <w:rPr>
          <w:iCs/>
        </w:rPr>
        <w:t>[came]</w:t>
      </w:r>
      <w:r w:rsidR="00E56046">
        <w:t xml:space="preserve"> here I got picked up by this group of people in my class … and then that was my first time like going out and hanging out with friends. </w:t>
      </w:r>
      <w:r w:rsidR="00E56046" w:rsidRPr="002C1B05">
        <w:rPr>
          <w:iCs/>
        </w:rPr>
        <w:t>(Young person interview)</w:t>
      </w:r>
    </w:p>
    <w:p w14:paraId="18281CB1" w14:textId="68530E9A" w:rsidR="002C1B05" w:rsidRDefault="005F7469" w:rsidP="002C1B05">
      <w:r w:rsidRPr="005F7469">
        <w:t>Some young people reported that the close ties they had with their peers fed into better mental health and more positive engagement in education.</w:t>
      </w:r>
    </w:p>
    <w:p w14:paraId="6D02B066" w14:textId="3C125AC6" w:rsidR="008A6EC3" w:rsidRDefault="009E6A4C" w:rsidP="009E6A4C">
      <w:pPr>
        <w:pStyle w:val="HangingQuote"/>
        <w:rPr>
          <w:i/>
          <w:iCs/>
        </w:rPr>
      </w:pPr>
      <w:proofErr w:type="gramStart"/>
      <w:r>
        <w:t>Yeah</w:t>
      </w:r>
      <w:proofErr w:type="gramEnd"/>
      <w:r>
        <w:t xml:space="preserve"> I’ve heard from a few people – my friend … she’d barely come in, and then became friends with me, and she was like, “You’re here every day, you’ve made me want to come to school,” and I know it’s the case for a lot of other people as well. </w:t>
      </w:r>
      <w:r w:rsidRPr="009E6A4C">
        <w:rPr>
          <w:iCs/>
        </w:rPr>
        <w:t>(Young person interview)</w:t>
      </w:r>
      <w:r w:rsidR="008A6EC3">
        <w:rPr>
          <w:i/>
          <w:iCs/>
        </w:rPr>
        <w:br w:type="page"/>
      </w:r>
    </w:p>
    <w:p w14:paraId="489F9499" w14:textId="7559FE2B" w:rsidR="00FD5840" w:rsidRPr="002C1B05" w:rsidRDefault="008A6EC3" w:rsidP="00153918">
      <w:pPr>
        <w:pStyle w:val="HangingQuote"/>
        <w:spacing w:before="480"/>
      </w:pPr>
      <w:r>
        <w:rPr>
          <w:noProof/>
        </w:rPr>
        <mc:AlternateContent>
          <mc:Choice Requires="wps">
            <w:drawing>
              <wp:anchor distT="0" distB="0" distL="114300" distR="114300" simplePos="0" relativeHeight="251658267" behindDoc="0" locked="0" layoutInCell="1" allowOverlap="1" wp14:anchorId="09206D53" wp14:editId="7DFC5C9C">
                <wp:simplePos x="0" y="0"/>
                <wp:positionH relativeFrom="margin">
                  <wp:posOffset>661181</wp:posOffset>
                </wp:positionH>
                <wp:positionV relativeFrom="paragraph">
                  <wp:posOffset>-74588</wp:posOffset>
                </wp:positionV>
                <wp:extent cx="4716000" cy="0"/>
                <wp:effectExtent l="0" t="19050" r="46990" b="38100"/>
                <wp:wrapNone/>
                <wp:docPr id="239986518" name="Straight Connector 2399865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1600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1369781C">
              <v:line id="Straight Connector 4" style="position:absolute;z-index:251670016;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69acdf [3205]" strokeweight="4.5pt" from="52.05pt,-5.85pt" to="423.4pt,-5.85pt" w14:anchorId="5BE3CC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n0vAEAAOIDAAAOAAAAZHJzL2Uyb0RvYy54bWysU8Fu1DAQvSPxD5bvbJIVbVG02R5alQuC&#10;CugHuM54Y8n2WLbZZP+esZPNVgUhgbg49njemzfPk93tZA07QogaXcebTc0ZOIm9doeOP31/ePeB&#10;s5iE64VBBx0/QeS3+7dvdqNvYYsDmh4CIxIX29F3fEjJt1UV5QBWxA16cHSpMFiR6BgOVR/ESOzW&#10;VNu6vq5GDL0PKCFGit7Pl3xf+JUCmb4oFSEx03HSlsoayvqc12q/E+0hCD9oucgQ/6DCCu2o6Ep1&#10;L5JgP4L+hcpqGTCiShuJtkKltITSA3XT1K+6+TYID6UXMif61ab4/2jl5+Odewxkw+hjG/1jyF1M&#10;Ktj8JX1sKmadVrNgSkxS8P1Nc13X5Kk831UXoA8xfQS0LG86brTLfYhWHD/FRMUo9ZySw8axseNX&#10;N81VXdIiGt0/aGPyZZkFuDOBHQW9opASXNrmlyOWF5l0Mo6Cl0bKLp0MzDW+gmK6J+nNXCTP2Gve&#10;ZuE1jrIzTJGKFbio+xNwyc9QKPP3N+AVUSqjSyvYaofhd7LTdJas5vyzA3Pf2YJn7E/liYs1NEjF&#10;uWXo86S+PBf45dfc/wQAAP//AwBQSwMEFAAGAAgAAAAhANU4KdPcAAAACwEAAA8AAABkcnMvZG93&#10;bnJldi54bWxMj09Lw0AQxe+C32EZwUtpN5FSa8ymSEHRo1F6nmbHbOj+CbvbNv32jiDo8b358ea9&#10;ejM5K04U0xC8gnJRgCDfBT34XsHnx/N8DSJl9Bpt8KTgQgk2zfVVjZUOZ/9Opzb3gkN8qlCByXms&#10;pEydIYdpEUbyfPsK0WFmGXupI5453Fl5VxQr6XDw/MHgSFtD3aE9OgW79oVe7bYwYfcQ04HeZheU&#10;M6Vub6anRxCZpvwHw099rg4Nd9qHo9dJWNbFsmRUwbws70EwsV6ueMz+15FNLf9vaL4BAAD//wMA&#10;UEsBAi0AFAAGAAgAAAAhALaDOJL+AAAA4QEAABMAAAAAAAAAAAAAAAAAAAAAAFtDb250ZW50X1R5&#10;cGVzXS54bWxQSwECLQAUAAYACAAAACEAOP0h/9YAAACUAQAACwAAAAAAAAAAAAAAAAAvAQAAX3Jl&#10;bHMvLnJlbHNQSwECLQAUAAYACAAAACEAQs+J9LwBAADiAwAADgAAAAAAAAAAAAAAAAAuAgAAZHJz&#10;L2Uyb0RvYy54bWxQSwECLQAUAAYACAAAACEA1Tgp09wAAAALAQAADwAAAAAAAAAAAAAAAAAWBAAA&#10;ZHJzL2Rvd25yZXYueG1sUEsFBgAAAAAEAAQA8wAAAB8FAAAAAA==&#10;">
                <w10:wrap anchorx="margin"/>
              </v:line>
            </w:pict>
          </mc:Fallback>
        </mc:AlternateContent>
      </w:r>
      <w:r w:rsidR="00FD5840" w:rsidRPr="00FD5840">
        <w:t>Knowing a lot more people and talking to a lot more people and having ongoing discussions with a lot more people so I’d say it’s been good for my mental health compared to just only talking to two people and my teacher.</w:t>
      </w:r>
      <w:r w:rsidR="00FD5840">
        <w:t xml:space="preserve"> </w:t>
      </w:r>
      <w:r w:rsidR="00FD5840" w:rsidRPr="00FD5840">
        <w:rPr>
          <w:iCs/>
        </w:rPr>
        <w:t>(Young person interview)</w:t>
      </w:r>
    </w:p>
    <w:p w14:paraId="73ACCCC0" w14:textId="77777777" w:rsidR="006D5063" w:rsidRDefault="006D5063" w:rsidP="006D5063">
      <w:pPr>
        <w:pStyle w:val="Head3"/>
      </w:pPr>
      <w:r>
        <w:t xml:space="preserve">Living Learning has assisted some young people to reconnect with </w:t>
      </w:r>
      <w:proofErr w:type="gramStart"/>
      <w:r>
        <w:t>family</w:t>
      </w:r>
      <w:proofErr w:type="gramEnd"/>
    </w:p>
    <w:p w14:paraId="4737E1BA" w14:textId="4C4A5B30" w:rsidR="006D5063" w:rsidRDefault="006D5063" w:rsidP="006D5063">
      <w:r>
        <w:t>There is limited but promising evidence that Living Learning assists young people to improve the relationships they have with their family members. While access to MCM’s Family Reconciliation Mediation Program (FRMP) is an intended part of the program’s design, no Living Learning young people have been supported by FRMP to date.</w:t>
      </w:r>
      <w:r w:rsidR="00FE77E5" w:rsidRPr="00E50A0A">
        <w:rPr>
          <w:rStyle w:val="EndnoteReference"/>
          <w:vertAlign w:val="superscript"/>
        </w:rPr>
        <w:endnoteReference w:id="9"/>
      </w:r>
      <w:r>
        <w:t xml:space="preserve"> FRMP brokerage is intended to support young people who are homeless or at risk of homelessness to stay or return home (if safe and appropriate), recover from trauma related to family conflict and breakdown, and/or connect/reconnect with family or other natural supports. To date, it has been Living Learning Program staff who have supported young people in managing relationships with family.</w:t>
      </w:r>
    </w:p>
    <w:p w14:paraId="2316D8B0" w14:textId="45DB7FB3" w:rsidR="006D5063" w:rsidRDefault="006D5063" w:rsidP="006D5063">
      <w:r>
        <w:t>Several young people described reconnecting with family members with the support of Living Learning staff, who had assisted in instigating discussions around and mediating these processes. Sometimes, this meant reunifying with a parent and moving back into the family home. One young person who had lost contact with their parent described how Living Learning had assisted them in understanding the impact of their trauma and subsequently enabled them to repair a relationship with their parent that had been broken for more than two years.</w:t>
      </w:r>
    </w:p>
    <w:p w14:paraId="5C062E81" w14:textId="172CA364" w:rsidR="006D5063" w:rsidRDefault="00E30F59" w:rsidP="00E30F59">
      <w:pPr>
        <w:pStyle w:val="HangingQuote"/>
      </w:pPr>
      <w:r>
        <w:t xml:space="preserve">The school helped me work through a lot of my trauma … so that I can reconnect with my family. I’m </w:t>
      </w:r>
      <w:proofErr w:type="gramStart"/>
      <w:r>
        <w:t>really grateful</w:t>
      </w:r>
      <w:proofErr w:type="gramEnd"/>
      <w:r>
        <w:t xml:space="preserve"> for that … I’m living with my </w:t>
      </w:r>
      <w:r w:rsidRPr="00E30F59">
        <w:rPr>
          <w:iCs/>
        </w:rPr>
        <w:t>[parent]</w:t>
      </w:r>
      <w:r>
        <w:t xml:space="preserve"> again now … it’s a big change from what we were two years ago where we couldn’t even speak to each other and look at each other’s faces. </w:t>
      </w:r>
      <w:r w:rsidRPr="00E30F59">
        <w:rPr>
          <w:iCs/>
        </w:rPr>
        <w:t>(Young person interview)</w:t>
      </w:r>
    </w:p>
    <w:p w14:paraId="721FE039" w14:textId="29C26442" w:rsidR="00E30F59" w:rsidRDefault="001725E4" w:rsidP="00E30F59">
      <w:r w:rsidRPr="001725E4">
        <w:t>Several other young people described how their improved mental health generally had led to improved relationships with family members, as they were able to explain and manage the symptoms and behaviours that previously may have triggered conflict with family.</w:t>
      </w:r>
    </w:p>
    <w:p w14:paraId="4E8453F1" w14:textId="3F1B165D" w:rsidR="00675CDF" w:rsidRDefault="00675CDF" w:rsidP="00675CDF">
      <w:pPr>
        <w:pStyle w:val="HangingQuote"/>
        <w:rPr>
          <w:i/>
          <w:iCs/>
        </w:rPr>
      </w:pPr>
      <w:r>
        <w:t xml:space="preserve">My </w:t>
      </w:r>
      <w:r w:rsidRPr="00675CDF">
        <w:rPr>
          <w:iCs/>
        </w:rPr>
        <w:t>[parent]</w:t>
      </w:r>
      <w:r>
        <w:t xml:space="preserve">, we didn’t have the best relationship last year, … but yeah, I’ve been a lot better mentally now, and my relationship with </w:t>
      </w:r>
      <w:r w:rsidRPr="00675CDF">
        <w:rPr>
          <w:iCs/>
        </w:rPr>
        <w:t>[them]</w:t>
      </w:r>
      <w:r>
        <w:t xml:space="preserve"> is </w:t>
      </w:r>
      <w:proofErr w:type="gramStart"/>
      <w:r>
        <w:t>pretty sweet</w:t>
      </w:r>
      <w:proofErr w:type="gramEnd"/>
      <w:r>
        <w:t xml:space="preserve"> at the moment and my relationship with my older </w:t>
      </w:r>
      <w:r w:rsidRPr="00675CDF">
        <w:rPr>
          <w:iCs/>
        </w:rPr>
        <w:t>[sibling]</w:t>
      </w:r>
      <w:r>
        <w:t xml:space="preserve"> has gotten a lot better. </w:t>
      </w:r>
      <w:r w:rsidRPr="00675CDF">
        <w:rPr>
          <w:iCs/>
        </w:rPr>
        <w:t>(Young person interview)</w:t>
      </w:r>
    </w:p>
    <w:p w14:paraId="5EA44EEC" w14:textId="3882C4E0" w:rsidR="005C45BF" w:rsidRDefault="005C45BF" w:rsidP="005C45BF">
      <w:pPr>
        <w:pStyle w:val="Heading2"/>
      </w:pPr>
      <w:bookmarkStart w:id="51" w:name="_Toc150431724"/>
      <w:r>
        <w:t>Self-efficacy</w:t>
      </w:r>
      <w:bookmarkEnd w:id="51"/>
    </w:p>
    <w:p w14:paraId="17D52FA1" w14:textId="77777777" w:rsidR="002D1AC6" w:rsidRDefault="002D1AC6" w:rsidP="002D1AC6">
      <w:pPr>
        <w:pStyle w:val="Head3"/>
      </w:pPr>
      <w:r>
        <w:t xml:space="preserve">Living Learning increases the capacity of young people to set and work towards their </w:t>
      </w:r>
      <w:proofErr w:type="gramStart"/>
      <w:r>
        <w:t>goals</w:t>
      </w:r>
      <w:proofErr w:type="gramEnd"/>
    </w:p>
    <w:p w14:paraId="7494534F" w14:textId="4DA6CB2B" w:rsidR="005C45BF" w:rsidRDefault="002D1AC6" w:rsidP="002D1AC6">
      <w:r>
        <w:t>Living Learning empowers young people to set and work towards goals, both in the short and longer-term, increasing their self-efficacy. Self-efficacy is a person’s belief in their capacity to exercise control over their own functioning and events affecting their lives. Beliefs in personal efficacy affect a person’s life choices, level of motivation, quality of functioning, resilience to adversity and vulnerability to stress and depression.</w:t>
      </w:r>
      <w:r w:rsidR="00764737" w:rsidRPr="00E50A0A">
        <w:rPr>
          <w:rStyle w:val="EndnoteReference"/>
          <w:vertAlign w:val="superscript"/>
        </w:rPr>
        <w:endnoteReference w:id="10"/>
      </w:r>
      <w:r w:rsidRPr="00E50A0A">
        <w:rPr>
          <w:vertAlign w:val="superscript"/>
        </w:rPr>
        <w:t xml:space="preserve"> </w:t>
      </w:r>
      <w:r>
        <w:t>Research shows that two of the most effective ways for individuals to enhance their self-efficacy are by a) performing behaviours that are prerequisite to accomplishing their goals and b) becoming aware of their individual strengths through having incremental progress towards a specific goal recognised and celebrated.</w:t>
      </w:r>
      <w:r w:rsidR="00FB4CD4">
        <w:rPr>
          <w:rStyle w:val="EndnoteReference"/>
        </w:rPr>
        <w:endnoteReference w:id="11"/>
      </w:r>
      <w:r>
        <w:t xml:space="preserve"> There is strong evidence that Living Learning enables these mechanisms of change on a continual basis.</w:t>
      </w:r>
    </w:p>
    <w:p w14:paraId="6C5AC9FA" w14:textId="6B828945" w:rsidR="00561854" w:rsidRDefault="006B0D08" w:rsidP="006B0D08">
      <w:pPr>
        <w:pStyle w:val="HangingQuote"/>
      </w:pPr>
      <w:r>
        <w:t xml:space="preserve">I </w:t>
      </w:r>
      <w:proofErr w:type="gramStart"/>
      <w:r>
        <w:t>actually can</w:t>
      </w:r>
      <w:proofErr w:type="gramEnd"/>
      <w:r>
        <w:t xml:space="preserve"> do what I put my mind to … I can finish high school. I can find a job I </w:t>
      </w:r>
      <w:proofErr w:type="gramStart"/>
      <w:r>
        <w:t>actually want</w:t>
      </w:r>
      <w:proofErr w:type="gramEnd"/>
      <w:r>
        <w:t xml:space="preserve">. </w:t>
      </w:r>
      <w:r w:rsidRPr="006B0D08">
        <w:rPr>
          <w:iCs/>
        </w:rPr>
        <w:t>(Living Learning student survey respondent)</w:t>
      </w:r>
    </w:p>
    <w:p w14:paraId="275AE6BD" w14:textId="73079471" w:rsidR="006B0D08" w:rsidRDefault="006004F5" w:rsidP="006B0D08">
      <w:r w:rsidRPr="006004F5">
        <w:t>Examples of improved self-efficacy varied greatly between participants and were influenced by a young person’s individual circumstances. However, many of the positive examples described by young people related to their increased ability to work towards the goals they set for themselves. Guidance provided by Living Learning staff has enabled young people to explore and express their interests and abilities, and the program’s focus on setting real and achievable individualised goals has improved young people’s willingness to engage with future planning. Young people described how their Living Learning Key Worker had assisted them by modelling certain behaviours, such as using calendars to keep on top of appointments.</w:t>
      </w:r>
    </w:p>
    <w:p w14:paraId="43710B60" w14:textId="41EF49DE" w:rsidR="006004F5" w:rsidRDefault="00585362" w:rsidP="00585362">
      <w:pPr>
        <w:pStyle w:val="HangingQuote"/>
      </w:pPr>
      <w:r w:rsidRPr="00F96FEC">
        <w:rPr>
          <w:i/>
          <w:iCs/>
          <w:noProof/>
        </w:rPr>
        <mc:AlternateContent>
          <mc:Choice Requires="wps">
            <w:drawing>
              <wp:anchor distT="0" distB="0" distL="114300" distR="114300" simplePos="0" relativeHeight="251658262" behindDoc="0" locked="0" layoutInCell="1" allowOverlap="1" wp14:anchorId="69C7B219" wp14:editId="3F9263DE">
                <wp:simplePos x="0" y="0"/>
                <wp:positionH relativeFrom="margin">
                  <wp:align>center</wp:align>
                </wp:positionH>
                <wp:positionV relativeFrom="paragraph">
                  <wp:posOffset>975865</wp:posOffset>
                </wp:positionV>
                <wp:extent cx="4716000" cy="0"/>
                <wp:effectExtent l="0" t="19050" r="46990" b="38100"/>
                <wp:wrapNone/>
                <wp:docPr id="1675876231" name="Straight Connector 1675876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1600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0DDD0A16">
              <v:line id="Straight Connector 4" style="position:absolute;z-index:251663872;visibility:visible;mso-wrap-style:square;mso-wrap-distance-left:9pt;mso-wrap-distance-top:0;mso-wrap-distance-right:9pt;mso-wrap-distance-bottom:0;mso-position-horizontal:center;mso-position-horizontal-relative:margin;mso-position-vertical:absolute;mso-position-vertical-relative:text" alt="&quot;&quot;" o:spid="_x0000_s1026" strokecolor="#69acdf [3205]" strokeweight="4.5pt" from="0,76.85pt" to="371.35pt,76.85pt" w14:anchorId="6E7F94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n0vAEAAOIDAAAOAAAAZHJzL2Uyb0RvYy54bWysU8Fu1DAQvSPxD5bvbJIVbVG02R5alQuC&#10;CugHuM54Y8n2WLbZZP+esZPNVgUhgbg49njemzfPk93tZA07QogaXcebTc0ZOIm9doeOP31/ePeB&#10;s5iE64VBBx0/QeS3+7dvdqNvYYsDmh4CIxIX29F3fEjJt1UV5QBWxA16cHSpMFiR6BgOVR/ESOzW&#10;VNu6vq5GDL0PKCFGit7Pl3xf+JUCmb4oFSEx03HSlsoayvqc12q/E+0hCD9oucgQ/6DCCu2o6Ep1&#10;L5JgP4L+hcpqGTCiShuJtkKltITSA3XT1K+6+TYID6UXMif61ab4/2jl5+Odewxkw+hjG/1jyF1M&#10;Ktj8JX1sKmadVrNgSkxS8P1Nc13X5Kk831UXoA8xfQS0LG86brTLfYhWHD/FRMUo9ZySw8axseNX&#10;N81VXdIiGt0/aGPyZZkFuDOBHQW9opASXNrmlyOWF5l0Mo6Cl0bKLp0MzDW+gmK6J+nNXCTP2Gve&#10;ZuE1jrIzTJGKFbio+xNwyc9QKPP3N+AVUSqjSyvYaofhd7LTdJas5vyzA3Pf2YJn7E/liYs1NEjF&#10;uWXo86S+PBf45dfc/wQAAP//AwBQSwMEFAAGAAgAAAAhAAgaMkfbAAAACAEAAA8AAABkcnMvZG93&#10;bnJldi54bWxMj09LAzEQxe+C3yGM4KW0Weuf6rrZIgXFHl1Lz+lm3CxNJkuStttv7wiC3mbeG978&#10;XrUcvRNHjKkPpOBmVoBAaoPpqVOw+XydPoJIWZPRLhAqOGOCZX15UenShBN94LHJneAQSqVWYHMe&#10;SilTa9HrNAsDEntfIXqdeY2dNFGfONw7OS+KB+l1T/zB6gFXFtt9c/AKts0bvrtVYcP2KaY9ridn&#10;LSdKXV+NL88gMo757xh+8BkdambahQOZJJwCLpJZvb9dgGB7cTfnYferyLqS/wvU3wAAAP//AwBQ&#10;SwECLQAUAAYACAAAACEAtoM4kv4AAADhAQAAEwAAAAAAAAAAAAAAAAAAAAAAW0NvbnRlbnRfVHlw&#10;ZXNdLnhtbFBLAQItABQABgAIAAAAIQA4/SH/1gAAAJQBAAALAAAAAAAAAAAAAAAAAC8BAABfcmVs&#10;cy8ucmVsc1BLAQItABQABgAIAAAAIQBCz4n0vAEAAOIDAAAOAAAAAAAAAAAAAAAAAC4CAABkcnMv&#10;ZTJvRG9jLnhtbFBLAQItABQABgAIAAAAIQAIGjJH2wAAAAgBAAAPAAAAAAAAAAAAAAAAABYEAABk&#10;cnMvZG93bnJldi54bWxQSwUGAAAAAAQABADzAAAAHgUAAAAA&#10;">
                <w10:wrap anchorx="margin"/>
              </v:line>
            </w:pict>
          </mc:Fallback>
        </mc:AlternateContent>
      </w:r>
      <w:r w:rsidR="00CC1929" w:rsidRPr="00F96FEC">
        <w:rPr>
          <w:iCs/>
        </w:rPr>
        <w:t>[The Key Worker]</w:t>
      </w:r>
      <w:r w:rsidR="00CC1929">
        <w:t xml:space="preserve"> helped me a lot, showed me how to take my time and just focus, pick it up from where I left it instead of keep ruining it … I never used to use my calendar, and then she kept telling me over and over, because I kept forgetting stuff … Now, all I do is use my calendar. </w:t>
      </w:r>
      <w:r w:rsidR="00CC1929" w:rsidRPr="00F96FEC">
        <w:rPr>
          <w:iCs/>
        </w:rPr>
        <w:t>(Young person interview)</w:t>
      </w:r>
    </w:p>
    <w:p w14:paraId="308D16DB" w14:textId="6823D6AB" w:rsidR="00585362" w:rsidRDefault="00585362" w:rsidP="00585362">
      <w:pPr>
        <w:pStyle w:val="HangingQuote"/>
        <w:spacing w:after="480"/>
      </w:pPr>
      <w:r>
        <w:t xml:space="preserve">When I first started </w:t>
      </w:r>
      <w:proofErr w:type="gramStart"/>
      <w:r>
        <w:t>here</w:t>
      </w:r>
      <w:proofErr w:type="gramEnd"/>
      <w:r>
        <w:t xml:space="preserve"> I was like “fricking hell, goals on Monday morning, I don’t want to do this,” … but now … it’s a part of it, a routine that helps me to know what I want to accomplish during the week and it also gives you a timeline … </w:t>
      </w:r>
      <w:r w:rsidRPr="00F96FEC">
        <w:rPr>
          <w:iCs/>
        </w:rPr>
        <w:t>(Young person interview)</w:t>
      </w:r>
    </w:p>
    <w:p w14:paraId="758367A8" w14:textId="2B9BC933" w:rsidR="00585362" w:rsidRDefault="008D1A55" w:rsidP="00585362">
      <w:r w:rsidRPr="008D1A55">
        <w:t xml:space="preserve">For several young people, the emphasis on short-term goal setting has translated to longer-term education or career aspirations. Through achievement of discrete, short-term goals, young people have been able to build their confidence and future aspirations. These young people reported changes to how they </w:t>
      </w:r>
      <w:proofErr w:type="gramStart"/>
      <w:r w:rsidRPr="008D1A55">
        <w:t>plan ahead</w:t>
      </w:r>
      <w:proofErr w:type="gramEnd"/>
      <w:r w:rsidRPr="008D1A55">
        <w:t xml:space="preserve"> for their life, citing a range of goals for future study or work.</w:t>
      </w:r>
    </w:p>
    <w:p w14:paraId="6650776A" w14:textId="79682D75" w:rsidR="008D1A55" w:rsidRDefault="00A816F9" w:rsidP="00A816F9">
      <w:pPr>
        <w:pStyle w:val="HangingQuote"/>
        <w:rPr>
          <w:i/>
          <w:iCs/>
        </w:rPr>
      </w:pPr>
      <w:r>
        <w:t xml:space="preserve">I didn’t really have any goals after finishing school, last year. I didn’t want to come back to school, I was kind </w:t>
      </w:r>
      <w:r w:rsidRPr="00A816F9">
        <w:rPr>
          <w:iCs/>
        </w:rPr>
        <w:t>[of]</w:t>
      </w:r>
      <w:r>
        <w:t xml:space="preserve"> like, “I’m done with this,” but now I’m going to do TAFE next year and then that’ll put me into a diploma … </w:t>
      </w:r>
      <w:r w:rsidRPr="00A816F9">
        <w:rPr>
          <w:iCs/>
        </w:rPr>
        <w:t>(Young person interview)</w:t>
      </w:r>
    </w:p>
    <w:p w14:paraId="574C552B" w14:textId="43EAAFC9" w:rsidR="00421E2C" w:rsidRDefault="00421E2C" w:rsidP="00421E2C">
      <w:r>
        <w:t>Furthermore, the support given by Living Learning appears to have bolstered young people’s self-confidence, which has also contributed to improved goal setting. Most young people (n=17) agreed that the program had helped them make better decisions and made them more confident (n=14). Additionally, some young people reported that the most important thing they had learnt through the program was increased self-confidence, which empowered them to raise their aspirations through new goals.</w:t>
      </w:r>
    </w:p>
    <w:p w14:paraId="28ECA78F" w14:textId="34F8961C" w:rsidR="00F53428" w:rsidRDefault="00F53428" w:rsidP="00F53428">
      <w:pPr>
        <w:pStyle w:val="HangingQuote"/>
      </w:pPr>
      <w:r>
        <w:t xml:space="preserve">I’m working towards being a Youth Worker … The school </w:t>
      </w:r>
      <w:proofErr w:type="gramStart"/>
      <w:r>
        <w:t>definitely opened</w:t>
      </w:r>
      <w:proofErr w:type="gramEnd"/>
      <w:r>
        <w:t xml:space="preserve"> my eyes up. I always wanted to help people for a long time. I did want to be a </w:t>
      </w:r>
      <w:proofErr w:type="gramStart"/>
      <w:r>
        <w:t>teacher</w:t>
      </w:r>
      <w:proofErr w:type="gramEnd"/>
      <w:r>
        <w:t xml:space="preserve"> but I always got told by my mainstream teachers, “You can’t do it, you don’t have the smarts, you don’t have the grades for it,” so I kind of pushed that aside and was like I’ll do something that I know I can achieve. But no, this school has really helped me to realise that I can do things even if I’m not getting an ATAR or finishing Year 12. </w:t>
      </w:r>
      <w:r w:rsidRPr="00F53428">
        <w:rPr>
          <w:iCs/>
        </w:rPr>
        <w:t>(Young person interview)</w:t>
      </w:r>
    </w:p>
    <w:p w14:paraId="587A0896" w14:textId="642A3D0E" w:rsidR="00F53428" w:rsidRDefault="00B97A34" w:rsidP="00F53428">
      <w:r w:rsidRPr="00B97A34">
        <w:t>However, capacity for goal setting is dependent on the young person and their mental health management. Some survey respondents indicated they were more comfortable focusing on short-term goals such as completing their schooling, with more than half of survey respondents reporting they were working towards VCAL (n=15). In interviews, some young people suggested their mental health was not yet stable enough to consider work or education beyond HHA.</w:t>
      </w:r>
    </w:p>
    <w:p w14:paraId="7B5513BA" w14:textId="34B1A21E" w:rsidR="009A3DE5" w:rsidRDefault="00F97822" w:rsidP="00F97822">
      <w:pPr>
        <w:pStyle w:val="HangingQuote"/>
      </w:pPr>
      <w:r w:rsidRPr="00F97822">
        <w:rPr>
          <w:iCs/>
        </w:rPr>
        <w:t>[My main goal is]</w:t>
      </w:r>
      <w:r>
        <w:t xml:space="preserve"> just to complete my education I guess, I don’t know, I don’t really have any </w:t>
      </w:r>
      <w:proofErr w:type="gramStart"/>
      <w:r>
        <w:t>long term</w:t>
      </w:r>
      <w:proofErr w:type="gramEnd"/>
      <w:r>
        <w:t xml:space="preserve"> plans. (Young person interview)</w:t>
      </w:r>
      <w:r w:rsidR="009A3DE5">
        <w:br w:type="page"/>
      </w:r>
    </w:p>
    <w:p w14:paraId="02B74D63" w14:textId="77777777" w:rsidR="00126D7D" w:rsidRDefault="00126D7D" w:rsidP="00126D7D">
      <w:pPr>
        <w:pStyle w:val="Head3"/>
      </w:pPr>
      <w:r>
        <w:t xml:space="preserve">Living Learning supports young people to advocate for </w:t>
      </w:r>
      <w:proofErr w:type="gramStart"/>
      <w:r>
        <w:t>themselves</w:t>
      </w:r>
      <w:proofErr w:type="gramEnd"/>
    </w:p>
    <w:p w14:paraId="437D84BA" w14:textId="4D0810DC" w:rsidR="00BC2E02" w:rsidRDefault="00126D7D" w:rsidP="00126D7D">
      <w:r>
        <w:t>Young people participating in Living Learning appear better equipped to advocate for themselves in a variety of settings. The reasons behind this appear to be twofold. Firstly, young people have indicated that they have increased capacity to care for themselves and be cognisant of their own needs. Secondly, young people have become more confident in reaching out for help, including recognising when they need support. More than half of survey respondents (n=17) reported that Living</w:t>
      </w:r>
      <w:r w:rsidR="00A54A09">
        <w:t xml:space="preserve"> </w:t>
      </w:r>
      <w:r>
        <w:t>Learning had changed the way they manage their mental health, and subsequently their self-worth as their ability to focus on their own needs and wellbeing increased. When asked what the most important thing they had learnt from the program was, several young people reported that it was having confidence in and the ability to speak up for their needs.</w:t>
      </w:r>
    </w:p>
    <w:p w14:paraId="5E2B91E2" w14:textId="345D3B8D" w:rsidR="0015087A" w:rsidRDefault="0015087A" w:rsidP="0015087A">
      <w:pPr>
        <w:pStyle w:val="HangingQuote"/>
        <w:rPr>
          <w:i/>
          <w:iCs/>
        </w:rPr>
      </w:pPr>
      <w:r>
        <w:t xml:space="preserve">It taught me to put myself first because I always used to put my friends before anything … Started focusing on myself a lot … You just keep doing good things instead of pushing yourself down with other people. </w:t>
      </w:r>
      <w:r w:rsidRPr="0015087A">
        <w:rPr>
          <w:iCs/>
        </w:rPr>
        <w:t>(Young person interview)</w:t>
      </w:r>
    </w:p>
    <w:p w14:paraId="6A5012F4" w14:textId="2DA2CA85" w:rsidR="0015087A" w:rsidRPr="00BC2E02" w:rsidRDefault="00B04159" w:rsidP="00B04159">
      <w:pPr>
        <w:pStyle w:val="HangingQuote"/>
        <w:spacing w:before="480"/>
      </w:pPr>
      <w:r w:rsidRPr="00F96FEC">
        <w:rPr>
          <w:i/>
          <w:iCs/>
          <w:noProof/>
        </w:rPr>
        <mc:AlternateContent>
          <mc:Choice Requires="wps">
            <w:drawing>
              <wp:anchor distT="0" distB="0" distL="114300" distR="114300" simplePos="0" relativeHeight="251658263" behindDoc="0" locked="0" layoutInCell="1" allowOverlap="1" wp14:anchorId="0C774BB3" wp14:editId="76E7C46D">
                <wp:simplePos x="0" y="0"/>
                <wp:positionH relativeFrom="margin">
                  <wp:posOffset>702062</wp:posOffset>
                </wp:positionH>
                <wp:positionV relativeFrom="paragraph">
                  <wp:posOffset>8320</wp:posOffset>
                </wp:positionV>
                <wp:extent cx="4715510" cy="0"/>
                <wp:effectExtent l="0" t="19050" r="46990" b="38100"/>
                <wp:wrapNone/>
                <wp:docPr id="1360981485" name="Straight Connector 1360981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1551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0F553400">
              <v:line id="Straight Connector 4" style="position:absolute;z-index:251664896;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69acdf [3205]" strokeweight="4.5pt" from="55.3pt,.65pt" to="426.6pt,.65pt" w14:anchorId="4B84D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r4uwEAAOIDAAAOAAAAZHJzL2Uyb0RvYy54bWysU8GO0zAQvSPxD5bvNElFAUVN97Cr5YJg&#10;BewHeJ1xY8n2WLZp0r9n7KTpakFIIC6OPZ735s3zZH8zWcNOEKJG1/FmU3MGTmKv3bHjj9/v33zg&#10;LCbhemHQQcfPEPnN4fWr/ehb2OKApofAiMTFdvQdH1LybVVFOYAVcYMeHF0qDFYkOoZj1QcxErs1&#10;1bau31Ujht4HlBAjRe/mS34o/EqBTF+UipCY6ThpS2UNZX3Ka3XYi/YYhB+0XGSIf1BhhXZUdKW6&#10;E0mwH0H/QmW1DBhRpY1EW6FSWkLpgbpp6hfdfBuEh9ILmRP9alP8f7Ty8+nWPQSyYfSxjf4h5C4m&#10;FWz+kj42FbPOq1kwJSYp+PZ9s9s15Km83FVXoA8xfQS0LG86brTLfYhWnD7FRMUo9ZKSw8axseM7&#10;YqxLWkSj+3ttTL4sswC3JrCToFcUUoJL2/xyxPIsk07GUfDaSNmls4G5xldQTPckvZmL5Bl7ydss&#10;vMZRdoYpUrECF3V/Ai75GQpl/v4GvCJKZXRpBVvtMPxOdpouktWcf3Fg7jtb8IT9uTxxsYYGqTi3&#10;DH2e1OfnAr/+moefAAAA//8DAFBLAwQUAAYACAAAACEArEXrsNkAAAAHAQAADwAAAGRycy9kb3du&#10;cmV2LnhtbEyOTUvDQBCG74L/YRnBS7GbtlhqzKZIQbFHo/Q8zY7Z0P0Iu9s2/feOvehtHt6Xd55q&#10;PTorThRTH7yC2bQAQb4Nuvedgq/P14cViJTRa7TBk4ILJVjXtzcVljqc/QedmtwJHvGpRAUm56GU&#10;MrWGHKZpGMhz9h2iw8wYO6kjnnncWTkviqV02Hv+YHCgjaH20Bydgl3zRu92U5iwe4rpQNvJBeVE&#10;qfu78eUZRKYx/5XhV5/VoWanfTh6nYRlnhVLrvKxAMH56nExB7G/sqwr+d+//gEAAP//AwBQSwEC&#10;LQAUAAYACAAAACEAtoM4kv4AAADhAQAAEwAAAAAAAAAAAAAAAAAAAAAAW0NvbnRlbnRfVHlwZXNd&#10;LnhtbFBLAQItABQABgAIAAAAIQA4/SH/1gAAAJQBAAALAAAAAAAAAAAAAAAAAC8BAABfcmVscy8u&#10;cmVsc1BLAQItABQABgAIAAAAIQB3j1r4uwEAAOIDAAAOAAAAAAAAAAAAAAAAAC4CAABkcnMvZTJv&#10;RG9jLnhtbFBLAQItABQABgAIAAAAIQCsReuw2QAAAAcBAAAPAAAAAAAAAAAAAAAAABUEAABkcnMv&#10;ZG93bnJldi54bWxQSwUGAAAAAAQABADzAAAAGwUAAAAA&#10;">
                <w10:wrap anchorx="margin"/>
              </v:line>
            </w:pict>
          </mc:Fallback>
        </mc:AlternateContent>
      </w:r>
      <w:r>
        <w:t xml:space="preserve">Just my own self-love, I guess … I </w:t>
      </w:r>
      <w:proofErr w:type="gramStart"/>
      <w:r>
        <w:t>definitely feel</w:t>
      </w:r>
      <w:proofErr w:type="gramEnd"/>
      <w:r>
        <w:t xml:space="preserve"> a lot better about myself, both physically and mentally, so that’s probably the most important thing to me, I guess. </w:t>
      </w:r>
      <w:r w:rsidRPr="00B04159">
        <w:rPr>
          <w:iCs/>
        </w:rPr>
        <w:t>(Young person interview</w:t>
      </w:r>
      <w:r>
        <w:t>)</w:t>
      </w:r>
    </w:p>
    <w:p w14:paraId="124AD0D0" w14:textId="77777777" w:rsidR="00FF07C1" w:rsidRDefault="00FF07C1" w:rsidP="00FF07C1">
      <w:pPr>
        <w:pStyle w:val="Head3"/>
      </w:pPr>
      <w:r>
        <w:t xml:space="preserve">Young people have improved skills in navigating and resolving </w:t>
      </w:r>
      <w:proofErr w:type="gramStart"/>
      <w:r>
        <w:t>conflict</w:t>
      </w:r>
      <w:proofErr w:type="gramEnd"/>
    </w:p>
    <w:p w14:paraId="31B9910D" w14:textId="5B396FB6" w:rsidR="00FF07C1" w:rsidRDefault="00FF07C1" w:rsidP="00FF07C1">
      <w:r>
        <w:t xml:space="preserve">There is some evidence that participation in Living Learning helps young people to become more adept at navigating and resolving conflict. On the occasions where conflict or ‘drama’ arises at HHA, students can address it before it becomes a serious issue. Young people reported increased maturity and understanding among the cohort of the importance of keeping the school safe and stress-free as one of the reasons </w:t>
      </w:r>
      <w:proofErr w:type="gramStart"/>
      <w:r>
        <w:t>conflict</w:t>
      </w:r>
      <w:proofErr w:type="gramEnd"/>
      <w:r>
        <w:t xml:space="preserve"> could be resolved so quickly.</w:t>
      </w:r>
    </w:p>
    <w:p w14:paraId="057AB41B" w14:textId="4B9210D4" w:rsidR="001812A4" w:rsidRDefault="00686FDB" w:rsidP="00686FDB">
      <w:pPr>
        <w:pStyle w:val="HangingQuote"/>
        <w:rPr>
          <w:i/>
          <w:iCs/>
        </w:rPr>
      </w:pPr>
      <w:r>
        <w:t xml:space="preserve">I think the students are like … “You know what, I’m too old for this, or I’m too mature for this shit; I’m not doing this again.” </w:t>
      </w:r>
      <w:r w:rsidRPr="00686FDB">
        <w:rPr>
          <w:iCs/>
        </w:rPr>
        <w:t>(Young person interview)</w:t>
      </w:r>
    </w:p>
    <w:p w14:paraId="3D23DB4D" w14:textId="4009CB46" w:rsidR="00686FDB" w:rsidRDefault="00866BB5" w:rsidP="00686FDB">
      <w:r w:rsidRPr="00866BB5">
        <w:t>The recognition of this need to maintain a safe environment was aided by staff. The trust young people build in the staff at HHA appeared to be important in preventing the festering and escalation of conflict, as young people noted that they now knew “people who can deal with that instead of them dealing with it” themselves. Furthermore, young people indicated they had improved skills and knowledge of how to tolerate or escalate to staff any behaviours which were frustrating or anti-social.</w:t>
      </w:r>
    </w:p>
    <w:p w14:paraId="233787C5" w14:textId="66CA8D06" w:rsidR="00866BB5" w:rsidRDefault="00866BB5" w:rsidP="00866BB5">
      <w:pPr>
        <w:pStyle w:val="Heading2"/>
      </w:pPr>
      <w:bookmarkStart w:id="52" w:name="_Toc150431725"/>
      <w:r>
        <w:t>Physical health</w:t>
      </w:r>
      <w:bookmarkEnd w:id="52"/>
    </w:p>
    <w:p w14:paraId="07E7F524" w14:textId="77777777" w:rsidR="003012E8" w:rsidRDefault="003012E8" w:rsidP="003012E8">
      <w:pPr>
        <w:pStyle w:val="Head3"/>
      </w:pPr>
      <w:r>
        <w:t xml:space="preserve">Living Learning has significantly improved the physical health of some young </w:t>
      </w:r>
      <w:proofErr w:type="gramStart"/>
      <w:r>
        <w:t>people</w:t>
      </w:r>
      <w:proofErr w:type="gramEnd"/>
    </w:p>
    <w:p w14:paraId="68B412E2" w14:textId="77777777" w:rsidR="003012E8" w:rsidRDefault="003012E8" w:rsidP="003012E8">
      <w:r>
        <w:t xml:space="preserve">Participation in Living Learning has also led to the rapid improvement in physical health for some participants who have had previously unaddressed health issues treated and resolved. Improvement in physical health has largely been facilitated the growing pool of bulk billing specialists Living Learning can draw upon, and the support provided by Key Workers to assist young people in building positive relationships with general practitioners, dieticians, speech pathologists, </w:t>
      </w:r>
      <w:proofErr w:type="gramStart"/>
      <w:r>
        <w:t>dentists</w:t>
      </w:r>
      <w:proofErr w:type="gramEnd"/>
      <w:r>
        <w:t xml:space="preserve"> and physical therapists. Key Workers explained how, </w:t>
      </w:r>
      <w:proofErr w:type="gramStart"/>
      <w:r>
        <w:t>in order to</w:t>
      </w:r>
      <w:proofErr w:type="gramEnd"/>
      <w:r>
        <w:t xml:space="preserve"> have certain health concerns assessed by a professional, young people had to trust the practitioner enough to be vulnerable in front of them, which sometimes took time and patience. Key Workers described how certain young people have become more open to acknowledging and addressing their health concerns the longer they have been participating in the program.</w:t>
      </w:r>
    </w:p>
    <w:p w14:paraId="4896D4CA" w14:textId="52025E8C" w:rsidR="003012E8" w:rsidRDefault="003012E8" w:rsidP="003012E8">
      <w:r>
        <w:t>We heard from program staff that access to dental care has been a transformative element of the program for some young people who had been at risk of losing their teeth to decay and gum disease. Oral health is essential for overall health and wellbeing,</w:t>
      </w:r>
      <w:r w:rsidR="00C275D8" w:rsidRPr="002C655D">
        <w:rPr>
          <w:rStyle w:val="EndnoteReference"/>
          <w:vertAlign w:val="superscript"/>
        </w:rPr>
        <w:endnoteReference w:id="12"/>
      </w:r>
      <w:r>
        <w:t xml:space="preserve"> and by addressing their poor oral health and the pain, discomfort and embarrassment often associated with it, young peoples’ quality of life – specifically their ability to eat, speak and socialise with confidence – has been improved.</w:t>
      </w:r>
      <w:r w:rsidR="00702724" w:rsidRPr="002C655D">
        <w:rPr>
          <w:rStyle w:val="EndnoteReference"/>
          <w:vertAlign w:val="superscript"/>
        </w:rPr>
        <w:endnoteReference w:id="13"/>
      </w:r>
      <w:r>
        <w:t xml:space="preserve"> In this sense, improved oral health is tied to improved mental health. The program has also been able to finance orthodontic treatment for a young person who had significant misalignment of their teeth resulting low self-confidence.</w:t>
      </w:r>
    </w:p>
    <w:p w14:paraId="738F330C" w14:textId="22EEA13B" w:rsidR="003012E8" w:rsidRDefault="00D36C21" w:rsidP="00D36C21">
      <w:pPr>
        <w:pStyle w:val="HangingQuote"/>
        <w:rPr>
          <w:i/>
          <w:iCs/>
        </w:rPr>
      </w:pPr>
      <w:r>
        <w:t xml:space="preserve">It took a lot of time and work and money for </w:t>
      </w:r>
      <w:r w:rsidRPr="00D36C21">
        <w:rPr>
          <w:iCs/>
        </w:rPr>
        <w:t>[young person]</w:t>
      </w:r>
      <w:r>
        <w:t xml:space="preserve"> to get </w:t>
      </w:r>
      <w:r w:rsidRPr="00D36C21">
        <w:rPr>
          <w:iCs/>
        </w:rPr>
        <w:t>[their]</w:t>
      </w:r>
      <w:r>
        <w:t xml:space="preserve"> gums fixed, but lifelong impacts of intervening now are extremely positive. </w:t>
      </w:r>
      <w:r w:rsidRPr="00FD417B">
        <w:rPr>
          <w:iCs/>
        </w:rPr>
        <w:t>(Living Learning Program staff)</w:t>
      </w:r>
    </w:p>
    <w:p w14:paraId="0D351A94" w14:textId="7763DD40" w:rsidR="00FD417B" w:rsidRDefault="00FD417B" w:rsidP="00FD417B">
      <w:pPr>
        <w:pStyle w:val="Heading2"/>
      </w:pPr>
      <w:bookmarkStart w:id="53" w:name="_Toc150431726"/>
      <w:r>
        <w:t>Education</w:t>
      </w:r>
      <w:bookmarkEnd w:id="53"/>
    </w:p>
    <w:p w14:paraId="353D8940" w14:textId="77777777" w:rsidR="00256CF3" w:rsidRDefault="00256CF3" w:rsidP="00256CF3">
      <w:pPr>
        <w:pStyle w:val="Head3"/>
      </w:pPr>
      <w:r>
        <w:t>Living Learning changes young peoples’ attitudes towards education</w:t>
      </w:r>
    </w:p>
    <w:p w14:paraId="14C7253C" w14:textId="77777777" w:rsidR="00256CF3" w:rsidRDefault="00256CF3" w:rsidP="00256CF3">
      <w:r>
        <w:t>Participation in Living Learning leads to young people feeling more positive towards education and learning. The program assists young people to change their outlook and the expectations they have of education by challenging alienating experiences of mainstream education settings.</w:t>
      </w:r>
    </w:p>
    <w:p w14:paraId="77F6DD33" w14:textId="36EC1F20" w:rsidR="00FD417B" w:rsidRDefault="00256CF3" w:rsidP="00256CF3">
      <w:r>
        <w:t>Survey respondents reported the Living Learning campus environment was a much more positive experience than mainstream school. Most young people noted shifts in their attitudes towards education after participating in the program (n=20), which increased their motivation to attend school. Increased help (n=13), flexibility (n=6) and autonomy over one’s learning were perceived to be important differentiators between mainstream school and Living Learning. Survey respondents also reported that being able learn at their own speed was one of the biggest incentives to engaging in education (n=21).</w:t>
      </w:r>
    </w:p>
    <w:p w14:paraId="4CF95937" w14:textId="7C0FB8EF" w:rsidR="00256CF3" w:rsidRDefault="00C320B3" w:rsidP="00C320B3">
      <w:pPr>
        <w:pStyle w:val="HangingQuote"/>
        <w:rPr>
          <w:i/>
          <w:iCs/>
        </w:rPr>
      </w:pPr>
      <w:r>
        <w:t xml:space="preserve">You don’t have to get all the stuff done at once, if you need to you can take breaks, I can sit there, I can mess around on my phone for a minute and I can just calm myself down. </w:t>
      </w:r>
      <w:r w:rsidRPr="00C320B3">
        <w:rPr>
          <w:iCs/>
        </w:rPr>
        <w:t>(Young person interview)</w:t>
      </w:r>
    </w:p>
    <w:p w14:paraId="751A2FFE" w14:textId="57AD400D" w:rsidR="007D66DB" w:rsidRPr="00414828" w:rsidRDefault="000E0A9A" w:rsidP="00414828">
      <w:r w:rsidRPr="000E0A9A">
        <w:t>This was supported by friendly and non-judgemental staff and wraparound support in the classroom. Of the Living Learning participants who responded to the July 2022 HHA Student Satisfaction Survey, 92 per cent agreed their classroom team (comprised of HHA teachers and youth workers) were both caring and supportive.</w:t>
      </w:r>
    </w:p>
    <w:p w14:paraId="49DDD21B" w14:textId="6DAEE280" w:rsidR="00573BAC" w:rsidRDefault="00573BAC" w:rsidP="00573BAC">
      <w:pPr>
        <w:pStyle w:val="HangingQuote"/>
        <w:rPr>
          <w:i/>
          <w:iCs/>
        </w:rPr>
      </w:pPr>
      <w:r>
        <w:t xml:space="preserve">Staff genuinely care about how you feel and what you’re up to. Staff congratulate me and celebrate my achievements. </w:t>
      </w:r>
      <w:r w:rsidRPr="00573BAC">
        <w:rPr>
          <w:iCs/>
        </w:rPr>
        <w:t>(Participant survey respondent)</w:t>
      </w:r>
    </w:p>
    <w:p w14:paraId="05840D37" w14:textId="6934324C" w:rsidR="00573BAC" w:rsidRDefault="00E771CF" w:rsidP="00A067EB">
      <w:pPr>
        <w:pStyle w:val="HangingQuote"/>
        <w:spacing w:before="480"/>
      </w:pPr>
      <w:r w:rsidRPr="00F96FEC">
        <w:rPr>
          <w:i/>
          <w:iCs/>
          <w:noProof/>
        </w:rPr>
        <mc:AlternateContent>
          <mc:Choice Requires="wps">
            <w:drawing>
              <wp:anchor distT="0" distB="0" distL="114300" distR="114300" simplePos="0" relativeHeight="251658264" behindDoc="0" locked="0" layoutInCell="1" allowOverlap="1" wp14:anchorId="716F3E21" wp14:editId="1F1DC0D5">
                <wp:simplePos x="0" y="0"/>
                <wp:positionH relativeFrom="margin">
                  <wp:posOffset>719627</wp:posOffset>
                </wp:positionH>
                <wp:positionV relativeFrom="paragraph">
                  <wp:posOffset>34</wp:posOffset>
                </wp:positionV>
                <wp:extent cx="4715510" cy="0"/>
                <wp:effectExtent l="0" t="19050" r="46990" b="38100"/>
                <wp:wrapNone/>
                <wp:docPr id="851852530" name="Straight Connector 851852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1551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1C3C83A5">
              <v:line id="Straight Connector 4" style="position:absolute;z-index:251666944;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69acdf [3205]" strokeweight="4.5pt" from="56.65pt,0" to="427.95pt,0" w14:anchorId="242317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r4uwEAAOIDAAAOAAAAZHJzL2Uyb0RvYy54bWysU8GO0zAQvSPxD5bvNElFAUVN97Cr5YJg&#10;BewHeJ1xY8n2WLZp0r9n7KTpakFIIC6OPZ735s3zZH8zWcNOEKJG1/FmU3MGTmKv3bHjj9/v33zg&#10;LCbhemHQQcfPEPnN4fWr/ehb2OKApofAiMTFdvQdH1LybVVFOYAVcYMeHF0qDFYkOoZj1QcxErs1&#10;1bau31Ujht4HlBAjRe/mS34o/EqBTF+UipCY6ThpS2UNZX3Ka3XYi/YYhB+0XGSIf1BhhXZUdKW6&#10;E0mwH0H/QmW1DBhRpY1EW6FSWkLpgbpp6hfdfBuEh9ILmRP9alP8f7Ty8+nWPQSyYfSxjf4h5C4m&#10;FWz+kj42FbPOq1kwJSYp+PZ9s9s15Km83FVXoA8xfQS0LG86brTLfYhWnD7FRMUo9ZKSw8axseM7&#10;YqxLWkSj+3ttTL4sswC3JrCToFcUUoJL2/xyxPIsk07GUfDaSNmls4G5xldQTPckvZmL5Bl7ydss&#10;vMZRdoYpUrECF3V/Ai75GQpl/v4GvCJKZXRpBVvtMPxOdpouktWcf3Fg7jtb8IT9uTxxsYYGqTi3&#10;DH2e1OfnAr/+moefAAAA//8DAFBLAwQUAAYACAAAACEAriOrLNgAAAAFAQAADwAAAGRycy9kb3du&#10;cmV2LnhtbEyPQU8CMRCF7yb+h2ZMvBDpIsHAul1iSDR6dDWcy3bcbminm7bA8u8dTnD88l7efFOt&#10;R+/EEWPqAymYTQsQSG0wPXUKfn/en5YgUtZktAuECs6YYF3f31W6NOFE33hscid4hFKpFdich1LK&#10;1Fr0Ok3DgMTZX4heZ8bYSRP1ice9k89F8SK97okvWD3gxmK7bw5ewbb5wE+3KWzYrmLa49fkrOVE&#10;qceH8e0VRMYxX8tw0Wd1qNlpFw5kknDMs/mcqwr4I46Xi8UKxO6Csq7krX39DwAA//8DAFBLAQIt&#10;ABQABgAIAAAAIQC2gziS/gAAAOEBAAATAAAAAAAAAAAAAAAAAAAAAABbQ29udGVudF9UeXBlc10u&#10;eG1sUEsBAi0AFAAGAAgAAAAhADj9If/WAAAAlAEAAAsAAAAAAAAAAAAAAAAALwEAAF9yZWxzLy5y&#10;ZWxzUEsBAi0AFAAGAAgAAAAhAHePWvi7AQAA4gMAAA4AAAAAAAAAAAAAAAAALgIAAGRycy9lMm9E&#10;b2MueG1sUEsBAi0AFAAGAAgAAAAhAK4jqyzYAAAABQEAAA8AAAAAAAAAAAAAAAAAFQQAAGRycy9k&#10;b3ducmV2LnhtbFBLBQYAAAAABAAEAPMAAAAaBQAAAAA=&#10;">
                <w10:wrap anchorx="margin"/>
              </v:line>
            </w:pict>
          </mc:Fallback>
        </mc:AlternateContent>
      </w:r>
      <w:r w:rsidR="00A067EB">
        <w:t xml:space="preserve">It’s amazing because, say I’m having a bad day, the Youth Worker will usually pick up on it and be like, “do you want to talk?” … but like at … other schools you get forced to keep doing work otherwise you’ll get detention. </w:t>
      </w:r>
      <w:r w:rsidR="00A067EB" w:rsidRPr="00A067EB">
        <w:rPr>
          <w:iCs/>
        </w:rPr>
        <w:t>(Young person interview)</w:t>
      </w:r>
    </w:p>
    <w:p w14:paraId="2D1F3F1B" w14:textId="2A47E1A1" w:rsidR="009A3DE5" w:rsidRDefault="00AD048B" w:rsidP="00513222">
      <w:r w:rsidRPr="00AD048B">
        <w:t>An attractive physical environment and a safer and more supportive cohort, backed by a zero-tolerance bullying policy, contributed to increased positivity towards education. Some young people described a transformation in their perception of education. Where previously they had considered education and the school environment to be the source of their stress, they now viewed school and the support available there as a solution to stress.</w:t>
      </w:r>
      <w:r w:rsidR="009A3DE5">
        <w:br w:type="page"/>
      </w:r>
    </w:p>
    <w:p w14:paraId="7B5B91CF" w14:textId="378A54F7" w:rsidR="00AD048B" w:rsidRDefault="004E456C" w:rsidP="004E456C">
      <w:pPr>
        <w:pStyle w:val="HangingQuote"/>
      </w:pPr>
      <w:r>
        <w:t xml:space="preserve">I used to dread going to school, I used to be so stressed about being behind on work … when I come to school here it’s just like if I don’t finish my work I’ll finish it tomorrow, like I don’t need to rush … it’s nice because I look forward to coming to school now. </w:t>
      </w:r>
      <w:r w:rsidRPr="004E456C">
        <w:rPr>
          <w:iCs/>
        </w:rPr>
        <w:t>(Young person interview)</w:t>
      </w:r>
    </w:p>
    <w:p w14:paraId="02270910" w14:textId="77777777" w:rsidR="00E4681F" w:rsidRDefault="00E4681F" w:rsidP="00E4681F">
      <w:pPr>
        <w:pStyle w:val="Head3"/>
      </w:pPr>
      <w:r>
        <w:t xml:space="preserve">Young people feel they learn more in HHA classroom </w:t>
      </w:r>
      <w:proofErr w:type="gramStart"/>
      <w:r>
        <w:t>environments</w:t>
      </w:r>
      <w:proofErr w:type="gramEnd"/>
    </w:p>
    <w:p w14:paraId="27971434" w14:textId="2E934A0F" w:rsidR="00573BAC" w:rsidRDefault="00E4681F" w:rsidP="00E4681F">
      <w:r>
        <w:t>Young people described learning more in HHA classroom environments. There were two main factors: the individualised style of learning, and the more expansive curriculum. Most survey respondents agreed that the smaller number of people in their classroom worked well for them (n=24). This was further facilitated by having more staff in the classroom (n=20), which allowed young people to access help quicker and “get into the flow of doing work really well” as they did not need to wait long or be embarrassed to ask for assistance.</w:t>
      </w:r>
    </w:p>
    <w:p w14:paraId="4727FBF3" w14:textId="19783367" w:rsidR="00D4120F" w:rsidRDefault="00D4120F" w:rsidP="00D4120F">
      <w:pPr>
        <w:pStyle w:val="HangingQuote"/>
      </w:pPr>
      <w:r>
        <w:t xml:space="preserve">I can ask for help a lot easier and like I don’t have to call out over everybody else. Also since the classrooms are a lot smaller, it’s a lot easier … if I’m having difficulties understanding something I can just ask someone for help. </w:t>
      </w:r>
      <w:r w:rsidRPr="007831AC">
        <w:rPr>
          <w:iCs/>
        </w:rPr>
        <w:t>(Young person interview)</w:t>
      </w:r>
    </w:p>
    <w:p w14:paraId="62128B97" w14:textId="7797990F" w:rsidR="00E4681F" w:rsidRDefault="007831AC" w:rsidP="007831AC">
      <w:pPr>
        <w:pStyle w:val="HangingQuote"/>
        <w:spacing w:before="480"/>
        <w:rPr>
          <w:i/>
          <w:iCs/>
        </w:rPr>
      </w:pPr>
      <w:r w:rsidRPr="00F96FEC">
        <w:rPr>
          <w:i/>
          <w:iCs/>
          <w:noProof/>
        </w:rPr>
        <mc:AlternateContent>
          <mc:Choice Requires="wps">
            <w:drawing>
              <wp:anchor distT="0" distB="0" distL="114300" distR="114300" simplePos="0" relativeHeight="251658265" behindDoc="0" locked="0" layoutInCell="1" allowOverlap="1" wp14:anchorId="29932359" wp14:editId="43EC5FD6">
                <wp:simplePos x="0" y="0"/>
                <wp:positionH relativeFrom="margin">
                  <wp:posOffset>730074</wp:posOffset>
                </wp:positionH>
                <wp:positionV relativeFrom="paragraph">
                  <wp:posOffset>11186</wp:posOffset>
                </wp:positionV>
                <wp:extent cx="4715510" cy="0"/>
                <wp:effectExtent l="0" t="19050" r="46990" b="38100"/>
                <wp:wrapNone/>
                <wp:docPr id="1087850602" name="Straight Connector 1087850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15510"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30BE3DA">
              <v:line id="Straight Connector 4" style="position:absolute;z-index:251667968;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69acdf [3205]" strokeweight="4.5pt" from="57.5pt,.9pt" to="428.8pt,.9pt" w14:anchorId="1CF034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1r4uwEAAOIDAAAOAAAAZHJzL2Uyb0RvYy54bWysU8GO0zAQvSPxD5bvNElFAUVN97Cr5YJg&#10;BewHeJ1xY8n2WLZp0r9n7KTpakFIIC6OPZ735s3zZH8zWcNOEKJG1/FmU3MGTmKv3bHjj9/v33zg&#10;LCbhemHQQcfPEPnN4fWr/ehb2OKApofAiMTFdvQdH1LybVVFOYAVcYMeHF0qDFYkOoZj1QcxErs1&#10;1bau31Ujht4HlBAjRe/mS34o/EqBTF+UipCY6ThpS2UNZX3Ka3XYi/YYhB+0XGSIf1BhhXZUdKW6&#10;E0mwH0H/QmW1DBhRpY1EW6FSWkLpgbpp6hfdfBuEh9ILmRP9alP8f7Ty8+nWPQSyYfSxjf4h5C4m&#10;FWz+kj42FbPOq1kwJSYp+PZ9s9s15Km83FVXoA8xfQS0LG86brTLfYhWnD7FRMUo9ZKSw8axseM7&#10;YqxLWkSj+3ttTL4sswC3JrCToFcUUoJL2/xyxPIsk07GUfDaSNmls4G5xldQTPckvZmL5Bl7ydss&#10;vMZRdoYpUrECF3V/Ai75GQpl/v4GvCJKZXRpBVvtMPxOdpouktWcf3Fg7jtb8IT9uTxxsYYGqTi3&#10;DH2e1OfnAr/+moefAAAA//8DAFBLAwQUAAYACAAAACEAt4EF4NoAAAAHAQAADwAAAGRycy9kb3du&#10;cmV2LnhtbEyPzU7DMBCE70i8g7VIXCrqFKmlDXEqVAkERwLqeRtv46j+iWy3Td+ehQu97WhGs99U&#10;69FZcaKY+uAVzKYFCPJt0L3vFHx/vT4sQaSMXqMNnhRcKMG6vr2psNTh7D/p1OROcIlPJSowOQ+l&#10;lKk15DBNw0CevX2IDjPL2Ekd8czlzsrHolhIh73nDwYH2hhqD83RKdg2b/RuN4UJ21VMB/qYXFBO&#10;lLq/G1+eQWQa838YfvEZHWpm2oWj10lY1rM5b8l88AL2l/OnBYjdn5Z1Ja/56x8AAAD//wMAUEsB&#10;Ai0AFAAGAAgAAAAhALaDOJL+AAAA4QEAABMAAAAAAAAAAAAAAAAAAAAAAFtDb250ZW50X1R5cGVz&#10;XS54bWxQSwECLQAUAAYACAAAACEAOP0h/9YAAACUAQAACwAAAAAAAAAAAAAAAAAvAQAAX3JlbHMv&#10;LnJlbHNQSwECLQAUAAYACAAAACEAd49a+LsBAADiAwAADgAAAAAAAAAAAAAAAAAuAgAAZHJzL2Uy&#10;b0RvYy54bWxQSwECLQAUAAYACAAAACEAt4EF4NoAAAAHAQAADwAAAAAAAAAAAAAAAAAVBAAAZHJz&#10;L2Rvd25yZXYueG1sUEsFBgAAAAAEAAQA8wAAABwFAAAAAA==&#10;">
                <w10:wrap anchorx="margin"/>
              </v:line>
            </w:pict>
          </mc:Fallback>
        </mc:AlternateContent>
      </w:r>
      <w:r>
        <w:t xml:space="preserve">It’s a lot easier to get </w:t>
      </w:r>
      <w:proofErr w:type="gramStart"/>
      <w:r>
        <w:t>shit</w:t>
      </w:r>
      <w:proofErr w:type="gramEnd"/>
      <w:r>
        <w:t xml:space="preserve"> done. It’s more motivating, just because you don’t have to sit there with your hand up for 10 minutes and then, “Oh, I’ll just go on my phone,” or whatever. You just go “Can I have some help?” … You’d be able to get into the flow of doing work </w:t>
      </w:r>
      <w:proofErr w:type="gramStart"/>
      <w:r>
        <w:t>really well</w:t>
      </w:r>
      <w:proofErr w:type="gramEnd"/>
      <w:r>
        <w:t xml:space="preserve">. </w:t>
      </w:r>
      <w:r w:rsidRPr="007831AC">
        <w:rPr>
          <w:iCs/>
        </w:rPr>
        <w:t>(Young person interview)</w:t>
      </w:r>
    </w:p>
    <w:p w14:paraId="4ECB1DAA" w14:textId="77777777" w:rsidR="002A1A4E" w:rsidRDefault="002A1A4E" w:rsidP="002A1A4E">
      <w:r>
        <w:t>The more flexible and casual learning environment was also more accommodating towards young people who experienced trouble concentrating in mainstream school. One student commented that “Being around people … I cannot focus. I have ADHD … so it’s not that easy” and mentioned that it was “a lot easier” to complete their work in HHA compared to in a mainstream school. Another mentioned that teachers at HHA were able to adapt to the student’s needs, so that if “someone can only mentally stay in tune in class for about two hours they can have that two hours to stay in class and then go off and do their own thing.”</w:t>
      </w:r>
    </w:p>
    <w:p w14:paraId="045A5585" w14:textId="613DEF54" w:rsidR="002A1A4E" w:rsidRDefault="002A1A4E" w:rsidP="002A1A4E">
      <w:r>
        <w:t>The other factor was the program’s non-traditional approach to curriculum delivery. One participant described Living Learning as “you learn other things, not just how to read and write.” The Living Learning model involves more practical and social skills training in the classroom, which young people reported improved their self-efficacy and confidence in navigating the post-school world.</w:t>
      </w:r>
    </w:p>
    <w:p w14:paraId="4ADC0BC0" w14:textId="013A0A6E" w:rsidR="002A1A4E" w:rsidRDefault="000A7F3F" w:rsidP="000A7F3F">
      <w:pPr>
        <w:pStyle w:val="HangingQuote"/>
        <w:rPr>
          <w:i/>
          <w:iCs/>
        </w:rPr>
      </w:pPr>
      <w:r>
        <w:t xml:space="preserve">They teach us how to budget, they teach us taxes, they teach us like how to do mock interviews … They teach you … if you want </w:t>
      </w:r>
      <w:proofErr w:type="gramStart"/>
      <w:r>
        <w:t>to</w:t>
      </w:r>
      <w:proofErr w:type="gramEnd"/>
      <w:r>
        <w:t xml:space="preserve"> they can teach you how to cook, the practicality of things is pretty good. </w:t>
      </w:r>
      <w:r w:rsidRPr="000A7F3F">
        <w:rPr>
          <w:iCs/>
        </w:rPr>
        <w:t>(Young person interview)</w:t>
      </w:r>
    </w:p>
    <w:p w14:paraId="109D832B" w14:textId="08C2EAD0" w:rsidR="000A7F3F" w:rsidRDefault="004A45D5" w:rsidP="000A7F3F">
      <w:r w:rsidRPr="004A45D5">
        <w:t>However, changes to the VCAL Year 12 certificate means it may take students 3–4 years to complete their certificate with attendance lower than 60 to 70 per cent. Whether young people will continue to attend HHA to complete their schooling without the support and adjustments provided by Living Learning should be explored by future evaluations.</w:t>
      </w:r>
    </w:p>
    <w:p w14:paraId="73853556" w14:textId="77777777" w:rsidR="003F2499" w:rsidRDefault="003F2499" w:rsidP="003F2499">
      <w:pPr>
        <w:pStyle w:val="Head3"/>
      </w:pPr>
      <w:r>
        <w:t xml:space="preserve">Some young people have improved their literacy and numeracy </w:t>
      </w:r>
      <w:proofErr w:type="gramStart"/>
      <w:r>
        <w:t>skills</w:t>
      </w:r>
      <w:proofErr w:type="gramEnd"/>
    </w:p>
    <w:p w14:paraId="585C0ABE" w14:textId="77777777" w:rsidR="003F2499" w:rsidRDefault="003F2499" w:rsidP="003F2499">
      <w:r>
        <w:t>The focus of Living Learning’s Education stream is equipping young people with the literacy and numeracy skills they need to be successful. Over the first two years of the program’s implementation, it has become apparent that the functional literacy and numeracy skills of Living Learning participants is significantly lower than what had been originally anticipated. Many young people entering the program do not have the functional skills to navigate adult life without support. This means they may not be able to fill out an application or write a cover letter independently. Living Learning staff reported that, while many Living Learning participants were eager to transition from school to work, they required significant support to build foundational literacy and numeracy skills before they could be successful making this transition.</w:t>
      </w:r>
    </w:p>
    <w:p w14:paraId="5324D155" w14:textId="05CB904A" w:rsidR="004A45D5" w:rsidRDefault="003F2499" w:rsidP="003F2499">
      <w:r>
        <w:t>Since program commencement, the literacy and numeracy skills of Living Learning participants has been assessed using the Basic Key Skills Builder (BKSB). Consistent collection of BKSB data has been challenging, as formal assessments are not a typical a feature of learning at HHA due to their potential to trigger a student’s distress. The BKSB is conducted online twice each year to assess an individual’s functional skills level and to identify areas for improvement. At HHA, the aim is to bring students up to level 3 BKSB (equivalent to Year 7–9) by the end of their time at the school.</w:t>
      </w:r>
      <w:r w:rsidR="00BE09AB" w:rsidRPr="007221CB">
        <w:rPr>
          <w:rStyle w:val="EndnoteReference"/>
          <w:vertAlign w:val="superscript"/>
        </w:rPr>
        <w:endnoteReference w:id="14"/>
      </w:r>
      <w:r>
        <w:t xml:space="preserve"> A level 3 BKSB means young people have a baseline level of literacy and numeracy enabling them to undertake day-to-day tasks without significant support. Living Learning staff noted that, while the literacy and numeracy BKSB are not the optimal tools for measuring and assessing skills within the HHA setting,</w:t>
      </w:r>
      <w:r w:rsidR="00B55A11" w:rsidRPr="007221CB">
        <w:rPr>
          <w:rStyle w:val="EndnoteReference"/>
          <w:vertAlign w:val="superscript"/>
        </w:rPr>
        <w:endnoteReference w:id="15"/>
      </w:r>
      <w:r w:rsidRPr="007221CB">
        <w:rPr>
          <w:vertAlign w:val="superscript"/>
        </w:rPr>
        <w:t xml:space="preserve"> </w:t>
      </w:r>
      <w:r>
        <w:t>the tool’s wide use in tertiary education (TAFE) settings means it may be in participants best interests to continue collecting BKSB data.</w:t>
      </w:r>
      <w:r w:rsidR="00B55A11" w:rsidRPr="007221CB">
        <w:rPr>
          <w:rStyle w:val="EndnoteReference"/>
          <w:vertAlign w:val="superscript"/>
        </w:rPr>
        <w:endnoteReference w:id="16"/>
      </w:r>
    </w:p>
    <w:p w14:paraId="15589092" w14:textId="39840952" w:rsidR="00F463E8" w:rsidRDefault="00F463E8" w:rsidP="00F463E8">
      <w:pPr>
        <w:pStyle w:val="HangingQuote"/>
        <w:rPr>
          <w:i/>
          <w:iCs/>
        </w:rPr>
      </w:pPr>
      <w:r>
        <w:t xml:space="preserve">If </w:t>
      </w:r>
      <w:r w:rsidRPr="00F463E8">
        <w:rPr>
          <w:iCs/>
        </w:rPr>
        <w:t>[a young person is]</w:t>
      </w:r>
      <w:r>
        <w:t xml:space="preserve"> leaving with a level 1 BKSB </w:t>
      </w:r>
      <w:r w:rsidRPr="00F463E8">
        <w:rPr>
          <w:iCs/>
        </w:rPr>
        <w:t>[they]</w:t>
      </w:r>
      <w:r>
        <w:t xml:space="preserve"> don't have the literacy skills to fill out an application form. </w:t>
      </w:r>
      <w:r w:rsidRPr="00F463E8">
        <w:rPr>
          <w:iCs/>
        </w:rPr>
        <w:t>(Living Learning staff interview)</w:t>
      </w:r>
    </w:p>
    <w:p w14:paraId="2066BCCD" w14:textId="6113E1AC" w:rsidR="00D908A7" w:rsidRDefault="00D908A7" w:rsidP="00D908A7">
      <w:r>
        <w:t>From 2021 to 2022, there has been consistent growth in BKSB data collection, increasingly demonstrating improved educational outcomes for program participants. Twenty-two Living Learning participants completed the English BKSB assessment more than once between Term 1, 2021 and Term 3, 2022. Among students who have had undertaken ongoing assessments half (50 per cent, n=11) of these participants improved by at least one BKSB level (which could equate to between 1 and 5 school year levels)</w:t>
      </w:r>
      <w:r w:rsidR="002E1CA2" w:rsidRPr="002C655D">
        <w:rPr>
          <w:rStyle w:val="EndnoteReference"/>
          <w:vertAlign w:val="superscript"/>
        </w:rPr>
        <w:endnoteReference w:id="17"/>
      </w:r>
      <w:r w:rsidRPr="002C655D">
        <w:rPr>
          <w:vertAlign w:val="superscript"/>
        </w:rPr>
        <w:t xml:space="preserve"> </w:t>
      </w:r>
      <w:r>
        <w:t>and 14 per cent (n=3) decreased a BKSB level. Twenty-seven Living Learning participants completed the Maths BKSB assessment more than once between Term 1, 2021 and Term 3, 2022. Approximately one-quarter (22 per cent, n=6) improved by at least one BKSB level, and 19 per cent (n=5) decreased a BKSB level.</w:t>
      </w:r>
    </w:p>
    <w:p w14:paraId="1938D8A5" w14:textId="2065C73C" w:rsidR="00D908A7" w:rsidRDefault="00D908A7" w:rsidP="00D908A7">
      <w:r>
        <w:t>The number of participants who decreased a BKSB level between their first and second assessment can be explained by changes to how participant BKSB data has been collected. Program staff reported that it has taken time to ensure BKSB test conditions are consistent across the school, citing this has now been largely achieved through the development of a BKSB completion guidance document as well as training for staff. In 2021, participants had been allowed to use calculators and staff were ‘assisting’ more than they do now, meaning initial BKSB assessments throughout 2021 were likely to have inflated a participant’s literacy and/or numeracy skills.</w:t>
      </w:r>
    </w:p>
    <w:p w14:paraId="5E70A901" w14:textId="3D16F481" w:rsidR="00F56FAB" w:rsidRDefault="00F56FAB" w:rsidP="00F56FAB">
      <w:pPr>
        <w:pStyle w:val="Heading2"/>
      </w:pPr>
      <w:bookmarkStart w:id="54" w:name="_Toc150431727"/>
      <w:r>
        <w:t>Housing</w:t>
      </w:r>
      <w:bookmarkEnd w:id="54"/>
    </w:p>
    <w:p w14:paraId="6F32220A" w14:textId="382B2B3D" w:rsidR="00532F9B" w:rsidRDefault="00532F9B" w:rsidP="00532F9B">
      <w:r>
        <w:t xml:space="preserve">While </w:t>
      </w:r>
      <w:proofErr w:type="gramStart"/>
      <w:r>
        <w:t>the majority of</w:t>
      </w:r>
      <w:proofErr w:type="gramEnd"/>
      <w:r>
        <w:t xml:space="preserve"> Living Learning young people reside in relatively stable housing, a small number of young people have experienced acute phases of homelessness and couch surfing. There is some evidence that Living Learning has contributed to improved housing outcomes for these young people,</w:t>
      </w:r>
      <w:r w:rsidR="008F131A" w:rsidRPr="002C655D">
        <w:rPr>
          <w:rStyle w:val="EndnoteReference"/>
          <w:vertAlign w:val="superscript"/>
        </w:rPr>
        <w:endnoteReference w:id="18"/>
      </w:r>
      <w:r>
        <w:t xml:space="preserve"> and program staff described a range of significant challenges they face. </w:t>
      </w:r>
      <w:proofErr w:type="gramStart"/>
      <w:r>
        <w:t>In particular a</w:t>
      </w:r>
      <w:proofErr w:type="gramEnd"/>
      <w:r>
        <w:t xml:space="preserve"> lack of suitable housing options means there are limited avenues through which young people can access secure, long-term housing.</w:t>
      </w:r>
    </w:p>
    <w:p w14:paraId="30E3BB76" w14:textId="7150DF74" w:rsidR="00532F9B" w:rsidRDefault="00532F9B" w:rsidP="00532F9B">
      <w:r>
        <w:t xml:space="preserve">Young people navigating housing insecurity were referred to MCM services such as Detour, </w:t>
      </w:r>
      <w:proofErr w:type="spellStart"/>
      <w:r>
        <w:t>Frontyard</w:t>
      </w:r>
      <w:proofErr w:type="spellEnd"/>
      <w:r>
        <w:t xml:space="preserve"> Youth Services and Finding Solutions. Living Learning staff highlighted how even with expediated access to MCM’s suite of youth homelessness services, significant barriers remain for young people trying to secure safe housing. They described the ‘exclusionary’ barriers Key Workers navigate when assisting young people to access housing, which include both the cost of private rentals and the restrictive criteria of some supportive housing programs, which do not accept individuals who misuse substances or who cannot self-manage prescribed medications.</w:t>
      </w:r>
    </w:p>
    <w:p w14:paraId="13A8A138" w14:textId="34AD68F7" w:rsidR="009A3DE5" w:rsidRDefault="00905586" w:rsidP="00905586">
      <w:pPr>
        <w:pStyle w:val="HangingQuote"/>
        <w:rPr>
          <w:i/>
          <w:iCs/>
        </w:rPr>
      </w:pPr>
      <w:r>
        <w:t xml:space="preserve">It took weeks to get one young person into a refuge … getting them into </w:t>
      </w:r>
      <w:r w:rsidRPr="00905586">
        <w:rPr>
          <w:i/>
          <w:iCs/>
        </w:rPr>
        <w:t>[housing program]</w:t>
      </w:r>
      <w:r>
        <w:t xml:space="preserve"> required a huge amount of advocacy and work. </w:t>
      </w:r>
      <w:r w:rsidRPr="00905586">
        <w:rPr>
          <w:i/>
          <w:iCs/>
        </w:rPr>
        <w:t>(Living Learning staff interview)</w:t>
      </w:r>
      <w:r w:rsidR="009A3DE5">
        <w:rPr>
          <w:i/>
          <w:iCs/>
        </w:rPr>
        <w:br w:type="page"/>
      </w:r>
    </w:p>
    <w:p w14:paraId="54A425DE" w14:textId="2F18890C" w:rsidR="00905586" w:rsidRDefault="00D41F7D" w:rsidP="00D41F7D">
      <w:r>
        <w:t>Many young people in the program have experienced difficulties with their living situation including, but not limited to, incidents of family violence, high risk behaviours and substance misuse. In the absence of available independent housing options, Engagement staff actively work with young people to mitigate risks within their current housing situation. Several Key Workers have invested significant time working with young people’s families to prevent the deterioration of relationships,</w:t>
      </w:r>
      <w:r w:rsidR="002F255E" w:rsidRPr="00402AD6">
        <w:rPr>
          <w:rStyle w:val="EndnoteReference"/>
          <w:vertAlign w:val="superscript"/>
        </w:rPr>
        <w:endnoteReference w:id="19"/>
      </w:r>
      <w:r>
        <w:t xml:space="preserve"> even in situations where the ideal scenario would be for a young person to live independently.</w:t>
      </w:r>
    </w:p>
    <w:p w14:paraId="35B20E47" w14:textId="3025EE36" w:rsidR="00D41F7D" w:rsidRDefault="00AF2586" w:rsidP="00AF2586">
      <w:pPr>
        <w:pStyle w:val="HangingQuote"/>
        <w:rPr>
          <w:i/>
          <w:iCs/>
        </w:rPr>
      </w:pPr>
      <w:r>
        <w:t xml:space="preserve">Housing security is a massive gap </w:t>
      </w:r>
      <w:r w:rsidRPr="00AF2586">
        <w:rPr>
          <w:i/>
          <w:iCs/>
        </w:rPr>
        <w:t>[in service provision]</w:t>
      </w:r>
      <w:r>
        <w:t xml:space="preserve">, access to housing is a massive gap ... outcomes for young people are limited by a systemic housing barrier. </w:t>
      </w:r>
      <w:r w:rsidRPr="00AF2586">
        <w:rPr>
          <w:i/>
          <w:iCs/>
        </w:rPr>
        <w:t>(Living Learning staff interview)</w:t>
      </w:r>
    </w:p>
    <w:p w14:paraId="06286245" w14:textId="6CDC1804" w:rsidR="00AF2586" w:rsidRDefault="00FA11BB" w:rsidP="00FA11BB">
      <w:r>
        <w:t>Living Learning staff highlighted that there is a significant lack of preventative housing interventions that address housing insecurity before living situations become critical. Staff described that often they feel disheartened that crisis accommodation may be the only option for young people in deteriorating living situations. They emphasised the fundamental importance of secure housing and reflected that without a safe home it is practically impossible to address other barriers young people face to participating in education or employment.</w:t>
      </w:r>
    </w:p>
    <w:p w14:paraId="42465024" w14:textId="77777777" w:rsidR="005300CB" w:rsidRPr="0096575C" w:rsidRDefault="007D15CD" w:rsidP="0096575C">
      <w:pPr>
        <w:pStyle w:val="HangingQuote"/>
      </w:pPr>
      <w:r w:rsidRPr="0096575C">
        <w:t xml:space="preserve">We have no choice but to wait for things to deteriorate [before a young person] can access crisis housing. We </w:t>
      </w:r>
      <w:proofErr w:type="gramStart"/>
      <w:r w:rsidRPr="0096575C">
        <w:t>have to</w:t>
      </w:r>
      <w:proofErr w:type="gramEnd"/>
      <w:r w:rsidRPr="0096575C">
        <w:t xml:space="preserve"> manage [young people’s] expectations around that. Most [Living Learning] young people are at risk of homelessness, so preventative housing is a huge necessity. (Living Learning staff interview)</w:t>
      </w:r>
    </w:p>
    <w:p w14:paraId="1B59813F" w14:textId="2C383195" w:rsidR="00062FE3" w:rsidRPr="004A7CE6" w:rsidRDefault="0086270C" w:rsidP="0000167B">
      <w:pPr>
        <w:pStyle w:val="Heading1"/>
      </w:pPr>
      <w:bookmarkStart w:id="55" w:name="_Toc150431728"/>
      <w:r w:rsidRPr="004A7CE6">
        <w:t xml:space="preserve">PAD </w:t>
      </w:r>
      <w:r w:rsidRPr="0019659D">
        <w:t>governance</w:t>
      </w:r>
      <w:r w:rsidRPr="004A7CE6">
        <w:t xml:space="preserve"> and funding model</w:t>
      </w:r>
      <w:bookmarkEnd w:id="55"/>
    </w:p>
    <w:p w14:paraId="6DB34BE7" w14:textId="2D996DBB" w:rsidR="0086270C" w:rsidRPr="004A7CE6" w:rsidRDefault="00413B50" w:rsidP="004A7CE6">
      <w:pPr>
        <w:pStyle w:val="Head2"/>
      </w:pPr>
      <w:r w:rsidRPr="004A7CE6">
        <w:t>Key messages</w:t>
      </w:r>
    </w:p>
    <w:p w14:paraId="310CD3CB" w14:textId="23F50723" w:rsidR="00CA11D0" w:rsidRPr="004A7CE6" w:rsidRDefault="00CA11D0" w:rsidP="00C3289B">
      <w:pPr>
        <w:pStyle w:val="ListBullet"/>
      </w:pPr>
      <w:r w:rsidRPr="004A7CE6">
        <w:t>Mechanisms and forums for governing the PAD model are appropriate and working effectively. A collaborative partnership, aided by shared goals and co-chairing arrangements, has contributed to building a trusting partnership with government agencies and MCM.</w:t>
      </w:r>
    </w:p>
    <w:p w14:paraId="5425D3B5" w14:textId="2EEF844B" w:rsidR="00CA11D0" w:rsidRPr="004A7CE6" w:rsidRDefault="00CA11D0" w:rsidP="00C3289B">
      <w:pPr>
        <w:pStyle w:val="ListBullet"/>
      </w:pPr>
      <w:r w:rsidRPr="004A7CE6">
        <w:t>The PAD model has generally had a positive influence on program management and delivery. In particular, the ambitious delivery timelines coupled with budget flexibility has fostered rapid program adjustment and innovation.</w:t>
      </w:r>
    </w:p>
    <w:p w14:paraId="4A37B31A" w14:textId="33C50F07" w:rsidR="00CA11D0" w:rsidRPr="004A7CE6" w:rsidRDefault="00CA11D0" w:rsidP="00C3289B">
      <w:pPr>
        <w:pStyle w:val="ListBullet"/>
      </w:pPr>
      <w:r w:rsidRPr="004A7CE6">
        <w:t>The PAD has also influenced program design. To ensure that all participants have a three-year experience of the program, Living Learning is currently developing a new engagement model for those young people who have finished at HHA. Access to administrative data of Emergency Department presentations made available through the PAD has prompted MCM to consider program adaptations that provide after-hours support to young people.</w:t>
      </w:r>
    </w:p>
    <w:p w14:paraId="5C6A0736" w14:textId="6472FCB6" w:rsidR="00CA11D0" w:rsidRPr="004A7CE6" w:rsidRDefault="00CA11D0">
      <w:pPr>
        <w:pStyle w:val="ListBullet"/>
      </w:pPr>
      <w:r w:rsidRPr="004A7CE6">
        <w:t>With evidence of the intervention’s effectiveness growing, key stakeholders have sought pathways to expand and replicate Living Learning in different settings. For future</w:t>
      </w:r>
      <w:r w:rsidR="00682838">
        <w:t xml:space="preserve"> </w:t>
      </w:r>
      <w:r w:rsidRPr="004A7CE6">
        <w:t>programs, greater involvement of school staff in Living Learning design and development may improve implementation of the program within a school environment.</w:t>
      </w:r>
    </w:p>
    <w:p w14:paraId="1D8B5EF0" w14:textId="0772D30F" w:rsidR="00CA11D0" w:rsidRPr="004A7CE6" w:rsidRDefault="00CA11D0" w:rsidP="00C3289B">
      <w:pPr>
        <w:pStyle w:val="ListBullet"/>
      </w:pPr>
      <w:r w:rsidRPr="004A7CE6">
        <w:t xml:space="preserve">While implementation of Living Learning is enabled by specialist and committed staff, the program is still exploring a sustainable resourcing and staff model. The rapid program </w:t>
      </w:r>
      <w:proofErr w:type="gramStart"/>
      <w:r w:rsidRPr="004A7CE6">
        <w:t>ramp</w:t>
      </w:r>
      <w:proofErr w:type="gramEnd"/>
      <w:r w:rsidRPr="004A7CE6">
        <w:t xml:space="preserve"> up to the peak year (2023) followed by a ramp down creates unique resourcing and staffing challenges that require investment in change management strategies.</w:t>
      </w:r>
    </w:p>
    <w:p w14:paraId="6325296C" w14:textId="5B1789AA" w:rsidR="00C3289B" w:rsidRDefault="0000167B" w:rsidP="00C3289B">
      <w:pPr>
        <w:pStyle w:val="ListBullet"/>
      </w:pPr>
      <w:r>
        <w:rPr>
          <w:noProof/>
        </w:rPr>
        <w:drawing>
          <wp:anchor distT="0" distB="0" distL="114300" distR="114300" simplePos="0" relativeHeight="251658266" behindDoc="1" locked="0" layoutInCell="1" allowOverlap="1" wp14:anchorId="43F7CE65" wp14:editId="49128DD0">
            <wp:simplePos x="0" y="0"/>
            <wp:positionH relativeFrom="margin">
              <wp:align>center</wp:align>
            </wp:positionH>
            <wp:positionV relativeFrom="paragraph">
              <wp:posOffset>1244168</wp:posOffset>
            </wp:positionV>
            <wp:extent cx="7573010" cy="4572000"/>
            <wp:effectExtent l="0" t="0" r="8890" b="0"/>
            <wp:wrapNone/>
            <wp:docPr id="430931239" name="Picture 430931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31239" name="Picture 1">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Lst>
                    </a:blip>
                    <a:srcRect l="-186" t="22910" r="186" b="36842"/>
                    <a:stretch/>
                  </pic:blipFill>
                  <pic:spPr bwMode="auto">
                    <a:xfrm>
                      <a:off x="0" y="0"/>
                      <a:ext cx="7573010" cy="45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11D0" w:rsidRPr="004A7CE6">
        <w:t>The single payable outcome of ED presentations has proven to be relatively volatile and in a small cohort, vulnerable to outliers. To date, the risks associated with the outcome measures have been actively controlled or mitigated through the PAD governance mechanisms and high mission alignment among PAD stakeholders including government, investors and MCM.</w:t>
      </w:r>
      <w:r w:rsidR="00C3289B">
        <w:br w:type="page"/>
      </w:r>
    </w:p>
    <w:p w14:paraId="569C2A04" w14:textId="581F8A19" w:rsidR="0086270C" w:rsidRPr="004361DA" w:rsidRDefault="004361DA" w:rsidP="004361DA">
      <w:r w:rsidRPr="004361DA">
        <w:t>This section examines the governance arrangements in place to support the Living Learning PAD model and the influence of the PAD model on program delivery. It also explores the sustainability and scalability of the program and its contribution to the broader evidence base about effective responses for disengaged young people with mental illness within educational settings.</w:t>
      </w:r>
    </w:p>
    <w:p w14:paraId="7451DD0D" w14:textId="7409235C" w:rsidR="00C3289B" w:rsidRDefault="005C2678" w:rsidP="005C2678">
      <w:pPr>
        <w:pStyle w:val="Heading2"/>
      </w:pPr>
      <w:bookmarkStart w:id="56" w:name="_Toc150431729"/>
      <w:r w:rsidRPr="005C2678">
        <w:t xml:space="preserve">Governance mechanisms are appropriate and </w:t>
      </w:r>
      <w:proofErr w:type="gramStart"/>
      <w:r w:rsidRPr="005C2678">
        <w:t>effective</w:t>
      </w:r>
      <w:bookmarkEnd w:id="56"/>
      <w:proofErr w:type="gramEnd"/>
    </w:p>
    <w:p w14:paraId="541786CC" w14:textId="77777777" w:rsidR="00392543" w:rsidRDefault="00392543" w:rsidP="00392543">
      <w:r>
        <w:t>The Living Learning PAD Joint Working Group (JWG) was established in 2019 to provide advice and guidance on the implementation of the Implementation Agreement. The JWG meets on a quarterly basis and has four distinct roles:</w:t>
      </w:r>
    </w:p>
    <w:p w14:paraId="259B2304" w14:textId="40EC404E" w:rsidR="00392543" w:rsidRDefault="00392543" w:rsidP="00392543">
      <w:pPr>
        <w:pStyle w:val="ListBullet"/>
      </w:pPr>
      <w:r>
        <w:t>provide advice on matters regarding the implementation and performance of the Living Learning PAD</w:t>
      </w:r>
    </w:p>
    <w:p w14:paraId="4B9B214D" w14:textId="4E65611F" w:rsidR="00392543" w:rsidRDefault="00392543" w:rsidP="00392543">
      <w:pPr>
        <w:pStyle w:val="ListBullet"/>
      </w:pPr>
      <w:r>
        <w:t xml:space="preserve">advise and agree on material changes to program delivery and </w:t>
      </w:r>
      <w:proofErr w:type="gramStart"/>
      <w:r>
        <w:t>processes</w:t>
      </w:r>
      <w:proofErr w:type="gramEnd"/>
    </w:p>
    <w:p w14:paraId="19596071" w14:textId="514D82A8" w:rsidR="00392543" w:rsidRDefault="00392543" w:rsidP="00392543">
      <w:pPr>
        <w:pStyle w:val="ListBullet"/>
      </w:pPr>
      <w:r>
        <w:t>formally review the Living Learning Program and PAD arrangement on an annual basis, including consideration of the appropriateness of baselines and target success rates</w:t>
      </w:r>
    </w:p>
    <w:p w14:paraId="14D57DE2" w14:textId="69D731B4" w:rsidR="00392543" w:rsidRDefault="00392543" w:rsidP="00392543">
      <w:pPr>
        <w:pStyle w:val="ListBullet"/>
      </w:pPr>
      <w:r>
        <w:t>provide advice on matters of formal dispute resolution.</w:t>
      </w:r>
    </w:p>
    <w:p w14:paraId="23810EA7" w14:textId="6139DFFC" w:rsidR="00392543" w:rsidRDefault="00392543" w:rsidP="00392543">
      <w:r>
        <w:t>The JWG membership comprises the MCM Chief Executive Officer (co-chair), the Responsible Deputy Secretary of DFFH (co-chair), the Government (DFFH) Contract Manager (GCM), senior representatives from DTF and DFFH, MCM’s Chief Financial Officer, the Living Learning Program Manager and the HHA Principal. Participants reported this as a productive and effective forum that formalises key decisions. Shared arrangements for chairing between MCM and DFFH were welcomed and contribute to fostering a genuine partnership between MCM and government. Despite some turnover in staff, particularly at DFFH, stakeholders confirmed there is a strong culture of working in partnership and a shared ownership of the PAD that results in a willingness to explore and resolve challenges.</w:t>
      </w:r>
    </w:p>
    <w:p w14:paraId="5AB9C9E5" w14:textId="53703094" w:rsidR="005C2678" w:rsidRDefault="00392543" w:rsidP="00392543">
      <w:r>
        <w:t>Established in early 2020, the Operational Working Group (OWG) provides a forum for reporting on day-to-day matters; information sharing; resolving operational issues not requiring escalation to the JWG; and routinely reviewing the Operations Manual to establish whether any amendments are necessary. Membership of the OWG is determined by the Contract Officers and includes representatives from MCM, DFFH and DTF. The OWG is functioning as intended to work through operational issues. Stakeholders confirmed that it is a constructive meeting space underpinned by a positive, collaborative approach. The OWG reports to the JWG for formal sign-off of key decisions. The operations of the OWG are supported by ongoing collaboration and coordination between the GCM and Living Learning Program Manager through weekly catch ups.</w:t>
      </w:r>
    </w:p>
    <w:p w14:paraId="62A3493B" w14:textId="01DD083E" w:rsidR="00D43255" w:rsidRDefault="00D43255" w:rsidP="008854D1">
      <w:pPr>
        <w:pStyle w:val="Heading2"/>
      </w:pPr>
      <w:bookmarkStart w:id="57" w:name="_Toc150431730"/>
      <w:r w:rsidRPr="00D43255">
        <w:t>Influence of the PAD funding model on program delivery and outcomes</w:t>
      </w:r>
      <w:bookmarkEnd w:id="57"/>
    </w:p>
    <w:p w14:paraId="77B307A1" w14:textId="77777777" w:rsidR="00837B5C" w:rsidRDefault="00837B5C" w:rsidP="00837B5C">
      <w:r>
        <w:t xml:space="preserve">The PAD funding mechanism has influenced </w:t>
      </w:r>
      <w:proofErr w:type="gramStart"/>
      <w:r>
        <w:t>a number of</w:t>
      </w:r>
      <w:proofErr w:type="gramEnd"/>
      <w:r>
        <w:t xml:space="preserve"> aspects of program management and delivery. Staff believe these features have largely benefited the program and resulted in better outcomes for young people.</w:t>
      </w:r>
    </w:p>
    <w:p w14:paraId="2A38B090" w14:textId="39132843" w:rsidR="009340F4" w:rsidRDefault="00837B5C" w:rsidP="00837B5C">
      <w:r>
        <w:t xml:space="preserve">The PAD model commits Living Learning staff to work with young people for a full three-year period and has necessitated the design of new delivery mechanisms for ‘ex-HHA’ young people who no longer attend HHA. While this development was largely unanticipated, staff have been required to design and resource a practical approach for these young people (as set out in </w:t>
      </w:r>
      <w:r w:rsidR="00682838">
        <w:rPr>
          <w:highlight w:val="yellow"/>
        </w:rPr>
        <w:fldChar w:fldCharType="begin"/>
      </w:r>
      <w:r w:rsidR="00682838">
        <w:instrText xml:space="preserve"> REF _Ref150430692 \h </w:instrText>
      </w:r>
      <w:r w:rsidR="00682838">
        <w:rPr>
          <w:highlight w:val="yellow"/>
        </w:rPr>
      </w:r>
      <w:r w:rsidR="00682838">
        <w:rPr>
          <w:highlight w:val="yellow"/>
        </w:rPr>
        <w:fldChar w:fldCharType="separate"/>
      </w:r>
      <w:r w:rsidR="008D0FC1">
        <w:t xml:space="preserve">Table </w:t>
      </w:r>
      <w:r w:rsidR="008D0FC1">
        <w:rPr>
          <w:noProof/>
        </w:rPr>
        <w:t>3</w:t>
      </w:r>
      <w:r w:rsidR="00682838">
        <w:rPr>
          <w:highlight w:val="yellow"/>
        </w:rPr>
        <w:fldChar w:fldCharType="end"/>
      </w:r>
      <w:r>
        <w:t>), which will be largely delivered offsite, via phone or online as young people are no longer on campus. Leaving the school environment can be a vulnerable and challenging time for many young people as they acclimatise to new people and environments. In addition, Living Learning staff note that many of these young people have low levels of functional numeracy and literacy, and are very likely to benefit from additional support provided by the program. Staff will commence piloting these approaches in 2023.</w:t>
      </w:r>
      <w:r w:rsidR="009340F4">
        <w:br w:type="page"/>
      </w:r>
    </w:p>
    <w:p w14:paraId="2566C8C6" w14:textId="5BDA4E91" w:rsidR="008854D1" w:rsidRDefault="00837B5C" w:rsidP="00837B5C">
      <w:r>
        <w:t>Living Learning staff reflected that the time pressures associated with the PAD have fostered a dynamic and innovative delivery model. The defined five year ‘lifetime’ of the PAD, alongside the three-year window for influence on each cohort, require the Living Learning Program to rapidly adapt and adjust program delivery to achieve the desired outcomes for young people. Staff believe that the flexibility and discretion to explore and test new approaches will ultimately result in improved outcomes for young people and has created a very rewarding work environment for Living Learning staff.</w:t>
      </w:r>
    </w:p>
    <w:p w14:paraId="47B20924" w14:textId="373EEB96" w:rsidR="005D12D2" w:rsidRDefault="005D12D2" w:rsidP="005D12D2">
      <w:r>
        <w:t xml:space="preserve">Under the PAD model, MCM and the Living Learning team has discretion and autonomy to manage the budget according to program needs without seeking approvals from government. The flexibility of budget management has enabled fit-for-purpose program adjustments such as the rapid recruitment of additional Key Workers, an Occupational Therapist and administrative support staff. Program staff reported that the ability to make resourcing and budget decisions rapidly without government scrutiny is a marked difference of the PAD model which fosters trust and creates a genuine partnership, particularly for MCM as the implementing service provider. Stakeholders also suggested that these conditions attract and retain high quality staff who thrive in this dynamic working environment. Living Learning staff, particularly in the Engagement stream, highlighted the importance of having agency and flexibility in their roles to adjust their approach to meet the needs of young people. This was identified as a key enabler of program success </w:t>
      </w:r>
      <w:proofErr w:type="gramStart"/>
      <w:r>
        <w:t>and also</w:t>
      </w:r>
      <w:proofErr w:type="gramEnd"/>
      <w:r>
        <w:t xml:space="preserve"> a valued feature of their role. It should be noted that in the first two years of program implementation, there has been very low turnover among Living Learning staff.</w:t>
      </w:r>
    </w:p>
    <w:p w14:paraId="14158D4A" w14:textId="7CC5C3CE" w:rsidR="005D12D2" w:rsidRDefault="005D12D2" w:rsidP="005D12D2">
      <w:r>
        <w:t>Living Learning staff reported that access to linked administrative data of Emergency Department (ED) presentations associated with payment outcomes has provided a valuable data source to inform potential program modifications. Administrative data provides the actual time of day of ED presentations and showed a high prevalence of admissions after school hours, which has prompted Living Learning to consider the value of staff operating with extended hours. Additionally, linked data has confirmed that both cohorts significantly underreport their ED presentations to the Living Learning Program.</w:t>
      </w:r>
      <w:r w:rsidR="00091871" w:rsidRPr="00274054">
        <w:rPr>
          <w:rStyle w:val="EndnoteReference"/>
          <w:vertAlign w:val="superscript"/>
        </w:rPr>
        <w:endnoteReference w:id="20"/>
      </w:r>
      <w:r>
        <w:t xml:space="preserve"> While the reasons for underreporting are not clearly understood, this will be explored further in later stages of the evaluation.</w:t>
      </w:r>
    </w:p>
    <w:p w14:paraId="23306C3A" w14:textId="39E06440" w:rsidR="005D12D2" w:rsidRDefault="005D12D2" w:rsidP="005D12D2">
      <w:r>
        <w:t xml:space="preserve">Several challenges were also identified with the PAD-mandated timelines. As shown in </w:t>
      </w:r>
      <w:r w:rsidR="00682838">
        <w:rPr>
          <w:highlight w:val="yellow"/>
        </w:rPr>
        <w:fldChar w:fldCharType="begin"/>
      </w:r>
      <w:r w:rsidR="00682838">
        <w:instrText xml:space="preserve"> REF _Ref150431255 \h </w:instrText>
      </w:r>
      <w:r w:rsidR="00682838">
        <w:rPr>
          <w:highlight w:val="yellow"/>
        </w:rPr>
      </w:r>
      <w:r w:rsidR="00682838">
        <w:rPr>
          <w:highlight w:val="yellow"/>
        </w:rPr>
        <w:fldChar w:fldCharType="separate"/>
      </w:r>
      <w:r w:rsidR="008D0FC1">
        <w:t xml:space="preserve">Figure </w:t>
      </w:r>
      <w:r w:rsidR="008D0FC1">
        <w:rPr>
          <w:noProof/>
        </w:rPr>
        <w:t>2</w:t>
      </w:r>
      <w:r w:rsidR="00682838">
        <w:rPr>
          <w:highlight w:val="yellow"/>
        </w:rPr>
        <w:fldChar w:fldCharType="end"/>
      </w:r>
      <w:r>
        <w:t>, the program is designed to ramp up over three years and then scale down as young people exit the program through annual cohort completion. The rapid ramp up and down creates unique resourcing and staffing challenges as new staff are recruited and brought onto the program. Living Learning staff reflected that there is very little time for this new program to make the necessary and inevitable adjustments. Staff noted that ideally, they would have six months of operation to test and streamline processes, before the official commencement. In the ramp down phase (from 2024 to 2026), program resourcing will need to be scaled down with staff leaving the program through staggered exit. Stakeholders anticipate that during this time, they will need to manage risks of staff disengagement and disruption to relationships with young people.</w:t>
      </w:r>
    </w:p>
    <w:p w14:paraId="46CDD6A1" w14:textId="026672A9" w:rsidR="00AC6EB4" w:rsidRDefault="00AC6EB4" w:rsidP="00AC6EB4">
      <w:pPr>
        <w:pStyle w:val="Heading2"/>
      </w:pPr>
      <w:bookmarkStart w:id="58" w:name="_Toc150431731"/>
      <w:r w:rsidRPr="00AC6EB4">
        <w:t>Strategic learnings</w:t>
      </w:r>
      <w:bookmarkEnd w:id="58"/>
    </w:p>
    <w:p w14:paraId="62C7A979" w14:textId="77777777" w:rsidR="00460894" w:rsidRDefault="00460894" w:rsidP="00460894">
      <w:r>
        <w:t>The Living Learning PAD has a single payable outcome measure based on the average number of ED presentations of young people during program duration compared to a baseline (the year prior to program participation). During the design phase of the Living Learning PAD other measures were also considered, such as school attendance. The choice of a single outcome measure for a relatively small cohort presents specific risks.</w:t>
      </w:r>
    </w:p>
    <w:p w14:paraId="20BD62AC" w14:textId="77777777" w:rsidR="00460894" w:rsidRDefault="00460894" w:rsidP="00460894">
      <w:r>
        <w:t>The first risk is the extent to which the measure is a valid proxy for the broader set of impacts that Living Learning is seeking to achieve – or, in economic terms, the value created. The risk associated with measure validity is that it drives inefficient program behaviour by incentivising effort toward a single outcome that is only weakly correlated with a broader set of value- driving outcomes. While some stakeholders have expressed scepticism about the measure chosen (presentations to ED) in the context of the intervention (educational setting), the evaluation intends to further test this through linked data analysis that will explore the correlation between ED presentation and other benefits or disbenefits observed for the cohort.</w:t>
      </w:r>
    </w:p>
    <w:p w14:paraId="1C7F208D" w14:textId="77777777" w:rsidR="00460894" w:rsidRDefault="00460894" w:rsidP="00460894">
      <w:r>
        <w:t>The second risk relates to the extent to which the measure is a reliable measure of program performance. In practice, the ED presentations measure has proven to be relatively volatile and in a small cohort, vulnerable to outliers. We heard that this risk was realised in 2022, with a single student recording an exceptionally high number of ED attendances relative to their cohort peers, which materially impacted the overall cohort result. To a significant extent, the data associated with this individual washed out positive performance across the remainder of the cohort and would have had a very material impact on assessed performance for the purposes of outcome payments.</w:t>
      </w:r>
    </w:p>
    <w:p w14:paraId="74771C8B" w14:textId="77777777" w:rsidR="008F52C0" w:rsidRDefault="00460894" w:rsidP="008F52C0">
      <w:r>
        <w:t xml:space="preserve">We observe, however, that each of these risks is being actively controlled or mitigated through the PAD through </w:t>
      </w:r>
      <w:proofErr w:type="gramStart"/>
      <w:r>
        <w:t>a number of</w:t>
      </w:r>
      <w:proofErr w:type="gramEnd"/>
      <w:r>
        <w:t xml:space="preserve"> mechanisms. These include a high level of social mission alignment between stakeholders – </w:t>
      </w:r>
      <w:proofErr w:type="gramStart"/>
      <w:r>
        <w:t>i.e.</w:t>
      </w:r>
      <w:proofErr w:type="gramEnd"/>
      <w:r>
        <w:t xml:space="preserve"> commitment to social returns, not merely financial – which reduces the likelihood of ‘outcome chasing’ behaviour focused on ED presentations that</w:t>
      </w:r>
      <w:r w:rsidR="008F52C0">
        <w:t xml:space="preserve"> might maximise financial returns at the cost of broader social value created. We note that this is particularly the case with respect to the small set of investors who all have philanthropic missions; it is possible that a different pool of investors with different priorities or expectations of return maximisation could exert pressure on MCM to focus on maximising investment yields.</w:t>
      </w:r>
    </w:p>
    <w:p w14:paraId="32941777" w14:textId="38C149F4" w:rsidR="00AC6EB4" w:rsidRDefault="008F52C0" w:rsidP="008F52C0">
      <w:r>
        <w:t xml:space="preserve">We also note that the flexibility exhibited by government in enabling adjustments to the way performance is calculated provides MCM and investors with a degree of confidence in the context of unanticipated events or impacts within the program that change the distribution of risk. This has been shown by the changes to attrition criteria and how outliers are dealt with in performance reporting. The willingness of government to ‘come to the table’ and renegotiate over key terms in these circumstances reduces the overall financial risk or exposure of MCM and their investors. These negotiations occurred within the parameters of the </w:t>
      </w:r>
      <w:proofErr w:type="gramStart"/>
      <w:r>
        <w:t>key PAD</w:t>
      </w:r>
      <w:proofErr w:type="gramEnd"/>
      <w:r>
        <w:t xml:space="preserve"> instruments (the IA and Operations Manual) – it is flexibility that has been designed, but was enlivened by the attitude taken by government. This in turn reduces the incentive to maximising financial return (</w:t>
      </w:r>
      <w:proofErr w:type="gramStart"/>
      <w:r>
        <w:t>e.g.</w:t>
      </w:r>
      <w:proofErr w:type="gramEnd"/>
      <w:r>
        <w:t xml:space="preserve"> through singular pursuit of reductions to ED presentations) as a financial risk management approach.</w:t>
      </w:r>
    </w:p>
    <w:p w14:paraId="17A7FDB1" w14:textId="529D6DD8" w:rsidR="00C47B9E" w:rsidRDefault="00C47B9E" w:rsidP="00C47B9E">
      <w:pPr>
        <w:pStyle w:val="Heading2"/>
      </w:pPr>
      <w:bookmarkStart w:id="59" w:name="_Toc150431732"/>
      <w:r w:rsidRPr="00C47B9E">
        <w:t>Sustainability and scalability</w:t>
      </w:r>
      <w:bookmarkEnd w:id="59"/>
    </w:p>
    <w:p w14:paraId="6F7A0F18" w14:textId="77777777" w:rsidR="000D7D87" w:rsidRDefault="000D7D87" w:rsidP="000D7D87">
      <w:r>
        <w:t>This evaluation contributes to the evidence base for targeted engagement and education interventions delivered in school settings. With evidence of the intervention’s effectiveness growing, key stakeholders are considering pathways to potentially expand the program and implement it in other school settings.</w:t>
      </w:r>
    </w:p>
    <w:p w14:paraId="38A1F957" w14:textId="77777777" w:rsidR="000D7D87" w:rsidRDefault="000D7D87" w:rsidP="000D7D87">
      <w:r>
        <w:t xml:space="preserve">In terms of replicability, staff noted that any future programs like Living Learning need to be designed by school staff and built out of any existing school setting. Interviewees noted that the design phase of Living Learning did not involve input from school staff. As noted in this report, there have been challenges in managing Living Learning within a school environment where there are differences in policies, risk assessment and management, and legal definitions of duty of care. While the tension between the program and school has improved over the second year of implementation, there </w:t>
      </w:r>
      <w:proofErr w:type="gramStart"/>
      <w:r>
        <w:t>still remain</w:t>
      </w:r>
      <w:proofErr w:type="gramEnd"/>
      <w:r>
        <w:t xml:space="preserve"> ongoing points of difference.</w:t>
      </w:r>
    </w:p>
    <w:p w14:paraId="1CBD7029" w14:textId="45F8BE7E" w:rsidR="000D7D87" w:rsidRDefault="000D7D87" w:rsidP="000D7D87">
      <w:r>
        <w:t xml:space="preserve">When considering sustainability and scalability, there is evidence to suggest that program implementation is enabled by the committed and passionate Living Learning staff, who have brought to bear specialist expertise in social work, mental </w:t>
      </w:r>
      <w:proofErr w:type="gramStart"/>
      <w:r>
        <w:t>health</w:t>
      </w:r>
      <w:proofErr w:type="gramEnd"/>
      <w:r>
        <w:t xml:space="preserve"> and education. The collective impact of these disciplines delivered concurrently in a school setting has significantly contributed to the positive and promising outcomes achieved to date. However, the sustainability of the staffing model, particularly for the case load and workload of Key Workers, remains an ongoing challenge for program delivery. Adaptations to the staffing model will provide important insights into the scalability of the program.</w:t>
      </w:r>
    </w:p>
    <w:p w14:paraId="2AE37D47" w14:textId="77777777" w:rsidR="00FE3104" w:rsidRDefault="000D7D87" w:rsidP="00FE0594">
      <w:pPr>
        <w:spacing w:after="3360"/>
      </w:pPr>
      <w:r>
        <w:t>These insights do not preclude program replication or scaling but point to the lessons learned in terms of devising an implementation approach that is suited to the contexts and capabilities of each school setting. This means that the key concept of blending psychosocial and clinical supports into flexible learning settings, coupled with what has been learned about enablers of success, is likely to be replicable – but how exactly this gets done in new places requires flexibility and local innovation. This in turn points to a further possible conclusion which is that the delivery flexibility offered by payment-by- outcomes approaches is potentially well-suited to enabling the scaling up of programs like Living Learning after their initial ‘trial’ phase within a PAD model</w:t>
      </w:r>
      <w:r w:rsidR="007B0DCC">
        <w:t>.</w:t>
      </w:r>
    </w:p>
    <w:p w14:paraId="1D1F3DA4" w14:textId="332C5A4C" w:rsidR="007B0DCC" w:rsidRDefault="007B0DCC" w:rsidP="00DB2642">
      <w:pPr>
        <w:pStyle w:val="Head1"/>
        <w:sectPr w:rsidR="007B0DCC" w:rsidSect="00C83454">
          <w:endnotePr>
            <w:numFmt w:val="decimal"/>
          </w:endnotePr>
          <w:pgSz w:w="11906" w:h="16838" w:code="9"/>
          <w:pgMar w:top="1134" w:right="1134" w:bottom="1418" w:left="1134" w:header="709" w:footer="284" w:gutter="0"/>
          <w:cols w:space="708"/>
          <w:docGrid w:linePitch="360"/>
        </w:sectPr>
      </w:pPr>
      <w:bookmarkStart w:id="60" w:name="_Toc150431733"/>
      <w:r>
        <w:t>References</w:t>
      </w:r>
      <w:bookmarkEnd w:id="60"/>
    </w:p>
    <w:p w14:paraId="444EF756" w14:textId="4C0A5AA1" w:rsidR="0083129A" w:rsidRDefault="0083129A" w:rsidP="00FE0594">
      <w:pPr>
        <w:spacing w:after="3360"/>
        <w:sectPr w:rsidR="0083129A" w:rsidSect="00576D69">
          <w:endnotePr>
            <w:numFmt w:val="decimal"/>
          </w:endnotePr>
          <w:type w:val="continuous"/>
          <w:pgSz w:w="11906" w:h="16838" w:code="9"/>
          <w:pgMar w:top="1134" w:right="1134" w:bottom="1418" w:left="1134" w:header="709" w:footer="284" w:gutter="0"/>
          <w:cols w:space="708"/>
          <w:docGrid w:linePitch="360"/>
        </w:sectPr>
      </w:pPr>
    </w:p>
    <w:p w14:paraId="51A08D2F" w14:textId="77777777" w:rsidR="00C83454" w:rsidRDefault="00307A86" w:rsidP="00307A86">
      <w:pPr>
        <w:pStyle w:val="Head1"/>
      </w:pPr>
      <w:bookmarkStart w:id="61" w:name="_Toc150431734"/>
      <w:r>
        <w:t>Acronyms</w:t>
      </w:r>
      <w:bookmarkEnd w:id="61"/>
    </w:p>
    <w:p w14:paraId="0111EFEA" w14:textId="3BD475DD" w:rsidR="00307A86" w:rsidRDefault="00C310E6" w:rsidP="00C310E6">
      <w:pPr>
        <w:pStyle w:val="Caption"/>
      </w:pPr>
      <w:bookmarkStart w:id="62" w:name="_Toc150431583"/>
      <w:bookmarkStart w:id="63" w:name="_Toc150431960"/>
      <w:r>
        <w:t xml:space="preserve">Table </w:t>
      </w:r>
      <w:r>
        <w:fldChar w:fldCharType="begin"/>
      </w:r>
      <w:r>
        <w:instrText xml:space="preserve"> SEQ Table \* ARABIC </w:instrText>
      </w:r>
      <w:r>
        <w:fldChar w:fldCharType="separate"/>
      </w:r>
      <w:r w:rsidR="008D0FC1">
        <w:rPr>
          <w:noProof/>
        </w:rPr>
        <w:t>10</w:t>
      </w:r>
      <w:r>
        <w:fldChar w:fldCharType="end"/>
      </w:r>
      <w:r>
        <w:t xml:space="preserve"> </w:t>
      </w:r>
      <w:r w:rsidR="005E5C3C">
        <w:t xml:space="preserve">Definitions of acronyms </w:t>
      </w:r>
      <w:proofErr w:type="gramStart"/>
      <w:r w:rsidR="005E5C3C">
        <w:t>used</w:t>
      </w:r>
      <w:bookmarkEnd w:id="62"/>
      <w:bookmarkEnd w:id="63"/>
      <w:proofErr w:type="gramEnd"/>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CellMar>
          <w:left w:w="0" w:type="dxa"/>
          <w:right w:w="0" w:type="dxa"/>
        </w:tblCellMar>
        <w:tblLook w:val="0420" w:firstRow="1" w:lastRow="0" w:firstColumn="0" w:lastColumn="0" w:noHBand="0" w:noVBand="1"/>
      </w:tblPr>
      <w:tblGrid>
        <w:gridCol w:w="1838"/>
        <w:gridCol w:w="7790"/>
      </w:tblGrid>
      <w:tr w:rsidR="005E5C3C" w:rsidRPr="00780518" w14:paraId="531EB3A9" w14:textId="77777777" w:rsidTr="005E5C3C">
        <w:trPr>
          <w:trHeight w:val="474"/>
          <w:tblHeader/>
        </w:trPr>
        <w:tc>
          <w:tcPr>
            <w:tcW w:w="1838" w:type="dxa"/>
            <w:shd w:val="clear" w:color="auto" w:fill="4B91D7"/>
          </w:tcPr>
          <w:p w14:paraId="70A59CE2" w14:textId="3C362EED" w:rsidR="005E5C3C" w:rsidRPr="00780518" w:rsidRDefault="005E5C3C">
            <w:pPr>
              <w:pStyle w:val="Table-Heading"/>
              <w:rPr>
                <w:color w:val="FFFFFF" w:themeColor="background1"/>
              </w:rPr>
            </w:pPr>
            <w:r>
              <w:rPr>
                <w:color w:val="FFFFFF" w:themeColor="background1"/>
              </w:rPr>
              <w:t>Term</w:t>
            </w:r>
          </w:p>
        </w:tc>
        <w:tc>
          <w:tcPr>
            <w:tcW w:w="7790" w:type="dxa"/>
            <w:shd w:val="clear" w:color="auto" w:fill="4B91D7"/>
          </w:tcPr>
          <w:p w14:paraId="74FE1954" w14:textId="12DC106B" w:rsidR="005E5C3C" w:rsidRPr="00780518" w:rsidRDefault="005E5C3C">
            <w:pPr>
              <w:pStyle w:val="Table-Heading"/>
              <w:rPr>
                <w:color w:val="FFFFFF" w:themeColor="background1"/>
              </w:rPr>
            </w:pPr>
            <w:r>
              <w:rPr>
                <w:color w:val="FFFFFF" w:themeColor="background1"/>
              </w:rPr>
              <w:t>Definition</w:t>
            </w:r>
          </w:p>
        </w:tc>
      </w:tr>
      <w:tr w:rsidR="000A42B1" w:rsidRPr="00780518" w14:paraId="06046582" w14:textId="77777777" w:rsidTr="005E5C3C">
        <w:trPr>
          <w:trHeight w:val="474"/>
        </w:trPr>
        <w:tc>
          <w:tcPr>
            <w:tcW w:w="1838" w:type="dxa"/>
            <w:shd w:val="clear" w:color="auto" w:fill="auto"/>
          </w:tcPr>
          <w:p w14:paraId="6075F593" w14:textId="5FCD9664" w:rsidR="000A42B1" w:rsidRPr="00780518" w:rsidRDefault="000A42B1" w:rsidP="000A42B1">
            <w:pPr>
              <w:pStyle w:val="Table-Text"/>
              <w:rPr>
                <w:rFonts w:cs="Arial"/>
                <w:szCs w:val="20"/>
              </w:rPr>
            </w:pPr>
            <w:r w:rsidRPr="00A141A7">
              <w:t>BKSB</w:t>
            </w:r>
          </w:p>
        </w:tc>
        <w:tc>
          <w:tcPr>
            <w:tcW w:w="7790" w:type="dxa"/>
          </w:tcPr>
          <w:p w14:paraId="4AED207E" w14:textId="6D0F5BBC" w:rsidR="000A42B1" w:rsidRPr="00780518" w:rsidRDefault="000A42B1" w:rsidP="000A42B1">
            <w:pPr>
              <w:pStyle w:val="Table-Text"/>
              <w:rPr>
                <w:rFonts w:cs="Arial"/>
                <w:szCs w:val="20"/>
              </w:rPr>
            </w:pPr>
            <w:r w:rsidRPr="00A141A7">
              <w:t>Basic Key Skills Builder</w:t>
            </w:r>
          </w:p>
        </w:tc>
      </w:tr>
      <w:tr w:rsidR="000A42B1" w:rsidRPr="00780518" w14:paraId="63C4EE75" w14:textId="77777777" w:rsidTr="005E5C3C">
        <w:trPr>
          <w:trHeight w:val="474"/>
        </w:trPr>
        <w:tc>
          <w:tcPr>
            <w:tcW w:w="1838" w:type="dxa"/>
            <w:shd w:val="clear" w:color="auto" w:fill="auto"/>
          </w:tcPr>
          <w:p w14:paraId="099759C4" w14:textId="013F1A3C" w:rsidR="000A42B1" w:rsidRPr="00780518" w:rsidRDefault="000A42B1" w:rsidP="000A42B1">
            <w:pPr>
              <w:pStyle w:val="Table-Text"/>
              <w:rPr>
                <w:rFonts w:cs="Arial"/>
                <w:szCs w:val="20"/>
              </w:rPr>
            </w:pPr>
            <w:r w:rsidRPr="00A141A7">
              <w:t>BPD</w:t>
            </w:r>
          </w:p>
        </w:tc>
        <w:tc>
          <w:tcPr>
            <w:tcW w:w="7790" w:type="dxa"/>
          </w:tcPr>
          <w:p w14:paraId="0E5B6882" w14:textId="6CDE28AA" w:rsidR="000A42B1" w:rsidRPr="00780518" w:rsidRDefault="000A42B1" w:rsidP="000A42B1">
            <w:pPr>
              <w:pStyle w:val="Table-Text"/>
              <w:rPr>
                <w:rFonts w:cs="Arial"/>
                <w:szCs w:val="20"/>
              </w:rPr>
            </w:pPr>
            <w:r w:rsidRPr="00A141A7">
              <w:t>Borderline Personality Disorder</w:t>
            </w:r>
          </w:p>
        </w:tc>
      </w:tr>
      <w:tr w:rsidR="000A42B1" w:rsidRPr="00780518" w14:paraId="4D32901A" w14:textId="77777777" w:rsidTr="005E5C3C">
        <w:trPr>
          <w:trHeight w:val="474"/>
        </w:trPr>
        <w:tc>
          <w:tcPr>
            <w:tcW w:w="1838" w:type="dxa"/>
            <w:shd w:val="clear" w:color="auto" w:fill="auto"/>
          </w:tcPr>
          <w:p w14:paraId="0D6917FE" w14:textId="21CAFCCB" w:rsidR="000A42B1" w:rsidRPr="00780518" w:rsidRDefault="000A42B1" w:rsidP="000A42B1">
            <w:pPr>
              <w:pStyle w:val="Table-Text"/>
              <w:rPr>
                <w:rFonts w:cs="Arial"/>
                <w:szCs w:val="20"/>
              </w:rPr>
            </w:pPr>
            <w:r w:rsidRPr="00A141A7">
              <w:t>CALD</w:t>
            </w:r>
          </w:p>
        </w:tc>
        <w:tc>
          <w:tcPr>
            <w:tcW w:w="7790" w:type="dxa"/>
          </w:tcPr>
          <w:p w14:paraId="13CA2678" w14:textId="0350C081" w:rsidR="000A42B1" w:rsidRPr="00780518" w:rsidRDefault="000A42B1" w:rsidP="000A42B1">
            <w:pPr>
              <w:pStyle w:val="Table-Text"/>
              <w:rPr>
                <w:rFonts w:cs="Arial"/>
                <w:szCs w:val="20"/>
              </w:rPr>
            </w:pPr>
            <w:r w:rsidRPr="00A141A7">
              <w:t>Culturally and Linguistically Diverse</w:t>
            </w:r>
          </w:p>
        </w:tc>
      </w:tr>
      <w:tr w:rsidR="000A42B1" w:rsidRPr="00780518" w14:paraId="77ECD757" w14:textId="77777777" w:rsidTr="005E5C3C">
        <w:trPr>
          <w:trHeight w:val="474"/>
        </w:trPr>
        <w:tc>
          <w:tcPr>
            <w:tcW w:w="1838" w:type="dxa"/>
            <w:shd w:val="clear" w:color="auto" w:fill="auto"/>
          </w:tcPr>
          <w:p w14:paraId="41193FC3" w14:textId="4BF5D6A6" w:rsidR="000A42B1" w:rsidRPr="00780518" w:rsidRDefault="000A42B1" w:rsidP="000A42B1">
            <w:pPr>
              <w:pStyle w:val="Table-Text"/>
              <w:rPr>
                <w:rFonts w:cs="Arial"/>
                <w:szCs w:val="20"/>
              </w:rPr>
            </w:pPr>
            <w:r w:rsidRPr="00A141A7">
              <w:t>CBD</w:t>
            </w:r>
          </w:p>
        </w:tc>
        <w:tc>
          <w:tcPr>
            <w:tcW w:w="7790" w:type="dxa"/>
          </w:tcPr>
          <w:p w14:paraId="00AFEB91" w14:textId="31388A94" w:rsidR="000A42B1" w:rsidRPr="00780518" w:rsidRDefault="000A42B1" w:rsidP="000A42B1">
            <w:pPr>
              <w:pStyle w:val="Table-Text"/>
              <w:rPr>
                <w:rFonts w:cs="Arial"/>
                <w:szCs w:val="20"/>
              </w:rPr>
            </w:pPr>
            <w:r w:rsidRPr="00A141A7">
              <w:t>Central business district</w:t>
            </w:r>
          </w:p>
        </w:tc>
      </w:tr>
      <w:tr w:rsidR="000A42B1" w:rsidRPr="00780518" w14:paraId="48E0F58F" w14:textId="77777777" w:rsidTr="005E5C3C">
        <w:trPr>
          <w:trHeight w:val="474"/>
        </w:trPr>
        <w:tc>
          <w:tcPr>
            <w:tcW w:w="1838" w:type="dxa"/>
            <w:shd w:val="clear" w:color="auto" w:fill="auto"/>
          </w:tcPr>
          <w:p w14:paraId="7ED0FA88" w14:textId="61292C4D" w:rsidR="000A42B1" w:rsidRPr="00780518" w:rsidRDefault="000A42B1" w:rsidP="000A42B1">
            <w:pPr>
              <w:pStyle w:val="Table-Text"/>
              <w:rPr>
                <w:rFonts w:cs="Arial"/>
                <w:szCs w:val="20"/>
              </w:rPr>
            </w:pPr>
            <w:r w:rsidRPr="00A141A7">
              <w:t>CEO</w:t>
            </w:r>
          </w:p>
        </w:tc>
        <w:tc>
          <w:tcPr>
            <w:tcW w:w="7790" w:type="dxa"/>
          </w:tcPr>
          <w:p w14:paraId="3228235A" w14:textId="03956C54" w:rsidR="000A42B1" w:rsidRPr="00780518" w:rsidRDefault="000A42B1" w:rsidP="000A42B1">
            <w:pPr>
              <w:pStyle w:val="Table-Text"/>
              <w:rPr>
                <w:rFonts w:cs="Arial"/>
                <w:szCs w:val="20"/>
              </w:rPr>
            </w:pPr>
            <w:r w:rsidRPr="00A141A7">
              <w:t>Chief executive officer</w:t>
            </w:r>
          </w:p>
        </w:tc>
      </w:tr>
      <w:tr w:rsidR="000A42B1" w:rsidRPr="00780518" w14:paraId="1FB57D63" w14:textId="77777777" w:rsidTr="005E5C3C">
        <w:trPr>
          <w:trHeight w:val="474"/>
        </w:trPr>
        <w:tc>
          <w:tcPr>
            <w:tcW w:w="1838" w:type="dxa"/>
            <w:shd w:val="clear" w:color="auto" w:fill="auto"/>
          </w:tcPr>
          <w:p w14:paraId="2775C649" w14:textId="16698AA4" w:rsidR="000A42B1" w:rsidRPr="00780518" w:rsidRDefault="000A42B1" w:rsidP="000A42B1">
            <w:pPr>
              <w:pStyle w:val="Table-Text"/>
              <w:rPr>
                <w:rFonts w:cs="Arial"/>
                <w:szCs w:val="20"/>
              </w:rPr>
            </w:pPr>
            <w:r w:rsidRPr="00A141A7">
              <w:t>DASS 21</w:t>
            </w:r>
          </w:p>
        </w:tc>
        <w:tc>
          <w:tcPr>
            <w:tcW w:w="7790" w:type="dxa"/>
          </w:tcPr>
          <w:p w14:paraId="6C449FDB" w14:textId="69F86AED" w:rsidR="000A42B1" w:rsidRPr="00780518" w:rsidRDefault="000A42B1" w:rsidP="000A42B1">
            <w:pPr>
              <w:pStyle w:val="Table-Text"/>
              <w:rPr>
                <w:rFonts w:cs="Arial"/>
                <w:szCs w:val="20"/>
              </w:rPr>
            </w:pPr>
            <w:r w:rsidRPr="00A141A7">
              <w:t>Depression Anxiety Stress Scales 21</w:t>
            </w:r>
          </w:p>
        </w:tc>
      </w:tr>
      <w:tr w:rsidR="000A42B1" w:rsidRPr="00780518" w14:paraId="1A94C589" w14:textId="77777777" w:rsidTr="005E5C3C">
        <w:trPr>
          <w:trHeight w:val="474"/>
        </w:trPr>
        <w:tc>
          <w:tcPr>
            <w:tcW w:w="1838" w:type="dxa"/>
            <w:shd w:val="clear" w:color="auto" w:fill="auto"/>
          </w:tcPr>
          <w:p w14:paraId="56FA5AC8" w14:textId="7A2AEC85" w:rsidR="000A42B1" w:rsidRPr="00780518" w:rsidRDefault="000A42B1" w:rsidP="000A42B1">
            <w:pPr>
              <w:pStyle w:val="Table-Text"/>
              <w:rPr>
                <w:rFonts w:cs="Arial"/>
                <w:szCs w:val="20"/>
              </w:rPr>
            </w:pPr>
            <w:r w:rsidRPr="00A141A7">
              <w:t>DET</w:t>
            </w:r>
          </w:p>
        </w:tc>
        <w:tc>
          <w:tcPr>
            <w:tcW w:w="7790" w:type="dxa"/>
          </w:tcPr>
          <w:p w14:paraId="5D79894A" w14:textId="5BC0B622" w:rsidR="000A42B1" w:rsidRPr="00780518" w:rsidRDefault="000A42B1" w:rsidP="000A42B1">
            <w:pPr>
              <w:pStyle w:val="Table-Text"/>
              <w:rPr>
                <w:rFonts w:cs="Arial"/>
                <w:szCs w:val="20"/>
              </w:rPr>
            </w:pPr>
            <w:r w:rsidRPr="00A141A7">
              <w:t>Department of Education and Training</w:t>
            </w:r>
          </w:p>
        </w:tc>
      </w:tr>
      <w:tr w:rsidR="000A42B1" w:rsidRPr="00780518" w14:paraId="57833288" w14:textId="77777777" w:rsidTr="005E5C3C">
        <w:trPr>
          <w:trHeight w:val="474"/>
        </w:trPr>
        <w:tc>
          <w:tcPr>
            <w:tcW w:w="1838" w:type="dxa"/>
            <w:shd w:val="clear" w:color="auto" w:fill="auto"/>
          </w:tcPr>
          <w:p w14:paraId="346E6B00" w14:textId="0B180E19" w:rsidR="000A42B1" w:rsidRPr="00780518" w:rsidRDefault="000A42B1" w:rsidP="000A42B1">
            <w:pPr>
              <w:pStyle w:val="Table-Text"/>
              <w:rPr>
                <w:rFonts w:cs="Arial"/>
                <w:szCs w:val="20"/>
              </w:rPr>
            </w:pPr>
            <w:r w:rsidRPr="00A141A7">
              <w:t>DFFH</w:t>
            </w:r>
          </w:p>
        </w:tc>
        <w:tc>
          <w:tcPr>
            <w:tcW w:w="7790" w:type="dxa"/>
          </w:tcPr>
          <w:p w14:paraId="0B0B9C98" w14:textId="34E17D18" w:rsidR="000A42B1" w:rsidRPr="00780518" w:rsidRDefault="000A42B1" w:rsidP="000A42B1">
            <w:pPr>
              <w:pStyle w:val="Table-Text"/>
              <w:rPr>
                <w:rFonts w:cs="Arial"/>
                <w:szCs w:val="20"/>
              </w:rPr>
            </w:pPr>
            <w:r w:rsidRPr="00A141A7">
              <w:t>Department of Families, Fairness and Housing</w:t>
            </w:r>
          </w:p>
        </w:tc>
      </w:tr>
      <w:tr w:rsidR="000A42B1" w:rsidRPr="00780518" w14:paraId="604ACB02" w14:textId="77777777" w:rsidTr="005E5C3C">
        <w:trPr>
          <w:trHeight w:val="474"/>
        </w:trPr>
        <w:tc>
          <w:tcPr>
            <w:tcW w:w="1838" w:type="dxa"/>
            <w:shd w:val="clear" w:color="auto" w:fill="auto"/>
          </w:tcPr>
          <w:p w14:paraId="47C78D1D" w14:textId="4988DB68" w:rsidR="000A42B1" w:rsidRPr="00780518" w:rsidRDefault="000A42B1" w:rsidP="000A42B1">
            <w:pPr>
              <w:pStyle w:val="Table-Text"/>
              <w:rPr>
                <w:rFonts w:cs="Arial"/>
                <w:szCs w:val="20"/>
              </w:rPr>
            </w:pPr>
            <w:r w:rsidRPr="00A141A7">
              <w:t>DHHS</w:t>
            </w:r>
          </w:p>
        </w:tc>
        <w:tc>
          <w:tcPr>
            <w:tcW w:w="7790" w:type="dxa"/>
          </w:tcPr>
          <w:p w14:paraId="4D7D7052" w14:textId="22560EE2" w:rsidR="000A42B1" w:rsidRPr="00780518" w:rsidRDefault="000A42B1" w:rsidP="000A42B1">
            <w:pPr>
              <w:pStyle w:val="Table-Text"/>
              <w:rPr>
                <w:rFonts w:cs="Arial"/>
                <w:szCs w:val="20"/>
              </w:rPr>
            </w:pPr>
            <w:r w:rsidRPr="00A141A7">
              <w:t>Department of Health and Human Services</w:t>
            </w:r>
          </w:p>
        </w:tc>
      </w:tr>
      <w:tr w:rsidR="000A42B1" w:rsidRPr="00780518" w14:paraId="288A0ED1" w14:textId="77777777" w:rsidTr="005E5C3C">
        <w:trPr>
          <w:trHeight w:val="474"/>
        </w:trPr>
        <w:tc>
          <w:tcPr>
            <w:tcW w:w="1838" w:type="dxa"/>
            <w:shd w:val="clear" w:color="auto" w:fill="auto"/>
          </w:tcPr>
          <w:p w14:paraId="2B641E6E" w14:textId="5A85AF5E" w:rsidR="000A42B1" w:rsidRPr="00780518" w:rsidRDefault="000A42B1" w:rsidP="000A42B1">
            <w:pPr>
              <w:pStyle w:val="Table-Text"/>
              <w:rPr>
                <w:rFonts w:cs="Arial"/>
                <w:szCs w:val="20"/>
              </w:rPr>
            </w:pPr>
            <w:r w:rsidRPr="00A141A7">
              <w:t>DPC</w:t>
            </w:r>
          </w:p>
        </w:tc>
        <w:tc>
          <w:tcPr>
            <w:tcW w:w="7790" w:type="dxa"/>
          </w:tcPr>
          <w:p w14:paraId="3AF01CB5" w14:textId="55A59CFD" w:rsidR="000A42B1" w:rsidRPr="00780518" w:rsidRDefault="000A42B1" w:rsidP="000A42B1">
            <w:pPr>
              <w:pStyle w:val="Table-Text"/>
              <w:rPr>
                <w:rFonts w:cs="Arial"/>
                <w:szCs w:val="20"/>
              </w:rPr>
            </w:pPr>
            <w:r w:rsidRPr="00A141A7">
              <w:t>Department of Premier and Cabinet</w:t>
            </w:r>
          </w:p>
        </w:tc>
      </w:tr>
      <w:tr w:rsidR="000A42B1" w:rsidRPr="00780518" w14:paraId="04BCEF2B" w14:textId="77777777" w:rsidTr="005E5C3C">
        <w:trPr>
          <w:trHeight w:val="474"/>
        </w:trPr>
        <w:tc>
          <w:tcPr>
            <w:tcW w:w="1838" w:type="dxa"/>
            <w:shd w:val="clear" w:color="auto" w:fill="auto"/>
          </w:tcPr>
          <w:p w14:paraId="3FE779EE" w14:textId="4D8468B5" w:rsidR="000A42B1" w:rsidRPr="00780518" w:rsidRDefault="000A42B1" w:rsidP="000A42B1">
            <w:pPr>
              <w:pStyle w:val="Table-Text"/>
              <w:rPr>
                <w:rFonts w:cs="Arial"/>
                <w:szCs w:val="20"/>
              </w:rPr>
            </w:pPr>
            <w:r w:rsidRPr="00A141A7">
              <w:t>DTF</w:t>
            </w:r>
          </w:p>
        </w:tc>
        <w:tc>
          <w:tcPr>
            <w:tcW w:w="7790" w:type="dxa"/>
          </w:tcPr>
          <w:p w14:paraId="2E3D679E" w14:textId="7B0DBDD7" w:rsidR="000A42B1" w:rsidRPr="00780518" w:rsidRDefault="000A42B1" w:rsidP="000A42B1">
            <w:pPr>
              <w:pStyle w:val="Table-Text"/>
              <w:rPr>
                <w:rFonts w:cs="Arial"/>
                <w:szCs w:val="20"/>
              </w:rPr>
            </w:pPr>
            <w:r w:rsidRPr="00A141A7">
              <w:t>Department</w:t>
            </w:r>
            <w:r w:rsidR="00674C7D">
              <w:t xml:space="preserve"> </w:t>
            </w:r>
            <w:r w:rsidRPr="00A141A7">
              <w:t>of Treasury and Finance</w:t>
            </w:r>
          </w:p>
        </w:tc>
      </w:tr>
      <w:tr w:rsidR="000A42B1" w:rsidRPr="00780518" w14:paraId="0C424C51" w14:textId="77777777" w:rsidTr="005E5C3C">
        <w:trPr>
          <w:trHeight w:val="474"/>
        </w:trPr>
        <w:tc>
          <w:tcPr>
            <w:tcW w:w="1838" w:type="dxa"/>
            <w:shd w:val="clear" w:color="auto" w:fill="auto"/>
          </w:tcPr>
          <w:p w14:paraId="082BC67B" w14:textId="1BB628E7" w:rsidR="000A42B1" w:rsidRPr="00780518" w:rsidRDefault="000A42B1" w:rsidP="000A42B1">
            <w:pPr>
              <w:pStyle w:val="Table-Text"/>
              <w:rPr>
                <w:rFonts w:cs="Arial"/>
                <w:szCs w:val="20"/>
              </w:rPr>
            </w:pPr>
            <w:r w:rsidRPr="00A141A7">
              <w:t>FTE</w:t>
            </w:r>
          </w:p>
        </w:tc>
        <w:tc>
          <w:tcPr>
            <w:tcW w:w="7790" w:type="dxa"/>
          </w:tcPr>
          <w:p w14:paraId="126A1F5F" w14:textId="364BF75E" w:rsidR="000A42B1" w:rsidRPr="00780518" w:rsidRDefault="000A42B1" w:rsidP="000A42B1">
            <w:pPr>
              <w:pStyle w:val="Table-Text"/>
              <w:rPr>
                <w:rFonts w:cs="Arial"/>
                <w:szCs w:val="20"/>
              </w:rPr>
            </w:pPr>
            <w:r w:rsidRPr="00A141A7">
              <w:t>Full time equivalent</w:t>
            </w:r>
          </w:p>
        </w:tc>
      </w:tr>
      <w:tr w:rsidR="000A42B1" w:rsidRPr="00780518" w14:paraId="50114B9B" w14:textId="77777777" w:rsidTr="005E5C3C">
        <w:trPr>
          <w:trHeight w:val="474"/>
        </w:trPr>
        <w:tc>
          <w:tcPr>
            <w:tcW w:w="1838" w:type="dxa"/>
            <w:shd w:val="clear" w:color="auto" w:fill="auto"/>
          </w:tcPr>
          <w:p w14:paraId="0896C715" w14:textId="1B5D95A3" w:rsidR="000A42B1" w:rsidRPr="00780518" w:rsidRDefault="000A42B1" w:rsidP="000A42B1">
            <w:pPr>
              <w:pStyle w:val="Table-Text"/>
              <w:rPr>
                <w:rFonts w:cs="Arial"/>
                <w:szCs w:val="20"/>
              </w:rPr>
            </w:pPr>
            <w:r w:rsidRPr="00A141A7">
              <w:t>HEAT</w:t>
            </w:r>
          </w:p>
        </w:tc>
        <w:tc>
          <w:tcPr>
            <w:tcW w:w="7790" w:type="dxa"/>
          </w:tcPr>
          <w:p w14:paraId="1B6014F9" w14:textId="70424270" w:rsidR="000A42B1" w:rsidRPr="00780518" w:rsidRDefault="000A42B1" w:rsidP="000A42B1">
            <w:pPr>
              <w:pStyle w:val="Table-Text"/>
              <w:rPr>
                <w:rFonts w:cs="Arial"/>
                <w:szCs w:val="20"/>
              </w:rPr>
            </w:pPr>
            <w:r w:rsidRPr="00A141A7">
              <w:t>Hospitality Employment and Training</w:t>
            </w:r>
          </w:p>
        </w:tc>
      </w:tr>
      <w:tr w:rsidR="000A42B1" w:rsidRPr="00780518" w14:paraId="1D33DFAF" w14:textId="77777777" w:rsidTr="005E5C3C">
        <w:trPr>
          <w:trHeight w:val="474"/>
        </w:trPr>
        <w:tc>
          <w:tcPr>
            <w:tcW w:w="1838" w:type="dxa"/>
            <w:shd w:val="clear" w:color="auto" w:fill="auto"/>
          </w:tcPr>
          <w:p w14:paraId="064EB535" w14:textId="38FBB3AE" w:rsidR="000A42B1" w:rsidRPr="00780518" w:rsidRDefault="000A42B1" w:rsidP="000A42B1">
            <w:pPr>
              <w:pStyle w:val="Table-Text"/>
              <w:rPr>
                <w:rFonts w:cs="Arial"/>
                <w:szCs w:val="20"/>
              </w:rPr>
            </w:pPr>
            <w:r w:rsidRPr="00A141A7">
              <w:t>HHA</w:t>
            </w:r>
          </w:p>
        </w:tc>
        <w:tc>
          <w:tcPr>
            <w:tcW w:w="7790" w:type="dxa"/>
          </w:tcPr>
          <w:p w14:paraId="148A6AE7" w14:textId="2B28F0C1" w:rsidR="000A42B1" w:rsidRPr="00780518" w:rsidRDefault="000A42B1" w:rsidP="000A42B1">
            <w:pPr>
              <w:pStyle w:val="Table-Text"/>
              <w:rPr>
                <w:rFonts w:cs="Arial"/>
                <w:szCs w:val="20"/>
              </w:rPr>
            </w:pPr>
            <w:r w:rsidRPr="00A141A7">
              <w:t>Hester Hornbrook Academy</w:t>
            </w:r>
          </w:p>
        </w:tc>
      </w:tr>
      <w:tr w:rsidR="000A42B1" w:rsidRPr="00780518" w14:paraId="2ABDB23E" w14:textId="77777777" w:rsidTr="005E5C3C">
        <w:trPr>
          <w:trHeight w:val="474"/>
        </w:trPr>
        <w:tc>
          <w:tcPr>
            <w:tcW w:w="1838" w:type="dxa"/>
            <w:shd w:val="clear" w:color="auto" w:fill="auto"/>
          </w:tcPr>
          <w:p w14:paraId="7A79A5D3" w14:textId="5CA8EE15" w:rsidR="000A42B1" w:rsidRPr="00780518" w:rsidRDefault="000A42B1" w:rsidP="000A42B1">
            <w:pPr>
              <w:pStyle w:val="Table-Text"/>
              <w:rPr>
                <w:rFonts w:cs="Arial"/>
                <w:szCs w:val="20"/>
              </w:rPr>
            </w:pPr>
            <w:r w:rsidRPr="00A141A7">
              <w:t>IA</w:t>
            </w:r>
          </w:p>
        </w:tc>
        <w:tc>
          <w:tcPr>
            <w:tcW w:w="7790" w:type="dxa"/>
          </w:tcPr>
          <w:p w14:paraId="27DB7FAC" w14:textId="57C290E4" w:rsidR="000A42B1" w:rsidRPr="00780518" w:rsidRDefault="000A42B1" w:rsidP="000A42B1">
            <w:pPr>
              <w:pStyle w:val="Table-Text"/>
              <w:rPr>
                <w:rFonts w:cs="Arial"/>
                <w:szCs w:val="20"/>
              </w:rPr>
            </w:pPr>
            <w:r w:rsidRPr="00A141A7">
              <w:t>Implementation Agreement</w:t>
            </w:r>
          </w:p>
        </w:tc>
      </w:tr>
      <w:tr w:rsidR="00A2494A" w:rsidRPr="00780518" w14:paraId="057561E2" w14:textId="77777777" w:rsidTr="005E5C3C">
        <w:trPr>
          <w:trHeight w:val="474"/>
        </w:trPr>
        <w:tc>
          <w:tcPr>
            <w:tcW w:w="1838" w:type="dxa"/>
            <w:shd w:val="clear" w:color="auto" w:fill="auto"/>
          </w:tcPr>
          <w:p w14:paraId="516C741C" w14:textId="2C63B135" w:rsidR="00A2494A" w:rsidRPr="00A141A7" w:rsidRDefault="00A2494A" w:rsidP="00A2494A">
            <w:pPr>
              <w:pStyle w:val="Table-Text"/>
            </w:pPr>
            <w:r w:rsidRPr="00482DE7">
              <w:t>IEP</w:t>
            </w:r>
          </w:p>
        </w:tc>
        <w:tc>
          <w:tcPr>
            <w:tcW w:w="7790" w:type="dxa"/>
          </w:tcPr>
          <w:p w14:paraId="48AF3AF3" w14:textId="07921C25" w:rsidR="00A2494A" w:rsidRPr="00A141A7" w:rsidRDefault="00A2494A" w:rsidP="00A2494A">
            <w:pPr>
              <w:pStyle w:val="Table-Text"/>
            </w:pPr>
            <w:r w:rsidRPr="00482DE7">
              <w:t>Individual Education Plan</w:t>
            </w:r>
          </w:p>
        </w:tc>
      </w:tr>
      <w:tr w:rsidR="00A2494A" w:rsidRPr="00780518" w14:paraId="26C83763" w14:textId="77777777" w:rsidTr="005E5C3C">
        <w:trPr>
          <w:trHeight w:val="474"/>
        </w:trPr>
        <w:tc>
          <w:tcPr>
            <w:tcW w:w="1838" w:type="dxa"/>
            <w:shd w:val="clear" w:color="auto" w:fill="auto"/>
          </w:tcPr>
          <w:p w14:paraId="05468A07" w14:textId="0B4E5B69" w:rsidR="00A2494A" w:rsidRPr="00A141A7" w:rsidRDefault="00A2494A" w:rsidP="00A2494A">
            <w:pPr>
              <w:pStyle w:val="Table-Text"/>
            </w:pPr>
            <w:r w:rsidRPr="00482DE7">
              <w:t>IER</w:t>
            </w:r>
          </w:p>
        </w:tc>
        <w:tc>
          <w:tcPr>
            <w:tcW w:w="7790" w:type="dxa"/>
          </w:tcPr>
          <w:p w14:paraId="7E29DB1F" w14:textId="581585D0" w:rsidR="00A2494A" w:rsidRPr="00A141A7" w:rsidRDefault="00A2494A" w:rsidP="00A2494A">
            <w:pPr>
              <w:pStyle w:val="Table-Text"/>
            </w:pPr>
            <w:r w:rsidRPr="00482DE7">
              <w:t>Initial Engagement Review</w:t>
            </w:r>
          </w:p>
        </w:tc>
      </w:tr>
      <w:tr w:rsidR="00674C7D" w:rsidRPr="00780518" w14:paraId="5D6CA772" w14:textId="77777777" w:rsidTr="005E5C3C">
        <w:trPr>
          <w:trHeight w:val="474"/>
        </w:trPr>
        <w:tc>
          <w:tcPr>
            <w:tcW w:w="1838" w:type="dxa"/>
            <w:shd w:val="clear" w:color="auto" w:fill="auto"/>
          </w:tcPr>
          <w:p w14:paraId="41C3A6E3" w14:textId="4B19780F" w:rsidR="00674C7D" w:rsidRPr="00482DE7" w:rsidRDefault="00674C7D" w:rsidP="00674C7D">
            <w:pPr>
              <w:pStyle w:val="Table-Text"/>
            </w:pPr>
            <w:r w:rsidRPr="00674C7D">
              <w:t>JWG</w:t>
            </w:r>
          </w:p>
        </w:tc>
        <w:tc>
          <w:tcPr>
            <w:tcW w:w="7790" w:type="dxa"/>
          </w:tcPr>
          <w:p w14:paraId="09E626D6" w14:textId="2B1FB3FD" w:rsidR="00674C7D" w:rsidRPr="00482DE7" w:rsidRDefault="00674C7D" w:rsidP="00674C7D">
            <w:pPr>
              <w:pStyle w:val="Table-Text"/>
            </w:pPr>
            <w:r w:rsidRPr="00674C7D">
              <w:t>Joint Working Group</w:t>
            </w:r>
          </w:p>
        </w:tc>
      </w:tr>
      <w:tr w:rsidR="00674C7D" w:rsidRPr="00780518" w14:paraId="3AE7F0AA" w14:textId="77777777" w:rsidTr="005E5C3C">
        <w:trPr>
          <w:trHeight w:val="474"/>
        </w:trPr>
        <w:tc>
          <w:tcPr>
            <w:tcW w:w="1838" w:type="dxa"/>
            <w:shd w:val="clear" w:color="auto" w:fill="auto"/>
          </w:tcPr>
          <w:p w14:paraId="6DF47270" w14:textId="7A48C7E6" w:rsidR="00674C7D" w:rsidRPr="00482DE7" w:rsidRDefault="00674C7D" w:rsidP="00674C7D">
            <w:pPr>
              <w:pStyle w:val="Table-Text"/>
            </w:pPr>
            <w:r w:rsidRPr="00674C7D">
              <w:t>KEQ</w:t>
            </w:r>
          </w:p>
        </w:tc>
        <w:tc>
          <w:tcPr>
            <w:tcW w:w="7790" w:type="dxa"/>
          </w:tcPr>
          <w:p w14:paraId="55D72D0B" w14:textId="5529BE56" w:rsidR="00674C7D" w:rsidRPr="00482DE7" w:rsidRDefault="00674C7D" w:rsidP="00674C7D">
            <w:pPr>
              <w:pStyle w:val="Table-Text"/>
            </w:pPr>
            <w:r w:rsidRPr="00674C7D">
              <w:t>Key evaluation question</w:t>
            </w:r>
          </w:p>
        </w:tc>
      </w:tr>
      <w:tr w:rsidR="00674C7D" w:rsidRPr="00780518" w14:paraId="3DFE6169" w14:textId="77777777" w:rsidTr="005E5C3C">
        <w:trPr>
          <w:trHeight w:val="474"/>
        </w:trPr>
        <w:tc>
          <w:tcPr>
            <w:tcW w:w="1838" w:type="dxa"/>
            <w:shd w:val="clear" w:color="auto" w:fill="auto"/>
          </w:tcPr>
          <w:p w14:paraId="77494855" w14:textId="3D77C5C7" w:rsidR="00674C7D" w:rsidRPr="00482DE7" w:rsidRDefault="00674C7D" w:rsidP="00674C7D">
            <w:pPr>
              <w:pStyle w:val="Table-Text"/>
            </w:pPr>
            <w:r w:rsidRPr="00674C7D">
              <w:t>MCM</w:t>
            </w:r>
          </w:p>
        </w:tc>
        <w:tc>
          <w:tcPr>
            <w:tcW w:w="7790" w:type="dxa"/>
          </w:tcPr>
          <w:p w14:paraId="5168D69F" w14:textId="36EB49A5" w:rsidR="00674C7D" w:rsidRPr="00482DE7" w:rsidRDefault="00674C7D" w:rsidP="00674C7D">
            <w:pPr>
              <w:pStyle w:val="Table-Text"/>
            </w:pPr>
            <w:r w:rsidRPr="00674C7D">
              <w:t>Melbourne City Mission</w:t>
            </w:r>
          </w:p>
        </w:tc>
      </w:tr>
      <w:tr w:rsidR="00674C7D" w:rsidRPr="00780518" w14:paraId="5F431F5F" w14:textId="77777777" w:rsidTr="005E5C3C">
        <w:trPr>
          <w:trHeight w:val="474"/>
        </w:trPr>
        <w:tc>
          <w:tcPr>
            <w:tcW w:w="1838" w:type="dxa"/>
            <w:shd w:val="clear" w:color="auto" w:fill="auto"/>
          </w:tcPr>
          <w:p w14:paraId="77990A07" w14:textId="7B751D6C" w:rsidR="00674C7D" w:rsidRPr="00482DE7" w:rsidRDefault="00674C7D" w:rsidP="00674C7D">
            <w:pPr>
              <w:pStyle w:val="Table-Text"/>
            </w:pPr>
            <w:r w:rsidRPr="00674C7D">
              <w:t>NCCD</w:t>
            </w:r>
          </w:p>
        </w:tc>
        <w:tc>
          <w:tcPr>
            <w:tcW w:w="7790" w:type="dxa"/>
          </w:tcPr>
          <w:p w14:paraId="4522B33E" w14:textId="56F6BA4F" w:rsidR="00674C7D" w:rsidRPr="00482DE7" w:rsidRDefault="00674C7D" w:rsidP="00674C7D">
            <w:pPr>
              <w:pStyle w:val="Table-Text"/>
            </w:pPr>
            <w:r w:rsidRPr="00674C7D">
              <w:t>National Consistent Collection of Data</w:t>
            </w:r>
          </w:p>
        </w:tc>
      </w:tr>
      <w:tr w:rsidR="00674C7D" w:rsidRPr="00780518" w14:paraId="38AF9513" w14:textId="77777777" w:rsidTr="005E5C3C">
        <w:trPr>
          <w:trHeight w:val="474"/>
        </w:trPr>
        <w:tc>
          <w:tcPr>
            <w:tcW w:w="1838" w:type="dxa"/>
            <w:shd w:val="clear" w:color="auto" w:fill="auto"/>
          </w:tcPr>
          <w:p w14:paraId="36529BFA" w14:textId="52564F20" w:rsidR="00674C7D" w:rsidRPr="00482DE7" w:rsidRDefault="00674C7D" w:rsidP="00674C7D">
            <w:pPr>
              <w:pStyle w:val="Table-Text"/>
            </w:pPr>
            <w:r w:rsidRPr="00674C7D">
              <w:t>NEET</w:t>
            </w:r>
          </w:p>
        </w:tc>
        <w:tc>
          <w:tcPr>
            <w:tcW w:w="7790" w:type="dxa"/>
          </w:tcPr>
          <w:p w14:paraId="1A368596" w14:textId="54266414" w:rsidR="00674C7D" w:rsidRPr="00482DE7" w:rsidRDefault="00674C7D" w:rsidP="00674C7D">
            <w:pPr>
              <w:pStyle w:val="Table-Text"/>
            </w:pPr>
            <w:r w:rsidRPr="00674C7D">
              <w:t xml:space="preserve">Not in employment, </w:t>
            </w:r>
            <w:proofErr w:type="gramStart"/>
            <w:r w:rsidRPr="00674C7D">
              <w:t>education</w:t>
            </w:r>
            <w:proofErr w:type="gramEnd"/>
            <w:r w:rsidRPr="00674C7D">
              <w:t xml:space="preserve"> or training</w:t>
            </w:r>
          </w:p>
        </w:tc>
      </w:tr>
      <w:tr w:rsidR="00674C7D" w:rsidRPr="00780518" w14:paraId="66CFACC0" w14:textId="77777777" w:rsidTr="005E5C3C">
        <w:trPr>
          <w:trHeight w:val="474"/>
        </w:trPr>
        <w:tc>
          <w:tcPr>
            <w:tcW w:w="1838" w:type="dxa"/>
            <w:shd w:val="clear" w:color="auto" w:fill="auto"/>
          </w:tcPr>
          <w:p w14:paraId="37E15C08" w14:textId="5FDA2ADB" w:rsidR="00674C7D" w:rsidRPr="00482DE7" w:rsidRDefault="00674C7D" w:rsidP="00674C7D">
            <w:pPr>
              <w:pStyle w:val="Table-Text"/>
            </w:pPr>
            <w:r w:rsidRPr="00674C7D">
              <w:t>NWI</w:t>
            </w:r>
          </w:p>
        </w:tc>
        <w:tc>
          <w:tcPr>
            <w:tcW w:w="7790" w:type="dxa"/>
          </w:tcPr>
          <w:p w14:paraId="5B946410" w14:textId="4FAAFA5C" w:rsidR="00674C7D" w:rsidRPr="00482DE7" w:rsidRDefault="00674C7D" w:rsidP="00674C7D">
            <w:pPr>
              <w:pStyle w:val="Table-Text"/>
            </w:pPr>
            <w:r w:rsidRPr="00674C7D">
              <w:t>National Wraparound Initiative</w:t>
            </w:r>
          </w:p>
        </w:tc>
      </w:tr>
      <w:tr w:rsidR="00674C7D" w:rsidRPr="00780518" w14:paraId="238B1C59" w14:textId="77777777" w:rsidTr="005E5C3C">
        <w:trPr>
          <w:trHeight w:val="474"/>
        </w:trPr>
        <w:tc>
          <w:tcPr>
            <w:tcW w:w="1838" w:type="dxa"/>
            <w:shd w:val="clear" w:color="auto" w:fill="auto"/>
          </w:tcPr>
          <w:p w14:paraId="7C49D844" w14:textId="6D537D5A" w:rsidR="00674C7D" w:rsidRPr="00482DE7" w:rsidRDefault="00674C7D" w:rsidP="00674C7D">
            <w:pPr>
              <w:pStyle w:val="Table-Text"/>
            </w:pPr>
            <w:r w:rsidRPr="00674C7D">
              <w:t>OOHC</w:t>
            </w:r>
          </w:p>
        </w:tc>
        <w:tc>
          <w:tcPr>
            <w:tcW w:w="7790" w:type="dxa"/>
          </w:tcPr>
          <w:p w14:paraId="37FA974C" w14:textId="36FCCF0C" w:rsidR="00674C7D" w:rsidRPr="00482DE7" w:rsidRDefault="00674C7D" w:rsidP="00674C7D">
            <w:pPr>
              <w:pStyle w:val="Table-Text"/>
            </w:pPr>
            <w:r w:rsidRPr="00674C7D">
              <w:t>Out-of-home care</w:t>
            </w:r>
          </w:p>
        </w:tc>
      </w:tr>
      <w:tr w:rsidR="00674C7D" w:rsidRPr="00780518" w14:paraId="1493CBEB" w14:textId="77777777" w:rsidTr="005E5C3C">
        <w:trPr>
          <w:trHeight w:val="474"/>
        </w:trPr>
        <w:tc>
          <w:tcPr>
            <w:tcW w:w="1838" w:type="dxa"/>
            <w:shd w:val="clear" w:color="auto" w:fill="auto"/>
          </w:tcPr>
          <w:p w14:paraId="7105A29A" w14:textId="1B9FC1D3" w:rsidR="00674C7D" w:rsidRPr="00482DE7" w:rsidRDefault="00674C7D" w:rsidP="00674C7D">
            <w:pPr>
              <w:pStyle w:val="Table-Text"/>
            </w:pPr>
            <w:r w:rsidRPr="00674C7D">
              <w:t>OWG</w:t>
            </w:r>
          </w:p>
        </w:tc>
        <w:tc>
          <w:tcPr>
            <w:tcW w:w="7790" w:type="dxa"/>
          </w:tcPr>
          <w:p w14:paraId="003BE383" w14:textId="5ADB738C" w:rsidR="00674C7D" w:rsidRPr="00482DE7" w:rsidRDefault="00674C7D" w:rsidP="00674C7D">
            <w:pPr>
              <w:pStyle w:val="Table-Text"/>
            </w:pPr>
            <w:r w:rsidRPr="00674C7D">
              <w:t>Operational Working Group</w:t>
            </w:r>
          </w:p>
        </w:tc>
      </w:tr>
      <w:tr w:rsidR="00674C7D" w:rsidRPr="00780518" w14:paraId="6CD58150" w14:textId="77777777" w:rsidTr="005E5C3C">
        <w:trPr>
          <w:trHeight w:val="474"/>
        </w:trPr>
        <w:tc>
          <w:tcPr>
            <w:tcW w:w="1838" w:type="dxa"/>
            <w:shd w:val="clear" w:color="auto" w:fill="auto"/>
          </w:tcPr>
          <w:p w14:paraId="4037A1C7" w14:textId="2FECAF08" w:rsidR="00674C7D" w:rsidRPr="00482DE7" w:rsidRDefault="00674C7D" w:rsidP="00674C7D">
            <w:pPr>
              <w:pStyle w:val="Table-Text"/>
            </w:pPr>
            <w:r w:rsidRPr="00674C7D">
              <w:t>PAD</w:t>
            </w:r>
          </w:p>
        </w:tc>
        <w:tc>
          <w:tcPr>
            <w:tcW w:w="7790" w:type="dxa"/>
          </w:tcPr>
          <w:p w14:paraId="31463113" w14:textId="26039256" w:rsidR="00674C7D" w:rsidRPr="00482DE7" w:rsidRDefault="00674C7D" w:rsidP="00674C7D">
            <w:pPr>
              <w:pStyle w:val="Table-Text"/>
            </w:pPr>
            <w:r w:rsidRPr="00674C7D">
              <w:t>Partnership Addressing Disadvantage</w:t>
            </w:r>
          </w:p>
        </w:tc>
      </w:tr>
      <w:tr w:rsidR="00674C7D" w:rsidRPr="00780518" w14:paraId="6E27684D" w14:textId="77777777" w:rsidTr="005E5C3C">
        <w:trPr>
          <w:trHeight w:val="474"/>
        </w:trPr>
        <w:tc>
          <w:tcPr>
            <w:tcW w:w="1838" w:type="dxa"/>
            <w:shd w:val="clear" w:color="auto" w:fill="auto"/>
          </w:tcPr>
          <w:p w14:paraId="6DAC4CE1" w14:textId="7211AB35" w:rsidR="00674C7D" w:rsidRPr="00482DE7" w:rsidRDefault="00674C7D" w:rsidP="00674C7D">
            <w:pPr>
              <w:pStyle w:val="Table-Text"/>
            </w:pPr>
            <w:r w:rsidRPr="00674C7D">
              <w:t>PTSD</w:t>
            </w:r>
          </w:p>
        </w:tc>
        <w:tc>
          <w:tcPr>
            <w:tcW w:w="7790" w:type="dxa"/>
          </w:tcPr>
          <w:p w14:paraId="060E5033" w14:textId="2AE1F269" w:rsidR="00674C7D" w:rsidRPr="00482DE7" w:rsidRDefault="00674C7D" w:rsidP="00674C7D">
            <w:pPr>
              <w:pStyle w:val="Table-Text"/>
            </w:pPr>
            <w:r w:rsidRPr="00674C7D">
              <w:t>Post-Traumatic Stress Disorder</w:t>
            </w:r>
          </w:p>
        </w:tc>
      </w:tr>
      <w:tr w:rsidR="00674C7D" w:rsidRPr="00780518" w14:paraId="7972F53B" w14:textId="77777777" w:rsidTr="005E5C3C">
        <w:trPr>
          <w:trHeight w:val="474"/>
        </w:trPr>
        <w:tc>
          <w:tcPr>
            <w:tcW w:w="1838" w:type="dxa"/>
            <w:shd w:val="clear" w:color="auto" w:fill="auto"/>
          </w:tcPr>
          <w:p w14:paraId="505E0FDA" w14:textId="391D7E30" w:rsidR="00674C7D" w:rsidRPr="00482DE7" w:rsidRDefault="00674C7D" w:rsidP="00674C7D">
            <w:pPr>
              <w:pStyle w:val="Table-Text"/>
            </w:pPr>
            <w:r w:rsidRPr="00674C7D">
              <w:t>RFP</w:t>
            </w:r>
          </w:p>
        </w:tc>
        <w:tc>
          <w:tcPr>
            <w:tcW w:w="7790" w:type="dxa"/>
          </w:tcPr>
          <w:p w14:paraId="4392FFFA" w14:textId="3B7EBB53" w:rsidR="00674C7D" w:rsidRPr="00482DE7" w:rsidRDefault="00674C7D" w:rsidP="00674C7D">
            <w:pPr>
              <w:pStyle w:val="Table-Text"/>
            </w:pPr>
            <w:r w:rsidRPr="00674C7D">
              <w:t>Request for proposal</w:t>
            </w:r>
          </w:p>
        </w:tc>
      </w:tr>
      <w:tr w:rsidR="00674C7D" w:rsidRPr="00780518" w14:paraId="1FBEC390" w14:textId="77777777" w:rsidTr="005E5C3C">
        <w:trPr>
          <w:trHeight w:val="474"/>
        </w:trPr>
        <w:tc>
          <w:tcPr>
            <w:tcW w:w="1838" w:type="dxa"/>
            <w:shd w:val="clear" w:color="auto" w:fill="auto"/>
          </w:tcPr>
          <w:p w14:paraId="314571B3" w14:textId="07E5285C" w:rsidR="00674C7D" w:rsidRPr="00482DE7" w:rsidRDefault="00674C7D" w:rsidP="00674C7D">
            <w:pPr>
              <w:pStyle w:val="Table-Text"/>
            </w:pPr>
            <w:r w:rsidRPr="00674C7D">
              <w:t>SDQ</w:t>
            </w:r>
          </w:p>
        </w:tc>
        <w:tc>
          <w:tcPr>
            <w:tcW w:w="7790" w:type="dxa"/>
          </w:tcPr>
          <w:p w14:paraId="5027BE5D" w14:textId="7D4A16A7" w:rsidR="00674C7D" w:rsidRPr="00482DE7" w:rsidRDefault="00674C7D" w:rsidP="00674C7D">
            <w:pPr>
              <w:pStyle w:val="Table-Text"/>
            </w:pPr>
            <w:r w:rsidRPr="00674C7D">
              <w:t>Strengths and Difficulties Questionnaire</w:t>
            </w:r>
          </w:p>
        </w:tc>
      </w:tr>
      <w:tr w:rsidR="00674C7D" w:rsidRPr="00780518" w14:paraId="11CDD4EA" w14:textId="77777777" w:rsidTr="005E5C3C">
        <w:trPr>
          <w:trHeight w:val="474"/>
        </w:trPr>
        <w:tc>
          <w:tcPr>
            <w:tcW w:w="1838" w:type="dxa"/>
            <w:shd w:val="clear" w:color="auto" w:fill="auto"/>
          </w:tcPr>
          <w:p w14:paraId="17EB9832" w14:textId="1E53FE94" w:rsidR="00674C7D" w:rsidRPr="00482DE7" w:rsidRDefault="00674C7D" w:rsidP="00674C7D">
            <w:pPr>
              <w:pStyle w:val="Table-Text"/>
            </w:pPr>
            <w:r w:rsidRPr="00674C7D">
              <w:t>SIB</w:t>
            </w:r>
          </w:p>
        </w:tc>
        <w:tc>
          <w:tcPr>
            <w:tcW w:w="7790" w:type="dxa"/>
          </w:tcPr>
          <w:p w14:paraId="443A7601" w14:textId="175A3BA0" w:rsidR="00674C7D" w:rsidRPr="00482DE7" w:rsidRDefault="00674C7D" w:rsidP="00674C7D">
            <w:pPr>
              <w:pStyle w:val="Table-Text"/>
            </w:pPr>
            <w:r w:rsidRPr="00674C7D">
              <w:t>Social impact bond</w:t>
            </w:r>
          </w:p>
        </w:tc>
      </w:tr>
      <w:tr w:rsidR="00674C7D" w:rsidRPr="00780518" w14:paraId="6B86ED5A" w14:textId="77777777" w:rsidTr="005E5C3C">
        <w:trPr>
          <w:trHeight w:val="474"/>
        </w:trPr>
        <w:tc>
          <w:tcPr>
            <w:tcW w:w="1838" w:type="dxa"/>
            <w:shd w:val="clear" w:color="auto" w:fill="auto"/>
          </w:tcPr>
          <w:p w14:paraId="31F072C0" w14:textId="7BAE2404" w:rsidR="00674C7D" w:rsidRPr="00482DE7" w:rsidRDefault="00674C7D" w:rsidP="00674C7D">
            <w:pPr>
              <w:pStyle w:val="Table-Text"/>
            </w:pPr>
            <w:r w:rsidRPr="00674C7D">
              <w:t>TOR</w:t>
            </w:r>
          </w:p>
        </w:tc>
        <w:tc>
          <w:tcPr>
            <w:tcW w:w="7790" w:type="dxa"/>
          </w:tcPr>
          <w:p w14:paraId="706EF3AB" w14:textId="62A8A4D0" w:rsidR="00674C7D" w:rsidRPr="00482DE7" w:rsidRDefault="00674C7D" w:rsidP="00674C7D">
            <w:pPr>
              <w:pStyle w:val="Table-Text"/>
            </w:pPr>
            <w:r w:rsidRPr="00674C7D">
              <w:t>Terms of reference</w:t>
            </w:r>
          </w:p>
        </w:tc>
      </w:tr>
      <w:tr w:rsidR="00674C7D" w:rsidRPr="00780518" w14:paraId="22424783" w14:textId="77777777" w:rsidTr="005E5C3C">
        <w:trPr>
          <w:trHeight w:val="474"/>
        </w:trPr>
        <w:tc>
          <w:tcPr>
            <w:tcW w:w="1838" w:type="dxa"/>
            <w:shd w:val="clear" w:color="auto" w:fill="auto"/>
          </w:tcPr>
          <w:p w14:paraId="134FD6B4" w14:textId="7AC7A709" w:rsidR="00674C7D" w:rsidRPr="00482DE7" w:rsidRDefault="00674C7D" w:rsidP="00674C7D">
            <w:pPr>
              <w:pStyle w:val="Table-Text"/>
            </w:pPr>
            <w:r w:rsidRPr="00674C7D">
              <w:t>VCAL</w:t>
            </w:r>
          </w:p>
        </w:tc>
        <w:tc>
          <w:tcPr>
            <w:tcW w:w="7790" w:type="dxa"/>
          </w:tcPr>
          <w:p w14:paraId="78EC749B" w14:textId="585FFE8D" w:rsidR="00674C7D" w:rsidRPr="00482DE7" w:rsidRDefault="00674C7D" w:rsidP="00674C7D">
            <w:pPr>
              <w:pStyle w:val="Table-Text"/>
            </w:pPr>
            <w:r w:rsidRPr="00674C7D">
              <w:t>Victorian Certificate of Applied Learning</w:t>
            </w:r>
          </w:p>
        </w:tc>
      </w:tr>
      <w:tr w:rsidR="00674C7D" w:rsidRPr="00780518" w14:paraId="5D3FFBE8" w14:textId="77777777" w:rsidTr="005E5C3C">
        <w:trPr>
          <w:trHeight w:val="474"/>
        </w:trPr>
        <w:tc>
          <w:tcPr>
            <w:tcW w:w="1838" w:type="dxa"/>
            <w:shd w:val="clear" w:color="auto" w:fill="auto"/>
          </w:tcPr>
          <w:p w14:paraId="7F9D6C00" w14:textId="75B551D8" w:rsidR="00674C7D" w:rsidRPr="00482DE7" w:rsidRDefault="00674C7D" w:rsidP="00674C7D">
            <w:pPr>
              <w:pStyle w:val="Table-Text"/>
            </w:pPr>
            <w:r w:rsidRPr="00674C7D">
              <w:t>VET</w:t>
            </w:r>
          </w:p>
        </w:tc>
        <w:tc>
          <w:tcPr>
            <w:tcW w:w="7790" w:type="dxa"/>
          </w:tcPr>
          <w:p w14:paraId="5545439F" w14:textId="4811B784" w:rsidR="00674C7D" w:rsidRPr="00482DE7" w:rsidRDefault="00674C7D" w:rsidP="00674C7D">
            <w:pPr>
              <w:pStyle w:val="Table-Text"/>
            </w:pPr>
            <w:r w:rsidRPr="00674C7D">
              <w:t>Vocational Education and Training</w:t>
            </w:r>
          </w:p>
        </w:tc>
      </w:tr>
      <w:tr w:rsidR="00674C7D" w:rsidRPr="00780518" w14:paraId="3C229054" w14:textId="77777777" w:rsidTr="005E5C3C">
        <w:trPr>
          <w:trHeight w:val="474"/>
        </w:trPr>
        <w:tc>
          <w:tcPr>
            <w:tcW w:w="1838" w:type="dxa"/>
            <w:shd w:val="clear" w:color="auto" w:fill="auto"/>
          </w:tcPr>
          <w:p w14:paraId="0F9D6852" w14:textId="6ABA1A18" w:rsidR="00674C7D" w:rsidRPr="00482DE7" w:rsidRDefault="00674C7D" w:rsidP="00674C7D">
            <w:pPr>
              <w:pStyle w:val="Table-Text"/>
            </w:pPr>
            <w:proofErr w:type="spellStart"/>
            <w:r w:rsidRPr="00674C7D">
              <w:t>VETiS</w:t>
            </w:r>
            <w:proofErr w:type="spellEnd"/>
          </w:p>
        </w:tc>
        <w:tc>
          <w:tcPr>
            <w:tcW w:w="7790" w:type="dxa"/>
          </w:tcPr>
          <w:p w14:paraId="24B7D993" w14:textId="0087EE14" w:rsidR="00674C7D" w:rsidRPr="00482DE7" w:rsidRDefault="00674C7D" w:rsidP="00674C7D">
            <w:pPr>
              <w:pStyle w:val="Table-Text"/>
            </w:pPr>
            <w:r w:rsidRPr="00674C7D">
              <w:t>Vocational Education and Training in Schools</w:t>
            </w:r>
          </w:p>
        </w:tc>
      </w:tr>
    </w:tbl>
    <w:p w14:paraId="1A510A9C" w14:textId="77777777" w:rsidR="00307A86" w:rsidRDefault="00307A86" w:rsidP="00C83454"/>
    <w:p w14:paraId="2F5B37D2" w14:textId="468FFFE3" w:rsidR="00307A86" w:rsidRDefault="00307A86" w:rsidP="00C83454">
      <w:pPr>
        <w:sectPr w:rsidR="00307A86" w:rsidSect="00C83454">
          <w:pgSz w:w="11906" w:h="16838" w:code="9"/>
          <w:pgMar w:top="1134" w:right="1134" w:bottom="1418" w:left="1134" w:header="709" w:footer="284" w:gutter="0"/>
          <w:cols w:space="708"/>
          <w:docGrid w:linePitch="360"/>
        </w:sectPr>
      </w:pPr>
    </w:p>
    <w:p w14:paraId="647D6927" w14:textId="741EFD1E" w:rsidR="002F2759" w:rsidRPr="00414308" w:rsidRDefault="008F7A1D" w:rsidP="00736E4F">
      <w:pPr>
        <w:pStyle w:val="Head1"/>
      </w:pPr>
      <w:bookmarkStart w:id="64" w:name="_Toc22026809"/>
      <w:bookmarkStart w:id="65" w:name="_Toc97809219"/>
      <w:bookmarkStart w:id="66" w:name="_Toc150431735"/>
      <w:r>
        <w:t>Disclaimer</w:t>
      </w:r>
      <w:bookmarkEnd w:id="64"/>
      <w:bookmarkEnd w:id="65"/>
      <w:bookmarkEnd w:id="66"/>
    </w:p>
    <w:p w14:paraId="124940EA" w14:textId="3CF170B6" w:rsidR="007C3C6A" w:rsidRDefault="007C3C6A" w:rsidP="007C3C6A">
      <w:r>
        <w:t xml:space="preserve">This report is dated </w:t>
      </w:r>
      <w:r w:rsidR="0075576E">
        <w:t>May</w:t>
      </w:r>
      <w:r>
        <w:t xml:space="preserve"> 202</w:t>
      </w:r>
      <w:r w:rsidR="0075576E">
        <w:t>3</w:t>
      </w:r>
      <w:r>
        <w:t xml:space="preserve"> and incorporates information and events up to that date only and excludes any information arising, or event occurring, after that date which may affect the validity of Urbis Pty Ltd (</w:t>
      </w:r>
      <w:r w:rsidRPr="00B37624">
        <w:rPr>
          <w:b/>
          <w:bCs/>
        </w:rPr>
        <w:t>Urbis</w:t>
      </w:r>
      <w:r>
        <w:t>) opinion in this report. Urbis prepared this report on the instructions, and for the benefit only, of Department of Treasury and Finance (</w:t>
      </w:r>
      <w:r w:rsidRPr="00D469F3">
        <w:rPr>
          <w:b/>
          <w:bCs/>
        </w:rPr>
        <w:t>Instructing Party</w:t>
      </w:r>
      <w:r>
        <w:t>) for the purpose of Formative Report (</w:t>
      </w:r>
      <w:r w:rsidRPr="00D469F3">
        <w:rPr>
          <w:b/>
          <w:bCs/>
        </w:rPr>
        <w:t>Purpose</w:t>
      </w:r>
      <w:r>
        <w:t>) and not for any other purpose or use. To the extent permitted by applicable law, Urbis expressly disclaims all liability, whether direct or indirect, to the Instructing Party which relies or purports to rely on this report for any purpose other than the Purpose, and to any other person which relies or purports to rely on this report for any purpose whatsoever (including the Purpose).</w:t>
      </w:r>
    </w:p>
    <w:p w14:paraId="1F4C1D83" w14:textId="77777777" w:rsidR="007C3C6A" w:rsidRDefault="007C3C6A" w:rsidP="007C3C6A">
      <w:r>
        <w:t xml:space="preserve">In preparing this report, Urbis was required to make judgements which may be affected by unforeseen future events, the </w:t>
      </w:r>
      <w:proofErr w:type="gramStart"/>
      <w:r>
        <w:t>likelihood</w:t>
      </w:r>
      <w:proofErr w:type="gramEnd"/>
      <w:r>
        <w:t xml:space="preserve"> and effects of which are not capable of precise assessment.</w:t>
      </w:r>
    </w:p>
    <w:p w14:paraId="4614EF86" w14:textId="77777777" w:rsidR="007C3C6A" w:rsidRDefault="007C3C6A" w:rsidP="007C3C6A">
      <w:r>
        <w:t xml:space="preserve">All surveys, forecasts, </w:t>
      </w:r>
      <w:proofErr w:type="gramStart"/>
      <w:r>
        <w:t>projections</w:t>
      </w:r>
      <w:proofErr w:type="gramEnd"/>
      <w:r>
        <w:t xml:space="preserve"> and recommendations contained in or associated with this report are made in good faith and on the basis of information supplied to Urbis at the date of this report, and upon which Urbis relied. Achievement of the projections and budgets set out in this report will depend, among other things, on the actions of others over which Urbis has no control.</w:t>
      </w:r>
    </w:p>
    <w:p w14:paraId="2C35C5B7" w14:textId="77777777" w:rsidR="007C3C6A" w:rsidRDefault="007C3C6A" w:rsidP="007C3C6A">
      <w:r>
        <w:t>In preparing this report, Urbis may rely on or refer to documents in a language other than English, which Urbis may arrange to be translated. Urbis is not responsible for the accuracy or completeness of such translations and disclaims any liability for any statement or opinion made in this report being inaccurate or incomplete arising from such translations.</w:t>
      </w:r>
    </w:p>
    <w:p w14:paraId="25EED5BF" w14:textId="77777777" w:rsidR="007C3C6A" w:rsidRDefault="007C3C6A" w:rsidP="007C3C6A">
      <w:r>
        <w:t>Whilst Urbis has made all reasonable inquiries it believes necessary in preparing this report, it is not responsible for determining the completeness or accuracy of information provided to it. Urbis (including its officers and personnel) is not liable for any errors or omissions, including in information provided by the Instructing Party or another person or upon which Urbis relies, provided that such errors or omissions are not made by Urbis recklessly or in bad faith.</w:t>
      </w:r>
    </w:p>
    <w:p w14:paraId="6CFE1845" w14:textId="77777777" w:rsidR="00462AC6" w:rsidRDefault="007C3C6A" w:rsidP="001C6F56">
      <w:pPr>
        <w:sectPr w:rsidR="00462AC6" w:rsidSect="009974FF">
          <w:footerReference w:type="even" r:id="rId47"/>
          <w:footerReference w:type="default" r:id="rId48"/>
          <w:pgSz w:w="11906" w:h="16838" w:code="9"/>
          <w:pgMar w:top="1134" w:right="1418" w:bottom="1134" w:left="1134" w:header="709" w:footer="284" w:gutter="0"/>
          <w:cols w:space="708"/>
          <w:docGrid w:linePitch="360"/>
        </w:sectPr>
      </w:pPr>
      <w:r>
        <w:t>This report has been prepared with due care and diligence by Urbis and the statements and opinions given by Urbis in this report are given in good faith and in the reasonable belief that they are correct and not misleading, subject to the limitations above.</w:t>
      </w:r>
    </w:p>
    <w:p w14:paraId="68727BC9" w14:textId="63E15B36" w:rsidR="00880043" w:rsidRDefault="00ED115D" w:rsidP="00725CB5">
      <w:pPr>
        <w:pStyle w:val="AccessibleAppendix1"/>
      </w:pPr>
      <w:bookmarkStart w:id="67" w:name="_Ref150430757"/>
      <w:bookmarkStart w:id="68" w:name="_Toc150431777"/>
      <w:r>
        <w:rPr>
          <w:noProof/>
        </w:rPr>
        <w:drawing>
          <wp:anchor distT="0" distB="0" distL="114300" distR="114300" simplePos="0" relativeHeight="251658269" behindDoc="0" locked="0" layoutInCell="1" allowOverlap="1" wp14:anchorId="69D78EDD" wp14:editId="2418B1FD">
            <wp:simplePos x="0" y="0"/>
            <wp:positionH relativeFrom="page">
              <wp:align>right</wp:align>
            </wp:positionH>
            <wp:positionV relativeFrom="paragraph">
              <wp:posOffset>-702310</wp:posOffset>
            </wp:positionV>
            <wp:extent cx="12592151" cy="7263442"/>
            <wp:effectExtent l="0" t="0" r="0" b="0"/>
            <wp:wrapNone/>
            <wp:docPr id="1069746930" name="Picture 1069746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46930" name="Picture 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12592151" cy="7263442"/>
                    </a:xfrm>
                    <a:prstGeom prst="rect">
                      <a:avLst/>
                    </a:prstGeom>
                  </pic:spPr>
                </pic:pic>
              </a:graphicData>
            </a:graphic>
            <wp14:sizeRelH relativeFrom="margin">
              <wp14:pctWidth>0</wp14:pctWidth>
            </wp14:sizeRelH>
            <wp14:sizeRelV relativeFrom="margin">
              <wp14:pctHeight>0</wp14:pctHeight>
            </wp14:sizeRelV>
          </wp:anchor>
        </w:drawing>
      </w:r>
      <w:r w:rsidR="00462AC6" w:rsidRPr="00066631">
        <w:t xml:space="preserve">Program </w:t>
      </w:r>
      <w:r w:rsidR="00462AC6" w:rsidRPr="008A78A6">
        <w:t>logic</w:t>
      </w:r>
      <w:bookmarkEnd w:id="67"/>
      <w:bookmarkEnd w:id="68"/>
      <w:r w:rsidR="00880043">
        <w:br w:type="page"/>
      </w:r>
    </w:p>
    <w:p w14:paraId="239DB11E" w14:textId="7589EBEB" w:rsidR="00914867" w:rsidRDefault="00060C50" w:rsidP="00060C50">
      <w:pPr>
        <w:pStyle w:val="Caption"/>
      </w:pPr>
      <w:bookmarkStart w:id="69" w:name="_Toc150431604"/>
      <w:bookmarkStart w:id="70" w:name="_Toc150431981"/>
      <w:r>
        <w:t xml:space="preserve">Figure </w:t>
      </w:r>
      <w:r>
        <w:fldChar w:fldCharType="begin"/>
      </w:r>
      <w:r>
        <w:instrText xml:space="preserve"> SEQ Figure \* ARABIC </w:instrText>
      </w:r>
      <w:r>
        <w:fldChar w:fldCharType="separate"/>
      </w:r>
      <w:r w:rsidR="008D0FC1">
        <w:rPr>
          <w:noProof/>
        </w:rPr>
        <w:t>6</w:t>
      </w:r>
      <w:r>
        <w:fldChar w:fldCharType="end"/>
      </w:r>
      <w:r>
        <w:t xml:space="preserve"> </w:t>
      </w:r>
      <w:r w:rsidR="00914867">
        <w:t>Program logic</w:t>
      </w:r>
      <w:bookmarkEnd w:id="69"/>
      <w:bookmarkEnd w:id="70"/>
    </w:p>
    <w:p w14:paraId="39A5520A" w14:textId="1C43B841" w:rsidR="00810911" w:rsidRPr="00880043" w:rsidRDefault="00914867" w:rsidP="00914867">
      <w:r w:rsidRPr="00914867">
        <w:rPr>
          <w:noProof/>
        </w:rPr>
        <w:drawing>
          <wp:inline distT="0" distB="0" distL="0" distR="0" wp14:anchorId="126B4C34" wp14:editId="75FE395F">
            <wp:extent cx="8380395" cy="6120000"/>
            <wp:effectExtent l="6350" t="0" r="8255" b="8255"/>
            <wp:docPr id="1278141062" name="Picture 1278141062" descr="This figure presents activities and intended outcomes for students across three streams of the program including engagement, mental health and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1062" name="Picture 1" descr="This figure presents activities and intended outcomes for students across three streams of the program including engagement, mental health and education. "/>
                    <pic:cNvPicPr/>
                  </pic:nvPicPr>
                  <pic:blipFill>
                    <a:blip r:embed="rId50"/>
                    <a:stretch>
                      <a:fillRect/>
                    </a:stretch>
                  </pic:blipFill>
                  <pic:spPr>
                    <a:xfrm rot="5400000">
                      <a:off x="0" y="0"/>
                      <a:ext cx="8380395" cy="6120000"/>
                    </a:xfrm>
                    <a:prstGeom prst="rect">
                      <a:avLst/>
                    </a:prstGeom>
                  </pic:spPr>
                </pic:pic>
              </a:graphicData>
            </a:graphic>
          </wp:inline>
        </w:drawing>
      </w:r>
    </w:p>
    <w:p w14:paraId="4A921BCA" w14:textId="77777777" w:rsidR="00880043" w:rsidRDefault="00880043" w:rsidP="00810911">
      <w:pPr>
        <w:sectPr w:rsidR="00880043" w:rsidSect="009974FF">
          <w:pgSz w:w="11906" w:h="16838" w:code="9"/>
          <w:pgMar w:top="1134" w:right="1418" w:bottom="1134" w:left="1134" w:header="709" w:footer="284" w:gutter="0"/>
          <w:cols w:space="708"/>
          <w:docGrid w:linePitch="360"/>
        </w:sectPr>
      </w:pPr>
    </w:p>
    <w:p w14:paraId="52D5CED4" w14:textId="08840CDA" w:rsidR="00981D6D" w:rsidRDefault="00ED115D" w:rsidP="00725CB5">
      <w:pPr>
        <w:pStyle w:val="AccessibleAppendix1"/>
      </w:pPr>
      <w:bookmarkStart w:id="71" w:name="_Toc150431778"/>
      <w:r>
        <w:rPr>
          <w:noProof/>
        </w:rPr>
        <w:drawing>
          <wp:anchor distT="0" distB="0" distL="114300" distR="114300" simplePos="0" relativeHeight="251658270" behindDoc="0" locked="0" layoutInCell="1" allowOverlap="1" wp14:anchorId="193BBD25" wp14:editId="3A9B883C">
            <wp:simplePos x="0" y="0"/>
            <wp:positionH relativeFrom="page">
              <wp:posOffset>-5059152</wp:posOffset>
            </wp:positionH>
            <wp:positionV relativeFrom="paragraph">
              <wp:posOffset>-725182</wp:posOffset>
            </wp:positionV>
            <wp:extent cx="12592151" cy="7263442"/>
            <wp:effectExtent l="0" t="0" r="0" b="0"/>
            <wp:wrapNone/>
            <wp:docPr id="1975495302" name="Picture 1975495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95302" name="Picture 1975495302">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12592151" cy="7263442"/>
                    </a:xfrm>
                    <a:prstGeom prst="rect">
                      <a:avLst/>
                    </a:prstGeom>
                  </pic:spPr>
                </pic:pic>
              </a:graphicData>
            </a:graphic>
            <wp14:sizeRelH relativeFrom="margin">
              <wp14:pctWidth>0</wp14:pctWidth>
            </wp14:sizeRelH>
            <wp14:sizeRelV relativeFrom="margin">
              <wp14:pctHeight>0</wp14:pctHeight>
            </wp14:sizeRelV>
          </wp:anchor>
        </w:drawing>
      </w:r>
      <w:r w:rsidR="00810911">
        <w:t>Participant survey</w:t>
      </w:r>
      <w:bookmarkEnd w:id="71"/>
      <w:r w:rsidR="00981D6D">
        <w:br w:type="page"/>
      </w:r>
    </w:p>
    <w:p w14:paraId="579A9D26" w14:textId="1474F062" w:rsidR="00C568BA" w:rsidRDefault="004F4174" w:rsidP="00CF4D2F">
      <w:pPr>
        <w:pStyle w:val="Head2"/>
      </w:pPr>
      <w:r w:rsidRPr="004F4174">
        <w:t xml:space="preserve">Living learning student survey – cohort 1 and 2, </w:t>
      </w:r>
      <w:r>
        <w:t>D</w:t>
      </w:r>
      <w:r w:rsidRPr="004F4174">
        <w:t>ecember 2022</w:t>
      </w:r>
    </w:p>
    <w:p w14:paraId="4AFBA281" w14:textId="77777777" w:rsidR="00320E4E" w:rsidRDefault="00320E4E" w:rsidP="00320E4E">
      <w:pPr>
        <w:pStyle w:val="Head3"/>
      </w:pPr>
      <w:r>
        <w:t>Purpose</w:t>
      </w:r>
    </w:p>
    <w:p w14:paraId="3296027C" w14:textId="77777777" w:rsidR="00320E4E" w:rsidRDefault="00320E4E" w:rsidP="00320E4E">
      <w:r>
        <w:t>This Appendix summarises the results of the survey conducted by Urbis on the experiences of participants in the Living Learning Program. The purpose of the survey was to understand participant perspectives on the services provided by the Living Learning Program, and opportunities for program improvement.</w:t>
      </w:r>
    </w:p>
    <w:p w14:paraId="3FEA1DCC" w14:textId="77777777" w:rsidR="00320E4E" w:rsidRDefault="00320E4E" w:rsidP="00320E4E">
      <w:pPr>
        <w:pStyle w:val="Head3"/>
      </w:pPr>
      <w:r>
        <w:t>Methodology</w:t>
      </w:r>
    </w:p>
    <w:p w14:paraId="1385F148" w14:textId="77777777" w:rsidR="00320E4E" w:rsidRDefault="00320E4E" w:rsidP="00320E4E">
      <w:r>
        <w:t>The survey was distributed to all Living Learning participants via email. The email contained a link to the survey, which was hosted on Checkbox. Living Learning Program staff were responsible for prompting young people to complete the survey.</w:t>
      </w:r>
    </w:p>
    <w:p w14:paraId="1486064A" w14:textId="77777777" w:rsidR="00320E4E" w:rsidRDefault="00320E4E" w:rsidP="00320E4E">
      <w:r>
        <w:t>There were 32 unique survey respondents, however the response rates decreased throughout the survey.</w:t>
      </w:r>
    </w:p>
    <w:p w14:paraId="74AC0205" w14:textId="77777777" w:rsidR="00320E4E" w:rsidRDefault="00320E4E" w:rsidP="00320E4E">
      <w:pPr>
        <w:pStyle w:val="Head3"/>
      </w:pPr>
      <w:r>
        <w:t>Limitations</w:t>
      </w:r>
    </w:p>
    <w:p w14:paraId="05D6826A" w14:textId="77777777" w:rsidR="00320E4E" w:rsidRDefault="00320E4E" w:rsidP="00320E4E">
      <w:r>
        <w:t xml:space="preserve">Survey respondents self-selected to participate in this research meaning the sample is not representative of the broader population of Living Learning participants. The analysis and findings of this survey only represent the experience reported by survey respondents, and not Living Learning </w:t>
      </w:r>
      <w:proofErr w:type="gramStart"/>
      <w:r>
        <w:t>participants as a whole</w:t>
      </w:r>
      <w:proofErr w:type="gramEnd"/>
      <w:r>
        <w:t>.</w:t>
      </w:r>
    </w:p>
    <w:p w14:paraId="277734E1" w14:textId="2C8179D1" w:rsidR="004B0E82" w:rsidRDefault="00320E4E" w:rsidP="00320E4E">
      <w:r>
        <w:t>Thematic coding of qualitative responses was also undertaken to allow for analysis of these responses. This coding sought to reflect the meaning and intent of respondents. Urbis acknowledges that the codes and categories are subjective interpretations of respondent meaning and intent and are not definitive.</w:t>
      </w:r>
      <w:r w:rsidR="004B0E82">
        <w:br w:type="page"/>
      </w:r>
    </w:p>
    <w:p w14:paraId="7E2B2016" w14:textId="4C3B9D23" w:rsidR="00320E4E" w:rsidRDefault="004B0E82" w:rsidP="004B0E82">
      <w:pPr>
        <w:pStyle w:val="Head3"/>
      </w:pPr>
      <w:r>
        <w:t>Demographics</w:t>
      </w:r>
    </w:p>
    <w:p w14:paraId="3C036CD0" w14:textId="75F9FB27" w:rsidR="004B0E82" w:rsidRPr="004B0E82" w:rsidRDefault="004B0E82" w:rsidP="004B0E82">
      <w:pPr>
        <w:pStyle w:val="Head4"/>
      </w:pPr>
      <w:r w:rsidRPr="004B0E82">
        <w:t>Duration of participation</w:t>
      </w:r>
    </w:p>
    <w:p w14:paraId="5EFA5BA2" w14:textId="46C0A0E8" w:rsidR="004B0E82" w:rsidRDefault="00881288" w:rsidP="00320E4E">
      <w:r>
        <w:t>Respon</w:t>
      </w:r>
      <w:r w:rsidR="007618CF">
        <w:t>dents were asked about the length</w:t>
      </w:r>
      <w:r w:rsidR="00461577">
        <w:t xml:space="preserve"> of time they had spent in the Living Learning program. Half of the respondents (n=16</w:t>
      </w:r>
      <w:r w:rsidR="006027E7">
        <w:t>) had spent between one and two years in the program, followed by between six months to one year (n=13)</w:t>
      </w:r>
      <w:r w:rsidR="00C8473F">
        <w:t>.</w:t>
      </w:r>
    </w:p>
    <w:p w14:paraId="7D2A0C20" w14:textId="194D5641" w:rsidR="00C8473F" w:rsidRDefault="00C8473F" w:rsidP="00C8473F">
      <w:pPr>
        <w:pStyle w:val="Caption"/>
      </w:pPr>
      <w:bookmarkStart w:id="72" w:name="_Toc150431605"/>
      <w:bookmarkStart w:id="73" w:name="_Toc150431982"/>
      <w:r>
        <w:t xml:space="preserve">Figure </w:t>
      </w:r>
      <w:r>
        <w:fldChar w:fldCharType="begin"/>
      </w:r>
      <w:r>
        <w:instrText xml:space="preserve"> SEQ Figure \* ARABIC </w:instrText>
      </w:r>
      <w:r>
        <w:fldChar w:fldCharType="separate"/>
      </w:r>
      <w:r w:rsidR="008D0FC1">
        <w:rPr>
          <w:noProof/>
        </w:rPr>
        <w:t>7</w:t>
      </w:r>
      <w:r>
        <w:fldChar w:fldCharType="end"/>
      </w:r>
      <w:r>
        <w:t xml:space="preserve"> </w:t>
      </w:r>
      <w:r w:rsidRPr="0030555D">
        <w:t>How long have you been in the Living Learning Program? (n=32)</w:t>
      </w:r>
      <w:bookmarkEnd w:id="72"/>
      <w:bookmarkEnd w:id="73"/>
    </w:p>
    <w:p w14:paraId="5BAC21D2" w14:textId="42FB6EAC" w:rsidR="00C8473F" w:rsidRDefault="003E11FA" w:rsidP="00C8473F">
      <w:r w:rsidRPr="003E11FA">
        <w:rPr>
          <w:noProof/>
        </w:rPr>
        <w:drawing>
          <wp:inline distT="0" distB="0" distL="0" distR="0" wp14:anchorId="779C080B" wp14:editId="15D1B654">
            <wp:extent cx="2823946" cy="1320800"/>
            <wp:effectExtent l="0" t="0" r="0" b="0"/>
            <wp:docPr id="113764681"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4681" name="Picture 1" descr="A graph with numbers and a bar&#10;&#10;Description automatically generated"/>
                    <pic:cNvPicPr/>
                  </pic:nvPicPr>
                  <pic:blipFill>
                    <a:blip r:embed="rId51"/>
                    <a:stretch>
                      <a:fillRect/>
                    </a:stretch>
                  </pic:blipFill>
                  <pic:spPr>
                    <a:xfrm>
                      <a:off x="0" y="0"/>
                      <a:ext cx="2833171" cy="1325115"/>
                    </a:xfrm>
                    <a:prstGeom prst="rect">
                      <a:avLst/>
                    </a:prstGeom>
                  </pic:spPr>
                </pic:pic>
              </a:graphicData>
            </a:graphic>
          </wp:inline>
        </w:drawing>
      </w:r>
    </w:p>
    <w:p w14:paraId="0A15126D" w14:textId="662C3337" w:rsidR="00295D53" w:rsidRDefault="00295D53" w:rsidP="00295D53">
      <w:pPr>
        <w:pStyle w:val="Head4"/>
      </w:pPr>
      <w:r>
        <w:t>Location of participation</w:t>
      </w:r>
    </w:p>
    <w:p w14:paraId="20F85A66" w14:textId="641005D3" w:rsidR="00295D53" w:rsidRDefault="00295D53" w:rsidP="00295D53">
      <w:r>
        <w:t xml:space="preserve">Respondents were asked to identify the HHA campus which they usually attended. Over two-thirds of all respondents reported that they typically attended the campus in Sunshine (n=22), while significantly fewer respondents reported attending the campus in the </w:t>
      </w:r>
      <w:proofErr w:type="gramStart"/>
      <w:r>
        <w:t>City</w:t>
      </w:r>
      <w:proofErr w:type="gramEnd"/>
      <w:r>
        <w:t xml:space="preserve"> (n=6) or Prahran (n=</w:t>
      </w:r>
      <w:r w:rsidR="006A6493">
        <w:t>3).</w:t>
      </w:r>
    </w:p>
    <w:p w14:paraId="35747FAF" w14:textId="53FE85BE" w:rsidR="006A6493" w:rsidRDefault="006A6493" w:rsidP="006A6493">
      <w:pPr>
        <w:pStyle w:val="Caption"/>
      </w:pPr>
      <w:bookmarkStart w:id="74" w:name="_Toc150431606"/>
      <w:bookmarkStart w:id="75" w:name="_Toc150431983"/>
      <w:r>
        <w:t xml:space="preserve">Figure </w:t>
      </w:r>
      <w:r>
        <w:fldChar w:fldCharType="begin"/>
      </w:r>
      <w:r>
        <w:instrText xml:space="preserve"> SEQ Figure \* ARABIC </w:instrText>
      </w:r>
      <w:r>
        <w:fldChar w:fldCharType="separate"/>
      </w:r>
      <w:r w:rsidR="008D0FC1">
        <w:rPr>
          <w:noProof/>
        </w:rPr>
        <w:t>8</w:t>
      </w:r>
      <w:r>
        <w:fldChar w:fldCharType="end"/>
      </w:r>
      <w:r>
        <w:t xml:space="preserve"> Which HHA campus do you usually attend? (n=32)</w:t>
      </w:r>
      <w:bookmarkEnd w:id="74"/>
      <w:bookmarkEnd w:id="75"/>
    </w:p>
    <w:p w14:paraId="1067928C" w14:textId="2B20BB5D" w:rsidR="002514F4" w:rsidRDefault="002514F4" w:rsidP="002514F4">
      <w:r w:rsidRPr="002514F4">
        <w:rPr>
          <w:noProof/>
        </w:rPr>
        <w:drawing>
          <wp:inline distT="0" distB="0" distL="0" distR="0" wp14:anchorId="21C0B195" wp14:editId="0D39DED2">
            <wp:extent cx="2291148" cy="1081216"/>
            <wp:effectExtent l="0" t="0" r="0" b="5080"/>
            <wp:docPr id="344976570" name="Picture 344976570" descr="This bar chart shows the number of respondents by campus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76570" name="Picture 1" descr="This bar chart shows the number of respondents by campus type. "/>
                    <pic:cNvPicPr/>
                  </pic:nvPicPr>
                  <pic:blipFill>
                    <a:blip r:embed="rId52"/>
                    <a:stretch>
                      <a:fillRect/>
                    </a:stretch>
                  </pic:blipFill>
                  <pic:spPr>
                    <a:xfrm>
                      <a:off x="0" y="0"/>
                      <a:ext cx="2328283" cy="1098740"/>
                    </a:xfrm>
                    <a:prstGeom prst="rect">
                      <a:avLst/>
                    </a:prstGeom>
                  </pic:spPr>
                </pic:pic>
              </a:graphicData>
            </a:graphic>
          </wp:inline>
        </w:drawing>
      </w:r>
    </w:p>
    <w:p w14:paraId="2A9A1E4D" w14:textId="7CBF3DBA" w:rsidR="00535D2C" w:rsidRDefault="00535D2C" w:rsidP="00535D2C">
      <w:pPr>
        <w:pStyle w:val="Head4"/>
      </w:pPr>
      <w:r>
        <w:t>Gender</w:t>
      </w:r>
    </w:p>
    <w:p w14:paraId="7D4EFCEF" w14:textId="05E1AC6D" w:rsidR="00535D2C" w:rsidRDefault="00535D2C" w:rsidP="00535D2C">
      <w:r>
        <w:t xml:space="preserve">Respondents were asked to describe their gender. There were </w:t>
      </w:r>
      <w:proofErr w:type="gramStart"/>
      <w:r>
        <w:t>fairly similar</w:t>
      </w:r>
      <w:proofErr w:type="gramEnd"/>
      <w:r>
        <w:t xml:space="preserve"> numbers of female and male respondents (n=14 and n=11 respectively), 3 respondents identified as non-binary, and two respondents preferred not to say.</w:t>
      </w:r>
    </w:p>
    <w:p w14:paraId="2ED2532A" w14:textId="185867BA" w:rsidR="00535D2C" w:rsidRDefault="00535D2C" w:rsidP="00535D2C">
      <w:pPr>
        <w:pStyle w:val="Caption"/>
      </w:pPr>
      <w:bookmarkStart w:id="76" w:name="_Toc150431607"/>
      <w:bookmarkStart w:id="77" w:name="_Toc150431984"/>
      <w:r>
        <w:t xml:space="preserve">Figure </w:t>
      </w:r>
      <w:r>
        <w:fldChar w:fldCharType="begin"/>
      </w:r>
      <w:r>
        <w:instrText xml:space="preserve"> SEQ Figure \* ARABIC </w:instrText>
      </w:r>
      <w:r>
        <w:fldChar w:fldCharType="separate"/>
      </w:r>
      <w:r w:rsidR="008D0FC1">
        <w:rPr>
          <w:noProof/>
        </w:rPr>
        <w:t>9</w:t>
      </w:r>
      <w:r>
        <w:fldChar w:fldCharType="end"/>
      </w:r>
      <w:r>
        <w:t xml:space="preserve"> How do you describe your gender? (n=32)</w:t>
      </w:r>
      <w:bookmarkEnd w:id="76"/>
      <w:bookmarkEnd w:id="77"/>
    </w:p>
    <w:p w14:paraId="2B5320FC" w14:textId="67429D22" w:rsidR="00535D2C" w:rsidRPr="00894470" w:rsidRDefault="00A16A1B" w:rsidP="00894470">
      <w:r w:rsidRPr="00A16A1B">
        <w:rPr>
          <w:noProof/>
        </w:rPr>
        <w:drawing>
          <wp:inline distT="0" distB="0" distL="0" distR="0" wp14:anchorId="0193150C" wp14:editId="3F7B6CE4">
            <wp:extent cx="2761735" cy="1136699"/>
            <wp:effectExtent l="0" t="0" r="635" b="6350"/>
            <wp:docPr id="25700213" name="Picture 25700213" descr="This bar chart shows the number of respondents by gender 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0213" name="Picture 1" descr="This bar chart shows the number of respondents by gender type. ">
                      <a:extLst>
                        <a:ext uri="{C183D7F6-B498-43B3-948B-1728B52AA6E4}">
                          <adec:decorative xmlns:adec="http://schemas.microsoft.com/office/drawing/2017/decorative" val="0"/>
                        </a:ext>
                      </a:extLst>
                    </pic:cNvPr>
                    <pic:cNvPicPr/>
                  </pic:nvPicPr>
                  <pic:blipFill>
                    <a:blip r:embed="rId53"/>
                    <a:stretch>
                      <a:fillRect/>
                    </a:stretch>
                  </pic:blipFill>
                  <pic:spPr>
                    <a:xfrm>
                      <a:off x="0" y="0"/>
                      <a:ext cx="2775435" cy="1142338"/>
                    </a:xfrm>
                    <a:prstGeom prst="rect">
                      <a:avLst/>
                    </a:prstGeom>
                  </pic:spPr>
                </pic:pic>
              </a:graphicData>
            </a:graphic>
          </wp:inline>
        </w:drawing>
      </w:r>
    </w:p>
    <w:p w14:paraId="70D456DD" w14:textId="463E7E83" w:rsidR="00A16A1B" w:rsidRDefault="00A16A1B" w:rsidP="00A16A1B">
      <w:pPr>
        <w:pStyle w:val="Head4"/>
      </w:pPr>
      <w:r>
        <w:t>Introduction to program</w:t>
      </w:r>
    </w:p>
    <w:p w14:paraId="203FC766" w14:textId="014E2902" w:rsidR="00A16A1B" w:rsidRDefault="00A841A1" w:rsidP="00535D2C">
      <w:proofErr w:type="gramStart"/>
      <w:r>
        <w:t>The majority of</w:t>
      </w:r>
      <w:proofErr w:type="gramEnd"/>
      <w:r>
        <w:t xml:space="preserve"> respondents reported finding out about the Living Learning Program from staff at Hester Hornbrook Academy</w:t>
      </w:r>
      <w:r w:rsidR="00E4453E">
        <w:t xml:space="preserve"> (n=23). Significantly fewer respondents found out about the program from a social worker (n=4). Among this sample, it was most uncommon to find out about the Living Learning Program from their previous school (n=1).</w:t>
      </w:r>
    </w:p>
    <w:p w14:paraId="3ECCC7EB" w14:textId="1474EEE0" w:rsidR="00E4453E" w:rsidRDefault="00E4453E" w:rsidP="00E4453E">
      <w:pPr>
        <w:pStyle w:val="Caption"/>
      </w:pPr>
      <w:bookmarkStart w:id="78" w:name="_Toc150431608"/>
      <w:bookmarkStart w:id="79" w:name="_Toc150431985"/>
      <w:r>
        <w:t xml:space="preserve">Figure </w:t>
      </w:r>
      <w:r>
        <w:fldChar w:fldCharType="begin"/>
      </w:r>
      <w:r>
        <w:instrText xml:space="preserve"> SEQ Figure \* ARABIC </w:instrText>
      </w:r>
      <w:r>
        <w:fldChar w:fldCharType="separate"/>
      </w:r>
      <w:r w:rsidR="008D0FC1">
        <w:rPr>
          <w:noProof/>
        </w:rPr>
        <w:t>10</w:t>
      </w:r>
      <w:r>
        <w:fldChar w:fldCharType="end"/>
      </w:r>
      <w:r>
        <w:t xml:space="preserve"> How did you find out about the Living Learning Program? (n=32)</w:t>
      </w:r>
      <w:bookmarkEnd w:id="78"/>
      <w:bookmarkEnd w:id="79"/>
    </w:p>
    <w:p w14:paraId="3574CCFA" w14:textId="652D0CC7" w:rsidR="00E4453E" w:rsidRPr="00894470" w:rsidRDefault="00894470" w:rsidP="00894470">
      <w:r w:rsidRPr="00894470">
        <w:rPr>
          <w:noProof/>
        </w:rPr>
        <w:drawing>
          <wp:inline distT="0" distB="0" distL="0" distR="0" wp14:anchorId="0C502C53" wp14:editId="379FDD19">
            <wp:extent cx="2761200" cy="1153895"/>
            <wp:effectExtent l="0" t="0" r="1270" b="8255"/>
            <wp:docPr id="1479894186" name="Picture 1479894186" descr="This bar chart shows the number of respondents by the way they first heard about the Living Learning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94186" name="Picture 1" descr="This bar chart shows the number of respondents by the way they first heard about the Living Learning Program. "/>
                    <pic:cNvPicPr/>
                  </pic:nvPicPr>
                  <pic:blipFill>
                    <a:blip r:embed="rId54"/>
                    <a:stretch>
                      <a:fillRect/>
                    </a:stretch>
                  </pic:blipFill>
                  <pic:spPr>
                    <a:xfrm>
                      <a:off x="0" y="0"/>
                      <a:ext cx="2761200" cy="1153895"/>
                    </a:xfrm>
                    <a:prstGeom prst="rect">
                      <a:avLst/>
                    </a:prstGeom>
                  </pic:spPr>
                </pic:pic>
              </a:graphicData>
            </a:graphic>
          </wp:inline>
        </w:drawing>
      </w:r>
    </w:p>
    <w:p w14:paraId="564ED644" w14:textId="31E67093" w:rsidR="00894470" w:rsidRDefault="00894470" w:rsidP="00894470">
      <w:pPr>
        <w:pStyle w:val="Head3"/>
      </w:pPr>
      <w:r>
        <w:t>Main survey</w:t>
      </w:r>
    </w:p>
    <w:p w14:paraId="1A95E9F6" w14:textId="6988C15A" w:rsidR="00894470" w:rsidRDefault="00894470" w:rsidP="00894470">
      <w:pPr>
        <w:pStyle w:val="Head4"/>
      </w:pPr>
      <w:r>
        <w:t>Participation in engagement activities</w:t>
      </w:r>
    </w:p>
    <w:p w14:paraId="6331D317" w14:textId="7E12487D" w:rsidR="00940B04" w:rsidRDefault="005A66F2" w:rsidP="00894470">
      <w:r>
        <w:t>Respo</w:t>
      </w:r>
      <w:r w:rsidR="00D711F8">
        <w:t>ndents were asked about the activities they had participated in. The activities with the highest level of participation (n=13) were bush</w:t>
      </w:r>
      <w:r w:rsidR="00940B04">
        <w:t xml:space="preserve"> adventure activities and CORE, but almost one-third of all respondents had not participated in any of the listed activities (n=10).</w:t>
      </w:r>
    </w:p>
    <w:p w14:paraId="5B693864" w14:textId="57E9CD1B" w:rsidR="00940B04" w:rsidRDefault="00940B04" w:rsidP="00940B04">
      <w:pPr>
        <w:pStyle w:val="Caption"/>
      </w:pPr>
      <w:bookmarkStart w:id="80" w:name="_Toc150431609"/>
      <w:bookmarkStart w:id="81" w:name="_Toc150431986"/>
      <w:r>
        <w:t xml:space="preserve">Figure </w:t>
      </w:r>
      <w:r>
        <w:fldChar w:fldCharType="begin"/>
      </w:r>
      <w:r>
        <w:instrText xml:space="preserve"> SEQ Figure \* ARABIC </w:instrText>
      </w:r>
      <w:r>
        <w:fldChar w:fldCharType="separate"/>
      </w:r>
      <w:r w:rsidR="008D0FC1">
        <w:rPr>
          <w:noProof/>
        </w:rPr>
        <w:t>11</w:t>
      </w:r>
      <w:r>
        <w:fldChar w:fldCharType="end"/>
      </w:r>
      <w:r>
        <w:t xml:space="preserve"> Which of the following activities have you participated in? (n=32)</w:t>
      </w:r>
      <w:bookmarkEnd w:id="80"/>
      <w:bookmarkEnd w:id="81"/>
    </w:p>
    <w:p w14:paraId="5F39D503" w14:textId="33D54D78" w:rsidR="00940B04" w:rsidRDefault="00C56FD0" w:rsidP="00940B04">
      <w:r w:rsidRPr="00C56FD0">
        <w:rPr>
          <w:noProof/>
        </w:rPr>
        <w:drawing>
          <wp:inline distT="0" distB="0" distL="0" distR="0" wp14:anchorId="1909BA48" wp14:editId="5757E60A">
            <wp:extent cx="3898557" cy="1377457"/>
            <wp:effectExtent l="0" t="0" r="6985" b="0"/>
            <wp:docPr id="1508735523" name="Picture 1508735523" descr="This bar chart shows six activities undertaken through the program and number of respondents who have participated in thes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35523" name="Picture 1" descr="This bar chart shows six activities undertaken through the program and number of respondents who have participated in these activities. "/>
                    <pic:cNvPicPr/>
                  </pic:nvPicPr>
                  <pic:blipFill>
                    <a:blip r:embed="rId55"/>
                    <a:stretch>
                      <a:fillRect/>
                    </a:stretch>
                  </pic:blipFill>
                  <pic:spPr>
                    <a:xfrm>
                      <a:off x="0" y="0"/>
                      <a:ext cx="3918110" cy="1384366"/>
                    </a:xfrm>
                    <a:prstGeom prst="rect">
                      <a:avLst/>
                    </a:prstGeom>
                  </pic:spPr>
                </pic:pic>
              </a:graphicData>
            </a:graphic>
          </wp:inline>
        </w:drawing>
      </w:r>
    </w:p>
    <w:p w14:paraId="386EB287" w14:textId="37A0B5DD" w:rsidR="00B17DCA" w:rsidRDefault="00B17DCA" w:rsidP="00B17DCA">
      <w:pPr>
        <w:pStyle w:val="Head4"/>
      </w:pPr>
      <w:r>
        <w:t>Utilisation of campus facilities</w:t>
      </w:r>
    </w:p>
    <w:p w14:paraId="53F056FF" w14:textId="6C7D0866" w:rsidR="00B17DCA" w:rsidRDefault="0066367E" w:rsidP="00B17DCA">
      <w:r>
        <w:t>Respondents were asked what spaces at HHA they used regularly. The overwhelming majority of respondents reported using classrooms regularly (n=25), but over a third</w:t>
      </w:r>
      <w:r w:rsidR="00194DC9">
        <w:t xml:space="preserve"> of all respondents reporting using kitchen facilities (n=14), break out spaces (n=12) and quiet areas (n=12) regularly as well.</w:t>
      </w:r>
    </w:p>
    <w:p w14:paraId="10E6BE34" w14:textId="0EF09878" w:rsidR="00C4468C" w:rsidRDefault="00C4468C" w:rsidP="00C4468C">
      <w:pPr>
        <w:pStyle w:val="Caption"/>
      </w:pPr>
      <w:bookmarkStart w:id="82" w:name="_Toc150431610"/>
      <w:bookmarkStart w:id="83" w:name="_Toc150431987"/>
      <w:r>
        <w:t xml:space="preserve">Figure </w:t>
      </w:r>
      <w:r>
        <w:fldChar w:fldCharType="begin"/>
      </w:r>
      <w:r>
        <w:instrText xml:space="preserve"> SEQ Figure \* ARABIC </w:instrText>
      </w:r>
      <w:r>
        <w:fldChar w:fldCharType="separate"/>
      </w:r>
      <w:r w:rsidR="008D0FC1">
        <w:rPr>
          <w:noProof/>
        </w:rPr>
        <w:t>12</w:t>
      </w:r>
      <w:r>
        <w:fldChar w:fldCharType="end"/>
      </w:r>
      <w:r>
        <w:t xml:space="preserve"> What spaces at HHA do you use regularly? (n=32)</w:t>
      </w:r>
      <w:bookmarkEnd w:id="82"/>
      <w:bookmarkEnd w:id="83"/>
    </w:p>
    <w:p w14:paraId="62A1999E" w14:textId="70FD29F3" w:rsidR="00DC5F44" w:rsidRDefault="00D513F4" w:rsidP="00C4468C">
      <w:r w:rsidRPr="00D513F4">
        <w:rPr>
          <w:noProof/>
        </w:rPr>
        <w:drawing>
          <wp:inline distT="0" distB="0" distL="0" distR="0" wp14:anchorId="4C984187" wp14:editId="3640BB5C">
            <wp:extent cx="4831492" cy="1224660"/>
            <wp:effectExtent l="0" t="0" r="7620" b="0"/>
            <wp:docPr id="2010426828" name="Picture 2010426828" descr="This bar chart lists eight types of facilities available at HHA campuses and the number of respondents who us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6828" name="Picture 1" descr="This bar chart lists eight types of facilities available at HHA campuses and the number of respondents who use them. "/>
                    <pic:cNvPicPr/>
                  </pic:nvPicPr>
                  <pic:blipFill>
                    <a:blip r:embed="rId56"/>
                    <a:stretch>
                      <a:fillRect/>
                    </a:stretch>
                  </pic:blipFill>
                  <pic:spPr>
                    <a:xfrm>
                      <a:off x="0" y="0"/>
                      <a:ext cx="4893600" cy="1240403"/>
                    </a:xfrm>
                    <a:prstGeom prst="rect">
                      <a:avLst/>
                    </a:prstGeom>
                  </pic:spPr>
                </pic:pic>
              </a:graphicData>
            </a:graphic>
          </wp:inline>
        </w:drawing>
      </w:r>
      <w:r w:rsidR="00DC5F44">
        <w:br w:type="page"/>
      </w:r>
    </w:p>
    <w:p w14:paraId="51F2105F" w14:textId="31AB9B03" w:rsidR="00D513F4" w:rsidRDefault="00D513F4" w:rsidP="00D513F4">
      <w:pPr>
        <w:pStyle w:val="Head4"/>
      </w:pPr>
      <w:r>
        <w:t>Perceptions of safety and comfort on campus</w:t>
      </w:r>
    </w:p>
    <w:p w14:paraId="3D3119E0" w14:textId="766E7F94" w:rsidR="00D513F4" w:rsidRDefault="00D513F4" w:rsidP="00C4468C">
      <w:r>
        <w:t>Respondents were asked</w:t>
      </w:r>
      <w:r w:rsidR="00A20FD4">
        <w:t xml:space="preserve"> to select, from a scale of 1 to 10, how safe and welcome they felt at the HHA campus they attende</w:t>
      </w:r>
      <w:r w:rsidR="00C7784E">
        <w:t>d. There was a positive right-skew in responses, indicating that most respondents felt high levels of safety and welcomeness on campus. Indeed, the mean was 7.69 out of 10 (SD=2.42), though there was a fair amount of spread in the responses. Almost a third</w:t>
      </w:r>
      <w:r w:rsidR="000E7EB1">
        <w:t xml:space="preserve"> of all respondents selected 10 out of 10 in response to this question.</w:t>
      </w:r>
    </w:p>
    <w:p w14:paraId="64583DDC" w14:textId="4F761F55" w:rsidR="000E7EB1" w:rsidRDefault="000E7EB1" w:rsidP="000E7EB1">
      <w:pPr>
        <w:pStyle w:val="Caption"/>
      </w:pPr>
      <w:bookmarkStart w:id="84" w:name="_Toc150431611"/>
      <w:bookmarkStart w:id="85" w:name="_Toc150431988"/>
      <w:r>
        <w:t xml:space="preserve">Figure </w:t>
      </w:r>
      <w:r>
        <w:fldChar w:fldCharType="begin"/>
      </w:r>
      <w:r>
        <w:instrText xml:space="preserve"> SEQ Figure \* ARABIC </w:instrText>
      </w:r>
      <w:r>
        <w:fldChar w:fldCharType="separate"/>
      </w:r>
      <w:r w:rsidR="008D0FC1">
        <w:rPr>
          <w:noProof/>
        </w:rPr>
        <w:t>13</w:t>
      </w:r>
      <w:r>
        <w:fldChar w:fldCharType="end"/>
      </w:r>
      <w:r>
        <w:t xml:space="preserve"> </w:t>
      </w:r>
      <w:r w:rsidR="00491E8C">
        <w:t>How safe and welcome do you feel about at the HHA campus you attend? (n=32)</w:t>
      </w:r>
      <w:bookmarkEnd w:id="84"/>
      <w:bookmarkEnd w:id="85"/>
    </w:p>
    <w:p w14:paraId="5E67096A" w14:textId="3944342F" w:rsidR="00491E8C" w:rsidRPr="00491E8C" w:rsidRDefault="00DC5F44" w:rsidP="00491E8C">
      <w:r w:rsidRPr="00DC5F44">
        <w:rPr>
          <w:noProof/>
        </w:rPr>
        <w:drawing>
          <wp:inline distT="0" distB="0" distL="0" distR="0" wp14:anchorId="0892C758" wp14:editId="73C46F12">
            <wp:extent cx="5301049" cy="1079591"/>
            <wp:effectExtent l="0" t="0" r="0" b="6350"/>
            <wp:docPr id="1345303825" name="Picture 1345303825" descr="This bar chart shows the number of respondents who rated their feeling of safety on campus between 1 and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03825" name="Picture 1" descr="This bar chart shows the number of respondents who rated their feeling of safety on campus between 1 and 10. "/>
                    <pic:cNvPicPr/>
                  </pic:nvPicPr>
                  <pic:blipFill>
                    <a:blip r:embed="rId57"/>
                    <a:stretch>
                      <a:fillRect/>
                    </a:stretch>
                  </pic:blipFill>
                  <pic:spPr>
                    <a:xfrm>
                      <a:off x="0" y="0"/>
                      <a:ext cx="5336740" cy="1086860"/>
                    </a:xfrm>
                    <a:prstGeom prst="rect">
                      <a:avLst/>
                    </a:prstGeom>
                  </pic:spPr>
                </pic:pic>
              </a:graphicData>
            </a:graphic>
          </wp:inline>
        </w:drawing>
      </w:r>
    </w:p>
    <w:p w14:paraId="13D36F1B" w14:textId="77777777" w:rsidR="00CE7362" w:rsidRDefault="00CE7362" w:rsidP="00CE7362">
      <w:pPr>
        <w:pStyle w:val="Head4"/>
      </w:pPr>
      <w:r>
        <w:t>Comparing prior school experiences</w:t>
      </w:r>
    </w:p>
    <w:p w14:paraId="63DCDBA8" w14:textId="20CCFA7C" w:rsidR="009D3663" w:rsidRDefault="00EE0F51" w:rsidP="00981D6D">
      <w:r>
        <w:t>Respondents were given the opportunity to provide an open text response to the prompt</w:t>
      </w:r>
      <w:r w:rsidR="009D3663">
        <w:t>, “How is HHA different to other schools you have attended?” There were 28 open text responses provided. These responses were thematically analysed and are summarised below in de</w:t>
      </w:r>
      <w:r w:rsidR="00F0230D">
        <w:t>scending order of occurrence.</w:t>
      </w:r>
    </w:p>
    <w:p w14:paraId="595571D6" w14:textId="4741D633" w:rsidR="00F0230D" w:rsidRDefault="00F0230D" w:rsidP="00981D6D">
      <w:r>
        <w:t xml:space="preserve">n=13 respondents mentioned </w:t>
      </w:r>
      <w:r w:rsidRPr="00F0230D">
        <w:rPr>
          <w:b/>
          <w:bCs/>
        </w:rPr>
        <w:t>having more help and/or support</w:t>
      </w:r>
      <w:r>
        <w:t xml:space="preserve"> at HHA</w:t>
      </w:r>
    </w:p>
    <w:p w14:paraId="263AEE5A" w14:textId="000FAA5A" w:rsidR="00F0230D" w:rsidRDefault="005132D4" w:rsidP="005132D4">
      <w:pPr>
        <w:pStyle w:val="HangingQuote"/>
      </w:pPr>
      <w:r>
        <w:t xml:space="preserve">The teachers, youth workers as well as campus is a lot more supportive, inclusive, </w:t>
      </w:r>
      <w:proofErr w:type="gramStart"/>
      <w:r>
        <w:t>mentally</w:t>
      </w:r>
      <w:proofErr w:type="gramEnd"/>
      <w:r>
        <w:t xml:space="preserve"> and physically supportive. (Living Learning student survey participant)</w:t>
      </w:r>
    </w:p>
    <w:p w14:paraId="712C11BA" w14:textId="61C7D58D" w:rsidR="00875504" w:rsidRDefault="00587EEA" w:rsidP="00587EEA">
      <w:r w:rsidRPr="00587EEA">
        <w:t xml:space="preserve">n=9 respondents mentioned </w:t>
      </w:r>
      <w:r w:rsidRPr="00587EEA">
        <w:rPr>
          <w:b/>
          <w:bCs/>
        </w:rPr>
        <w:t>respectful and/or positive relationships with staff</w:t>
      </w:r>
      <w:r w:rsidRPr="00587EEA">
        <w:t xml:space="preserve"> at HHA</w:t>
      </w:r>
    </w:p>
    <w:p w14:paraId="7EBFDD58" w14:textId="5B57E107" w:rsidR="00587EEA" w:rsidRDefault="007E764A" w:rsidP="007E764A">
      <w:pPr>
        <w:pStyle w:val="HangingQuote"/>
      </w:pPr>
      <w:r>
        <w:t>Staff genuinely care about how you feel and what you’re up to. Staff congratulate me and celebrate my achievements. (Living Learning student survey participant)</w:t>
      </w:r>
    </w:p>
    <w:p w14:paraId="771EB32A" w14:textId="77777777" w:rsidR="007E764A" w:rsidRDefault="007E764A" w:rsidP="007E764A">
      <w:r>
        <w:t xml:space="preserve">n=7 respondents reported </w:t>
      </w:r>
      <w:r w:rsidRPr="007E764A">
        <w:rPr>
          <w:b/>
          <w:bCs/>
        </w:rPr>
        <w:t>feeling less stressed and/or having a more manageable workload</w:t>
      </w:r>
      <w:r>
        <w:t xml:space="preserve"> at HHA</w:t>
      </w:r>
    </w:p>
    <w:p w14:paraId="106256D4" w14:textId="6FCC4139" w:rsidR="007E764A" w:rsidRDefault="007E764A" w:rsidP="007E764A">
      <w:pPr>
        <w:rPr>
          <w:b/>
          <w:bCs/>
        </w:rPr>
      </w:pPr>
      <w:r>
        <w:t xml:space="preserve">n=7 respondents mentioned HHA being a </w:t>
      </w:r>
      <w:r w:rsidRPr="007E764A">
        <w:rPr>
          <w:b/>
          <w:bCs/>
        </w:rPr>
        <w:t>welcoming and/or safer environment</w:t>
      </w:r>
    </w:p>
    <w:p w14:paraId="01CC372C" w14:textId="62537CEB" w:rsidR="007E764A" w:rsidRDefault="00A526DB" w:rsidP="00A526DB">
      <w:pPr>
        <w:pStyle w:val="HangingQuote"/>
      </w:pPr>
      <w:r>
        <w:t>I feel more safer with the staff and feel more comfortable around them. (Living Learning student survey participant)</w:t>
      </w:r>
    </w:p>
    <w:p w14:paraId="3306248B" w14:textId="77777777" w:rsidR="00A526DB" w:rsidRDefault="00A526DB" w:rsidP="00A526DB">
      <w:r>
        <w:t xml:space="preserve">n=6 respondents mentioned </w:t>
      </w:r>
      <w:r w:rsidRPr="00EE2D8D">
        <w:rPr>
          <w:b/>
          <w:bCs/>
        </w:rPr>
        <w:t>flexibility at HHA</w:t>
      </w:r>
      <w:r>
        <w:t xml:space="preserve"> (</w:t>
      </w:r>
      <w:proofErr w:type="gramStart"/>
      <w:r>
        <w:t>e.g.</w:t>
      </w:r>
      <w:proofErr w:type="gramEnd"/>
      <w:r>
        <w:t xml:space="preserve"> being able to learn at own pace)</w:t>
      </w:r>
    </w:p>
    <w:p w14:paraId="474438A6" w14:textId="0DB4A651" w:rsidR="00A526DB" w:rsidRDefault="00A526DB" w:rsidP="00A526DB">
      <w:pPr>
        <w:rPr>
          <w:b/>
          <w:bCs/>
        </w:rPr>
      </w:pPr>
      <w:r>
        <w:t xml:space="preserve">n=5 respondents mentioned HHA/LL </w:t>
      </w:r>
      <w:r w:rsidRPr="00EE2D8D">
        <w:rPr>
          <w:b/>
          <w:bCs/>
        </w:rPr>
        <w:t>staff having a better understanding of their students’ individual needs</w:t>
      </w:r>
    </w:p>
    <w:p w14:paraId="2F71D9B1" w14:textId="716792A9" w:rsidR="00EE2D8D" w:rsidRDefault="00EE2D8D" w:rsidP="00EE2D8D">
      <w:pPr>
        <w:pStyle w:val="HangingQuote"/>
      </w:pPr>
      <w:r>
        <w:t>How different the staff have treated young people who have had mental health crises [and] how supportive the staff are of young people [who are] LGBTQ+, POC, neurodivergent. (Living Learning student survey participant)</w:t>
      </w:r>
    </w:p>
    <w:p w14:paraId="357A248D" w14:textId="77777777" w:rsidR="00A91192" w:rsidRDefault="00A91192" w:rsidP="00A91192">
      <w:r>
        <w:t>n=2 respondents mentioned breadth of activities available at HHA</w:t>
      </w:r>
    </w:p>
    <w:p w14:paraId="52CE04C1" w14:textId="37919ED0" w:rsidR="00A91192" w:rsidRDefault="00A91192" w:rsidP="00A91192">
      <w:r>
        <w:t>n=2 respondents mentioned having better relationships with their peers at HHA</w:t>
      </w:r>
      <w:r>
        <w:br w:type="page"/>
      </w:r>
    </w:p>
    <w:p w14:paraId="6DDBDBDD" w14:textId="1707CEDA" w:rsidR="00A91192" w:rsidRDefault="00A91192" w:rsidP="00A91192">
      <w:pPr>
        <w:pStyle w:val="Head4"/>
      </w:pPr>
      <w:r>
        <w:t>Comparing prior classroom experiences</w:t>
      </w:r>
    </w:p>
    <w:p w14:paraId="031B80C1" w14:textId="77777777" w:rsidR="00EE45CB" w:rsidRDefault="00EE45CB" w:rsidP="00981D6D">
      <w:r w:rsidRPr="00EE45CB">
        <w:t>Respondents were asked to indicate their level of agreement with several statements comparing the classrooms at HHA to the classrooms in their old school. Respondents reported the highest levels of agreement with “I feel valued in the classroom at HHA compared to my old school classrooms” and “The smaller number of people in my classroom works well for me,” with three-quarters of all respondents selecting agree or strongly agree. They agreed the least with “Having more staff in the classroom makes me feel less anxious,” with n=18 selecting “agree” or “strongly agree” and only n=4 disagree.</w:t>
      </w:r>
    </w:p>
    <w:p w14:paraId="328A2915" w14:textId="527BB19C" w:rsidR="00EE45CB" w:rsidRDefault="00EE45CB" w:rsidP="00EE45CB">
      <w:pPr>
        <w:pStyle w:val="Caption"/>
      </w:pPr>
      <w:bookmarkStart w:id="86" w:name="_Toc150431612"/>
      <w:bookmarkStart w:id="87" w:name="_Toc150431989"/>
      <w:r>
        <w:t xml:space="preserve">Figure </w:t>
      </w:r>
      <w:r>
        <w:fldChar w:fldCharType="begin"/>
      </w:r>
      <w:r>
        <w:instrText xml:space="preserve"> SEQ Figure \* ARABIC </w:instrText>
      </w:r>
      <w:r>
        <w:fldChar w:fldCharType="separate"/>
      </w:r>
      <w:r w:rsidR="008D0FC1">
        <w:rPr>
          <w:noProof/>
        </w:rPr>
        <w:t>14</w:t>
      </w:r>
      <w:r>
        <w:fldChar w:fldCharType="end"/>
      </w:r>
      <w:r>
        <w:t xml:space="preserve"> To what extent do you agree/disagree that… (n=32)</w:t>
      </w:r>
      <w:bookmarkEnd w:id="86"/>
      <w:bookmarkEnd w:id="87"/>
    </w:p>
    <w:p w14:paraId="4A84B312" w14:textId="5AE15D95" w:rsidR="00EE45CB" w:rsidRDefault="0067533A" w:rsidP="00981D6D">
      <w:r w:rsidRPr="0067533A">
        <w:rPr>
          <w:noProof/>
        </w:rPr>
        <w:drawing>
          <wp:inline distT="0" distB="0" distL="0" distR="0" wp14:anchorId="12D01671" wp14:editId="574D41C6">
            <wp:extent cx="5939790" cy="2639060"/>
            <wp:effectExtent l="0" t="0" r="3810" b="8890"/>
            <wp:docPr id="834260078" name="Picture 834260078" descr="This bar chart shows the extent to which respondents agree they feel valued, that they like the class size and HHA classroom, and that staff help them at H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60078" name="Picture 1" descr="This bar chart shows the extent to which respondents agree they feel valued, that they like the class size and HHA classroom, and that staff help them at HHA. "/>
                    <pic:cNvPicPr/>
                  </pic:nvPicPr>
                  <pic:blipFill>
                    <a:blip r:embed="rId58"/>
                    <a:stretch>
                      <a:fillRect/>
                    </a:stretch>
                  </pic:blipFill>
                  <pic:spPr>
                    <a:xfrm>
                      <a:off x="0" y="0"/>
                      <a:ext cx="5939790" cy="2639060"/>
                    </a:xfrm>
                    <a:prstGeom prst="rect">
                      <a:avLst/>
                    </a:prstGeom>
                  </pic:spPr>
                </pic:pic>
              </a:graphicData>
            </a:graphic>
          </wp:inline>
        </w:drawing>
      </w:r>
    </w:p>
    <w:p w14:paraId="6FB8C7DA" w14:textId="40F9ACEC" w:rsidR="0067533A" w:rsidRDefault="0067533A" w:rsidP="00F31F13">
      <w:pPr>
        <w:pStyle w:val="Head4"/>
      </w:pPr>
      <w:r>
        <w:t>Importance of r</w:t>
      </w:r>
      <w:r w:rsidR="00F31F13">
        <w:t>elationship with key worker</w:t>
      </w:r>
    </w:p>
    <w:p w14:paraId="7F88A42A" w14:textId="0AB78C97" w:rsidR="00F31F13" w:rsidRDefault="00F31F13" w:rsidP="00981D6D">
      <w:r>
        <w:t xml:space="preserve">Respondents were asked how important the relationship they had with </w:t>
      </w:r>
      <w:r w:rsidR="009B5944">
        <w:t>their Living Learning Key Worker was to them. More than three-quarters of the respondents indicated that it was very important</w:t>
      </w:r>
      <w:r w:rsidR="00E63C94">
        <w:t xml:space="preserve"> to them (n=25), with less than one-tenth selecting that it was only a bit important (n=3)</w:t>
      </w:r>
      <w:r w:rsidR="001D31B8">
        <w:t>.</w:t>
      </w:r>
    </w:p>
    <w:p w14:paraId="028F7A89" w14:textId="700A0D33" w:rsidR="001D31B8" w:rsidRDefault="001D31B8" w:rsidP="001D31B8">
      <w:pPr>
        <w:pStyle w:val="Caption"/>
      </w:pPr>
      <w:bookmarkStart w:id="88" w:name="_Toc150431613"/>
      <w:bookmarkStart w:id="89" w:name="_Toc150431990"/>
      <w:r>
        <w:t xml:space="preserve">Figure </w:t>
      </w:r>
      <w:r>
        <w:fldChar w:fldCharType="begin"/>
      </w:r>
      <w:r>
        <w:instrText xml:space="preserve"> SEQ Figure \* ARABIC </w:instrText>
      </w:r>
      <w:r>
        <w:fldChar w:fldCharType="separate"/>
      </w:r>
      <w:r w:rsidR="008D0FC1">
        <w:rPr>
          <w:noProof/>
        </w:rPr>
        <w:t>15</w:t>
      </w:r>
      <w:r>
        <w:fldChar w:fldCharType="end"/>
      </w:r>
      <w:r>
        <w:t xml:space="preserve"> How important to you is the relationship you have with your Living Learning Key Worker? (n=32)</w:t>
      </w:r>
      <w:bookmarkEnd w:id="88"/>
      <w:bookmarkEnd w:id="89"/>
    </w:p>
    <w:p w14:paraId="0D41ADE2" w14:textId="620BA572" w:rsidR="002F58FB" w:rsidRDefault="002F58FB" w:rsidP="002F58FB">
      <w:r w:rsidRPr="002F58FB">
        <w:rPr>
          <w:noProof/>
        </w:rPr>
        <w:drawing>
          <wp:inline distT="0" distB="0" distL="0" distR="0" wp14:anchorId="73D6F202" wp14:editId="0D4D93B3">
            <wp:extent cx="2372498" cy="1180906"/>
            <wp:effectExtent l="0" t="0" r="0" b="635"/>
            <wp:docPr id="1998823050" name="Picture 1998823050" descr="This bar chart shows the number of respondents who rated their relationship with the Key Worker as impor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23050" name="Picture 1" descr="This bar chart shows the number of respondents who rated their relationship with the Key Worker as important. "/>
                    <pic:cNvPicPr/>
                  </pic:nvPicPr>
                  <pic:blipFill>
                    <a:blip r:embed="rId59"/>
                    <a:stretch>
                      <a:fillRect/>
                    </a:stretch>
                  </pic:blipFill>
                  <pic:spPr>
                    <a:xfrm>
                      <a:off x="0" y="0"/>
                      <a:ext cx="2399433" cy="1194313"/>
                    </a:xfrm>
                    <a:prstGeom prst="rect">
                      <a:avLst/>
                    </a:prstGeom>
                  </pic:spPr>
                </pic:pic>
              </a:graphicData>
            </a:graphic>
          </wp:inline>
        </w:drawing>
      </w:r>
    </w:p>
    <w:p w14:paraId="16C5EBB8" w14:textId="65369630" w:rsidR="002F58FB" w:rsidRDefault="002F58FB" w:rsidP="002F58FB">
      <w:pPr>
        <w:pStyle w:val="Head4"/>
      </w:pPr>
      <w:r>
        <w:t xml:space="preserve">Types of support provided by key </w:t>
      </w:r>
      <w:proofErr w:type="gramStart"/>
      <w:r>
        <w:t>worker</w:t>
      </w:r>
      <w:proofErr w:type="gramEnd"/>
    </w:p>
    <w:p w14:paraId="2F7FF7D4" w14:textId="77777777" w:rsidR="00EA42FD" w:rsidRDefault="00EA42FD" w:rsidP="00EA42FD">
      <w:r>
        <w:t>Respondents were given the opportunity to provide an open text response to the prompt, “What sorts of things has your Living Learning Key Worker been able to help you with? Please list everything you can remember.” There were 27 open text responses provided. These responses were thematically analysed and are summarised below in descending order of occurrence.</w:t>
      </w:r>
    </w:p>
    <w:p w14:paraId="1C75599E" w14:textId="123AA9AF" w:rsidR="002F58FB" w:rsidRDefault="00EA42FD" w:rsidP="00EA42FD">
      <w:r>
        <w:t xml:space="preserve">n=18 respondents mentioned </w:t>
      </w:r>
      <w:r w:rsidRPr="00D52F9B">
        <w:rPr>
          <w:b/>
          <w:bCs/>
        </w:rPr>
        <w:t>financial support</w:t>
      </w:r>
      <w:r>
        <w:t>. Most respondents reported financial support for essentials such as food vouchers (n=14), but n=5 also mentioned their Key Worker helped with supporting their wants (e.g., getting their nails done)</w:t>
      </w:r>
    </w:p>
    <w:p w14:paraId="12B65800" w14:textId="476D7A21" w:rsidR="00EA42FD" w:rsidRDefault="00EA42FD" w:rsidP="00D52F9B">
      <w:pPr>
        <w:pStyle w:val="HangingQuote"/>
      </w:pPr>
      <w:r>
        <w:t>They’ve helped me with living funds so ex: Food Vouchers, Clothes Shopping and I even got a guitar so that was cool. (Living Learning student survey participant)</w:t>
      </w:r>
    </w:p>
    <w:p w14:paraId="6A0046C7" w14:textId="0576856E" w:rsidR="00D52F9B" w:rsidRPr="00D52F9B" w:rsidRDefault="00D52F9B" w:rsidP="00D52F9B">
      <w:r w:rsidRPr="00D52F9B">
        <w:t xml:space="preserve">n=13 respondents reported receiving support with </w:t>
      </w:r>
      <w:r w:rsidRPr="00D52F9B">
        <w:rPr>
          <w:b/>
          <w:bCs/>
        </w:rPr>
        <w:t>managing appointments</w:t>
      </w:r>
      <w:r w:rsidRPr="00D52F9B">
        <w:t>, mostly of a medical nature</w:t>
      </w:r>
    </w:p>
    <w:p w14:paraId="3CFA30D1" w14:textId="6176DD3D" w:rsidR="00EA42FD" w:rsidRDefault="00143E1D" w:rsidP="00143E1D">
      <w:pPr>
        <w:pStyle w:val="HangingQuote"/>
      </w:pPr>
      <w:r>
        <w:t>She … helps me organise appointments with mental and physical health workers as well as housing workers. (Living Learning student survey participant)</w:t>
      </w:r>
    </w:p>
    <w:p w14:paraId="23EE6BDC" w14:textId="49A549CD" w:rsidR="00143E1D" w:rsidRDefault="00143E1D" w:rsidP="00143E1D">
      <w:r w:rsidRPr="00143E1D">
        <w:t xml:space="preserve">n=11 respondents mentioned </w:t>
      </w:r>
      <w:r w:rsidRPr="00143E1D">
        <w:rPr>
          <w:b/>
          <w:bCs/>
        </w:rPr>
        <w:t>emotional support</w:t>
      </w:r>
    </w:p>
    <w:p w14:paraId="62103211" w14:textId="214A8E3A" w:rsidR="00143E1D" w:rsidRDefault="006E2EC6" w:rsidP="006E2EC6">
      <w:pPr>
        <w:pStyle w:val="HangingQuote"/>
      </w:pPr>
      <w:r>
        <w:t>She is always there for me when I need support and is always fun to chat with. (Living Learning student survey participant)</w:t>
      </w:r>
    </w:p>
    <w:p w14:paraId="13BD9ED6" w14:textId="77777777" w:rsidR="00F05980" w:rsidRDefault="00F05980" w:rsidP="00F05980">
      <w:r>
        <w:t xml:space="preserve">n=7 respondents mentioned support with </w:t>
      </w:r>
      <w:r w:rsidRPr="00F05980">
        <w:rPr>
          <w:b/>
          <w:bCs/>
        </w:rPr>
        <w:t>providing transport</w:t>
      </w:r>
      <w:r>
        <w:t>, and n=4 reported support with transport to school specifically</w:t>
      </w:r>
    </w:p>
    <w:p w14:paraId="6C83467D" w14:textId="77777777" w:rsidR="00F05980" w:rsidRDefault="00F05980" w:rsidP="00F05980">
      <w:r>
        <w:t xml:space="preserve">n=4 respondents mentioned support with </w:t>
      </w:r>
      <w:r w:rsidRPr="00F05980">
        <w:rPr>
          <w:b/>
          <w:bCs/>
        </w:rPr>
        <w:t>housing</w:t>
      </w:r>
      <w:r>
        <w:t>, including support through homelessness, finding a new house, and moving in and out of houses</w:t>
      </w:r>
    </w:p>
    <w:p w14:paraId="46829C62" w14:textId="033425F2" w:rsidR="00143E1D" w:rsidRDefault="00F05980" w:rsidP="00F05980">
      <w:r>
        <w:t xml:space="preserve">n=4 respondents did not specify a type of support, but stated that their Key Worker had </w:t>
      </w:r>
      <w:r w:rsidRPr="00F05980">
        <w:rPr>
          <w:b/>
          <w:bCs/>
        </w:rPr>
        <w:t>helped with everything</w:t>
      </w:r>
    </w:p>
    <w:p w14:paraId="4B56226F" w14:textId="77777777" w:rsidR="00853063" w:rsidRDefault="00853063" w:rsidP="00853063">
      <w:pPr>
        <w:pStyle w:val="Head4"/>
      </w:pPr>
      <w:r>
        <w:t>Satisfaction with key worker support</w:t>
      </w:r>
    </w:p>
    <w:p w14:paraId="3BDEA8C0" w14:textId="2D2166F7" w:rsidR="00143E1D" w:rsidRDefault="00853063" w:rsidP="00853063">
      <w:r>
        <w:t xml:space="preserve">Nearly all respondents (n=26 of 30) indicated that they were either very happy or happy with the support received from their Living Learning Key Worker. There </w:t>
      </w:r>
      <w:proofErr w:type="gramStart"/>
      <w:r>
        <w:t>were</w:t>
      </w:r>
      <w:proofErr w:type="gramEnd"/>
      <w:r>
        <w:t xml:space="preserve"> only n=2 respondents who reported they were unhappy or very unhappy with the support received.</w:t>
      </w:r>
    </w:p>
    <w:p w14:paraId="06045B4E" w14:textId="7A27A47B" w:rsidR="00853063" w:rsidRDefault="00853063" w:rsidP="00853063">
      <w:pPr>
        <w:pStyle w:val="Caption"/>
      </w:pPr>
      <w:bookmarkStart w:id="90" w:name="_Toc150431614"/>
      <w:bookmarkStart w:id="91" w:name="_Toc150431991"/>
      <w:r>
        <w:t xml:space="preserve">Figure </w:t>
      </w:r>
      <w:r>
        <w:fldChar w:fldCharType="begin"/>
      </w:r>
      <w:r>
        <w:instrText xml:space="preserve"> SEQ Figure \* ARABIC </w:instrText>
      </w:r>
      <w:r>
        <w:fldChar w:fldCharType="separate"/>
      </w:r>
      <w:r w:rsidR="008D0FC1">
        <w:rPr>
          <w:noProof/>
        </w:rPr>
        <w:t>16</w:t>
      </w:r>
      <w:r>
        <w:fldChar w:fldCharType="end"/>
      </w:r>
      <w:r>
        <w:t xml:space="preserve"> </w:t>
      </w:r>
      <w:r w:rsidRPr="0030555D">
        <w:t>Happiness with support received from Living Learning Key Worker (n=30)</w:t>
      </w:r>
      <w:bookmarkEnd w:id="90"/>
      <w:bookmarkEnd w:id="91"/>
    </w:p>
    <w:p w14:paraId="3039241D" w14:textId="49DE7305" w:rsidR="00853063" w:rsidRDefault="00EC02DF" w:rsidP="00853063">
      <w:r w:rsidRPr="00EC02DF">
        <w:rPr>
          <w:noProof/>
        </w:rPr>
        <w:drawing>
          <wp:inline distT="0" distB="0" distL="0" distR="0" wp14:anchorId="75EF52CA" wp14:editId="3F434932">
            <wp:extent cx="5939790" cy="966470"/>
            <wp:effectExtent l="0" t="0" r="3810" b="5080"/>
            <wp:docPr id="1317774710" name="Picture 1317774710" descr="This bar chart shows the extent to which respondents are happy with the support received from their Key Wor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74710" name="Picture 1" descr="This bar chart shows the extent to which respondents are happy with the support received from their Key Worker. "/>
                    <pic:cNvPicPr/>
                  </pic:nvPicPr>
                  <pic:blipFill>
                    <a:blip r:embed="rId60"/>
                    <a:stretch>
                      <a:fillRect/>
                    </a:stretch>
                  </pic:blipFill>
                  <pic:spPr>
                    <a:xfrm>
                      <a:off x="0" y="0"/>
                      <a:ext cx="5939790" cy="966470"/>
                    </a:xfrm>
                    <a:prstGeom prst="rect">
                      <a:avLst/>
                    </a:prstGeom>
                  </pic:spPr>
                </pic:pic>
              </a:graphicData>
            </a:graphic>
          </wp:inline>
        </w:drawing>
      </w:r>
    </w:p>
    <w:p w14:paraId="721424C1" w14:textId="5E7DEED3" w:rsidR="00EC02DF" w:rsidRDefault="00EC02DF" w:rsidP="00EC02DF">
      <w:pPr>
        <w:pStyle w:val="Head4"/>
      </w:pPr>
      <w:r>
        <w:t xml:space="preserve">Satisfied with allied health </w:t>
      </w:r>
      <w:proofErr w:type="gramStart"/>
      <w:r>
        <w:t>support</w:t>
      </w:r>
      <w:proofErr w:type="gramEnd"/>
    </w:p>
    <w:p w14:paraId="737D3513" w14:textId="0D784E7E" w:rsidR="00EC02DF" w:rsidRDefault="00EC02DF" w:rsidP="00853063">
      <w:r>
        <w:t xml:space="preserve">Of the respondents who had </w:t>
      </w:r>
      <w:r w:rsidR="005503BD">
        <w:t>had Allied Health support, the overwhelming majority indicated that they were very happy or happy with the support received from their Living Learning Psychologist or Occupational Therapist (</w:t>
      </w:r>
      <w:r w:rsidR="006A1DBF">
        <w:t>n=16 of 21). There were no respondents who were unhappy or very unhappy, with n=3</w:t>
      </w:r>
      <w:r w:rsidR="00BC0B5C">
        <w:t xml:space="preserve"> being ambivalent and n=2 being unsure.</w:t>
      </w:r>
    </w:p>
    <w:p w14:paraId="0B5658E5" w14:textId="73CF54F0" w:rsidR="00BC0B5C" w:rsidRDefault="00BC0B5C" w:rsidP="00BC0B5C">
      <w:pPr>
        <w:pStyle w:val="Caption"/>
      </w:pPr>
      <w:bookmarkStart w:id="92" w:name="_Toc150431615"/>
      <w:bookmarkStart w:id="93" w:name="_Toc150431992"/>
      <w:r>
        <w:t xml:space="preserve">Figure </w:t>
      </w:r>
      <w:r>
        <w:fldChar w:fldCharType="begin"/>
      </w:r>
      <w:r>
        <w:instrText xml:space="preserve"> SEQ Figure \* ARABIC </w:instrText>
      </w:r>
      <w:r>
        <w:fldChar w:fldCharType="separate"/>
      </w:r>
      <w:r w:rsidR="008D0FC1">
        <w:rPr>
          <w:noProof/>
        </w:rPr>
        <w:t>17</w:t>
      </w:r>
      <w:r>
        <w:fldChar w:fldCharType="end"/>
      </w:r>
      <w:r>
        <w:t xml:space="preserve"> Happiness with support received from Living Learning Psychologist or Occupational Therapist (n=30)</w:t>
      </w:r>
      <w:bookmarkEnd w:id="92"/>
      <w:bookmarkEnd w:id="93"/>
    </w:p>
    <w:p w14:paraId="7DFA8FCF" w14:textId="7C79DE11" w:rsidR="00D8264B" w:rsidRDefault="004E3D57" w:rsidP="00BC0B5C">
      <w:r w:rsidRPr="004E3D57">
        <w:rPr>
          <w:noProof/>
        </w:rPr>
        <w:drawing>
          <wp:inline distT="0" distB="0" distL="0" distR="0" wp14:anchorId="5E1AED42" wp14:editId="30801FB9">
            <wp:extent cx="5939790" cy="1173480"/>
            <wp:effectExtent l="0" t="0" r="3810" b="7620"/>
            <wp:docPr id="46153788" name="Picture 46153788" descr="This bar chart shows the extent to which respondents are happy with the support received from the Living Learning Psychologist or Occupational Therap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3788" name="Picture 1" descr="This bar chart shows the extent to which respondents are happy with the support received from the Living Learning Psychologist or Occupational Therapist.  "/>
                    <pic:cNvPicPr/>
                  </pic:nvPicPr>
                  <pic:blipFill>
                    <a:blip r:embed="rId61"/>
                    <a:stretch>
                      <a:fillRect/>
                    </a:stretch>
                  </pic:blipFill>
                  <pic:spPr>
                    <a:xfrm>
                      <a:off x="0" y="0"/>
                      <a:ext cx="5939790" cy="1173480"/>
                    </a:xfrm>
                    <a:prstGeom prst="rect">
                      <a:avLst/>
                    </a:prstGeom>
                  </pic:spPr>
                </pic:pic>
              </a:graphicData>
            </a:graphic>
          </wp:inline>
        </w:drawing>
      </w:r>
      <w:r w:rsidR="00D8264B">
        <w:br w:type="page"/>
      </w:r>
    </w:p>
    <w:p w14:paraId="4299CD91" w14:textId="608A9B3D" w:rsidR="004E3D57" w:rsidRDefault="004E3D57" w:rsidP="00BE09C6">
      <w:pPr>
        <w:pStyle w:val="Head4"/>
      </w:pPr>
      <w:r>
        <w:t>Attendance at school</w:t>
      </w:r>
    </w:p>
    <w:p w14:paraId="057FAA82" w14:textId="39F3C6BA" w:rsidR="00BE09C6" w:rsidRDefault="00BE09C6" w:rsidP="00BE09C6">
      <w:r>
        <w:t>Nearly one-half</w:t>
      </w:r>
      <w:r w:rsidR="00172512">
        <w:t xml:space="preserve"> of all respondents reported that they came to school most of time since starting in Living Learning (n=14), and nearly one-third reported that they came to school at least some of the time (n=7)</w:t>
      </w:r>
      <w:r w:rsidR="00952C6E">
        <w:t>. The two extremes (“I come to school all the time” and “I never come to school”) were less common, with n=5 and n=4 respectively.</w:t>
      </w:r>
    </w:p>
    <w:p w14:paraId="27A682F4" w14:textId="2EA6A5D3" w:rsidR="00952C6E" w:rsidRDefault="00D8264B" w:rsidP="00D8264B">
      <w:pPr>
        <w:pStyle w:val="Caption"/>
      </w:pPr>
      <w:bookmarkStart w:id="94" w:name="_Toc150431616"/>
      <w:bookmarkStart w:id="95" w:name="_Toc150431993"/>
      <w:r>
        <w:t xml:space="preserve">Figure </w:t>
      </w:r>
      <w:r>
        <w:fldChar w:fldCharType="begin"/>
      </w:r>
      <w:r>
        <w:instrText xml:space="preserve"> SEQ Figure \* ARABIC </w:instrText>
      </w:r>
      <w:r>
        <w:fldChar w:fldCharType="separate"/>
      </w:r>
      <w:r w:rsidR="008D0FC1">
        <w:rPr>
          <w:noProof/>
        </w:rPr>
        <w:t>18</w:t>
      </w:r>
      <w:r>
        <w:fldChar w:fldCharType="end"/>
      </w:r>
      <w:r>
        <w:t xml:space="preserve"> How often have you been coming to school since you started in Living Learning? (n=30)</w:t>
      </w:r>
      <w:bookmarkEnd w:id="94"/>
      <w:bookmarkEnd w:id="95"/>
    </w:p>
    <w:p w14:paraId="2FEC4CB5" w14:textId="465FBE00" w:rsidR="00B0525A" w:rsidRPr="00B0525A" w:rsidRDefault="00466745" w:rsidP="00B0525A">
      <w:r w:rsidRPr="00466745">
        <w:rPr>
          <w:noProof/>
        </w:rPr>
        <w:drawing>
          <wp:inline distT="0" distB="0" distL="0" distR="0" wp14:anchorId="6208EADB" wp14:editId="1D92FFC7">
            <wp:extent cx="2990335" cy="989684"/>
            <wp:effectExtent l="0" t="0" r="635" b="1270"/>
            <wp:docPr id="608378175" name="Picture 608378175" descr="This bar chart shows the number of respondents by frequency of school attend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78175" name="Picture 1" descr="This bar chart shows the number of respondents by frequency of school attendance. "/>
                    <pic:cNvPicPr/>
                  </pic:nvPicPr>
                  <pic:blipFill>
                    <a:blip r:embed="rId62"/>
                    <a:stretch>
                      <a:fillRect/>
                    </a:stretch>
                  </pic:blipFill>
                  <pic:spPr>
                    <a:xfrm>
                      <a:off x="0" y="0"/>
                      <a:ext cx="3056327" cy="1011525"/>
                    </a:xfrm>
                    <a:prstGeom prst="rect">
                      <a:avLst/>
                    </a:prstGeom>
                  </pic:spPr>
                </pic:pic>
              </a:graphicData>
            </a:graphic>
          </wp:inline>
        </w:drawing>
      </w:r>
    </w:p>
    <w:p w14:paraId="5B2E6411" w14:textId="77777777" w:rsidR="00C21B87" w:rsidRDefault="00C21B87" w:rsidP="00C21B87">
      <w:pPr>
        <w:pStyle w:val="Head4"/>
      </w:pPr>
      <w:r>
        <w:t>Impact of program education and career goals</w:t>
      </w:r>
    </w:p>
    <w:p w14:paraId="36E40CB4" w14:textId="77777777" w:rsidR="00F57A9B" w:rsidRDefault="00F57A9B" w:rsidP="00F57A9B">
      <w:r>
        <w:t xml:space="preserve">Respondents were asked to reflect on whether Living Learning had helped them work towards any job, </w:t>
      </w:r>
      <w:proofErr w:type="gramStart"/>
      <w:r>
        <w:t>career</w:t>
      </w:r>
      <w:proofErr w:type="gramEnd"/>
      <w:r>
        <w:t xml:space="preserve"> or education goals. More than half of respondents reported that Living Learning had helped them work towards VCAL (n=15), which was a promising result. This was, however, followed by respondents who indicated that they were not currently working towards any job, </w:t>
      </w:r>
      <w:proofErr w:type="gramStart"/>
      <w:r>
        <w:t>career</w:t>
      </w:r>
      <w:proofErr w:type="gramEnd"/>
      <w:r>
        <w:t xml:space="preserve"> or education goal (n=9). No respondents reported that Living Learning had helped them work towards full-time work.</w:t>
      </w:r>
    </w:p>
    <w:p w14:paraId="483F95E4" w14:textId="3D50C862" w:rsidR="00F57A9B" w:rsidRDefault="00F57A9B" w:rsidP="00F57A9B">
      <w:pPr>
        <w:pStyle w:val="Caption"/>
      </w:pPr>
      <w:bookmarkStart w:id="96" w:name="_Toc150431617"/>
      <w:bookmarkStart w:id="97" w:name="_Toc150431994"/>
      <w:r>
        <w:t xml:space="preserve">Figure </w:t>
      </w:r>
      <w:r>
        <w:fldChar w:fldCharType="begin"/>
      </w:r>
      <w:r>
        <w:instrText xml:space="preserve"> SEQ Figure \* ARABIC </w:instrText>
      </w:r>
      <w:r>
        <w:fldChar w:fldCharType="separate"/>
      </w:r>
      <w:r w:rsidR="008D0FC1">
        <w:rPr>
          <w:noProof/>
        </w:rPr>
        <w:t>19</w:t>
      </w:r>
      <w:r>
        <w:fldChar w:fldCharType="end"/>
      </w:r>
      <w:r w:rsidR="001F5BD6">
        <w:t xml:space="preserve"> </w:t>
      </w:r>
      <w:r w:rsidR="001F5BD6" w:rsidRPr="001F5BD6">
        <w:t xml:space="preserve">Has Living Learning helped you to work towards any job, </w:t>
      </w:r>
      <w:proofErr w:type="gramStart"/>
      <w:r w:rsidR="001F5BD6" w:rsidRPr="001F5BD6">
        <w:t>career</w:t>
      </w:r>
      <w:proofErr w:type="gramEnd"/>
      <w:r w:rsidR="001F5BD6" w:rsidRPr="001F5BD6">
        <w:t xml:space="preserve"> or education goals? (n=28)</w:t>
      </w:r>
      <w:bookmarkEnd w:id="96"/>
      <w:bookmarkEnd w:id="97"/>
    </w:p>
    <w:p w14:paraId="30A451B7" w14:textId="619F30CA" w:rsidR="00F57A9B" w:rsidRDefault="001F5BD6" w:rsidP="00F57A9B">
      <w:r w:rsidRPr="001F5BD6">
        <w:rPr>
          <w:noProof/>
        </w:rPr>
        <w:drawing>
          <wp:inline distT="0" distB="0" distL="0" distR="0" wp14:anchorId="331F8ED9" wp14:editId="2E7D393F">
            <wp:extent cx="4423719" cy="1096235"/>
            <wp:effectExtent l="0" t="0" r="0" b="8890"/>
            <wp:docPr id="1244141629" name="Picture 1244141629" descr="This bar chart shows the number of respondents by career or employment go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41629" name="Picture 1" descr="This bar chart shows the number of respondents by career or employment goal. "/>
                    <pic:cNvPicPr/>
                  </pic:nvPicPr>
                  <pic:blipFill>
                    <a:blip r:embed="rId63"/>
                    <a:stretch>
                      <a:fillRect/>
                    </a:stretch>
                  </pic:blipFill>
                  <pic:spPr>
                    <a:xfrm>
                      <a:off x="0" y="0"/>
                      <a:ext cx="4490022" cy="1112665"/>
                    </a:xfrm>
                    <a:prstGeom prst="rect">
                      <a:avLst/>
                    </a:prstGeom>
                  </pic:spPr>
                </pic:pic>
              </a:graphicData>
            </a:graphic>
          </wp:inline>
        </w:drawing>
      </w:r>
    </w:p>
    <w:p w14:paraId="6A803FED" w14:textId="77777777" w:rsidR="004267F7" w:rsidRDefault="004267F7" w:rsidP="004267F7">
      <w:pPr>
        <w:pStyle w:val="Head4"/>
      </w:pPr>
      <w:r>
        <w:t>Program impact on participant outlook</w:t>
      </w:r>
    </w:p>
    <w:p w14:paraId="55216919" w14:textId="77777777" w:rsidR="004267F7" w:rsidRDefault="004267F7" w:rsidP="004267F7">
      <w:r>
        <w:t>Respondents were asked about the impact of their experience in the Living Learning program on the way they thought about certain aspects in their life. Most respondents indicated that Living Learning had changed the way they thought about their future and their school and education (n=20 selecting agree or strongly agree), though there was a slightly higher number of respondents who disagreed with the latter (n=3 compared to n=2). Though comparatively less respondents reported any change to the way they managed their mental health, there were still more than one-half who agreed or strongly agreed that there had been some change (n=17).</w:t>
      </w:r>
    </w:p>
    <w:p w14:paraId="318364F4" w14:textId="13C8A69D" w:rsidR="00F57A9B" w:rsidRDefault="00C3490B" w:rsidP="00C3490B">
      <w:pPr>
        <w:pStyle w:val="Caption"/>
      </w:pPr>
      <w:bookmarkStart w:id="98" w:name="_Toc150431618"/>
      <w:bookmarkStart w:id="99" w:name="_Toc150431995"/>
      <w:r>
        <w:t xml:space="preserve">Figure </w:t>
      </w:r>
      <w:r>
        <w:fldChar w:fldCharType="begin"/>
      </w:r>
      <w:r>
        <w:instrText xml:space="preserve"> SEQ Figure \* ARABIC </w:instrText>
      </w:r>
      <w:r>
        <w:fldChar w:fldCharType="separate"/>
      </w:r>
      <w:r w:rsidR="008D0FC1">
        <w:rPr>
          <w:noProof/>
        </w:rPr>
        <w:t>20</w:t>
      </w:r>
      <w:r>
        <w:fldChar w:fldCharType="end"/>
      </w:r>
      <w:r>
        <w:t xml:space="preserve"> </w:t>
      </w:r>
      <w:r w:rsidRPr="00C3490B">
        <w:t>Experience in LL program… (n=29)</w:t>
      </w:r>
      <w:bookmarkEnd w:id="98"/>
      <w:bookmarkEnd w:id="99"/>
    </w:p>
    <w:p w14:paraId="3572FE67" w14:textId="2C5574EE" w:rsidR="00C3490B" w:rsidRDefault="00C3490B" w:rsidP="00C3490B">
      <w:r w:rsidRPr="00C3490B">
        <w:rPr>
          <w:noProof/>
        </w:rPr>
        <w:drawing>
          <wp:inline distT="0" distB="0" distL="0" distR="0" wp14:anchorId="195A4876" wp14:editId="67811B6E">
            <wp:extent cx="5939790" cy="1757045"/>
            <wp:effectExtent l="0" t="0" r="3810" b="0"/>
            <wp:docPr id="594395467" name="Picture 594395467" descr="This bar chart shows the extent to which respondents feel different about their future, changed the way they think about school/education and the way they manage their ment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95467" name="Picture 1" descr="This bar chart shows the extent to which respondents feel different about their future, changed the way they think about school/education and the way they manage their mental health. "/>
                    <pic:cNvPicPr/>
                  </pic:nvPicPr>
                  <pic:blipFill>
                    <a:blip r:embed="rId64"/>
                    <a:stretch>
                      <a:fillRect/>
                    </a:stretch>
                  </pic:blipFill>
                  <pic:spPr>
                    <a:xfrm>
                      <a:off x="0" y="0"/>
                      <a:ext cx="5939790" cy="1757045"/>
                    </a:xfrm>
                    <a:prstGeom prst="rect">
                      <a:avLst/>
                    </a:prstGeom>
                  </pic:spPr>
                </pic:pic>
              </a:graphicData>
            </a:graphic>
          </wp:inline>
        </w:drawing>
      </w:r>
      <w:r>
        <w:br w:type="page"/>
      </w:r>
    </w:p>
    <w:p w14:paraId="040A2B32" w14:textId="2A38A0FB" w:rsidR="00C3490B" w:rsidRDefault="00C3490B" w:rsidP="00C3490B">
      <w:pPr>
        <w:pStyle w:val="Head4"/>
      </w:pPr>
      <w:r>
        <w:t>Program impact on participants</w:t>
      </w:r>
    </w:p>
    <w:p w14:paraId="4CE506E6" w14:textId="7FA4EDD3" w:rsidR="00C3490B" w:rsidRDefault="00E2147A" w:rsidP="00E2147A">
      <w:pPr>
        <w:pStyle w:val="Caption"/>
      </w:pPr>
      <w:bookmarkStart w:id="100" w:name="_Toc150431619"/>
      <w:bookmarkStart w:id="101" w:name="_Toc150431996"/>
      <w:r>
        <w:t xml:space="preserve">Figure </w:t>
      </w:r>
      <w:r>
        <w:fldChar w:fldCharType="begin"/>
      </w:r>
      <w:r>
        <w:instrText xml:space="preserve"> SEQ Figure \* ARABIC </w:instrText>
      </w:r>
      <w:r>
        <w:fldChar w:fldCharType="separate"/>
      </w:r>
      <w:r w:rsidR="008D0FC1">
        <w:rPr>
          <w:noProof/>
        </w:rPr>
        <w:t>21</w:t>
      </w:r>
      <w:r>
        <w:fldChar w:fldCharType="end"/>
      </w:r>
      <w:r>
        <w:t xml:space="preserve"> </w:t>
      </w:r>
      <w:r w:rsidRPr="00E2147A">
        <w:t>Experience in LL program… (n=29)</w:t>
      </w:r>
      <w:bookmarkEnd w:id="100"/>
      <w:bookmarkEnd w:id="101"/>
    </w:p>
    <w:p w14:paraId="1FFB83D9" w14:textId="37CB61EC" w:rsidR="00E2147A" w:rsidRDefault="001E1CCA" w:rsidP="00E2147A">
      <w:r w:rsidRPr="001E1CCA">
        <w:rPr>
          <w:noProof/>
        </w:rPr>
        <w:drawing>
          <wp:inline distT="0" distB="0" distL="0" distR="0" wp14:anchorId="1078679D" wp14:editId="73075FDE">
            <wp:extent cx="5939790" cy="2273300"/>
            <wp:effectExtent l="0" t="0" r="3810" b="0"/>
            <wp:docPr id="630954039" name="Picture 630954039" descr="This bar chart shows the number of respondents who felt happier, make better decisions, feel more confidence and able to make better relation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54039" name="Picture 1" descr="This bar chart shows the number of respondents who felt happier, make better decisions, feel more confidence and able to make better relationships. "/>
                    <pic:cNvPicPr/>
                  </pic:nvPicPr>
                  <pic:blipFill>
                    <a:blip r:embed="rId65"/>
                    <a:stretch>
                      <a:fillRect/>
                    </a:stretch>
                  </pic:blipFill>
                  <pic:spPr>
                    <a:xfrm>
                      <a:off x="0" y="0"/>
                      <a:ext cx="5939790" cy="2273300"/>
                    </a:xfrm>
                    <a:prstGeom prst="rect">
                      <a:avLst/>
                    </a:prstGeom>
                  </pic:spPr>
                </pic:pic>
              </a:graphicData>
            </a:graphic>
          </wp:inline>
        </w:drawing>
      </w:r>
    </w:p>
    <w:p w14:paraId="78ECE333" w14:textId="77777777" w:rsidR="00A55924" w:rsidRDefault="00A55924" w:rsidP="00A55924">
      <w:pPr>
        <w:pStyle w:val="Head4"/>
      </w:pPr>
      <w:r>
        <w:t xml:space="preserve">Most important thing learned through </w:t>
      </w:r>
      <w:proofErr w:type="gramStart"/>
      <w:r>
        <w:t>program</w:t>
      </w:r>
      <w:proofErr w:type="gramEnd"/>
    </w:p>
    <w:p w14:paraId="32D51CA1" w14:textId="77777777" w:rsidR="00A55924" w:rsidRDefault="00A55924" w:rsidP="00A55924">
      <w:r>
        <w:t>Respondents were given the opportunity to provide an open text response to the prompt, “What is the most important thing you have learned about yourself while participating in Living Learning?”. There were 21 open text responses provided. These responses were thematically analysed and are summarised below in descending order of occurrence.</w:t>
      </w:r>
    </w:p>
    <w:p w14:paraId="6D97A00E" w14:textId="34B82521" w:rsidR="001E1CCA" w:rsidRDefault="00A55924" w:rsidP="00A55924">
      <w:r>
        <w:t xml:space="preserve">n=9 respondents mentioned </w:t>
      </w:r>
      <w:r w:rsidRPr="00A55924">
        <w:rPr>
          <w:b/>
          <w:bCs/>
        </w:rPr>
        <w:t>increased self-confidence</w:t>
      </w:r>
      <w:r>
        <w:t xml:space="preserve"> going through the program</w:t>
      </w:r>
    </w:p>
    <w:p w14:paraId="4BAEB62E" w14:textId="4AFD608A" w:rsidR="00A55924" w:rsidRDefault="00E771CF" w:rsidP="000D7DDB">
      <w:pPr>
        <w:pStyle w:val="HangingQuote"/>
      </w:pPr>
      <w:r w:rsidRPr="00F96FEC">
        <w:rPr>
          <w:i/>
          <w:iCs/>
          <w:noProof/>
        </w:rPr>
        <mc:AlternateContent>
          <mc:Choice Requires="wps">
            <w:drawing>
              <wp:anchor distT="0" distB="0" distL="114300" distR="114300" simplePos="0" relativeHeight="251658268" behindDoc="0" locked="0" layoutInCell="1" allowOverlap="1" wp14:anchorId="7A9AA35B" wp14:editId="56541B3A">
                <wp:simplePos x="0" y="0"/>
                <wp:positionH relativeFrom="margin">
                  <wp:posOffset>731520</wp:posOffset>
                </wp:positionH>
                <wp:positionV relativeFrom="paragraph">
                  <wp:posOffset>701795</wp:posOffset>
                </wp:positionV>
                <wp:extent cx="4504038" cy="0"/>
                <wp:effectExtent l="0" t="19050" r="49530" b="38100"/>
                <wp:wrapNone/>
                <wp:docPr id="378358488" name="Straight Connector 378358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04038"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5C8E485F">
              <v:line id="Straight Connector 4" style="position:absolute;z-index:25167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69acdf [3205]" strokeweight="4.5pt" from="57.6pt,55.25pt" to="412.25pt,55.25pt" w14:anchorId="158BF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uQvQEAAOIDAAAOAAAAZHJzL2Uyb0RvYy54bWysU8Fu1DAQvSPxD5bvbJKlCyjabA+tygVB&#10;BeUDXGe8sWR7LNtssn/P2NnNVgUhUfXi2ON5b948T7bXkzXsACFqdB1vVjVn4CT22u07/vPh7t0n&#10;zmISrhcGHXT8CJFf796+2Y6+hTUOaHoIjEhcbEff8SEl31ZVlANYEVfowdGlwmBFomPYV30QI7Fb&#10;U63r+kM1Yuh9QAkxUvR2vuS7wq8UyPRNqQiJmY6TtlTWUNbHvFa7rWj3QfhBy5MM8QIVVmhHRReq&#10;W5EE+xX0H1RWy4ARVVpJtBUqpSWUHqibpn7WzY9BeCi9kDnRLzbF16OVXw837j6QDaOPbfT3IXcx&#10;qWDzl/SxqZh1XMyCKTFJwatNfVW/p+eV57vqAvQhps+AluVNx412uQ/RisOXmKgYpZ5Tctg4NnZ8&#10;87HZ1CUtotH9nTYmX5ZZgBsT2EHQKwopwaV1fjlieZJJJ+MoeGmk7NLRwFzjOyime5LezEXyjD3n&#10;bU68xlF2hilSsQBP6v4FPOVnKJT5+x/wgiiV0aUFbLXD8DfZaTpLVnP+2YG572zBI/bH8sTFGhqk&#10;4txp6POkPj0X+OXX3P0GAAD//wMAUEsDBBQABgAIAAAAIQCVvPEW2wAAAAsBAAAPAAAAZHJzL2Rv&#10;d25yZXYueG1sTI9BSwMxEIXvgv8hjOCl2KSLlbputkhB0aOr9DzdjJulm2RJ0nb7752CoLf3Zh5v&#10;vqnWkxvEkWLqg9ewmCsQ5Ntget9p+Pp8uVuBSBm9wSF40nCmBOv6+qrC0oST/6BjkzvBJT6VqMHm&#10;PJZSptaSwzQPI3nefYfoMLONnTQRT1zuBlko9SAd9p4vWBxpY6ndNwenYdu80tuwUTZsH2Pa0/vs&#10;jHKm9e3N9PwEItOU/8JwwWd0qJlpFw7eJDGwXywLjl6EWoLgxKq4Z7H7nci6kv9/qH8AAAD//wMA&#10;UEsBAi0AFAAGAAgAAAAhALaDOJL+AAAA4QEAABMAAAAAAAAAAAAAAAAAAAAAAFtDb250ZW50X1R5&#10;cGVzXS54bWxQSwECLQAUAAYACAAAACEAOP0h/9YAAACUAQAACwAAAAAAAAAAAAAAAAAvAQAAX3Jl&#10;bHMvLnJlbHNQSwECLQAUAAYACAAAACEA6qvbkL0BAADiAwAADgAAAAAAAAAAAAAAAAAuAgAAZHJz&#10;L2Uyb0RvYy54bWxQSwECLQAUAAYACAAAACEAlbzxFtsAAAALAQAADwAAAAAAAAAAAAAAAAAXBAAA&#10;ZHJzL2Rvd25yZXYueG1sUEsFBgAAAAAEAAQA8wAAAB8FAAAAAA==&#10;">
                <w10:wrap anchorx="margin"/>
              </v:line>
            </w:pict>
          </mc:Fallback>
        </mc:AlternateContent>
      </w:r>
      <w:r w:rsidR="000D7DDB">
        <w:t xml:space="preserve">That I </w:t>
      </w:r>
      <w:proofErr w:type="gramStart"/>
      <w:r w:rsidR="000D7DDB">
        <w:t>actually can</w:t>
      </w:r>
      <w:proofErr w:type="gramEnd"/>
      <w:r w:rsidR="000D7DDB">
        <w:t xml:space="preserve"> do what I put my mind to … I can finish high school. I can find a job I </w:t>
      </w:r>
      <w:proofErr w:type="gramStart"/>
      <w:r w:rsidR="000D7DDB">
        <w:t>actually want</w:t>
      </w:r>
      <w:proofErr w:type="gramEnd"/>
      <w:r w:rsidR="000D7DDB">
        <w:t>. (Living Learning student survey participant)</w:t>
      </w:r>
    </w:p>
    <w:p w14:paraId="26358454" w14:textId="4907CAD6" w:rsidR="000D7DDB" w:rsidRDefault="00E771CF" w:rsidP="00E771CF">
      <w:pPr>
        <w:pStyle w:val="HangingQuote"/>
      </w:pPr>
      <w:r>
        <w:t>To have confidence in myself and speak up for my needs. (Living Learning student survey participant)</w:t>
      </w:r>
    </w:p>
    <w:p w14:paraId="4E497C6B" w14:textId="4B270FFC" w:rsidR="00E771CF" w:rsidRPr="00E771CF" w:rsidRDefault="003957BF" w:rsidP="00E771CF">
      <w:r w:rsidRPr="003957BF">
        <w:t xml:space="preserve">n=7 respondents mentioned </w:t>
      </w:r>
      <w:r w:rsidRPr="003957BF">
        <w:rPr>
          <w:b/>
          <w:bCs/>
        </w:rPr>
        <w:t>learning to reach out for help</w:t>
      </w:r>
      <w:r w:rsidRPr="003957BF">
        <w:t xml:space="preserve"> and recognise that they had a </w:t>
      </w:r>
      <w:r w:rsidRPr="003957BF">
        <w:rPr>
          <w:b/>
          <w:bCs/>
        </w:rPr>
        <w:t>support network</w:t>
      </w:r>
    </w:p>
    <w:p w14:paraId="721A6893" w14:textId="36D868E6" w:rsidR="003957BF" w:rsidRDefault="003957BF" w:rsidP="00F7270E">
      <w:pPr>
        <w:pStyle w:val="HangingQuote"/>
      </w:pPr>
      <w:r>
        <w:t>That it does not make me weak or dramatic (over-reacting about situations) to reach out for help.</w:t>
      </w:r>
      <w:r w:rsidR="00F7270E">
        <w:t xml:space="preserve"> </w:t>
      </w:r>
      <w:r>
        <w:t>(Living Learning student survey participant)</w:t>
      </w:r>
    </w:p>
    <w:p w14:paraId="39F5D481" w14:textId="77777777" w:rsidR="00F7270E" w:rsidRDefault="00F7270E" w:rsidP="00F7270E">
      <w:r>
        <w:t xml:space="preserve">n=3 respondents reported learning </w:t>
      </w:r>
      <w:r w:rsidRPr="00F7270E">
        <w:rPr>
          <w:b/>
          <w:bCs/>
        </w:rPr>
        <w:t>self-care</w:t>
      </w:r>
      <w:r>
        <w:t>, particularly caring for their own mental health</w:t>
      </w:r>
    </w:p>
    <w:p w14:paraId="26E6345A" w14:textId="77777777" w:rsidR="00F7270E" w:rsidRDefault="00F7270E" w:rsidP="00F7270E">
      <w:r>
        <w:t xml:space="preserve">n=2 respondents mentioned learning to </w:t>
      </w:r>
      <w:r w:rsidRPr="00F7270E">
        <w:rPr>
          <w:b/>
          <w:bCs/>
        </w:rPr>
        <w:t>set goals</w:t>
      </w:r>
    </w:p>
    <w:p w14:paraId="5DB81169" w14:textId="68733237" w:rsidR="003957BF" w:rsidRDefault="00F7270E" w:rsidP="00F7270E">
      <w:r>
        <w:t xml:space="preserve">n=2 respondents were </w:t>
      </w:r>
      <w:r w:rsidRPr="00F7270E">
        <w:rPr>
          <w:b/>
          <w:bCs/>
        </w:rPr>
        <w:t>unsure</w:t>
      </w:r>
    </w:p>
    <w:p w14:paraId="4F6495C3" w14:textId="77777777" w:rsidR="00A74C6F" w:rsidRDefault="00A74C6F" w:rsidP="00A74C6F">
      <w:pPr>
        <w:pStyle w:val="Head4"/>
      </w:pPr>
      <w:r>
        <w:t xml:space="preserve">Changes to life since participation </w:t>
      </w:r>
      <w:proofErr w:type="gramStart"/>
      <w:r>
        <w:t>commenced</w:t>
      </w:r>
      <w:proofErr w:type="gramEnd"/>
    </w:p>
    <w:p w14:paraId="60D23E64" w14:textId="77777777" w:rsidR="00A74C6F" w:rsidRDefault="00A74C6F" w:rsidP="00A74C6F">
      <w:r>
        <w:t>Respondents were given the opportunity to provide an open text response to the prompt, “How has your life changed since you started participating in Living Learning?”. There were 20 open text responses provided. These responses were thematically analysed and are summarised below in descending order of occurrence.</w:t>
      </w:r>
    </w:p>
    <w:p w14:paraId="7CB07963" w14:textId="77777777" w:rsidR="00A74C6F" w:rsidRDefault="00A74C6F" w:rsidP="00A74C6F">
      <w:r>
        <w:t>n=9 respondents reported that “</w:t>
      </w:r>
      <w:r w:rsidRPr="008C135A">
        <w:rPr>
          <w:b/>
          <w:bCs/>
        </w:rPr>
        <w:t>it hasn’t changed</w:t>
      </w:r>
      <w:r>
        <w:t>”, and n=1 respondent reported that “it has changed but I’m slowing getting back to my old ways”</w:t>
      </w:r>
    </w:p>
    <w:p w14:paraId="6B89177A" w14:textId="192DBCDC" w:rsidR="003957BF" w:rsidRDefault="00A74C6F" w:rsidP="00A74C6F">
      <w:pPr>
        <w:rPr>
          <w:b/>
          <w:bCs/>
        </w:rPr>
      </w:pPr>
      <w:r>
        <w:t xml:space="preserve">n=6 respondents reported </w:t>
      </w:r>
      <w:r w:rsidRPr="008C135A">
        <w:rPr>
          <w:b/>
          <w:bCs/>
        </w:rPr>
        <w:t>more support</w:t>
      </w:r>
    </w:p>
    <w:p w14:paraId="7873E817" w14:textId="54D48733" w:rsidR="008C135A" w:rsidRPr="00330FCE" w:rsidRDefault="00330FCE" w:rsidP="00330FCE">
      <w:pPr>
        <w:pStyle w:val="HangingQuote"/>
      </w:pPr>
      <w:r>
        <w:t>I have extra layers of support both inside and outside of school thanks to the LL program. I wouldn’t have been able to get referrals or workers from certain programs without their help. (Living Learning student survey participant)</w:t>
      </w:r>
    </w:p>
    <w:p w14:paraId="5A1850B9" w14:textId="77777777" w:rsidR="00A34E73" w:rsidRDefault="00F52F49" w:rsidP="00F52F49">
      <w:r>
        <w:t xml:space="preserve">n=5 respondents reported that their life had become </w:t>
      </w:r>
      <w:r w:rsidRPr="00A34E73">
        <w:rPr>
          <w:b/>
          <w:bCs/>
        </w:rPr>
        <w:t>easier or changed for the better</w:t>
      </w:r>
      <w:r>
        <w:t xml:space="preserve"> since participating in the program </w:t>
      </w:r>
    </w:p>
    <w:p w14:paraId="6DC7D3F7" w14:textId="28442A52" w:rsidR="00F52F49" w:rsidRDefault="00F52F49" w:rsidP="00F52F49">
      <w:r>
        <w:t xml:space="preserve">n=3 respondents mentioned </w:t>
      </w:r>
      <w:r w:rsidRPr="00A34E73">
        <w:rPr>
          <w:b/>
          <w:bCs/>
        </w:rPr>
        <w:t>better physical health</w:t>
      </w:r>
    </w:p>
    <w:p w14:paraId="40B31061" w14:textId="261B90DC" w:rsidR="008C135A" w:rsidRPr="00330FCE" w:rsidRDefault="00F52F49" w:rsidP="00F52F49">
      <w:r>
        <w:t xml:space="preserve">n=3 respondents mentioned </w:t>
      </w:r>
      <w:r w:rsidRPr="00A34E73">
        <w:rPr>
          <w:b/>
          <w:bCs/>
        </w:rPr>
        <w:t>better mental health</w:t>
      </w:r>
    </w:p>
    <w:p w14:paraId="5A51A657" w14:textId="301B6C63" w:rsidR="008C135A" w:rsidRDefault="00FA6FAE" w:rsidP="00FA6FAE">
      <w:pPr>
        <w:pStyle w:val="HangingQuote"/>
      </w:pPr>
      <w:r>
        <w:t>I’m currently in the process of getting an Assistance Dog to help with my mental health. (Living Learning student survey participant)</w:t>
      </w:r>
    </w:p>
    <w:p w14:paraId="071E5057" w14:textId="77777777" w:rsidR="00503442" w:rsidRDefault="00503442" w:rsidP="00FA6FAE">
      <w:r w:rsidRPr="00503442">
        <w:t xml:space="preserve">n=3 respondents reported being supported to </w:t>
      </w:r>
      <w:r w:rsidRPr="00503442">
        <w:rPr>
          <w:b/>
          <w:bCs/>
        </w:rPr>
        <w:t>live independently</w:t>
      </w:r>
      <w:r w:rsidRPr="00503442">
        <w:t xml:space="preserve"> after commencing in the program </w:t>
      </w:r>
    </w:p>
    <w:p w14:paraId="2433C0A7" w14:textId="58246407" w:rsidR="00FA6FAE" w:rsidRPr="00330FCE" w:rsidRDefault="00503442" w:rsidP="00FA6FAE">
      <w:r w:rsidRPr="00503442">
        <w:t xml:space="preserve">n=3 respondents reported </w:t>
      </w:r>
      <w:r w:rsidRPr="00503442">
        <w:rPr>
          <w:b/>
          <w:bCs/>
        </w:rPr>
        <w:t>being more confident</w:t>
      </w:r>
    </w:p>
    <w:p w14:paraId="53E9F5B1" w14:textId="43A435FA" w:rsidR="008C135A" w:rsidRPr="00330FCE" w:rsidRDefault="00B30ACC" w:rsidP="00B30ACC">
      <w:pPr>
        <w:pStyle w:val="HangingQuote"/>
      </w:pPr>
      <w:r>
        <w:t>I’ve asserted myself to a point where I could feel a bit confident around my surroundings. (Living Learning student survey participant)</w:t>
      </w:r>
    </w:p>
    <w:p w14:paraId="284DBFDA" w14:textId="14FD045C" w:rsidR="008C135A" w:rsidRDefault="00743629" w:rsidP="00330FCE">
      <w:r w:rsidRPr="00743629">
        <w:t xml:space="preserve">n=2 respondents reported having </w:t>
      </w:r>
      <w:r w:rsidRPr="00743629">
        <w:rPr>
          <w:b/>
          <w:bCs/>
        </w:rPr>
        <w:t>food security</w:t>
      </w:r>
    </w:p>
    <w:p w14:paraId="14FCBDDB" w14:textId="77777777" w:rsidR="000B38C1" w:rsidRDefault="000B38C1" w:rsidP="000B38C1">
      <w:pPr>
        <w:pStyle w:val="Head4"/>
      </w:pPr>
      <w:r>
        <w:t>Aspects of program increasing attendance</w:t>
      </w:r>
    </w:p>
    <w:p w14:paraId="60E27FBF" w14:textId="3F0C2C63" w:rsidR="00B30ACC" w:rsidRDefault="000B38C1" w:rsidP="000B38C1">
      <w:r>
        <w:t>Respondents were asked about the parts of Living Learning that helped them come to school. Almost all respondents selected “Being able to learn at your own speed” (n=21), indicating that this was a highly influential factor. This was closely followed by “Being able to participate in fun activities”, “Being able to choose the activities you participate in” and “Going to a school where the staff understand you” (n=19). It appeared that this element of agency in their own education was particularly impactful for their engagement in school. The least influential parts of Living Learning in helping respondents come to school seemed to be related to being judged at school, with only n=8 respondents selecting “Going to a school where the other students understand you” and n=12 selecting “Going to a school where you are not judged” as an option.</w:t>
      </w:r>
    </w:p>
    <w:p w14:paraId="303E7A7F" w14:textId="24CB29BF" w:rsidR="00B30ACC" w:rsidRDefault="00FC2713" w:rsidP="00FC2713">
      <w:pPr>
        <w:pStyle w:val="Caption"/>
      </w:pPr>
      <w:bookmarkStart w:id="102" w:name="_Toc150431620"/>
      <w:bookmarkStart w:id="103" w:name="_Toc150431997"/>
      <w:r>
        <w:t xml:space="preserve">Figure </w:t>
      </w:r>
      <w:r>
        <w:fldChar w:fldCharType="begin"/>
      </w:r>
      <w:r>
        <w:instrText xml:space="preserve"> SEQ Figure \* ARABIC </w:instrText>
      </w:r>
      <w:r>
        <w:fldChar w:fldCharType="separate"/>
      </w:r>
      <w:r w:rsidR="008D0FC1">
        <w:rPr>
          <w:noProof/>
        </w:rPr>
        <w:t>22</w:t>
      </w:r>
      <w:r>
        <w:fldChar w:fldCharType="end"/>
      </w:r>
      <w:r>
        <w:t xml:space="preserve"> </w:t>
      </w:r>
      <w:r w:rsidRPr="00FC2713">
        <w:t>What parts of Living Learning are helping you to come to school? (n=25)</w:t>
      </w:r>
      <w:bookmarkEnd w:id="102"/>
      <w:bookmarkEnd w:id="103"/>
    </w:p>
    <w:p w14:paraId="35F6EA65" w14:textId="675DC45E" w:rsidR="00FD5EAA" w:rsidRDefault="00FD5EAA" w:rsidP="00330FCE">
      <w:r w:rsidRPr="00FD5EAA">
        <w:rPr>
          <w:noProof/>
        </w:rPr>
        <w:drawing>
          <wp:inline distT="0" distB="0" distL="0" distR="0" wp14:anchorId="2516FC5D" wp14:editId="6DE0789B">
            <wp:extent cx="5956548" cy="1600200"/>
            <wp:effectExtent l="0" t="0" r="6350" b="0"/>
            <wp:docPr id="461071313" name="Picture 461071313" descr="This bar chart shows the number of respondents who came to school due to 10 different qualities of the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71313" name="Picture 1" descr="This bar chart shows the number of respondents who came to school due to 10 different qualities of the program. "/>
                    <pic:cNvPicPr/>
                  </pic:nvPicPr>
                  <pic:blipFill rotWithShape="1">
                    <a:blip r:embed="rId66"/>
                    <a:srcRect l="833" r="-1"/>
                    <a:stretch/>
                  </pic:blipFill>
                  <pic:spPr bwMode="auto">
                    <a:xfrm>
                      <a:off x="0" y="0"/>
                      <a:ext cx="5964902" cy="1602444"/>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66DD73A" w14:textId="77777777" w:rsidR="00FD5EAA" w:rsidRDefault="00FD5EAA" w:rsidP="00FD5EAA">
      <w:pPr>
        <w:pStyle w:val="Head4"/>
      </w:pPr>
      <w:r>
        <w:t>Improvement opportunities</w:t>
      </w:r>
    </w:p>
    <w:p w14:paraId="0EE682B2" w14:textId="77777777" w:rsidR="00FD5EAA" w:rsidRDefault="00FD5EAA" w:rsidP="00FD5EAA">
      <w:r>
        <w:t>Respondents were given the opportunity to provide an open text response to the prompt, “What parts of the Living Learning Program could be improved and why? Please provide some examples.” There were 17 open text responses provided. These responses were thematically analysed and are summarised below in descending order of occurrence.</w:t>
      </w:r>
    </w:p>
    <w:p w14:paraId="3C30AA1A" w14:textId="77777777" w:rsidR="00FD5EAA" w:rsidRDefault="00FD5EAA" w:rsidP="00FD5EAA">
      <w:r>
        <w:t xml:space="preserve">n=7 respondents mentioned </w:t>
      </w:r>
      <w:r w:rsidRPr="00FD5EAA">
        <w:rPr>
          <w:b/>
          <w:bCs/>
        </w:rPr>
        <w:t>no improvements were needed</w:t>
      </w:r>
    </w:p>
    <w:p w14:paraId="75B7197D" w14:textId="227CB541" w:rsidR="00FD5EAA" w:rsidRDefault="00FD5EAA" w:rsidP="00FD5EAA">
      <w:pPr>
        <w:pStyle w:val="HangingQuote"/>
      </w:pPr>
      <w:r>
        <w:t xml:space="preserve">I don’t know how Living Learning </w:t>
      </w:r>
      <w:proofErr w:type="gramStart"/>
      <w:r>
        <w:t>can improve,</w:t>
      </w:r>
      <w:proofErr w:type="gramEnd"/>
      <w:r>
        <w:t xml:space="preserve"> I love what’s happening now. (Living Learning student survey participant)</w:t>
      </w:r>
    </w:p>
    <w:p w14:paraId="6D1DA359" w14:textId="77777777" w:rsidR="00FD5EAA" w:rsidRDefault="00FD5EAA" w:rsidP="00FD5EAA">
      <w:r>
        <w:t xml:space="preserve">n=4 respondents mentioned </w:t>
      </w:r>
      <w:r w:rsidRPr="00FD5EAA">
        <w:rPr>
          <w:b/>
          <w:bCs/>
        </w:rPr>
        <w:t>dissatisfaction with relationships</w:t>
      </w:r>
      <w:r>
        <w:t xml:space="preserve">, with n=1 reporting feeling distant from staff members and n=2 reporting feeling </w:t>
      </w:r>
      <w:r w:rsidRPr="00FD5EAA">
        <w:rPr>
          <w:b/>
          <w:bCs/>
        </w:rPr>
        <w:t>sidelined</w:t>
      </w:r>
      <w:r>
        <w:t xml:space="preserve"> by other students</w:t>
      </w:r>
    </w:p>
    <w:p w14:paraId="0C666F94" w14:textId="25918166" w:rsidR="00FD5EAA" w:rsidRDefault="00FD5EAA" w:rsidP="00FD5EAA">
      <w:pPr>
        <w:pStyle w:val="HangingQuote"/>
      </w:pPr>
      <w:r>
        <w:t>The need to be better at getting back to everyone and not prioritising people over other students. (Living Learning student survey participant)</w:t>
      </w:r>
    </w:p>
    <w:p w14:paraId="5176C0F8" w14:textId="77777777" w:rsidR="00FD5EAA" w:rsidRDefault="00FD5EAA" w:rsidP="00FD5EAA">
      <w:r>
        <w:t xml:space="preserve">n=1 respondent mentioned </w:t>
      </w:r>
      <w:r w:rsidRPr="00FD5EAA">
        <w:rPr>
          <w:b/>
          <w:bCs/>
        </w:rPr>
        <w:t>more camps</w:t>
      </w:r>
    </w:p>
    <w:p w14:paraId="74BB9EAE" w14:textId="77777777" w:rsidR="00FD5EAA" w:rsidRDefault="00FD5EAA" w:rsidP="00FD5EAA">
      <w:r>
        <w:t xml:space="preserve">n=1 respondent mentioned a </w:t>
      </w:r>
      <w:r w:rsidRPr="00FD5EAA">
        <w:rPr>
          <w:b/>
          <w:bCs/>
        </w:rPr>
        <w:t>longer duration</w:t>
      </w:r>
      <w:r>
        <w:t xml:space="preserve"> for the program </w:t>
      </w:r>
    </w:p>
    <w:p w14:paraId="01EA259B" w14:textId="77777777" w:rsidR="00FD5EAA" w:rsidRDefault="00FD5EAA" w:rsidP="00FD5EAA">
      <w:pPr>
        <w:rPr>
          <w:b/>
          <w:bCs/>
        </w:rPr>
        <w:sectPr w:rsidR="00FD5EAA" w:rsidSect="009974FF">
          <w:pgSz w:w="11906" w:h="16838" w:code="9"/>
          <w:pgMar w:top="1134" w:right="1418" w:bottom="1134" w:left="1134" w:header="709" w:footer="284" w:gutter="0"/>
          <w:cols w:space="708"/>
          <w:docGrid w:linePitch="360"/>
        </w:sectPr>
      </w:pPr>
      <w:r>
        <w:t xml:space="preserve">n=1 respondent </w:t>
      </w:r>
      <w:r w:rsidRPr="00FD5EAA">
        <w:rPr>
          <w:b/>
          <w:bCs/>
        </w:rPr>
        <w:t>mentioned better classrooms at HHA</w:t>
      </w:r>
    </w:p>
    <w:p w14:paraId="311A478D" w14:textId="1D206948" w:rsidR="00E763AC" w:rsidRDefault="00ED115D" w:rsidP="00FD5EAA">
      <w:pPr>
        <w:pStyle w:val="AccessibleAppendix1"/>
        <w:sectPr w:rsidR="00E763AC" w:rsidSect="009974FF">
          <w:pgSz w:w="11906" w:h="16838" w:code="9"/>
          <w:pgMar w:top="1134" w:right="1418" w:bottom="1134" w:left="1134" w:header="709" w:footer="284" w:gutter="0"/>
          <w:cols w:space="708"/>
          <w:docGrid w:linePitch="360"/>
        </w:sectPr>
      </w:pPr>
      <w:bookmarkStart w:id="104" w:name="_Ref150430663"/>
      <w:bookmarkStart w:id="105" w:name="_Toc150431779"/>
      <w:r>
        <w:rPr>
          <w:noProof/>
        </w:rPr>
        <w:drawing>
          <wp:anchor distT="0" distB="0" distL="114300" distR="114300" simplePos="0" relativeHeight="251658271" behindDoc="0" locked="0" layoutInCell="1" allowOverlap="1" wp14:anchorId="00F91637" wp14:editId="4FF1A8E5">
            <wp:simplePos x="0" y="0"/>
            <wp:positionH relativeFrom="page">
              <wp:posOffset>-5016776</wp:posOffset>
            </wp:positionH>
            <wp:positionV relativeFrom="paragraph">
              <wp:posOffset>-724894</wp:posOffset>
            </wp:positionV>
            <wp:extent cx="12592151" cy="7263442"/>
            <wp:effectExtent l="0" t="0" r="0" b="0"/>
            <wp:wrapNone/>
            <wp:docPr id="841264699" name="Picture 841264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64699" name="Picture 841264699">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12592151" cy="7263442"/>
                    </a:xfrm>
                    <a:prstGeom prst="rect">
                      <a:avLst/>
                    </a:prstGeom>
                  </pic:spPr>
                </pic:pic>
              </a:graphicData>
            </a:graphic>
            <wp14:sizeRelH relativeFrom="margin">
              <wp14:pctWidth>0</wp14:pctWidth>
            </wp14:sizeRelH>
            <wp14:sizeRelV relativeFrom="margin">
              <wp14:pctHeight>0</wp14:pctHeight>
            </wp14:sizeRelV>
          </wp:anchor>
        </w:drawing>
      </w:r>
      <w:r w:rsidR="00FD5EAA">
        <w:t>Evaluation matrix</w:t>
      </w:r>
      <w:bookmarkEnd w:id="104"/>
      <w:bookmarkEnd w:id="105"/>
    </w:p>
    <w:p w14:paraId="108D352E" w14:textId="7A6C08FC" w:rsidR="00E763AC" w:rsidRDefault="00E763AC" w:rsidP="00E763AC">
      <w:pPr>
        <w:pStyle w:val="Caption"/>
      </w:pPr>
      <w:bookmarkStart w:id="106" w:name="_Toc150431584"/>
      <w:bookmarkStart w:id="107" w:name="_Toc150431961"/>
      <w:r>
        <w:t xml:space="preserve">Table </w:t>
      </w:r>
      <w:r>
        <w:fldChar w:fldCharType="begin"/>
      </w:r>
      <w:r>
        <w:instrText xml:space="preserve"> SEQ Table \* ARABIC </w:instrText>
      </w:r>
      <w:r>
        <w:fldChar w:fldCharType="separate"/>
      </w:r>
      <w:r w:rsidR="008D0FC1">
        <w:rPr>
          <w:noProof/>
        </w:rPr>
        <w:t>11</w:t>
      </w:r>
      <w:r>
        <w:fldChar w:fldCharType="end"/>
      </w:r>
      <w:r>
        <w:t xml:space="preserve"> KEQ F1: </w:t>
      </w:r>
      <w:r w:rsidRPr="00E763AC">
        <w:t>To what extent does the design of the Living Learning Program model reflect contemporary or emerging evidence for good policy and practice?</w:t>
      </w:r>
      <w:bookmarkEnd w:id="106"/>
      <w:bookmarkEnd w:id="107"/>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E763AC" w:rsidRPr="00780518" w14:paraId="4F7A91F4" w14:textId="77777777" w:rsidTr="00E763AC">
        <w:trPr>
          <w:trHeight w:val="474"/>
          <w:tblHeader/>
        </w:trPr>
        <w:tc>
          <w:tcPr>
            <w:tcW w:w="2585" w:type="dxa"/>
            <w:shd w:val="clear" w:color="auto" w:fill="4B91D7"/>
          </w:tcPr>
          <w:p w14:paraId="4ABB9AC4" w14:textId="26EE3D00" w:rsidR="00E763AC" w:rsidRPr="00780518" w:rsidRDefault="00E763AC">
            <w:pPr>
              <w:pStyle w:val="Table-Heading"/>
              <w:rPr>
                <w:color w:val="FFFFFF" w:themeColor="background1"/>
              </w:rPr>
            </w:pPr>
            <w:r>
              <w:rPr>
                <w:color w:val="FFFFFF" w:themeColor="background1"/>
              </w:rPr>
              <w:t>Sub-questions</w:t>
            </w:r>
          </w:p>
        </w:tc>
        <w:tc>
          <w:tcPr>
            <w:tcW w:w="2586" w:type="dxa"/>
            <w:shd w:val="clear" w:color="auto" w:fill="4B91D7"/>
          </w:tcPr>
          <w:p w14:paraId="15B32B48" w14:textId="5402D04E" w:rsidR="00E763AC" w:rsidRPr="00780518" w:rsidRDefault="00E763AC">
            <w:pPr>
              <w:pStyle w:val="Table-Heading"/>
              <w:rPr>
                <w:color w:val="FFFFFF" w:themeColor="background1"/>
              </w:rPr>
            </w:pPr>
            <w:r>
              <w:rPr>
                <w:color w:val="FFFFFF" w:themeColor="background1"/>
              </w:rPr>
              <w:t>Indicators</w:t>
            </w:r>
          </w:p>
        </w:tc>
        <w:tc>
          <w:tcPr>
            <w:tcW w:w="2586" w:type="dxa"/>
            <w:shd w:val="clear" w:color="auto" w:fill="4B91D7"/>
          </w:tcPr>
          <w:p w14:paraId="15903702" w14:textId="224014EE" w:rsidR="00E763AC" w:rsidRPr="00780518" w:rsidRDefault="00E763AC">
            <w:pPr>
              <w:pStyle w:val="Table-Heading"/>
              <w:rPr>
                <w:color w:val="FFFFFF" w:themeColor="background1"/>
              </w:rPr>
            </w:pPr>
            <w:r>
              <w:rPr>
                <w:color w:val="FFFFFF" w:themeColor="background1"/>
              </w:rPr>
              <w:t>Measures</w:t>
            </w:r>
          </w:p>
        </w:tc>
        <w:tc>
          <w:tcPr>
            <w:tcW w:w="2586" w:type="dxa"/>
            <w:shd w:val="clear" w:color="auto" w:fill="4B91D7"/>
          </w:tcPr>
          <w:p w14:paraId="589B1700" w14:textId="60EB183E" w:rsidR="00E763AC" w:rsidRPr="00780518" w:rsidRDefault="00E763AC">
            <w:pPr>
              <w:pStyle w:val="Table-Heading"/>
              <w:rPr>
                <w:color w:val="FFFFFF" w:themeColor="background1"/>
              </w:rPr>
            </w:pPr>
            <w:r>
              <w:rPr>
                <w:color w:val="FFFFFF" w:themeColor="background1"/>
              </w:rPr>
              <w:t>Sources</w:t>
            </w:r>
          </w:p>
        </w:tc>
        <w:tc>
          <w:tcPr>
            <w:tcW w:w="1405" w:type="dxa"/>
            <w:shd w:val="clear" w:color="auto" w:fill="4B91D7"/>
          </w:tcPr>
          <w:p w14:paraId="77ADA58F" w14:textId="1E30F21E" w:rsidR="00E763AC" w:rsidRPr="00780518" w:rsidRDefault="00E763AC">
            <w:pPr>
              <w:pStyle w:val="Table-Heading"/>
              <w:rPr>
                <w:color w:val="FFFFFF" w:themeColor="background1"/>
              </w:rPr>
            </w:pPr>
            <w:r>
              <w:rPr>
                <w:color w:val="FFFFFF" w:themeColor="background1"/>
              </w:rPr>
              <w:t>Formative</w:t>
            </w:r>
          </w:p>
        </w:tc>
        <w:tc>
          <w:tcPr>
            <w:tcW w:w="1406" w:type="dxa"/>
            <w:shd w:val="clear" w:color="auto" w:fill="4B91D7"/>
          </w:tcPr>
          <w:p w14:paraId="5BB54D04" w14:textId="4D73FC02" w:rsidR="00E763AC" w:rsidRPr="00780518" w:rsidRDefault="00E763AC">
            <w:pPr>
              <w:pStyle w:val="Table-Heading"/>
              <w:rPr>
                <w:color w:val="FFFFFF" w:themeColor="background1"/>
              </w:rPr>
            </w:pPr>
            <w:r>
              <w:rPr>
                <w:color w:val="FFFFFF" w:themeColor="background1"/>
              </w:rPr>
              <w:t>Interim</w:t>
            </w:r>
          </w:p>
        </w:tc>
        <w:tc>
          <w:tcPr>
            <w:tcW w:w="1406" w:type="dxa"/>
            <w:shd w:val="clear" w:color="auto" w:fill="4B91D7"/>
          </w:tcPr>
          <w:p w14:paraId="1A2D1B3C" w14:textId="1E7581ED" w:rsidR="00E763AC" w:rsidRPr="00780518" w:rsidRDefault="00E763AC">
            <w:pPr>
              <w:pStyle w:val="Table-Heading"/>
              <w:rPr>
                <w:color w:val="FFFFFF" w:themeColor="background1"/>
              </w:rPr>
            </w:pPr>
            <w:r>
              <w:rPr>
                <w:color w:val="FFFFFF" w:themeColor="background1"/>
              </w:rPr>
              <w:t>Summative</w:t>
            </w:r>
          </w:p>
        </w:tc>
      </w:tr>
      <w:tr w:rsidR="00E763AC" w:rsidRPr="00780518" w14:paraId="23D45CD2" w14:textId="77777777" w:rsidTr="00E763AC">
        <w:trPr>
          <w:trHeight w:val="474"/>
        </w:trPr>
        <w:tc>
          <w:tcPr>
            <w:tcW w:w="2585" w:type="dxa"/>
            <w:shd w:val="clear" w:color="auto" w:fill="auto"/>
          </w:tcPr>
          <w:p w14:paraId="74D14C48" w14:textId="765D15F4" w:rsidR="00E763AC" w:rsidRDefault="00E763AC" w:rsidP="00E763AC">
            <w:pPr>
              <w:pStyle w:val="Table-Bullet"/>
            </w:pPr>
            <w:r>
              <w:t>What are the features of good practice programs?</w:t>
            </w:r>
          </w:p>
          <w:p w14:paraId="2C3E3095" w14:textId="1D91B62F" w:rsidR="00E763AC" w:rsidRPr="00780518" w:rsidRDefault="00E763AC" w:rsidP="00E763AC">
            <w:pPr>
              <w:pStyle w:val="Table-Bullet"/>
            </w:pPr>
            <w:r>
              <w:t>To what extent are these features evident in the program model?</w:t>
            </w:r>
          </w:p>
        </w:tc>
        <w:tc>
          <w:tcPr>
            <w:tcW w:w="2586" w:type="dxa"/>
          </w:tcPr>
          <w:p w14:paraId="4670347F" w14:textId="3643FA32" w:rsidR="00E763AC" w:rsidRPr="00780518" w:rsidRDefault="00E763AC" w:rsidP="00E763AC">
            <w:pPr>
              <w:pStyle w:val="Table-Bullet"/>
            </w:pPr>
            <w:r>
              <w:t>Presence in the program model of key design features supported by contemporary evidence.</w:t>
            </w:r>
          </w:p>
        </w:tc>
        <w:tc>
          <w:tcPr>
            <w:tcW w:w="2586" w:type="dxa"/>
          </w:tcPr>
          <w:p w14:paraId="4734350A" w14:textId="7CF79564" w:rsidR="00E763AC" w:rsidRDefault="00E763AC" w:rsidP="00E763AC">
            <w:pPr>
              <w:pStyle w:val="Table-Bullet"/>
            </w:pPr>
            <w:r>
              <w:t>Comparative analysis of program model with the literature review</w:t>
            </w:r>
          </w:p>
          <w:p w14:paraId="599AD1E3" w14:textId="2D2DCAAC" w:rsidR="00E763AC" w:rsidRPr="00780518" w:rsidRDefault="00E763AC" w:rsidP="00E763AC">
            <w:pPr>
              <w:pStyle w:val="Table-Bullet"/>
            </w:pPr>
            <w:r>
              <w:t>Stakeholder viewpoints on program alignment.</w:t>
            </w:r>
          </w:p>
        </w:tc>
        <w:tc>
          <w:tcPr>
            <w:tcW w:w="2586" w:type="dxa"/>
          </w:tcPr>
          <w:p w14:paraId="5677867B" w14:textId="77777777" w:rsidR="00E763AC" w:rsidRDefault="00E763AC" w:rsidP="00E763AC">
            <w:pPr>
              <w:pStyle w:val="Table-Bullet"/>
            </w:pPr>
            <w:r w:rsidRPr="00E763AC">
              <w:t>Literature</w:t>
            </w:r>
            <w:r>
              <w:t xml:space="preserve"> review</w:t>
            </w:r>
          </w:p>
          <w:p w14:paraId="2372E4EE" w14:textId="31B31B67" w:rsidR="00E763AC" w:rsidRPr="00780518" w:rsidRDefault="00E763AC" w:rsidP="00E763AC">
            <w:pPr>
              <w:pStyle w:val="Table-Bullet"/>
            </w:pPr>
            <w:r>
              <w:t>Key informant interviews</w:t>
            </w:r>
          </w:p>
        </w:tc>
        <w:tc>
          <w:tcPr>
            <w:tcW w:w="1405" w:type="dxa"/>
          </w:tcPr>
          <w:p w14:paraId="38B52D08" w14:textId="085AE4D7" w:rsidR="00E763AC" w:rsidRPr="00780518" w:rsidRDefault="00E763AC">
            <w:pPr>
              <w:pStyle w:val="Table-Text"/>
              <w:rPr>
                <w:rFonts w:cs="Arial"/>
                <w:szCs w:val="20"/>
              </w:rPr>
            </w:pPr>
            <w:r>
              <w:rPr>
                <w:rFonts w:cs="Arial"/>
                <w:szCs w:val="20"/>
              </w:rPr>
              <w:t>Yes</w:t>
            </w:r>
          </w:p>
        </w:tc>
        <w:tc>
          <w:tcPr>
            <w:tcW w:w="1406" w:type="dxa"/>
          </w:tcPr>
          <w:p w14:paraId="198D4CB9" w14:textId="5730E690" w:rsidR="00E763AC" w:rsidRPr="00780518" w:rsidRDefault="00E763AC">
            <w:pPr>
              <w:pStyle w:val="Table-Text"/>
              <w:rPr>
                <w:rFonts w:cs="Arial"/>
                <w:szCs w:val="20"/>
              </w:rPr>
            </w:pPr>
            <w:r>
              <w:rPr>
                <w:rFonts w:cs="Arial"/>
                <w:szCs w:val="20"/>
              </w:rPr>
              <w:t>Yes</w:t>
            </w:r>
          </w:p>
        </w:tc>
        <w:tc>
          <w:tcPr>
            <w:tcW w:w="1406" w:type="dxa"/>
          </w:tcPr>
          <w:p w14:paraId="68DA9007" w14:textId="57978738" w:rsidR="00E763AC" w:rsidRPr="00780518" w:rsidRDefault="00E763AC">
            <w:pPr>
              <w:pStyle w:val="Table-Text"/>
              <w:rPr>
                <w:rFonts w:cs="Arial"/>
                <w:szCs w:val="20"/>
              </w:rPr>
            </w:pPr>
            <w:r>
              <w:rPr>
                <w:rFonts w:cs="Arial"/>
                <w:szCs w:val="20"/>
              </w:rPr>
              <w:t>Yes</w:t>
            </w:r>
          </w:p>
        </w:tc>
      </w:tr>
    </w:tbl>
    <w:p w14:paraId="5426B292" w14:textId="105194E7" w:rsidR="00E763AC" w:rsidRDefault="00E763AC" w:rsidP="00E763AC">
      <w:pPr>
        <w:pStyle w:val="Caption"/>
      </w:pPr>
      <w:bookmarkStart w:id="108" w:name="_Toc150431585"/>
      <w:bookmarkStart w:id="109" w:name="_Toc150431962"/>
      <w:r>
        <w:t xml:space="preserve">Table </w:t>
      </w:r>
      <w:r>
        <w:fldChar w:fldCharType="begin"/>
      </w:r>
      <w:r>
        <w:instrText xml:space="preserve"> SEQ Table \* ARABIC </w:instrText>
      </w:r>
      <w:r>
        <w:fldChar w:fldCharType="separate"/>
      </w:r>
      <w:r w:rsidR="008D0FC1">
        <w:rPr>
          <w:noProof/>
        </w:rPr>
        <w:t>12</w:t>
      </w:r>
      <w:r>
        <w:fldChar w:fldCharType="end"/>
      </w:r>
      <w:r>
        <w:t xml:space="preserve"> KEQ </w:t>
      </w:r>
      <w:r w:rsidRPr="00E763AC">
        <w:t>F2: To what extent has the Living Learning Program model been implemented as planned?</w:t>
      </w:r>
      <w:bookmarkEnd w:id="108"/>
      <w:bookmarkEnd w:id="109"/>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E763AC" w:rsidRPr="00780518" w14:paraId="0B5036D8" w14:textId="77777777" w:rsidTr="00E763AC">
        <w:trPr>
          <w:cantSplit/>
          <w:trHeight w:val="474"/>
          <w:tblHeader/>
        </w:trPr>
        <w:tc>
          <w:tcPr>
            <w:tcW w:w="2585" w:type="dxa"/>
            <w:shd w:val="clear" w:color="auto" w:fill="4B91D7"/>
          </w:tcPr>
          <w:p w14:paraId="5A503575" w14:textId="77777777" w:rsidR="00E763AC" w:rsidRPr="00780518" w:rsidRDefault="00E763AC">
            <w:pPr>
              <w:pStyle w:val="Table-Heading"/>
              <w:rPr>
                <w:color w:val="FFFFFF" w:themeColor="background1"/>
              </w:rPr>
            </w:pPr>
            <w:r>
              <w:rPr>
                <w:color w:val="FFFFFF" w:themeColor="background1"/>
              </w:rPr>
              <w:t>Sub-questions</w:t>
            </w:r>
          </w:p>
        </w:tc>
        <w:tc>
          <w:tcPr>
            <w:tcW w:w="2586" w:type="dxa"/>
            <w:shd w:val="clear" w:color="auto" w:fill="4B91D7"/>
          </w:tcPr>
          <w:p w14:paraId="521FBFF7" w14:textId="77777777" w:rsidR="00E763AC" w:rsidRPr="00780518" w:rsidRDefault="00E763AC">
            <w:pPr>
              <w:pStyle w:val="Table-Heading"/>
              <w:rPr>
                <w:color w:val="FFFFFF" w:themeColor="background1"/>
              </w:rPr>
            </w:pPr>
            <w:r>
              <w:rPr>
                <w:color w:val="FFFFFF" w:themeColor="background1"/>
              </w:rPr>
              <w:t>Indicators</w:t>
            </w:r>
          </w:p>
        </w:tc>
        <w:tc>
          <w:tcPr>
            <w:tcW w:w="2586" w:type="dxa"/>
            <w:shd w:val="clear" w:color="auto" w:fill="4B91D7"/>
          </w:tcPr>
          <w:p w14:paraId="2714473D" w14:textId="77777777" w:rsidR="00E763AC" w:rsidRPr="00780518" w:rsidRDefault="00E763AC">
            <w:pPr>
              <w:pStyle w:val="Table-Heading"/>
              <w:rPr>
                <w:color w:val="FFFFFF" w:themeColor="background1"/>
              </w:rPr>
            </w:pPr>
            <w:r>
              <w:rPr>
                <w:color w:val="FFFFFF" w:themeColor="background1"/>
              </w:rPr>
              <w:t>Measures</w:t>
            </w:r>
          </w:p>
        </w:tc>
        <w:tc>
          <w:tcPr>
            <w:tcW w:w="2586" w:type="dxa"/>
            <w:shd w:val="clear" w:color="auto" w:fill="4B91D7"/>
          </w:tcPr>
          <w:p w14:paraId="4FFDC733" w14:textId="77777777" w:rsidR="00E763AC" w:rsidRPr="00780518" w:rsidRDefault="00E763AC">
            <w:pPr>
              <w:pStyle w:val="Table-Heading"/>
              <w:rPr>
                <w:color w:val="FFFFFF" w:themeColor="background1"/>
              </w:rPr>
            </w:pPr>
            <w:r>
              <w:rPr>
                <w:color w:val="FFFFFF" w:themeColor="background1"/>
              </w:rPr>
              <w:t>Sources</w:t>
            </w:r>
          </w:p>
        </w:tc>
        <w:tc>
          <w:tcPr>
            <w:tcW w:w="1405" w:type="dxa"/>
            <w:shd w:val="clear" w:color="auto" w:fill="4B91D7"/>
          </w:tcPr>
          <w:p w14:paraId="55CFD9C6" w14:textId="77777777" w:rsidR="00E763AC" w:rsidRPr="00780518" w:rsidRDefault="00E763AC">
            <w:pPr>
              <w:pStyle w:val="Table-Heading"/>
              <w:rPr>
                <w:color w:val="FFFFFF" w:themeColor="background1"/>
              </w:rPr>
            </w:pPr>
            <w:r>
              <w:rPr>
                <w:color w:val="FFFFFF" w:themeColor="background1"/>
              </w:rPr>
              <w:t>Formative</w:t>
            </w:r>
          </w:p>
        </w:tc>
        <w:tc>
          <w:tcPr>
            <w:tcW w:w="1406" w:type="dxa"/>
            <w:shd w:val="clear" w:color="auto" w:fill="4B91D7"/>
          </w:tcPr>
          <w:p w14:paraId="21E27080" w14:textId="77777777" w:rsidR="00E763AC" w:rsidRPr="00780518" w:rsidRDefault="00E763AC">
            <w:pPr>
              <w:pStyle w:val="Table-Heading"/>
              <w:rPr>
                <w:color w:val="FFFFFF" w:themeColor="background1"/>
              </w:rPr>
            </w:pPr>
            <w:r>
              <w:rPr>
                <w:color w:val="FFFFFF" w:themeColor="background1"/>
              </w:rPr>
              <w:t>Interim</w:t>
            </w:r>
          </w:p>
        </w:tc>
        <w:tc>
          <w:tcPr>
            <w:tcW w:w="1406" w:type="dxa"/>
            <w:shd w:val="clear" w:color="auto" w:fill="4B91D7"/>
          </w:tcPr>
          <w:p w14:paraId="0702A3BD" w14:textId="77777777" w:rsidR="00E763AC" w:rsidRPr="00780518" w:rsidRDefault="00E763AC">
            <w:pPr>
              <w:pStyle w:val="Table-Heading"/>
              <w:rPr>
                <w:color w:val="FFFFFF" w:themeColor="background1"/>
              </w:rPr>
            </w:pPr>
            <w:r>
              <w:rPr>
                <w:color w:val="FFFFFF" w:themeColor="background1"/>
              </w:rPr>
              <w:t>Summative</w:t>
            </w:r>
          </w:p>
        </w:tc>
      </w:tr>
      <w:tr w:rsidR="00E763AC" w:rsidRPr="00780518" w14:paraId="25DAC0F1" w14:textId="77777777" w:rsidTr="00E763AC">
        <w:trPr>
          <w:cantSplit/>
          <w:trHeight w:val="474"/>
        </w:trPr>
        <w:tc>
          <w:tcPr>
            <w:tcW w:w="2585" w:type="dxa"/>
            <w:shd w:val="clear" w:color="auto" w:fill="auto"/>
          </w:tcPr>
          <w:p w14:paraId="1DFA6935" w14:textId="3DEED851" w:rsidR="00E763AC" w:rsidRDefault="00E763AC" w:rsidP="00E763AC">
            <w:pPr>
              <w:pStyle w:val="Table-Bullet"/>
            </w:pPr>
            <w:r>
              <w:t>Has the program been delivered on time, on budget and as designed? Why/why not?</w:t>
            </w:r>
          </w:p>
          <w:p w14:paraId="2AA2C60F" w14:textId="7CE881C0" w:rsidR="00E763AC" w:rsidRDefault="00E763AC" w:rsidP="00E763AC">
            <w:pPr>
              <w:pStyle w:val="Table-Bullet"/>
            </w:pPr>
            <w:r>
              <w:t>What external factors have impacted implementation, and in what ways?</w:t>
            </w:r>
          </w:p>
          <w:p w14:paraId="11F9A58B" w14:textId="7A671D56" w:rsidR="00E763AC" w:rsidRPr="00780518" w:rsidRDefault="00E763AC" w:rsidP="00E763AC">
            <w:pPr>
              <w:pStyle w:val="Table-Bullet"/>
            </w:pPr>
            <w:r>
              <w:t>What adaptations have been made, and on what basis?</w:t>
            </w:r>
          </w:p>
        </w:tc>
        <w:tc>
          <w:tcPr>
            <w:tcW w:w="2586" w:type="dxa"/>
          </w:tcPr>
          <w:p w14:paraId="24EAC13B" w14:textId="73014314" w:rsidR="00E763AC" w:rsidRDefault="00E763AC" w:rsidP="00E763AC">
            <w:pPr>
              <w:pStyle w:val="Table-Bullet"/>
            </w:pPr>
            <w:r>
              <w:t>Extent that implementation milestones have been met.</w:t>
            </w:r>
          </w:p>
          <w:p w14:paraId="5D03C2CF" w14:textId="273D042D" w:rsidR="00E763AC" w:rsidRDefault="00E763AC" w:rsidP="00E763AC">
            <w:pPr>
              <w:pStyle w:val="Table-Bullet"/>
            </w:pPr>
            <w:r>
              <w:t>Extent that implemented model aligns with designed approach.</w:t>
            </w:r>
          </w:p>
          <w:p w14:paraId="31507441" w14:textId="745558E3" w:rsidR="00E763AC" w:rsidRPr="00780518" w:rsidRDefault="00E763AC" w:rsidP="00E763AC">
            <w:pPr>
              <w:pStyle w:val="Table-Bullet"/>
            </w:pPr>
            <w:r>
              <w:t>Extent to which program adaptations or variations are evidence-driven and purposeful.</w:t>
            </w:r>
          </w:p>
        </w:tc>
        <w:tc>
          <w:tcPr>
            <w:tcW w:w="2586" w:type="dxa"/>
          </w:tcPr>
          <w:p w14:paraId="666F935E" w14:textId="3D8FC93C" w:rsidR="00E763AC" w:rsidRDefault="00E763AC" w:rsidP="00E763AC">
            <w:pPr>
              <w:pStyle w:val="Table-Bullet"/>
            </w:pPr>
            <w:r>
              <w:t>Comparative analysis of implementation schedule and actual progress.</w:t>
            </w:r>
          </w:p>
          <w:p w14:paraId="72C6FDD5" w14:textId="76D33DD5" w:rsidR="00E763AC" w:rsidRDefault="00E763AC" w:rsidP="00E763AC">
            <w:pPr>
              <w:pStyle w:val="Table-Bullet"/>
            </w:pPr>
            <w:r>
              <w:t>Comparative analysis of fidelity of implemented model to design.</w:t>
            </w:r>
          </w:p>
          <w:p w14:paraId="6BAD544B" w14:textId="3A993196" w:rsidR="00E763AC" w:rsidRDefault="00E763AC" w:rsidP="00E763AC">
            <w:pPr>
              <w:pStyle w:val="Table-Bullet"/>
            </w:pPr>
            <w:r>
              <w:t>Stakeholder viewpoints on program fidelity to design.</w:t>
            </w:r>
          </w:p>
          <w:p w14:paraId="72C64E43" w14:textId="0F3DF0E2" w:rsidR="00E763AC" w:rsidRPr="00780518" w:rsidRDefault="00E763AC" w:rsidP="00E763AC">
            <w:pPr>
              <w:pStyle w:val="Table-Bullet"/>
            </w:pPr>
            <w:r>
              <w:t>Alignment of adaptations to the literature review or other evidence.</w:t>
            </w:r>
          </w:p>
        </w:tc>
        <w:tc>
          <w:tcPr>
            <w:tcW w:w="2586" w:type="dxa"/>
          </w:tcPr>
          <w:p w14:paraId="145D35F2" w14:textId="77777777" w:rsidR="00E763AC" w:rsidRDefault="00E763AC" w:rsidP="00E763AC">
            <w:pPr>
              <w:pStyle w:val="Table-Bullet"/>
            </w:pPr>
            <w:r>
              <w:t>Program documentation</w:t>
            </w:r>
          </w:p>
          <w:p w14:paraId="56EB33BE" w14:textId="69DF7E5B" w:rsidR="00E763AC" w:rsidRDefault="00E763AC" w:rsidP="00E763AC">
            <w:pPr>
              <w:pStyle w:val="Table-Bullet"/>
            </w:pPr>
            <w:r>
              <w:t>Site observation</w:t>
            </w:r>
          </w:p>
          <w:p w14:paraId="15C4008E" w14:textId="4B0248DF" w:rsidR="00E763AC" w:rsidRPr="00780518" w:rsidRDefault="00E763AC" w:rsidP="00E763AC">
            <w:pPr>
              <w:pStyle w:val="Table-Bullet"/>
            </w:pPr>
            <w:r>
              <w:t>Key informant interviews</w:t>
            </w:r>
          </w:p>
        </w:tc>
        <w:tc>
          <w:tcPr>
            <w:tcW w:w="1405" w:type="dxa"/>
          </w:tcPr>
          <w:p w14:paraId="1B560C13" w14:textId="77777777" w:rsidR="00E763AC" w:rsidRPr="00780518" w:rsidRDefault="00E763AC">
            <w:pPr>
              <w:pStyle w:val="Table-Text"/>
              <w:rPr>
                <w:rFonts w:cs="Arial"/>
                <w:szCs w:val="20"/>
              </w:rPr>
            </w:pPr>
            <w:r>
              <w:rPr>
                <w:rFonts w:cs="Arial"/>
                <w:szCs w:val="20"/>
              </w:rPr>
              <w:t>Yes</w:t>
            </w:r>
          </w:p>
        </w:tc>
        <w:tc>
          <w:tcPr>
            <w:tcW w:w="1406" w:type="dxa"/>
          </w:tcPr>
          <w:p w14:paraId="4F19E920" w14:textId="77777777" w:rsidR="00E763AC" w:rsidRPr="00780518" w:rsidRDefault="00E763AC">
            <w:pPr>
              <w:pStyle w:val="Table-Text"/>
              <w:rPr>
                <w:rFonts w:cs="Arial"/>
                <w:szCs w:val="20"/>
              </w:rPr>
            </w:pPr>
            <w:r>
              <w:rPr>
                <w:rFonts w:cs="Arial"/>
                <w:szCs w:val="20"/>
              </w:rPr>
              <w:t>Yes</w:t>
            </w:r>
          </w:p>
        </w:tc>
        <w:tc>
          <w:tcPr>
            <w:tcW w:w="1406" w:type="dxa"/>
          </w:tcPr>
          <w:p w14:paraId="3011619E" w14:textId="77777777" w:rsidR="00E763AC" w:rsidRPr="00780518" w:rsidRDefault="00E763AC">
            <w:pPr>
              <w:pStyle w:val="Table-Text"/>
              <w:rPr>
                <w:rFonts w:cs="Arial"/>
                <w:szCs w:val="20"/>
              </w:rPr>
            </w:pPr>
            <w:r>
              <w:rPr>
                <w:rFonts w:cs="Arial"/>
                <w:szCs w:val="20"/>
              </w:rPr>
              <w:t>Yes</w:t>
            </w:r>
          </w:p>
        </w:tc>
      </w:tr>
      <w:tr w:rsidR="00E763AC" w:rsidRPr="00780518" w14:paraId="02545D87" w14:textId="77777777" w:rsidTr="00E763AC">
        <w:trPr>
          <w:cantSplit/>
          <w:trHeight w:val="474"/>
        </w:trPr>
        <w:tc>
          <w:tcPr>
            <w:tcW w:w="2585" w:type="dxa"/>
            <w:shd w:val="clear" w:color="auto" w:fill="auto"/>
          </w:tcPr>
          <w:p w14:paraId="6E4F6494" w14:textId="63DEF7CB" w:rsidR="00E763AC" w:rsidRDefault="00E763AC" w:rsidP="00E763AC">
            <w:pPr>
              <w:pStyle w:val="Table-Bullet"/>
            </w:pPr>
            <w:r>
              <w:t>How has COVID pandemic impacted program design assumptions and implementation?</w:t>
            </w:r>
          </w:p>
          <w:p w14:paraId="76D28137" w14:textId="47B6DFC2" w:rsidR="00E763AC" w:rsidRDefault="00E763AC" w:rsidP="00E763AC">
            <w:pPr>
              <w:pStyle w:val="Table-Bullet"/>
            </w:pPr>
            <w:r>
              <w:t xml:space="preserve">What adaptations have been made in response to </w:t>
            </w:r>
            <w:proofErr w:type="gramStart"/>
            <w:r>
              <w:t>COVID</w:t>
            </w:r>
            <w:proofErr w:type="gramEnd"/>
          </w:p>
          <w:p w14:paraId="01EFB1AE" w14:textId="04B41A23" w:rsidR="00E763AC" w:rsidRDefault="00E763AC" w:rsidP="00E763AC">
            <w:pPr>
              <w:pStyle w:val="Table-Bullet"/>
            </w:pPr>
            <w:r>
              <w:t>Are the governance structures for the program operating effectively?</w:t>
            </w:r>
          </w:p>
        </w:tc>
        <w:tc>
          <w:tcPr>
            <w:tcW w:w="2586" w:type="dxa"/>
          </w:tcPr>
          <w:p w14:paraId="467C70C3" w14:textId="5FAF05C5" w:rsidR="00E763AC" w:rsidRDefault="00E763AC" w:rsidP="00E763AC">
            <w:pPr>
              <w:pStyle w:val="Table-Bullet"/>
            </w:pPr>
            <w:r>
              <w:t>Extent to which design assumptions have held up post COVID.</w:t>
            </w:r>
          </w:p>
          <w:p w14:paraId="2EFEC1C8" w14:textId="3E3F048D" w:rsidR="00E763AC" w:rsidRDefault="00E763AC" w:rsidP="00E763AC">
            <w:pPr>
              <w:pStyle w:val="Table-Bullet"/>
            </w:pPr>
            <w:r>
              <w:t>Extent to which formal or informal adaptations to the program model are documented.</w:t>
            </w:r>
          </w:p>
          <w:p w14:paraId="7E5CE06E" w14:textId="0E6D0A6F" w:rsidR="00E763AC" w:rsidRDefault="00E763AC" w:rsidP="00E763AC">
            <w:pPr>
              <w:pStyle w:val="Table-Bullet"/>
            </w:pPr>
            <w:r>
              <w:t>Extent to which program stakeholders report governance is effective.</w:t>
            </w:r>
          </w:p>
          <w:p w14:paraId="63800586" w14:textId="4C1AE6CD" w:rsidR="00E763AC" w:rsidRDefault="00E763AC" w:rsidP="00E763AC">
            <w:pPr>
              <w:pStyle w:val="Table-Bullet"/>
            </w:pPr>
            <w:r>
              <w:t>Extent to which governance chain members report satisfaction with processes and structures.</w:t>
            </w:r>
          </w:p>
        </w:tc>
        <w:tc>
          <w:tcPr>
            <w:tcW w:w="2586" w:type="dxa"/>
          </w:tcPr>
          <w:p w14:paraId="38C7FDF9" w14:textId="56E2890F" w:rsidR="00E763AC" w:rsidRDefault="00E763AC">
            <w:pPr>
              <w:pStyle w:val="Table-Bullet"/>
            </w:pPr>
            <w:r>
              <w:t>Comparative analysis of key design assumptions and empirical data.</w:t>
            </w:r>
          </w:p>
          <w:p w14:paraId="6CDA9697" w14:textId="2A33B50C" w:rsidR="00E763AC" w:rsidRDefault="00E763AC">
            <w:pPr>
              <w:pStyle w:val="Table-Bullet"/>
            </w:pPr>
            <w:r>
              <w:t>Stakeholder viewpoints on program’s formal and informal adaptations.</w:t>
            </w:r>
          </w:p>
          <w:p w14:paraId="7F0B84D2" w14:textId="07636B02" w:rsidR="00E763AC" w:rsidRDefault="00E763AC">
            <w:pPr>
              <w:pStyle w:val="Table-Bullet"/>
            </w:pPr>
            <w:r>
              <w:t>Stakeholder viewpoints on effectiveness of governance.</w:t>
            </w:r>
          </w:p>
          <w:p w14:paraId="4160D10E" w14:textId="1CC2F57B" w:rsidR="00E763AC" w:rsidRDefault="00E763AC" w:rsidP="00E763AC">
            <w:pPr>
              <w:pStyle w:val="Table-Bullet"/>
            </w:pPr>
            <w:r>
              <w:t>Stakeholder viewpoints on effectiveness of governances.</w:t>
            </w:r>
          </w:p>
        </w:tc>
        <w:tc>
          <w:tcPr>
            <w:tcW w:w="2586" w:type="dxa"/>
          </w:tcPr>
          <w:p w14:paraId="6FAFEE72" w14:textId="24DC73F6" w:rsidR="00E763AC" w:rsidRDefault="00E763AC">
            <w:pPr>
              <w:pStyle w:val="Table-Bullet"/>
            </w:pPr>
            <w:r>
              <w:t>Comparative analysis of key design assumptions and empirical data.</w:t>
            </w:r>
          </w:p>
          <w:p w14:paraId="103C12D7" w14:textId="51A94A95" w:rsidR="00E763AC" w:rsidRDefault="00E763AC">
            <w:pPr>
              <w:pStyle w:val="Table-Bullet"/>
            </w:pPr>
            <w:r>
              <w:t>Stakeholder viewpoints on program’s formal and informal adaptations.</w:t>
            </w:r>
          </w:p>
          <w:p w14:paraId="2DD8AF23" w14:textId="05693AB0" w:rsidR="00E763AC" w:rsidRDefault="00E763AC">
            <w:pPr>
              <w:pStyle w:val="Table-Bullet"/>
            </w:pPr>
            <w:r>
              <w:t>Stakeholder viewpoints on effectiveness of governance.</w:t>
            </w:r>
          </w:p>
          <w:p w14:paraId="3A40DBBB" w14:textId="3AC14A4A" w:rsidR="00E763AC" w:rsidRDefault="00E763AC" w:rsidP="00E763AC">
            <w:pPr>
              <w:pStyle w:val="Table-Bullet"/>
            </w:pPr>
            <w:r>
              <w:t>Stakeholder viewpoints on effectiveness of governances.</w:t>
            </w:r>
          </w:p>
        </w:tc>
        <w:tc>
          <w:tcPr>
            <w:tcW w:w="1405" w:type="dxa"/>
          </w:tcPr>
          <w:p w14:paraId="653A6003" w14:textId="745ABC2E" w:rsidR="00E763AC" w:rsidRDefault="00E763AC">
            <w:pPr>
              <w:pStyle w:val="Table-Text"/>
              <w:rPr>
                <w:rFonts w:cs="Arial"/>
                <w:szCs w:val="20"/>
              </w:rPr>
            </w:pPr>
            <w:r>
              <w:rPr>
                <w:rFonts w:cs="Arial"/>
                <w:szCs w:val="20"/>
              </w:rPr>
              <w:t>Yes</w:t>
            </w:r>
          </w:p>
        </w:tc>
        <w:tc>
          <w:tcPr>
            <w:tcW w:w="1406" w:type="dxa"/>
          </w:tcPr>
          <w:p w14:paraId="0B822D15" w14:textId="6509D978" w:rsidR="00E763AC" w:rsidRDefault="00E763AC">
            <w:pPr>
              <w:pStyle w:val="Table-Text"/>
              <w:rPr>
                <w:rFonts w:cs="Arial"/>
                <w:szCs w:val="20"/>
              </w:rPr>
            </w:pPr>
            <w:r>
              <w:rPr>
                <w:rFonts w:cs="Arial"/>
                <w:szCs w:val="20"/>
              </w:rPr>
              <w:t>Yes</w:t>
            </w:r>
          </w:p>
        </w:tc>
        <w:tc>
          <w:tcPr>
            <w:tcW w:w="1406" w:type="dxa"/>
          </w:tcPr>
          <w:p w14:paraId="1C0837E0" w14:textId="17DE2832" w:rsidR="00E763AC" w:rsidRDefault="00E763AC">
            <w:pPr>
              <w:pStyle w:val="Table-Text"/>
              <w:rPr>
                <w:rFonts w:cs="Arial"/>
                <w:szCs w:val="20"/>
              </w:rPr>
            </w:pPr>
            <w:r>
              <w:rPr>
                <w:rFonts w:cs="Arial"/>
                <w:szCs w:val="20"/>
              </w:rPr>
              <w:t>N/A</w:t>
            </w:r>
          </w:p>
        </w:tc>
      </w:tr>
      <w:tr w:rsidR="00E763AC" w:rsidRPr="00780518" w14:paraId="5F91E4FC" w14:textId="77777777" w:rsidTr="00E763AC">
        <w:trPr>
          <w:cantSplit/>
          <w:trHeight w:val="474"/>
        </w:trPr>
        <w:tc>
          <w:tcPr>
            <w:tcW w:w="2585" w:type="dxa"/>
            <w:shd w:val="clear" w:color="auto" w:fill="auto"/>
          </w:tcPr>
          <w:p w14:paraId="202CE4DC" w14:textId="72C02C7F" w:rsidR="00E763AC" w:rsidRDefault="00E763AC" w:rsidP="00E763AC">
            <w:pPr>
              <w:pStyle w:val="Table-Bullet"/>
            </w:pPr>
            <w:r>
              <w:t>To what extent is the profile of program participants as expected?</w:t>
            </w:r>
          </w:p>
          <w:p w14:paraId="615630FA" w14:textId="75548F21" w:rsidR="00E763AC" w:rsidRDefault="00E763AC" w:rsidP="00E763AC">
            <w:pPr>
              <w:pStyle w:val="Table-Bullet"/>
            </w:pPr>
            <w:r>
              <w:t>What supports and services are being provided to which participants?</w:t>
            </w:r>
          </w:p>
        </w:tc>
        <w:tc>
          <w:tcPr>
            <w:tcW w:w="2586" w:type="dxa"/>
          </w:tcPr>
          <w:p w14:paraId="65384173" w14:textId="4B765A5C" w:rsidR="00E763AC" w:rsidRDefault="00E763AC" w:rsidP="00E763AC">
            <w:pPr>
              <w:pStyle w:val="Table-Bullet"/>
            </w:pPr>
            <w:r>
              <w:t xml:space="preserve">Extent that participant demographics align to </w:t>
            </w:r>
            <w:proofErr w:type="gramStart"/>
            <w:r>
              <w:t>expectations</w:t>
            </w:r>
            <w:proofErr w:type="gramEnd"/>
          </w:p>
          <w:p w14:paraId="42A1DDE2" w14:textId="7B67B761" w:rsidR="00E763AC" w:rsidRDefault="00E763AC" w:rsidP="00E763AC">
            <w:pPr>
              <w:pStyle w:val="Table-Bullet"/>
            </w:pPr>
            <w:r>
              <w:t>Profile and distribution of services provided across participant cohorts.</w:t>
            </w:r>
          </w:p>
        </w:tc>
        <w:tc>
          <w:tcPr>
            <w:tcW w:w="2586" w:type="dxa"/>
          </w:tcPr>
          <w:p w14:paraId="58E1725A" w14:textId="77777777" w:rsidR="00E763AC" w:rsidRDefault="00E763AC" w:rsidP="00E763AC">
            <w:pPr>
              <w:pStyle w:val="Table-Bullet"/>
            </w:pPr>
            <w:r>
              <w:t>Participant demographics</w:t>
            </w:r>
          </w:p>
          <w:p w14:paraId="5BECCDDF" w14:textId="6CA6B728" w:rsidR="00E763AC" w:rsidRDefault="00E763AC" w:rsidP="00E763AC">
            <w:pPr>
              <w:pStyle w:val="Table-Bullet"/>
            </w:pPr>
            <w:r>
              <w:t>Program throughput data</w:t>
            </w:r>
          </w:p>
          <w:p w14:paraId="56C9F2A1" w14:textId="4EE0A5B6" w:rsidR="00E763AC" w:rsidRDefault="00E763AC" w:rsidP="00E763AC">
            <w:pPr>
              <w:pStyle w:val="Table-Bullet"/>
            </w:pPr>
            <w:r>
              <w:t>Service/support data</w:t>
            </w:r>
          </w:p>
        </w:tc>
        <w:tc>
          <w:tcPr>
            <w:tcW w:w="2586" w:type="dxa"/>
          </w:tcPr>
          <w:p w14:paraId="53C9D2E1" w14:textId="77777777" w:rsidR="00E763AC" w:rsidRDefault="00E763AC" w:rsidP="00E763AC">
            <w:pPr>
              <w:pStyle w:val="Table-Bullet"/>
            </w:pPr>
            <w:r>
              <w:t>Program data</w:t>
            </w:r>
          </w:p>
          <w:p w14:paraId="00ABD583" w14:textId="75374DCC" w:rsidR="00E763AC" w:rsidRDefault="00E763AC" w:rsidP="00E763AC">
            <w:pPr>
              <w:pStyle w:val="Table-Bullet"/>
            </w:pPr>
            <w:r>
              <w:t>Site observation</w:t>
            </w:r>
          </w:p>
          <w:p w14:paraId="1C6DE7ED" w14:textId="5470D91C" w:rsidR="00E763AC" w:rsidRDefault="00E763AC" w:rsidP="00E763AC">
            <w:pPr>
              <w:pStyle w:val="Table-Bullet"/>
            </w:pPr>
            <w:r>
              <w:t>Key informant interviews</w:t>
            </w:r>
          </w:p>
        </w:tc>
        <w:tc>
          <w:tcPr>
            <w:tcW w:w="1405" w:type="dxa"/>
          </w:tcPr>
          <w:p w14:paraId="3F6735FB" w14:textId="6268352C" w:rsidR="00E763AC" w:rsidRDefault="00E763AC">
            <w:pPr>
              <w:pStyle w:val="Table-Text"/>
              <w:rPr>
                <w:rFonts w:cs="Arial"/>
                <w:szCs w:val="20"/>
              </w:rPr>
            </w:pPr>
            <w:r>
              <w:rPr>
                <w:rFonts w:cs="Arial"/>
                <w:szCs w:val="20"/>
              </w:rPr>
              <w:t>Yes</w:t>
            </w:r>
          </w:p>
        </w:tc>
        <w:tc>
          <w:tcPr>
            <w:tcW w:w="1406" w:type="dxa"/>
          </w:tcPr>
          <w:p w14:paraId="758EB193" w14:textId="05687355" w:rsidR="00E763AC" w:rsidRDefault="00E763AC">
            <w:pPr>
              <w:pStyle w:val="Table-Text"/>
              <w:rPr>
                <w:rFonts w:cs="Arial"/>
                <w:szCs w:val="20"/>
              </w:rPr>
            </w:pPr>
            <w:r>
              <w:rPr>
                <w:rFonts w:cs="Arial"/>
                <w:szCs w:val="20"/>
              </w:rPr>
              <w:t>Yes</w:t>
            </w:r>
          </w:p>
        </w:tc>
        <w:tc>
          <w:tcPr>
            <w:tcW w:w="1406" w:type="dxa"/>
          </w:tcPr>
          <w:p w14:paraId="7E3F5AF8" w14:textId="11792BFD" w:rsidR="00E763AC" w:rsidRDefault="00E763AC">
            <w:pPr>
              <w:pStyle w:val="Table-Text"/>
              <w:rPr>
                <w:rFonts w:cs="Arial"/>
                <w:szCs w:val="20"/>
              </w:rPr>
            </w:pPr>
            <w:r>
              <w:rPr>
                <w:rFonts w:cs="Arial"/>
                <w:szCs w:val="20"/>
              </w:rPr>
              <w:t>Yes</w:t>
            </w:r>
          </w:p>
        </w:tc>
      </w:tr>
    </w:tbl>
    <w:p w14:paraId="141FB98C" w14:textId="219E2C57" w:rsidR="00E763AC" w:rsidRDefault="00E763AC" w:rsidP="00E763AC">
      <w:pPr>
        <w:pStyle w:val="Caption"/>
      </w:pPr>
      <w:bookmarkStart w:id="110" w:name="_Toc150431586"/>
      <w:bookmarkStart w:id="111" w:name="_Toc150431963"/>
      <w:r>
        <w:t xml:space="preserve">Table </w:t>
      </w:r>
      <w:r>
        <w:fldChar w:fldCharType="begin"/>
      </w:r>
      <w:r>
        <w:instrText xml:space="preserve"> SEQ Table \* ARABIC </w:instrText>
      </w:r>
      <w:r>
        <w:fldChar w:fldCharType="separate"/>
      </w:r>
      <w:r w:rsidR="008D0FC1">
        <w:rPr>
          <w:noProof/>
        </w:rPr>
        <w:t>13</w:t>
      </w:r>
      <w:r>
        <w:fldChar w:fldCharType="end"/>
      </w:r>
      <w:r>
        <w:t xml:space="preserve"> KEQ F3: </w:t>
      </w:r>
      <w:r w:rsidRPr="00E763AC">
        <w:t>How has the PAD funding model enabled or hindered implementation?</w:t>
      </w:r>
      <w:bookmarkEnd w:id="110"/>
      <w:bookmarkEnd w:id="111"/>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E763AC" w:rsidRPr="00780518" w14:paraId="583C37F4" w14:textId="77777777" w:rsidTr="00E763AC">
        <w:trPr>
          <w:cantSplit/>
          <w:trHeight w:val="474"/>
          <w:tblHeader/>
        </w:trPr>
        <w:tc>
          <w:tcPr>
            <w:tcW w:w="2585" w:type="dxa"/>
            <w:shd w:val="clear" w:color="auto" w:fill="4B91D7"/>
          </w:tcPr>
          <w:p w14:paraId="4398FF42" w14:textId="77777777" w:rsidR="00E763AC" w:rsidRPr="00780518" w:rsidRDefault="00E763AC">
            <w:pPr>
              <w:pStyle w:val="Table-Heading"/>
              <w:rPr>
                <w:color w:val="FFFFFF" w:themeColor="background1"/>
              </w:rPr>
            </w:pPr>
            <w:r>
              <w:rPr>
                <w:color w:val="FFFFFF" w:themeColor="background1"/>
              </w:rPr>
              <w:t>Sub-questions</w:t>
            </w:r>
          </w:p>
        </w:tc>
        <w:tc>
          <w:tcPr>
            <w:tcW w:w="2586" w:type="dxa"/>
            <w:shd w:val="clear" w:color="auto" w:fill="4B91D7"/>
          </w:tcPr>
          <w:p w14:paraId="5F85695B" w14:textId="77777777" w:rsidR="00E763AC" w:rsidRPr="00780518" w:rsidRDefault="00E763AC">
            <w:pPr>
              <w:pStyle w:val="Table-Heading"/>
              <w:rPr>
                <w:color w:val="FFFFFF" w:themeColor="background1"/>
              </w:rPr>
            </w:pPr>
            <w:r>
              <w:rPr>
                <w:color w:val="FFFFFF" w:themeColor="background1"/>
              </w:rPr>
              <w:t>Indicators</w:t>
            </w:r>
          </w:p>
        </w:tc>
        <w:tc>
          <w:tcPr>
            <w:tcW w:w="2586" w:type="dxa"/>
            <w:shd w:val="clear" w:color="auto" w:fill="4B91D7"/>
          </w:tcPr>
          <w:p w14:paraId="1C27C2B8" w14:textId="77777777" w:rsidR="00E763AC" w:rsidRPr="00780518" w:rsidRDefault="00E763AC">
            <w:pPr>
              <w:pStyle w:val="Table-Heading"/>
              <w:rPr>
                <w:color w:val="FFFFFF" w:themeColor="background1"/>
              </w:rPr>
            </w:pPr>
            <w:r>
              <w:rPr>
                <w:color w:val="FFFFFF" w:themeColor="background1"/>
              </w:rPr>
              <w:t>Measures</w:t>
            </w:r>
          </w:p>
        </w:tc>
        <w:tc>
          <w:tcPr>
            <w:tcW w:w="2586" w:type="dxa"/>
            <w:shd w:val="clear" w:color="auto" w:fill="4B91D7"/>
          </w:tcPr>
          <w:p w14:paraId="3C65CD95" w14:textId="77777777" w:rsidR="00E763AC" w:rsidRPr="00780518" w:rsidRDefault="00E763AC">
            <w:pPr>
              <w:pStyle w:val="Table-Heading"/>
              <w:rPr>
                <w:color w:val="FFFFFF" w:themeColor="background1"/>
              </w:rPr>
            </w:pPr>
            <w:r>
              <w:rPr>
                <w:color w:val="FFFFFF" w:themeColor="background1"/>
              </w:rPr>
              <w:t>Sources</w:t>
            </w:r>
          </w:p>
        </w:tc>
        <w:tc>
          <w:tcPr>
            <w:tcW w:w="1405" w:type="dxa"/>
            <w:shd w:val="clear" w:color="auto" w:fill="4B91D7"/>
          </w:tcPr>
          <w:p w14:paraId="288CA492" w14:textId="77777777" w:rsidR="00E763AC" w:rsidRPr="00780518" w:rsidRDefault="00E763AC">
            <w:pPr>
              <w:pStyle w:val="Table-Heading"/>
              <w:rPr>
                <w:color w:val="FFFFFF" w:themeColor="background1"/>
              </w:rPr>
            </w:pPr>
            <w:r>
              <w:rPr>
                <w:color w:val="FFFFFF" w:themeColor="background1"/>
              </w:rPr>
              <w:t>Formative</w:t>
            </w:r>
          </w:p>
        </w:tc>
        <w:tc>
          <w:tcPr>
            <w:tcW w:w="1406" w:type="dxa"/>
            <w:shd w:val="clear" w:color="auto" w:fill="4B91D7"/>
          </w:tcPr>
          <w:p w14:paraId="36924DE8" w14:textId="77777777" w:rsidR="00E763AC" w:rsidRPr="00780518" w:rsidRDefault="00E763AC">
            <w:pPr>
              <w:pStyle w:val="Table-Heading"/>
              <w:rPr>
                <w:color w:val="FFFFFF" w:themeColor="background1"/>
              </w:rPr>
            </w:pPr>
            <w:r>
              <w:rPr>
                <w:color w:val="FFFFFF" w:themeColor="background1"/>
              </w:rPr>
              <w:t>Interim</w:t>
            </w:r>
          </w:p>
        </w:tc>
        <w:tc>
          <w:tcPr>
            <w:tcW w:w="1406" w:type="dxa"/>
            <w:shd w:val="clear" w:color="auto" w:fill="4B91D7"/>
          </w:tcPr>
          <w:p w14:paraId="25C38118" w14:textId="77777777" w:rsidR="00E763AC" w:rsidRPr="00780518" w:rsidRDefault="00E763AC">
            <w:pPr>
              <w:pStyle w:val="Table-Heading"/>
              <w:rPr>
                <w:color w:val="FFFFFF" w:themeColor="background1"/>
              </w:rPr>
            </w:pPr>
            <w:r>
              <w:rPr>
                <w:color w:val="FFFFFF" w:themeColor="background1"/>
              </w:rPr>
              <w:t>Summative</w:t>
            </w:r>
          </w:p>
        </w:tc>
      </w:tr>
      <w:tr w:rsidR="00E763AC" w:rsidRPr="00780518" w14:paraId="7BED3113" w14:textId="77777777" w:rsidTr="00E763AC">
        <w:trPr>
          <w:cantSplit/>
          <w:trHeight w:val="474"/>
        </w:trPr>
        <w:tc>
          <w:tcPr>
            <w:tcW w:w="2585" w:type="dxa"/>
            <w:shd w:val="clear" w:color="auto" w:fill="auto"/>
          </w:tcPr>
          <w:p w14:paraId="51052059" w14:textId="0362A955" w:rsidR="00E763AC" w:rsidRDefault="00E763AC" w:rsidP="00E763AC">
            <w:pPr>
              <w:pStyle w:val="Table-Bullet"/>
            </w:pPr>
            <w:r>
              <w:t>How has the PAD funding model influenced the implementation process?</w:t>
            </w:r>
          </w:p>
          <w:p w14:paraId="4CB6DA96" w14:textId="4AA20629" w:rsidR="00E763AC" w:rsidRDefault="00E763AC" w:rsidP="00E763AC">
            <w:pPr>
              <w:pStyle w:val="Table-Bullet"/>
            </w:pPr>
            <w:r>
              <w:t>What intended or unintended incentives are created by the PAD funding model?</w:t>
            </w:r>
          </w:p>
          <w:p w14:paraId="19F84B98" w14:textId="1DEC87AF" w:rsidR="00E763AC" w:rsidRPr="00780518" w:rsidRDefault="00E763AC" w:rsidP="00E763AC">
            <w:pPr>
              <w:pStyle w:val="Table-Bullet"/>
            </w:pPr>
            <w:r>
              <w:t>How have these incentives impacted stakeholder behaviour?</w:t>
            </w:r>
          </w:p>
        </w:tc>
        <w:tc>
          <w:tcPr>
            <w:tcW w:w="2586" w:type="dxa"/>
          </w:tcPr>
          <w:p w14:paraId="7AC52F8D" w14:textId="5D7926BA" w:rsidR="00E763AC" w:rsidRDefault="00E763AC" w:rsidP="00E763AC">
            <w:pPr>
              <w:pStyle w:val="Table-Bullet"/>
            </w:pPr>
            <w:r>
              <w:t xml:space="preserve">Extent to which stakeholder behaviour during implementation was incentivised by the funding </w:t>
            </w:r>
            <w:proofErr w:type="gramStart"/>
            <w:r>
              <w:t>model</w:t>
            </w:r>
            <w:proofErr w:type="gramEnd"/>
          </w:p>
          <w:p w14:paraId="79BE383E" w14:textId="6DE31D25" w:rsidR="00E763AC" w:rsidRDefault="00E763AC" w:rsidP="00E763AC">
            <w:pPr>
              <w:pStyle w:val="Table-Bullet"/>
            </w:pPr>
            <w:r>
              <w:t xml:space="preserve">Extent to which program design is influenced by the way it is </w:t>
            </w:r>
            <w:proofErr w:type="gramStart"/>
            <w:r>
              <w:t>funded</w:t>
            </w:r>
            <w:proofErr w:type="gramEnd"/>
          </w:p>
          <w:p w14:paraId="6578D185" w14:textId="1180A4D4" w:rsidR="00E763AC" w:rsidRPr="00780518" w:rsidRDefault="00E763AC" w:rsidP="00E763AC">
            <w:pPr>
              <w:pStyle w:val="Table-Bullet"/>
            </w:pPr>
            <w:r>
              <w:t>Extent to which unintended behavioural incentives are evident in the model.</w:t>
            </w:r>
          </w:p>
        </w:tc>
        <w:tc>
          <w:tcPr>
            <w:tcW w:w="2586" w:type="dxa"/>
          </w:tcPr>
          <w:p w14:paraId="1A0A3567" w14:textId="1F323EB7" w:rsidR="00E763AC" w:rsidRDefault="00E763AC">
            <w:pPr>
              <w:pStyle w:val="Table-Bullet"/>
            </w:pPr>
            <w:r>
              <w:t>Stakeholder viewpoints on own behaviours and behaviours of others.</w:t>
            </w:r>
          </w:p>
          <w:p w14:paraId="23FC4CDD" w14:textId="1F2EEC29" w:rsidR="00E763AC" w:rsidRPr="00780518" w:rsidRDefault="00E763AC" w:rsidP="00E763AC">
            <w:pPr>
              <w:pStyle w:val="Table-Bullet"/>
            </w:pPr>
            <w:r>
              <w:t>Stakeholder viewpoints on relationship between program model and PAD funding model</w:t>
            </w:r>
          </w:p>
        </w:tc>
        <w:tc>
          <w:tcPr>
            <w:tcW w:w="2586" w:type="dxa"/>
          </w:tcPr>
          <w:p w14:paraId="142A4C66" w14:textId="77777777" w:rsidR="00E763AC" w:rsidRDefault="00E763AC" w:rsidP="00E763AC">
            <w:pPr>
              <w:pStyle w:val="Table-Bullet"/>
            </w:pPr>
            <w:r>
              <w:t>Program documentation</w:t>
            </w:r>
          </w:p>
          <w:p w14:paraId="05A60E5D" w14:textId="5F999A18" w:rsidR="00E763AC" w:rsidRPr="00780518" w:rsidRDefault="00E763AC" w:rsidP="00E763AC">
            <w:pPr>
              <w:pStyle w:val="Table-Bullet"/>
            </w:pPr>
            <w:r>
              <w:t>Key informant interviews</w:t>
            </w:r>
          </w:p>
        </w:tc>
        <w:tc>
          <w:tcPr>
            <w:tcW w:w="1405" w:type="dxa"/>
          </w:tcPr>
          <w:p w14:paraId="4E81B30B" w14:textId="77777777" w:rsidR="00E763AC" w:rsidRPr="00780518" w:rsidRDefault="00E763AC">
            <w:pPr>
              <w:pStyle w:val="Table-Text"/>
              <w:rPr>
                <w:rFonts w:cs="Arial"/>
                <w:szCs w:val="20"/>
              </w:rPr>
            </w:pPr>
            <w:r>
              <w:rPr>
                <w:rFonts w:cs="Arial"/>
                <w:szCs w:val="20"/>
              </w:rPr>
              <w:t>Yes</w:t>
            </w:r>
          </w:p>
        </w:tc>
        <w:tc>
          <w:tcPr>
            <w:tcW w:w="1406" w:type="dxa"/>
          </w:tcPr>
          <w:p w14:paraId="60BE7BBE" w14:textId="3504E0AD" w:rsidR="00E763AC" w:rsidRPr="00780518" w:rsidRDefault="00E763AC">
            <w:pPr>
              <w:pStyle w:val="Table-Text"/>
              <w:rPr>
                <w:rFonts w:cs="Arial"/>
                <w:szCs w:val="20"/>
              </w:rPr>
            </w:pPr>
            <w:r>
              <w:rPr>
                <w:rFonts w:cs="Arial"/>
                <w:szCs w:val="20"/>
              </w:rPr>
              <w:t>N/A</w:t>
            </w:r>
          </w:p>
        </w:tc>
        <w:tc>
          <w:tcPr>
            <w:tcW w:w="1406" w:type="dxa"/>
          </w:tcPr>
          <w:p w14:paraId="069E248F" w14:textId="562CA941" w:rsidR="00E763AC" w:rsidRPr="00780518" w:rsidRDefault="00E763AC">
            <w:pPr>
              <w:pStyle w:val="Table-Text"/>
              <w:rPr>
                <w:rFonts w:cs="Arial"/>
                <w:szCs w:val="20"/>
              </w:rPr>
            </w:pPr>
            <w:r>
              <w:rPr>
                <w:rFonts w:cs="Arial"/>
                <w:szCs w:val="20"/>
              </w:rPr>
              <w:t>N/A</w:t>
            </w:r>
          </w:p>
        </w:tc>
      </w:tr>
    </w:tbl>
    <w:p w14:paraId="49E24FE3" w14:textId="2D11A38C" w:rsidR="00E763AC" w:rsidRDefault="00E763AC" w:rsidP="00E763AC">
      <w:pPr>
        <w:pStyle w:val="Caption"/>
      </w:pPr>
      <w:bookmarkStart w:id="112" w:name="_Toc150431587"/>
      <w:bookmarkStart w:id="113" w:name="_Toc150431964"/>
      <w:r>
        <w:t xml:space="preserve">Table </w:t>
      </w:r>
      <w:r>
        <w:fldChar w:fldCharType="begin"/>
      </w:r>
      <w:r>
        <w:instrText xml:space="preserve"> SEQ Table \* ARABIC </w:instrText>
      </w:r>
      <w:r>
        <w:fldChar w:fldCharType="separate"/>
      </w:r>
      <w:r w:rsidR="008D0FC1">
        <w:rPr>
          <w:noProof/>
        </w:rPr>
        <w:t>14</w:t>
      </w:r>
      <w:r>
        <w:fldChar w:fldCharType="end"/>
      </w:r>
      <w:r>
        <w:t xml:space="preserve"> KEQ </w:t>
      </w:r>
      <w:r w:rsidRPr="00E763AC">
        <w:t>F4: What key lessons and opportunities for program improvement arise from the PAD negotiation and early implementation period?</w:t>
      </w:r>
      <w:bookmarkEnd w:id="112"/>
      <w:bookmarkEnd w:id="113"/>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E763AC" w:rsidRPr="00780518" w14:paraId="572C9F09" w14:textId="77777777">
        <w:trPr>
          <w:cantSplit/>
          <w:trHeight w:val="474"/>
          <w:tblHeader/>
        </w:trPr>
        <w:tc>
          <w:tcPr>
            <w:tcW w:w="2585" w:type="dxa"/>
            <w:shd w:val="clear" w:color="auto" w:fill="4B91D7"/>
          </w:tcPr>
          <w:p w14:paraId="69970CA6" w14:textId="77777777" w:rsidR="00E763AC" w:rsidRPr="00780518" w:rsidRDefault="00E763AC">
            <w:pPr>
              <w:pStyle w:val="Table-Heading"/>
              <w:rPr>
                <w:color w:val="FFFFFF" w:themeColor="background1"/>
              </w:rPr>
            </w:pPr>
            <w:r>
              <w:rPr>
                <w:color w:val="FFFFFF" w:themeColor="background1"/>
              </w:rPr>
              <w:t>Sub-questions</w:t>
            </w:r>
          </w:p>
        </w:tc>
        <w:tc>
          <w:tcPr>
            <w:tcW w:w="2586" w:type="dxa"/>
            <w:shd w:val="clear" w:color="auto" w:fill="4B91D7"/>
          </w:tcPr>
          <w:p w14:paraId="62CD1C70" w14:textId="77777777" w:rsidR="00E763AC" w:rsidRPr="00780518" w:rsidRDefault="00E763AC">
            <w:pPr>
              <w:pStyle w:val="Table-Heading"/>
              <w:rPr>
                <w:color w:val="FFFFFF" w:themeColor="background1"/>
              </w:rPr>
            </w:pPr>
            <w:r>
              <w:rPr>
                <w:color w:val="FFFFFF" w:themeColor="background1"/>
              </w:rPr>
              <w:t>Indicators</w:t>
            </w:r>
          </w:p>
        </w:tc>
        <w:tc>
          <w:tcPr>
            <w:tcW w:w="2586" w:type="dxa"/>
            <w:shd w:val="clear" w:color="auto" w:fill="4B91D7"/>
          </w:tcPr>
          <w:p w14:paraId="71C8D03F" w14:textId="77777777" w:rsidR="00E763AC" w:rsidRPr="00780518" w:rsidRDefault="00E763AC">
            <w:pPr>
              <w:pStyle w:val="Table-Heading"/>
              <w:rPr>
                <w:color w:val="FFFFFF" w:themeColor="background1"/>
              </w:rPr>
            </w:pPr>
            <w:r>
              <w:rPr>
                <w:color w:val="FFFFFF" w:themeColor="background1"/>
              </w:rPr>
              <w:t>Measures</w:t>
            </w:r>
          </w:p>
        </w:tc>
        <w:tc>
          <w:tcPr>
            <w:tcW w:w="2586" w:type="dxa"/>
            <w:shd w:val="clear" w:color="auto" w:fill="4B91D7"/>
          </w:tcPr>
          <w:p w14:paraId="3FE9FFBE" w14:textId="77777777" w:rsidR="00E763AC" w:rsidRPr="00780518" w:rsidRDefault="00E763AC">
            <w:pPr>
              <w:pStyle w:val="Table-Heading"/>
              <w:rPr>
                <w:color w:val="FFFFFF" w:themeColor="background1"/>
              </w:rPr>
            </w:pPr>
            <w:r>
              <w:rPr>
                <w:color w:val="FFFFFF" w:themeColor="background1"/>
              </w:rPr>
              <w:t>Sources</w:t>
            </w:r>
          </w:p>
        </w:tc>
        <w:tc>
          <w:tcPr>
            <w:tcW w:w="1405" w:type="dxa"/>
            <w:shd w:val="clear" w:color="auto" w:fill="4B91D7"/>
          </w:tcPr>
          <w:p w14:paraId="0F04E36F" w14:textId="77777777" w:rsidR="00E763AC" w:rsidRPr="00780518" w:rsidRDefault="00E763AC">
            <w:pPr>
              <w:pStyle w:val="Table-Heading"/>
              <w:rPr>
                <w:color w:val="FFFFFF" w:themeColor="background1"/>
              </w:rPr>
            </w:pPr>
            <w:r>
              <w:rPr>
                <w:color w:val="FFFFFF" w:themeColor="background1"/>
              </w:rPr>
              <w:t>Formative</w:t>
            </w:r>
          </w:p>
        </w:tc>
        <w:tc>
          <w:tcPr>
            <w:tcW w:w="1406" w:type="dxa"/>
            <w:shd w:val="clear" w:color="auto" w:fill="4B91D7"/>
          </w:tcPr>
          <w:p w14:paraId="4995D0C5" w14:textId="77777777" w:rsidR="00E763AC" w:rsidRPr="00780518" w:rsidRDefault="00E763AC">
            <w:pPr>
              <w:pStyle w:val="Table-Heading"/>
              <w:rPr>
                <w:color w:val="FFFFFF" w:themeColor="background1"/>
              </w:rPr>
            </w:pPr>
            <w:r>
              <w:rPr>
                <w:color w:val="FFFFFF" w:themeColor="background1"/>
              </w:rPr>
              <w:t>Interim</w:t>
            </w:r>
          </w:p>
        </w:tc>
        <w:tc>
          <w:tcPr>
            <w:tcW w:w="1406" w:type="dxa"/>
            <w:shd w:val="clear" w:color="auto" w:fill="4B91D7"/>
          </w:tcPr>
          <w:p w14:paraId="1376FF4B" w14:textId="77777777" w:rsidR="00E763AC" w:rsidRPr="00780518" w:rsidRDefault="00E763AC">
            <w:pPr>
              <w:pStyle w:val="Table-Heading"/>
              <w:rPr>
                <w:color w:val="FFFFFF" w:themeColor="background1"/>
              </w:rPr>
            </w:pPr>
            <w:r>
              <w:rPr>
                <w:color w:val="FFFFFF" w:themeColor="background1"/>
              </w:rPr>
              <w:t>Summative</w:t>
            </w:r>
          </w:p>
        </w:tc>
      </w:tr>
      <w:tr w:rsidR="00E763AC" w:rsidRPr="00780518" w14:paraId="12093CD5" w14:textId="77777777">
        <w:trPr>
          <w:cantSplit/>
          <w:trHeight w:val="474"/>
        </w:trPr>
        <w:tc>
          <w:tcPr>
            <w:tcW w:w="2585" w:type="dxa"/>
            <w:shd w:val="clear" w:color="auto" w:fill="auto"/>
          </w:tcPr>
          <w:p w14:paraId="061520B4" w14:textId="61FD9902" w:rsidR="00E763AC" w:rsidRDefault="00E763AC" w:rsidP="00E763AC">
            <w:pPr>
              <w:pStyle w:val="Table-Bullet"/>
            </w:pPr>
            <w:r>
              <w:t xml:space="preserve">What aspects of program design or implementation </w:t>
            </w:r>
            <w:proofErr w:type="gramStart"/>
            <w:r>
              <w:t>more or less successful</w:t>
            </w:r>
            <w:proofErr w:type="gramEnd"/>
            <w:r>
              <w:t xml:space="preserve"> than expected? Why?</w:t>
            </w:r>
          </w:p>
          <w:p w14:paraId="73943A5B" w14:textId="5546CE37" w:rsidR="00E763AC" w:rsidRDefault="00E763AC" w:rsidP="00E763AC">
            <w:pPr>
              <w:pStyle w:val="Table-Bullet"/>
            </w:pPr>
            <w:r>
              <w:t>Where have adaptations along the way proven successes?</w:t>
            </w:r>
          </w:p>
          <w:p w14:paraId="3CF2F4D5" w14:textId="188FB244" w:rsidR="00E763AC" w:rsidRPr="00780518" w:rsidRDefault="00E763AC" w:rsidP="00E763AC">
            <w:pPr>
              <w:pStyle w:val="Table-Bullet"/>
            </w:pPr>
            <w:r>
              <w:t>What unintended outcomes arose and why?</w:t>
            </w:r>
          </w:p>
        </w:tc>
        <w:tc>
          <w:tcPr>
            <w:tcW w:w="2586" w:type="dxa"/>
          </w:tcPr>
          <w:p w14:paraId="2B8E1CA3" w14:textId="2DF900EA" w:rsidR="00E763AC" w:rsidRPr="00780518" w:rsidRDefault="00E763AC">
            <w:pPr>
              <w:pStyle w:val="Table-Bullet"/>
            </w:pPr>
            <w:r w:rsidRPr="00E763AC">
              <w:t xml:space="preserve">Stakeholders attribute unexpected results to specific contextual, </w:t>
            </w:r>
            <w:r w:rsidR="00094793" w:rsidRPr="00E763AC">
              <w:t>design, or</w:t>
            </w:r>
            <w:r w:rsidRPr="00E763AC">
              <w:t xml:space="preserve"> implementation factors.</w:t>
            </w:r>
          </w:p>
        </w:tc>
        <w:tc>
          <w:tcPr>
            <w:tcW w:w="2586" w:type="dxa"/>
          </w:tcPr>
          <w:p w14:paraId="7ED44F3E" w14:textId="614245C1" w:rsidR="00E763AC" w:rsidRPr="00780518" w:rsidRDefault="00E763AC" w:rsidP="00E763AC">
            <w:pPr>
              <w:pStyle w:val="Table-Bullet"/>
            </w:pPr>
            <w:r>
              <w:t>Stakeholder viewpoints on factors influencing relative success/failure</w:t>
            </w:r>
          </w:p>
        </w:tc>
        <w:tc>
          <w:tcPr>
            <w:tcW w:w="2586" w:type="dxa"/>
          </w:tcPr>
          <w:p w14:paraId="2BA6C779" w14:textId="77777777" w:rsidR="00E763AC" w:rsidRDefault="00E763AC" w:rsidP="00E763AC">
            <w:pPr>
              <w:pStyle w:val="Table-Bullet"/>
            </w:pPr>
            <w:r>
              <w:t>Program documentation</w:t>
            </w:r>
          </w:p>
          <w:p w14:paraId="0245FCB9" w14:textId="4C8F4246" w:rsidR="00E763AC" w:rsidRPr="00780518" w:rsidRDefault="00E763AC" w:rsidP="00E763AC">
            <w:pPr>
              <w:pStyle w:val="Table-Bullet"/>
            </w:pPr>
            <w:r>
              <w:t>Key informant interviews</w:t>
            </w:r>
          </w:p>
        </w:tc>
        <w:tc>
          <w:tcPr>
            <w:tcW w:w="1405" w:type="dxa"/>
          </w:tcPr>
          <w:p w14:paraId="51FCEEDE" w14:textId="77777777" w:rsidR="00E763AC" w:rsidRPr="00780518" w:rsidRDefault="00E763AC">
            <w:pPr>
              <w:pStyle w:val="Table-Text"/>
              <w:rPr>
                <w:rFonts w:cs="Arial"/>
                <w:szCs w:val="20"/>
              </w:rPr>
            </w:pPr>
            <w:r>
              <w:rPr>
                <w:rFonts w:cs="Arial"/>
                <w:szCs w:val="20"/>
              </w:rPr>
              <w:t>Yes</w:t>
            </w:r>
          </w:p>
        </w:tc>
        <w:tc>
          <w:tcPr>
            <w:tcW w:w="1406" w:type="dxa"/>
          </w:tcPr>
          <w:p w14:paraId="6F649430" w14:textId="77777777" w:rsidR="00E763AC" w:rsidRPr="00780518" w:rsidRDefault="00E763AC">
            <w:pPr>
              <w:pStyle w:val="Table-Text"/>
              <w:rPr>
                <w:rFonts w:cs="Arial"/>
                <w:szCs w:val="20"/>
              </w:rPr>
            </w:pPr>
            <w:r>
              <w:rPr>
                <w:rFonts w:cs="Arial"/>
                <w:szCs w:val="20"/>
              </w:rPr>
              <w:t>N/A</w:t>
            </w:r>
          </w:p>
        </w:tc>
        <w:tc>
          <w:tcPr>
            <w:tcW w:w="1406" w:type="dxa"/>
          </w:tcPr>
          <w:p w14:paraId="0095E89B" w14:textId="77777777" w:rsidR="00E763AC" w:rsidRPr="00780518" w:rsidRDefault="00E763AC">
            <w:pPr>
              <w:pStyle w:val="Table-Text"/>
              <w:rPr>
                <w:rFonts w:cs="Arial"/>
                <w:szCs w:val="20"/>
              </w:rPr>
            </w:pPr>
            <w:r>
              <w:rPr>
                <w:rFonts w:cs="Arial"/>
                <w:szCs w:val="20"/>
              </w:rPr>
              <w:t>N/A</w:t>
            </w:r>
          </w:p>
        </w:tc>
      </w:tr>
    </w:tbl>
    <w:p w14:paraId="05163576" w14:textId="26CB11E2" w:rsidR="00E763AC" w:rsidRDefault="00094793" w:rsidP="00094793">
      <w:pPr>
        <w:pStyle w:val="Caption"/>
      </w:pPr>
      <w:bookmarkStart w:id="114" w:name="_Toc150431588"/>
      <w:bookmarkStart w:id="115" w:name="_Toc150431965"/>
      <w:r>
        <w:t xml:space="preserve">Table </w:t>
      </w:r>
      <w:r>
        <w:fldChar w:fldCharType="begin"/>
      </w:r>
      <w:r>
        <w:instrText xml:space="preserve"> SEQ Table \* ARABIC </w:instrText>
      </w:r>
      <w:r>
        <w:fldChar w:fldCharType="separate"/>
      </w:r>
      <w:r w:rsidR="008D0FC1">
        <w:rPr>
          <w:noProof/>
        </w:rPr>
        <w:t>15</w:t>
      </w:r>
      <w:r>
        <w:fldChar w:fldCharType="end"/>
      </w:r>
      <w:r>
        <w:t xml:space="preserve"> KEQ </w:t>
      </w:r>
      <w:r w:rsidR="00EE01A9" w:rsidRPr="00EE01A9">
        <w:t>O1: What outcomes are observed for program participants?</w:t>
      </w:r>
      <w:bookmarkEnd w:id="114"/>
      <w:bookmarkEnd w:id="115"/>
    </w:p>
    <w:p w14:paraId="3FB8BB77" w14:textId="77777777" w:rsidR="00EE01A9" w:rsidRPr="00EE01A9" w:rsidRDefault="00EE01A9" w:rsidP="00EE01A9">
      <w:pPr>
        <w:rPr>
          <w:lang w:val="en-AU"/>
        </w:rPr>
      </w:pPr>
      <w:r w:rsidRPr="00EE01A9">
        <w:rPr>
          <w:lang w:val="en-AU"/>
        </w:rPr>
        <w:t>Important note about outcome areas:</w:t>
      </w:r>
    </w:p>
    <w:p w14:paraId="2CFC959B" w14:textId="798FEBC6" w:rsidR="00EE01A9" w:rsidRPr="00EE01A9" w:rsidRDefault="00EE01A9" w:rsidP="00EE01A9">
      <w:pPr>
        <w:pStyle w:val="ListNumber"/>
        <w:rPr>
          <w:lang w:val="en-AU"/>
        </w:rPr>
      </w:pPr>
      <w:r w:rsidRPr="00EE01A9">
        <w:rPr>
          <w:lang w:val="en-AU"/>
        </w:rPr>
        <w:t xml:space="preserve">Education, relationships, self-efficacy, </w:t>
      </w:r>
      <w:proofErr w:type="gramStart"/>
      <w:r w:rsidRPr="00EE01A9">
        <w:rPr>
          <w:lang w:val="en-AU"/>
        </w:rPr>
        <w:t>health</w:t>
      </w:r>
      <w:proofErr w:type="gramEnd"/>
      <w:r w:rsidRPr="00EE01A9">
        <w:rPr>
          <w:lang w:val="en-AU"/>
        </w:rPr>
        <w:t xml:space="preserve"> and mental health </w:t>
      </w:r>
      <w:proofErr w:type="spellStart"/>
      <w:r w:rsidRPr="00EE01A9">
        <w:rPr>
          <w:lang w:val="en-AU"/>
        </w:rPr>
        <w:t>arecore</w:t>
      </w:r>
      <w:proofErr w:type="spellEnd"/>
      <w:r w:rsidRPr="00EE01A9">
        <w:rPr>
          <w:lang w:val="en-AU"/>
        </w:rPr>
        <w:t xml:space="preserve"> outcome areas embedded in the program logic and theory of impact.</w:t>
      </w:r>
    </w:p>
    <w:p w14:paraId="748F201F" w14:textId="50061D3B" w:rsidR="00EE01A9" w:rsidRDefault="00EE01A9" w:rsidP="00EE01A9">
      <w:pPr>
        <w:pStyle w:val="ListNumber"/>
        <w:rPr>
          <w:lang w:val="en-AU"/>
        </w:rPr>
      </w:pPr>
      <w:r w:rsidRPr="00EE01A9">
        <w:rPr>
          <w:lang w:val="en-AU"/>
        </w:rPr>
        <w:t xml:space="preserve">Justice and housing related outcomes are secondary outcomes that will be tracked by the </w:t>
      </w:r>
      <w:proofErr w:type="gramStart"/>
      <w:r w:rsidRPr="00EE01A9">
        <w:rPr>
          <w:lang w:val="en-AU"/>
        </w:rPr>
        <w:t>evaluation, but</w:t>
      </w:r>
      <w:proofErr w:type="gramEnd"/>
      <w:r w:rsidRPr="00EE01A9">
        <w:rPr>
          <w:lang w:val="en-AU"/>
        </w:rPr>
        <w:t xml:space="preserve"> are not formally an expected outcome or success measure for the program.</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386D28" w:rsidRPr="00780518" w14:paraId="026B610C" w14:textId="77777777">
        <w:trPr>
          <w:cantSplit/>
          <w:trHeight w:val="474"/>
          <w:tblHeader/>
        </w:trPr>
        <w:tc>
          <w:tcPr>
            <w:tcW w:w="2585" w:type="dxa"/>
            <w:shd w:val="clear" w:color="auto" w:fill="4B91D7"/>
          </w:tcPr>
          <w:p w14:paraId="4AC44621" w14:textId="77777777" w:rsidR="00386D28" w:rsidRPr="00780518" w:rsidRDefault="00386D28">
            <w:pPr>
              <w:pStyle w:val="Table-Heading"/>
              <w:rPr>
                <w:color w:val="FFFFFF" w:themeColor="background1"/>
              </w:rPr>
            </w:pPr>
            <w:r>
              <w:rPr>
                <w:color w:val="FFFFFF" w:themeColor="background1"/>
              </w:rPr>
              <w:t>Sub-questions</w:t>
            </w:r>
          </w:p>
        </w:tc>
        <w:tc>
          <w:tcPr>
            <w:tcW w:w="2586" w:type="dxa"/>
            <w:shd w:val="clear" w:color="auto" w:fill="4B91D7"/>
          </w:tcPr>
          <w:p w14:paraId="66C342E4" w14:textId="77777777" w:rsidR="00386D28" w:rsidRPr="00780518" w:rsidRDefault="00386D28">
            <w:pPr>
              <w:pStyle w:val="Table-Heading"/>
              <w:rPr>
                <w:color w:val="FFFFFF" w:themeColor="background1"/>
              </w:rPr>
            </w:pPr>
            <w:r>
              <w:rPr>
                <w:color w:val="FFFFFF" w:themeColor="background1"/>
              </w:rPr>
              <w:t>Indicators</w:t>
            </w:r>
          </w:p>
        </w:tc>
        <w:tc>
          <w:tcPr>
            <w:tcW w:w="2586" w:type="dxa"/>
            <w:shd w:val="clear" w:color="auto" w:fill="4B91D7"/>
          </w:tcPr>
          <w:p w14:paraId="6BEA1C09" w14:textId="77777777" w:rsidR="00386D28" w:rsidRPr="00780518" w:rsidRDefault="00386D28">
            <w:pPr>
              <w:pStyle w:val="Table-Heading"/>
              <w:rPr>
                <w:color w:val="FFFFFF" w:themeColor="background1"/>
              </w:rPr>
            </w:pPr>
            <w:r>
              <w:rPr>
                <w:color w:val="FFFFFF" w:themeColor="background1"/>
              </w:rPr>
              <w:t>Measures</w:t>
            </w:r>
          </w:p>
        </w:tc>
        <w:tc>
          <w:tcPr>
            <w:tcW w:w="2586" w:type="dxa"/>
            <w:shd w:val="clear" w:color="auto" w:fill="4B91D7"/>
          </w:tcPr>
          <w:p w14:paraId="0F42851A" w14:textId="77777777" w:rsidR="00386D28" w:rsidRPr="00780518" w:rsidRDefault="00386D28">
            <w:pPr>
              <w:pStyle w:val="Table-Heading"/>
              <w:rPr>
                <w:color w:val="FFFFFF" w:themeColor="background1"/>
              </w:rPr>
            </w:pPr>
            <w:r>
              <w:rPr>
                <w:color w:val="FFFFFF" w:themeColor="background1"/>
              </w:rPr>
              <w:t>Sources</w:t>
            </w:r>
          </w:p>
        </w:tc>
        <w:tc>
          <w:tcPr>
            <w:tcW w:w="1405" w:type="dxa"/>
            <w:shd w:val="clear" w:color="auto" w:fill="4B91D7"/>
          </w:tcPr>
          <w:p w14:paraId="05F8E56E" w14:textId="77777777" w:rsidR="00386D28" w:rsidRPr="00780518" w:rsidRDefault="00386D28">
            <w:pPr>
              <w:pStyle w:val="Table-Heading"/>
              <w:rPr>
                <w:color w:val="FFFFFF" w:themeColor="background1"/>
              </w:rPr>
            </w:pPr>
            <w:r>
              <w:rPr>
                <w:color w:val="FFFFFF" w:themeColor="background1"/>
              </w:rPr>
              <w:t>Formative</w:t>
            </w:r>
          </w:p>
        </w:tc>
        <w:tc>
          <w:tcPr>
            <w:tcW w:w="1406" w:type="dxa"/>
            <w:shd w:val="clear" w:color="auto" w:fill="4B91D7"/>
          </w:tcPr>
          <w:p w14:paraId="38865C2B" w14:textId="77777777" w:rsidR="00386D28" w:rsidRPr="00780518" w:rsidRDefault="00386D28">
            <w:pPr>
              <w:pStyle w:val="Table-Heading"/>
              <w:rPr>
                <w:color w:val="FFFFFF" w:themeColor="background1"/>
              </w:rPr>
            </w:pPr>
            <w:r>
              <w:rPr>
                <w:color w:val="FFFFFF" w:themeColor="background1"/>
              </w:rPr>
              <w:t>Interim</w:t>
            </w:r>
          </w:p>
        </w:tc>
        <w:tc>
          <w:tcPr>
            <w:tcW w:w="1406" w:type="dxa"/>
            <w:shd w:val="clear" w:color="auto" w:fill="4B91D7"/>
          </w:tcPr>
          <w:p w14:paraId="158AA1BC" w14:textId="77777777" w:rsidR="00386D28" w:rsidRPr="00780518" w:rsidRDefault="00386D28">
            <w:pPr>
              <w:pStyle w:val="Table-Heading"/>
              <w:rPr>
                <w:color w:val="FFFFFF" w:themeColor="background1"/>
              </w:rPr>
            </w:pPr>
            <w:r>
              <w:rPr>
                <w:color w:val="FFFFFF" w:themeColor="background1"/>
              </w:rPr>
              <w:t>Summative</w:t>
            </w:r>
          </w:p>
        </w:tc>
      </w:tr>
      <w:tr w:rsidR="00386D28" w:rsidRPr="00780518" w14:paraId="6F6E1CE0" w14:textId="77777777">
        <w:trPr>
          <w:cantSplit/>
          <w:trHeight w:val="474"/>
        </w:trPr>
        <w:tc>
          <w:tcPr>
            <w:tcW w:w="2585" w:type="dxa"/>
            <w:shd w:val="clear" w:color="auto" w:fill="auto"/>
          </w:tcPr>
          <w:p w14:paraId="6B42D096" w14:textId="4B8E0E23" w:rsidR="00386D28" w:rsidRDefault="00386D28" w:rsidP="00386D28">
            <w:pPr>
              <w:pStyle w:val="Table-Bullet"/>
            </w:pPr>
            <w:r>
              <w:t>What are the education outcomes for participants?</w:t>
            </w:r>
          </w:p>
          <w:p w14:paraId="7D4901B3" w14:textId="3E3307E5" w:rsidR="00386D28" w:rsidRDefault="00386D28" w:rsidP="00386D28">
            <w:pPr>
              <w:pStyle w:val="Table-Bullet"/>
            </w:pPr>
            <w:r>
              <w:t>What differences are visible between cohorts?</w:t>
            </w:r>
          </w:p>
          <w:p w14:paraId="3DF0AE1A" w14:textId="74D32FED" w:rsidR="00386D28" w:rsidRPr="00780518" w:rsidRDefault="00386D28" w:rsidP="00386D28">
            <w:pPr>
              <w:pStyle w:val="Table-Bullet"/>
            </w:pPr>
            <w:r>
              <w:t>Are any unexpected outcomes observed?</w:t>
            </w:r>
          </w:p>
        </w:tc>
        <w:tc>
          <w:tcPr>
            <w:tcW w:w="2586" w:type="dxa"/>
          </w:tcPr>
          <w:p w14:paraId="15D888E4" w14:textId="7AEA19BF" w:rsidR="00BF751E" w:rsidRDefault="00BF751E" w:rsidP="00BF751E">
            <w:pPr>
              <w:pStyle w:val="Table-Bullet"/>
            </w:pPr>
            <w:r>
              <w:t>Improved engagement with education</w:t>
            </w:r>
          </w:p>
          <w:p w14:paraId="2F08633A" w14:textId="70DAC879" w:rsidR="00BF751E" w:rsidRDefault="00BF751E" w:rsidP="00BF751E">
            <w:pPr>
              <w:pStyle w:val="Table-Bullet"/>
            </w:pPr>
            <w:r>
              <w:t xml:space="preserve">Improved literacy and numeracy and learning </w:t>
            </w:r>
            <w:proofErr w:type="gramStart"/>
            <w:r>
              <w:t>skills</w:t>
            </w:r>
            <w:proofErr w:type="gramEnd"/>
          </w:p>
          <w:p w14:paraId="5554028C" w14:textId="6FD37E16" w:rsidR="00386D28" w:rsidRPr="00780518" w:rsidRDefault="00BF751E" w:rsidP="00BF751E">
            <w:pPr>
              <w:pStyle w:val="Table-Bullet"/>
            </w:pPr>
            <w:r>
              <w:t>Change is visible relative to controls</w:t>
            </w:r>
          </w:p>
        </w:tc>
        <w:tc>
          <w:tcPr>
            <w:tcW w:w="2586" w:type="dxa"/>
          </w:tcPr>
          <w:p w14:paraId="357E8D46" w14:textId="7DE9A3AE" w:rsidR="00BF751E" w:rsidRDefault="00BF751E">
            <w:pPr>
              <w:pStyle w:val="Table-Bullet"/>
            </w:pPr>
            <w:r>
              <w:t>% increase in attendance over</w:t>
            </w:r>
            <w:r w:rsidR="0099040B">
              <w:t xml:space="preserve"> </w:t>
            </w:r>
            <w:r>
              <w:t>time (individual and cohort)</w:t>
            </w:r>
          </w:p>
          <w:p w14:paraId="52FE9344" w14:textId="28EECB64" w:rsidR="00BF751E" w:rsidRDefault="00BF751E" w:rsidP="00BF751E">
            <w:pPr>
              <w:pStyle w:val="Table-Bullet"/>
            </w:pPr>
            <w:r>
              <w:t>% Increase in BKSB results over time</w:t>
            </w:r>
          </w:p>
          <w:p w14:paraId="0B647392" w14:textId="517BAF69" w:rsidR="00BF751E" w:rsidRDefault="00BF751E" w:rsidP="00BF751E">
            <w:pPr>
              <w:pStyle w:val="Table-Bullet"/>
            </w:pPr>
            <w:r>
              <w:t xml:space="preserve">IEP planned outcomes </w:t>
            </w:r>
            <w:proofErr w:type="gramStart"/>
            <w:r>
              <w:t>achieved</w:t>
            </w:r>
            <w:proofErr w:type="gramEnd"/>
          </w:p>
          <w:p w14:paraId="27B24FAE" w14:textId="370D904C" w:rsidR="00BF751E" w:rsidRDefault="00BF751E" w:rsidP="00BF751E">
            <w:pPr>
              <w:pStyle w:val="Table-Bullet"/>
            </w:pPr>
            <w:r>
              <w:t>% increase in SDQ scoring</w:t>
            </w:r>
          </w:p>
          <w:p w14:paraId="7A7580C9" w14:textId="69EBB3D3" w:rsidR="00BF751E" w:rsidRDefault="00BF751E">
            <w:pPr>
              <w:pStyle w:val="Table-Bullet"/>
            </w:pPr>
            <w:r>
              <w:t>Increase in motivation and engagement responses in Student Surveys</w:t>
            </w:r>
          </w:p>
          <w:p w14:paraId="12F28C4E" w14:textId="0CDFB4A7" w:rsidR="00386D28" w:rsidRPr="00780518" w:rsidRDefault="00BF751E" w:rsidP="00BF751E">
            <w:pPr>
              <w:pStyle w:val="Table-Bullet"/>
            </w:pPr>
            <w:r>
              <w:t>Ready to Learn used as a live monitoring and change over time</w:t>
            </w:r>
          </w:p>
        </w:tc>
        <w:tc>
          <w:tcPr>
            <w:tcW w:w="2586" w:type="dxa"/>
          </w:tcPr>
          <w:p w14:paraId="44E48E75" w14:textId="77777777" w:rsidR="0099040B" w:rsidRDefault="0099040B" w:rsidP="0099040B">
            <w:pPr>
              <w:pStyle w:val="Table-Bullet"/>
            </w:pPr>
            <w:r>
              <w:t xml:space="preserve">Government linked </w:t>
            </w:r>
            <w:proofErr w:type="gramStart"/>
            <w:r>
              <w:t>data</w:t>
            </w:r>
            <w:proofErr w:type="gramEnd"/>
          </w:p>
          <w:p w14:paraId="0F3A0190" w14:textId="4EC6B736" w:rsidR="0099040B" w:rsidRDefault="0099040B" w:rsidP="0099040B">
            <w:pPr>
              <w:pStyle w:val="Table-Bullet"/>
            </w:pPr>
            <w:r>
              <w:t>Participant interviews</w:t>
            </w:r>
          </w:p>
          <w:p w14:paraId="3F5AA9BC" w14:textId="7FC6D546" w:rsidR="0099040B" w:rsidRDefault="0099040B" w:rsidP="0099040B">
            <w:pPr>
              <w:pStyle w:val="Table-Bullet"/>
            </w:pPr>
            <w:r>
              <w:t>HHA Attendance data</w:t>
            </w:r>
          </w:p>
          <w:p w14:paraId="142E6286" w14:textId="07ED3A36" w:rsidR="0099040B" w:rsidRDefault="0099040B" w:rsidP="0099040B">
            <w:pPr>
              <w:pStyle w:val="Table-Bullet"/>
            </w:pPr>
            <w:r>
              <w:t>Basic Knowledge Skills Builder (BKSB)</w:t>
            </w:r>
          </w:p>
          <w:p w14:paraId="52865E42" w14:textId="1454EBC4" w:rsidR="0099040B" w:rsidRDefault="0099040B" w:rsidP="0099040B">
            <w:pPr>
              <w:pStyle w:val="Table-Bullet"/>
            </w:pPr>
            <w:r>
              <w:t>Individual Education Plan (IEP)</w:t>
            </w:r>
          </w:p>
          <w:p w14:paraId="07DAF0EF" w14:textId="3BB84C3A" w:rsidR="0099040B" w:rsidRDefault="0099040B" w:rsidP="0099040B">
            <w:pPr>
              <w:pStyle w:val="Table-Bullet"/>
            </w:pPr>
            <w:r>
              <w:t>Strength, Difficulties Questionnaire (SDQ)</w:t>
            </w:r>
          </w:p>
          <w:p w14:paraId="7559A3F6" w14:textId="4BD03F4D" w:rsidR="0099040B" w:rsidRDefault="0099040B" w:rsidP="0099040B">
            <w:pPr>
              <w:pStyle w:val="Table-Bullet"/>
            </w:pPr>
            <w:r>
              <w:t>Student Surveys (HHA and LL)</w:t>
            </w:r>
          </w:p>
          <w:p w14:paraId="776081EA" w14:textId="349659CE" w:rsidR="00386D28" w:rsidRPr="00780518" w:rsidRDefault="0099040B" w:rsidP="0099040B">
            <w:pPr>
              <w:pStyle w:val="Table-Bullet"/>
            </w:pPr>
            <w:r>
              <w:t>Ready to Learn</w:t>
            </w:r>
          </w:p>
        </w:tc>
        <w:tc>
          <w:tcPr>
            <w:tcW w:w="1405" w:type="dxa"/>
          </w:tcPr>
          <w:p w14:paraId="4C64D6AF" w14:textId="15F19108" w:rsidR="00386D28" w:rsidRPr="00780518" w:rsidRDefault="00386D28">
            <w:pPr>
              <w:pStyle w:val="Table-Text"/>
              <w:rPr>
                <w:rFonts w:cs="Arial"/>
                <w:szCs w:val="20"/>
              </w:rPr>
            </w:pPr>
            <w:r>
              <w:rPr>
                <w:rFonts w:cs="Arial"/>
                <w:szCs w:val="20"/>
              </w:rPr>
              <w:t>N/A</w:t>
            </w:r>
          </w:p>
        </w:tc>
        <w:tc>
          <w:tcPr>
            <w:tcW w:w="1406" w:type="dxa"/>
          </w:tcPr>
          <w:p w14:paraId="538CC7F9" w14:textId="2A0DBAF5" w:rsidR="00386D28" w:rsidRPr="00780518" w:rsidRDefault="00386D28">
            <w:pPr>
              <w:pStyle w:val="Table-Text"/>
              <w:rPr>
                <w:rFonts w:cs="Arial"/>
                <w:szCs w:val="20"/>
              </w:rPr>
            </w:pPr>
            <w:r>
              <w:rPr>
                <w:rFonts w:cs="Arial"/>
                <w:szCs w:val="20"/>
              </w:rPr>
              <w:t>Yes</w:t>
            </w:r>
          </w:p>
        </w:tc>
        <w:tc>
          <w:tcPr>
            <w:tcW w:w="1406" w:type="dxa"/>
          </w:tcPr>
          <w:p w14:paraId="5AE07179" w14:textId="7D451644" w:rsidR="00386D28" w:rsidRPr="00780518" w:rsidRDefault="00386D28">
            <w:pPr>
              <w:pStyle w:val="Table-Text"/>
              <w:rPr>
                <w:rFonts w:cs="Arial"/>
                <w:szCs w:val="20"/>
              </w:rPr>
            </w:pPr>
            <w:r>
              <w:rPr>
                <w:rFonts w:cs="Arial"/>
                <w:szCs w:val="20"/>
              </w:rPr>
              <w:t>Yes</w:t>
            </w:r>
          </w:p>
        </w:tc>
      </w:tr>
      <w:tr w:rsidR="00557B80" w:rsidRPr="00780518" w14:paraId="6DAA321C" w14:textId="77777777">
        <w:trPr>
          <w:cantSplit/>
          <w:trHeight w:val="474"/>
        </w:trPr>
        <w:tc>
          <w:tcPr>
            <w:tcW w:w="2585" w:type="dxa"/>
            <w:shd w:val="clear" w:color="auto" w:fill="auto"/>
          </w:tcPr>
          <w:p w14:paraId="3F400AAB" w14:textId="6C27DA13" w:rsidR="00557B80" w:rsidRDefault="00557B80" w:rsidP="00557B80">
            <w:pPr>
              <w:pStyle w:val="Table-Bullet"/>
            </w:pPr>
            <w:r>
              <w:t>What are the relationship outcomes for participants?</w:t>
            </w:r>
          </w:p>
          <w:p w14:paraId="16E61478" w14:textId="698C87FD" w:rsidR="00557B80" w:rsidRDefault="00557B80" w:rsidP="00557B80">
            <w:pPr>
              <w:pStyle w:val="Table-Bullet"/>
            </w:pPr>
            <w:r>
              <w:t>What differences are visible between cohorts?</w:t>
            </w:r>
          </w:p>
          <w:p w14:paraId="11620152" w14:textId="13AC0AFA" w:rsidR="00557B80" w:rsidRDefault="00557B80" w:rsidP="00557B80">
            <w:pPr>
              <w:pStyle w:val="Table-Bullet"/>
            </w:pPr>
            <w:r>
              <w:t>Are any unexpected outcomes observed?</w:t>
            </w:r>
          </w:p>
        </w:tc>
        <w:tc>
          <w:tcPr>
            <w:tcW w:w="2586" w:type="dxa"/>
          </w:tcPr>
          <w:p w14:paraId="72025981" w14:textId="5AB65395" w:rsidR="00557B80" w:rsidRDefault="00557B80" w:rsidP="00557B80">
            <w:pPr>
              <w:pStyle w:val="Table-Bullet"/>
            </w:pPr>
            <w:r>
              <w:t xml:space="preserve">Better relationship building </w:t>
            </w:r>
            <w:proofErr w:type="gramStart"/>
            <w:r>
              <w:t>skills</w:t>
            </w:r>
            <w:proofErr w:type="gramEnd"/>
          </w:p>
          <w:p w14:paraId="5F3090E3" w14:textId="4AF4A051" w:rsidR="00557B80" w:rsidRDefault="00557B80" w:rsidP="00557B80">
            <w:pPr>
              <w:pStyle w:val="Table-Bullet"/>
            </w:pPr>
            <w:r>
              <w:t>Improved relationships with adults and peers</w:t>
            </w:r>
          </w:p>
          <w:p w14:paraId="77D97250" w14:textId="65334B60" w:rsidR="00557B80" w:rsidRDefault="00557B80" w:rsidP="00557B80">
            <w:pPr>
              <w:pStyle w:val="Table-Bullet"/>
            </w:pPr>
            <w:r>
              <w:t>Change is visible relative to controls</w:t>
            </w:r>
          </w:p>
        </w:tc>
        <w:tc>
          <w:tcPr>
            <w:tcW w:w="2586" w:type="dxa"/>
          </w:tcPr>
          <w:p w14:paraId="6C036ADC" w14:textId="3A62763A" w:rsidR="00557B80" w:rsidRDefault="00557B80" w:rsidP="00557B80">
            <w:pPr>
              <w:pStyle w:val="Table-Bullet"/>
            </w:pPr>
            <w:r>
              <w:t>% increase in positive responses over time to key HHA surveys</w:t>
            </w:r>
          </w:p>
        </w:tc>
        <w:tc>
          <w:tcPr>
            <w:tcW w:w="2586" w:type="dxa"/>
          </w:tcPr>
          <w:p w14:paraId="4B8860EB" w14:textId="77777777" w:rsidR="00557B80" w:rsidRDefault="00557B80" w:rsidP="00557B80">
            <w:pPr>
              <w:pStyle w:val="Table-Bullet"/>
            </w:pPr>
            <w:r>
              <w:t>Participant interviews</w:t>
            </w:r>
          </w:p>
          <w:p w14:paraId="49FAFCE6" w14:textId="15BBE8FC" w:rsidR="00557B80" w:rsidRDefault="00557B80" w:rsidP="00557B80">
            <w:pPr>
              <w:pStyle w:val="Table-Bullet"/>
            </w:pPr>
            <w:r>
              <w:t>Case analysis</w:t>
            </w:r>
          </w:p>
          <w:p w14:paraId="3CC4E21D" w14:textId="1E14A36C" w:rsidR="00557B80" w:rsidRDefault="00557B80" w:rsidP="00557B80">
            <w:pPr>
              <w:pStyle w:val="Table-Bullet"/>
            </w:pPr>
            <w:r>
              <w:t>LL Student Outcomes Tracker Survey</w:t>
            </w:r>
          </w:p>
          <w:p w14:paraId="68235537" w14:textId="4EAD16E7" w:rsidR="00557B80" w:rsidRDefault="00557B80" w:rsidP="00557B80">
            <w:pPr>
              <w:pStyle w:val="Table-Bullet"/>
            </w:pPr>
            <w:r>
              <w:t>HHA Student Survey</w:t>
            </w:r>
          </w:p>
          <w:p w14:paraId="5A27673E" w14:textId="6587AD7F" w:rsidR="00557B80" w:rsidRDefault="00557B80" w:rsidP="00557B80">
            <w:pPr>
              <w:pStyle w:val="Table-Bullet"/>
            </w:pPr>
            <w:r>
              <w:t>WILD Survey</w:t>
            </w:r>
          </w:p>
        </w:tc>
        <w:tc>
          <w:tcPr>
            <w:tcW w:w="1405" w:type="dxa"/>
          </w:tcPr>
          <w:p w14:paraId="34B08FF7" w14:textId="1E256A1B" w:rsidR="00557B80" w:rsidRDefault="00557B80" w:rsidP="00557B80">
            <w:pPr>
              <w:pStyle w:val="Table-Text"/>
              <w:rPr>
                <w:rFonts w:cs="Arial"/>
                <w:szCs w:val="20"/>
              </w:rPr>
            </w:pPr>
            <w:r>
              <w:rPr>
                <w:rFonts w:cs="Arial"/>
                <w:szCs w:val="20"/>
              </w:rPr>
              <w:t>N/A</w:t>
            </w:r>
          </w:p>
        </w:tc>
        <w:tc>
          <w:tcPr>
            <w:tcW w:w="1406" w:type="dxa"/>
          </w:tcPr>
          <w:p w14:paraId="748FB36B" w14:textId="1C645AB0" w:rsidR="00557B80" w:rsidRDefault="00557B80" w:rsidP="00557B80">
            <w:pPr>
              <w:pStyle w:val="Table-Text"/>
              <w:rPr>
                <w:rFonts w:cs="Arial"/>
                <w:szCs w:val="20"/>
              </w:rPr>
            </w:pPr>
            <w:r>
              <w:rPr>
                <w:rFonts w:cs="Arial"/>
                <w:szCs w:val="20"/>
              </w:rPr>
              <w:t>Yes</w:t>
            </w:r>
          </w:p>
        </w:tc>
        <w:tc>
          <w:tcPr>
            <w:tcW w:w="1406" w:type="dxa"/>
          </w:tcPr>
          <w:p w14:paraId="47E31505" w14:textId="50F7D359" w:rsidR="00557B80" w:rsidRDefault="00557B80" w:rsidP="00557B80">
            <w:pPr>
              <w:pStyle w:val="Table-Text"/>
              <w:rPr>
                <w:rFonts w:cs="Arial"/>
                <w:szCs w:val="20"/>
              </w:rPr>
            </w:pPr>
            <w:r>
              <w:rPr>
                <w:rFonts w:cs="Arial"/>
                <w:szCs w:val="20"/>
              </w:rPr>
              <w:t>Yes</w:t>
            </w:r>
          </w:p>
        </w:tc>
      </w:tr>
      <w:tr w:rsidR="00557B80" w:rsidRPr="00780518" w14:paraId="68DAAA81" w14:textId="77777777">
        <w:trPr>
          <w:cantSplit/>
          <w:trHeight w:val="474"/>
        </w:trPr>
        <w:tc>
          <w:tcPr>
            <w:tcW w:w="2585" w:type="dxa"/>
            <w:shd w:val="clear" w:color="auto" w:fill="auto"/>
          </w:tcPr>
          <w:p w14:paraId="6F86D196" w14:textId="31104982" w:rsidR="005259B7" w:rsidRDefault="005259B7" w:rsidP="005259B7">
            <w:pPr>
              <w:pStyle w:val="Table-Bullet"/>
            </w:pPr>
            <w:r>
              <w:t>What are the self-efficacy outcomes for participants?</w:t>
            </w:r>
          </w:p>
          <w:p w14:paraId="222354E4" w14:textId="441B2896" w:rsidR="005259B7" w:rsidRDefault="005259B7" w:rsidP="005259B7">
            <w:pPr>
              <w:pStyle w:val="Table-Bullet"/>
            </w:pPr>
            <w:r>
              <w:t>What differences are visible between cohorts?</w:t>
            </w:r>
          </w:p>
          <w:p w14:paraId="57A38E30" w14:textId="407C69CC" w:rsidR="00557B80" w:rsidRDefault="005259B7" w:rsidP="005259B7">
            <w:pPr>
              <w:pStyle w:val="Table-Bullet"/>
            </w:pPr>
            <w:r>
              <w:t>Are any unexpected outcomes observed</w:t>
            </w:r>
          </w:p>
        </w:tc>
        <w:tc>
          <w:tcPr>
            <w:tcW w:w="2586" w:type="dxa"/>
          </w:tcPr>
          <w:p w14:paraId="0687FD87" w14:textId="413EC02F" w:rsidR="005259B7" w:rsidRDefault="005259B7" w:rsidP="005259B7">
            <w:pPr>
              <w:pStyle w:val="Table-Bullet"/>
            </w:pPr>
            <w:r>
              <w:t xml:space="preserve">More capacity to set and work toward personal </w:t>
            </w:r>
            <w:proofErr w:type="gramStart"/>
            <w:r>
              <w:t>goals</w:t>
            </w:r>
            <w:proofErr w:type="gramEnd"/>
          </w:p>
          <w:p w14:paraId="2A15E3E2" w14:textId="5C4B7DB6" w:rsidR="005259B7" w:rsidRDefault="005259B7" w:rsidP="005259B7">
            <w:pPr>
              <w:pStyle w:val="Table-Bullet"/>
            </w:pPr>
            <w:r>
              <w:t>Improved self-</w:t>
            </w:r>
            <w:proofErr w:type="gramStart"/>
            <w:r>
              <w:t>advocacy</w:t>
            </w:r>
            <w:proofErr w:type="gramEnd"/>
          </w:p>
          <w:p w14:paraId="38929A9C" w14:textId="24D425A7" w:rsidR="00557B80" w:rsidRDefault="005259B7" w:rsidP="005259B7">
            <w:pPr>
              <w:pStyle w:val="Table-Bullet"/>
            </w:pPr>
            <w:r>
              <w:t>Change is visible relative to controls</w:t>
            </w:r>
          </w:p>
        </w:tc>
        <w:tc>
          <w:tcPr>
            <w:tcW w:w="2586" w:type="dxa"/>
          </w:tcPr>
          <w:p w14:paraId="249F01CE" w14:textId="77777777" w:rsidR="005259B7" w:rsidRDefault="005259B7" w:rsidP="005259B7">
            <w:pPr>
              <w:pStyle w:val="Table-Bullet"/>
            </w:pPr>
            <w:r>
              <w:t># IEP planned outcomes achieved</w:t>
            </w:r>
          </w:p>
          <w:p w14:paraId="5860DCE0" w14:textId="52369594" w:rsidR="005259B7" w:rsidRDefault="005259B7">
            <w:pPr>
              <w:pStyle w:val="Table-Bullet"/>
            </w:pPr>
            <w:r>
              <w:t>% increase in positive responses</w:t>
            </w:r>
            <w:r w:rsidR="00D92781">
              <w:t xml:space="preserve"> </w:t>
            </w:r>
            <w:r>
              <w:t>over time to key HHA surveys</w:t>
            </w:r>
          </w:p>
          <w:p w14:paraId="6B421DF9" w14:textId="0EB2F6AF" w:rsidR="00557B80" w:rsidRDefault="005259B7" w:rsidP="00D92781">
            <w:pPr>
              <w:pStyle w:val="Table-Bullet"/>
            </w:pPr>
            <w:r>
              <w:t>Ready to Learn used as a live</w:t>
            </w:r>
            <w:r w:rsidR="00D92781">
              <w:t xml:space="preserve"> </w:t>
            </w:r>
            <w:r>
              <w:t>monitoring and change over time</w:t>
            </w:r>
          </w:p>
        </w:tc>
        <w:tc>
          <w:tcPr>
            <w:tcW w:w="2586" w:type="dxa"/>
          </w:tcPr>
          <w:p w14:paraId="29EC2EA4" w14:textId="77777777" w:rsidR="00D92781" w:rsidRDefault="00D92781" w:rsidP="00D92781">
            <w:pPr>
              <w:pStyle w:val="Table-Bullet"/>
            </w:pPr>
            <w:r>
              <w:t>Participant interviews</w:t>
            </w:r>
          </w:p>
          <w:p w14:paraId="64C60E36" w14:textId="2B14C482" w:rsidR="00D92781" w:rsidRDefault="00D92781" w:rsidP="00D92781">
            <w:pPr>
              <w:pStyle w:val="Table-Bullet"/>
            </w:pPr>
            <w:r>
              <w:t>Case analysis</w:t>
            </w:r>
          </w:p>
          <w:p w14:paraId="1D1C1625" w14:textId="74611F90" w:rsidR="00D92781" w:rsidRDefault="00D92781" w:rsidP="00D92781">
            <w:pPr>
              <w:pStyle w:val="Table-Bullet"/>
            </w:pPr>
            <w:r>
              <w:t>Individual Education Plan (IEP)</w:t>
            </w:r>
          </w:p>
          <w:p w14:paraId="598A4BD4" w14:textId="25667505" w:rsidR="00D92781" w:rsidRDefault="00D92781" w:rsidP="00D92781">
            <w:pPr>
              <w:pStyle w:val="Table-Bullet"/>
            </w:pPr>
            <w:r>
              <w:t>Ready to Learn</w:t>
            </w:r>
          </w:p>
          <w:p w14:paraId="6284C859" w14:textId="4A060073" w:rsidR="00557B80" w:rsidRDefault="00D92781" w:rsidP="00D92781">
            <w:pPr>
              <w:pStyle w:val="Table-Bullet"/>
            </w:pPr>
            <w:r>
              <w:t>LL Student Outcomes Tracker</w:t>
            </w:r>
          </w:p>
        </w:tc>
        <w:tc>
          <w:tcPr>
            <w:tcW w:w="1405" w:type="dxa"/>
          </w:tcPr>
          <w:p w14:paraId="1B06F7F1" w14:textId="197D7110" w:rsidR="00557B80" w:rsidRDefault="00557B80" w:rsidP="00557B80">
            <w:pPr>
              <w:pStyle w:val="Table-Text"/>
              <w:rPr>
                <w:rFonts w:cs="Arial"/>
                <w:szCs w:val="20"/>
              </w:rPr>
            </w:pPr>
            <w:r>
              <w:rPr>
                <w:rFonts w:cs="Arial"/>
                <w:szCs w:val="20"/>
              </w:rPr>
              <w:t>N/A</w:t>
            </w:r>
          </w:p>
        </w:tc>
        <w:tc>
          <w:tcPr>
            <w:tcW w:w="1406" w:type="dxa"/>
          </w:tcPr>
          <w:p w14:paraId="7562AAD2" w14:textId="7C672C47" w:rsidR="00557B80" w:rsidRDefault="00557B80" w:rsidP="00557B80">
            <w:pPr>
              <w:pStyle w:val="Table-Text"/>
              <w:rPr>
                <w:rFonts w:cs="Arial"/>
                <w:szCs w:val="20"/>
              </w:rPr>
            </w:pPr>
            <w:r>
              <w:rPr>
                <w:rFonts w:cs="Arial"/>
                <w:szCs w:val="20"/>
              </w:rPr>
              <w:t>Yes</w:t>
            </w:r>
          </w:p>
        </w:tc>
        <w:tc>
          <w:tcPr>
            <w:tcW w:w="1406" w:type="dxa"/>
          </w:tcPr>
          <w:p w14:paraId="6540250F" w14:textId="1D1AAC36" w:rsidR="00557B80" w:rsidRDefault="00557B80" w:rsidP="00557B80">
            <w:pPr>
              <w:pStyle w:val="Table-Text"/>
              <w:rPr>
                <w:rFonts w:cs="Arial"/>
                <w:szCs w:val="20"/>
              </w:rPr>
            </w:pPr>
            <w:r>
              <w:rPr>
                <w:rFonts w:cs="Arial"/>
                <w:szCs w:val="20"/>
              </w:rPr>
              <w:t>Yes</w:t>
            </w:r>
          </w:p>
        </w:tc>
      </w:tr>
      <w:tr w:rsidR="00557B80" w:rsidRPr="00780518" w14:paraId="73BA0C75" w14:textId="77777777">
        <w:trPr>
          <w:cantSplit/>
          <w:trHeight w:val="474"/>
        </w:trPr>
        <w:tc>
          <w:tcPr>
            <w:tcW w:w="2585" w:type="dxa"/>
            <w:shd w:val="clear" w:color="auto" w:fill="auto"/>
          </w:tcPr>
          <w:p w14:paraId="4B9A8120" w14:textId="767069FF" w:rsidR="00333C76" w:rsidRDefault="00333C76" w:rsidP="00333C76">
            <w:pPr>
              <w:pStyle w:val="Table-Bullet"/>
            </w:pPr>
            <w:r>
              <w:t>What are the physical health outcomes for participants?</w:t>
            </w:r>
          </w:p>
          <w:p w14:paraId="01588145" w14:textId="4A4B649B" w:rsidR="00333C76" w:rsidRDefault="00333C76" w:rsidP="00333C76">
            <w:pPr>
              <w:pStyle w:val="Table-Bullet"/>
            </w:pPr>
            <w:r>
              <w:t>What differences are visible between cohorts?</w:t>
            </w:r>
          </w:p>
          <w:p w14:paraId="44942E5D" w14:textId="3B63E2F9" w:rsidR="00557B80" w:rsidRDefault="00333C76" w:rsidP="00333C76">
            <w:pPr>
              <w:pStyle w:val="Table-Bullet"/>
            </w:pPr>
            <w:r>
              <w:t>Are any unexpected outcomes observed?</w:t>
            </w:r>
          </w:p>
        </w:tc>
        <w:tc>
          <w:tcPr>
            <w:tcW w:w="2586" w:type="dxa"/>
          </w:tcPr>
          <w:p w14:paraId="1726CB35" w14:textId="14B5F422" w:rsidR="00333C76" w:rsidRDefault="00333C76" w:rsidP="00333C76">
            <w:pPr>
              <w:pStyle w:val="Table-Bullet"/>
            </w:pPr>
            <w:r>
              <w:t xml:space="preserve">Ongoing health issues are identified and </w:t>
            </w:r>
            <w:proofErr w:type="gramStart"/>
            <w:r>
              <w:t>treated</w:t>
            </w:r>
            <w:proofErr w:type="gramEnd"/>
          </w:p>
          <w:p w14:paraId="464E6F58" w14:textId="5C208667" w:rsidR="00333C76" w:rsidRDefault="00333C76" w:rsidP="00333C76">
            <w:pPr>
              <w:pStyle w:val="Table-Bullet"/>
            </w:pPr>
            <w:r>
              <w:t xml:space="preserve">Improved physical self-care and </w:t>
            </w:r>
            <w:proofErr w:type="gramStart"/>
            <w:r>
              <w:t>nutrition</w:t>
            </w:r>
            <w:proofErr w:type="gramEnd"/>
          </w:p>
          <w:p w14:paraId="03C37F11" w14:textId="4A125A8F" w:rsidR="00557B80" w:rsidRDefault="00333C76" w:rsidP="00333C76">
            <w:pPr>
              <w:pStyle w:val="Table-Bullet"/>
            </w:pPr>
            <w:r>
              <w:t>Change is visible relative to controls</w:t>
            </w:r>
          </w:p>
        </w:tc>
        <w:tc>
          <w:tcPr>
            <w:tcW w:w="2586" w:type="dxa"/>
          </w:tcPr>
          <w:p w14:paraId="52D473CE" w14:textId="77777777" w:rsidR="00333C76" w:rsidRDefault="00333C76" w:rsidP="00333C76">
            <w:pPr>
              <w:pStyle w:val="Table-Bullet"/>
            </w:pPr>
            <w:r>
              <w:t>% increase in positive responses over</w:t>
            </w:r>
          </w:p>
          <w:p w14:paraId="3B6B7F27" w14:textId="77777777" w:rsidR="00333C76" w:rsidRDefault="00333C76" w:rsidP="00333C76">
            <w:pPr>
              <w:pStyle w:val="Table-Bullet"/>
            </w:pPr>
            <w:r>
              <w:t>time (individual and cohort)</w:t>
            </w:r>
          </w:p>
          <w:p w14:paraId="25F9C26D" w14:textId="5C2D3676" w:rsidR="00333C76" w:rsidRDefault="00333C76" w:rsidP="00333C76">
            <w:pPr>
              <w:pStyle w:val="Table-Bullet"/>
            </w:pPr>
            <w:r>
              <w:t>Analysis of qualitative responses</w:t>
            </w:r>
          </w:p>
          <w:p w14:paraId="79A49F78" w14:textId="64A471BB" w:rsidR="00333C76" w:rsidRDefault="00333C76" w:rsidP="00333C76">
            <w:pPr>
              <w:pStyle w:val="Table-Bullet"/>
            </w:pPr>
            <w:r>
              <w:t>Case Note Qualitative Analysis</w:t>
            </w:r>
          </w:p>
          <w:p w14:paraId="7DEE5FBA" w14:textId="0CD5A338" w:rsidR="00557B80" w:rsidRDefault="00333C76" w:rsidP="00333C76">
            <w:pPr>
              <w:pStyle w:val="Table-Bullet"/>
            </w:pPr>
            <w:r>
              <w:t>Hospital Use Analysis</w:t>
            </w:r>
          </w:p>
        </w:tc>
        <w:tc>
          <w:tcPr>
            <w:tcW w:w="2586" w:type="dxa"/>
          </w:tcPr>
          <w:p w14:paraId="153AC79E" w14:textId="77777777" w:rsidR="00BE7461" w:rsidRDefault="00BE7461" w:rsidP="00BE7461">
            <w:pPr>
              <w:pStyle w:val="Table-Bullet"/>
            </w:pPr>
            <w:r>
              <w:t xml:space="preserve">Government linked </w:t>
            </w:r>
            <w:proofErr w:type="gramStart"/>
            <w:r>
              <w:t>data</w:t>
            </w:r>
            <w:proofErr w:type="gramEnd"/>
          </w:p>
          <w:p w14:paraId="0B08C0B5" w14:textId="0FC01AA0" w:rsidR="00BE7461" w:rsidRDefault="00BE7461" w:rsidP="00BE7461">
            <w:pPr>
              <w:pStyle w:val="Table-Bullet"/>
            </w:pPr>
            <w:r>
              <w:t>Participant interviews</w:t>
            </w:r>
          </w:p>
          <w:p w14:paraId="69D59E18" w14:textId="3FB54C72" w:rsidR="00BE7461" w:rsidRDefault="00BE7461" w:rsidP="00BE7461">
            <w:pPr>
              <w:pStyle w:val="Table-Bullet"/>
            </w:pPr>
            <w:r>
              <w:t>Case analysis</w:t>
            </w:r>
          </w:p>
          <w:p w14:paraId="431EDD5A" w14:textId="2B4726F9" w:rsidR="00BE7461" w:rsidRDefault="00BE7461" w:rsidP="00BE7461">
            <w:pPr>
              <w:pStyle w:val="Table-Bullet"/>
            </w:pPr>
            <w:r>
              <w:t>LL Student Outcomes Tracker</w:t>
            </w:r>
          </w:p>
          <w:p w14:paraId="121EAF59" w14:textId="3059669A" w:rsidR="00BE7461" w:rsidRDefault="00BE7461" w:rsidP="00BE7461">
            <w:pPr>
              <w:pStyle w:val="Table-Bullet"/>
            </w:pPr>
            <w:r>
              <w:t>WILD Survey</w:t>
            </w:r>
          </w:p>
          <w:p w14:paraId="3E39A127" w14:textId="210D0209" w:rsidR="00BE7461" w:rsidRDefault="00BE7461" w:rsidP="00BE7461">
            <w:pPr>
              <w:pStyle w:val="Table-Bullet"/>
            </w:pPr>
            <w:r>
              <w:t>Case Note Review</w:t>
            </w:r>
          </w:p>
          <w:p w14:paraId="3CDB5762" w14:textId="3D7DC79D" w:rsidR="00557B80" w:rsidRDefault="00BE7461" w:rsidP="00BE7461">
            <w:pPr>
              <w:pStyle w:val="Table-Bullet"/>
            </w:pPr>
            <w:r>
              <w:t>Hospital Use (Student Self Report)</w:t>
            </w:r>
          </w:p>
        </w:tc>
        <w:tc>
          <w:tcPr>
            <w:tcW w:w="1405" w:type="dxa"/>
          </w:tcPr>
          <w:p w14:paraId="45B42B55" w14:textId="722E9A98" w:rsidR="00557B80" w:rsidRDefault="00557B80" w:rsidP="00557B80">
            <w:pPr>
              <w:pStyle w:val="Table-Text"/>
              <w:rPr>
                <w:rFonts w:cs="Arial"/>
                <w:szCs w:val="20"/>
              </w:rPr>
            </w:pPr>
            <w:r>
              <w:rPr>
                <w:rFonts w:cs="Arial"/>
                <w:szCs w:val="20"/>
              </w:rPr>
              <w:t>N/A</w:t>
            </w:r>
          </w:p>
        </w:tc>
        <w:tc>
          <w:tcPr>
            <w:tcW w:w="1406" w:type="dxa"/>
          </w:tcPr>
          <w:p w14:paraId="2BEF48D4" w14:textId="00EDA14C" w:rsidR="00557B80" w:rsidRDefault="00557B80" w:rsidP="00557B80">
            <w:pPr>
              <w:pStyle w:val="Table-Text"/>
              <w:rPr>
                <w:rFonts w:cs="Arial"/>
                <w:szCs w:val="20"/>
              </w:rPr>
            </w:pPr>
            <w:r>
              <w:rPr>
                <w:rFonts w:cs="Arial"/>
                <w:szCs w:val="20"/>
              </w:rPr>
              <w:t>Yes</w:t>
            </w:r>
          </w:p>
        </w:tc>
        <w:tc>
          <w:tcPr>
            <w:tcW w:w="1406" w:type="dxa"/>
          </w:tcPr>
          <w:p w14:paraId="15C9A48A" w14:textId="37519FA0" w:rsidR="00557B80" w:rsidRDefault="00557B80" w:rsidP="00557B80">
            <w:pPr>
              <w:pStyle w:val="Table-Text"/>
              <w:rPr>
                <w:rFonts w:cs="Arial"/>
                <w:szCs w:val="20"/>
              </w:rPr>
            </w:pPr>
            <w:r>
              <w:rPr>
                <w:rFonts w:cs="Arial"/>
                <w:szCs w:val="20"/>
              </w:rPr>
              <w:t>Yes</w:t>
            </w:r>
          </w:p>
        </w:tc>
      </w:tr>
      <w:tr w:rsidR="00557B80" w:rsidRPr="00780518" w14:paraId="237E1656" w14:textId="77777777">
        <w:trPr>
          <w:cantSplit/>
          <w:trHeight w:val="474"/>
        </w:trPr>
        <w:tc>
          <w:tcPr>
            <w:tcW w:w="2585" w:type="dxa"/>
            <w:shd w:val="clear" w:color="auto" w:fill="auto"/>
          </w:tcPr>
          <w:p w14:paraId="11C4EDB5" w14:textId="3FBD9453" w:rsidR="00BE7461" w:rsidRDefault="00BE7461" w:rsidP="00BE7461">
            <w:pPr>
              <w:pStyle w:val="Table-Bullet"/>
            </w:pPr>
            <w:r>
              <w:t>What are the mental health outcomes for participants?</w:t>
            </w:r>
          </w:p>
          <w:p w14:paraId="4ADFF6DE" w14:textId="24C01347" w:rsidR="00BE7461" w:rsidRDefault="00BE7461" w:rsidP="00BE7461">
            <w:pPr>
              <w:pStyle w:val="Table-Bullet"/>
            </w:pPr>
            <w:r>
              <w:t>What differences are visible between cohorts?</w:t>
            </w:r>
          </w:p>
          <w:p w14:paraId="1D8A1524" w14:textId="0D0E92BF" w:rsidR="00557B80" w:rsidRDefault="00BE7461" w:rsidP="00BE7461">
            <w:pPr>
              <w:pStyle w:val="Table-Bullet"/>
            </w:pPr>
            <w:r>
              <w:t>Are any unexpected outcomes observed?</w:t>
            </w:r>
          </w:p>
        </w:tc>
        <w:tc>
          <w:tcPr>
            <w:tcW w:w="2586" w:type="dxa"/>
          </w:tcPr>
          <w:p w14:paraId="32CB59D5" w14:textId="076268D5" w:rsidR="0021162E" w:rsidRDefault="0021162E" w:rsidP="0021162E">
            <w:pPr>
              <w:pStyle w:val="Table-Bullet"/>
            </w:pPr>
            <w:r>
              <w:t>Stabilisation of mental health</w:t>
            </w:r>
          </w:p>
          <w:p w14:paraId="3E4204DD" w14:textId="195D1C11" w:rsidR="0021162E" w:rsidRDefault="0021162E" w:rsidP="0021162E">
            <w:pPr>
              <w:pStyle w:val="Table-Bullet"/>
            </w:pPr>
            <w:r>
              <w:t>Increased self-determination and self-management of mental health</w:t>
            </w:r>
          </w:p>
          <w:p w14:paraId="5559D820" w14:textId="05C16CE1" w:rsidR="00557B80" w:rsidRDefault="0021162E" w:rsidP="0021162E">
            <w:pPr>
              <w:pStyle w:val="Table-Bullet"/>
            </w:pPr>
            <w:r>
              <w:t>Change is visible relative to controls</w:t>
            </w:r>
          </w:p>
        </w:tc>
        <w:tc>
          <w:tcPr>
            <w:tcW w:w="2586" w:type="dxa"/>
          </w:tcPr>
          <w:p w14:paraId="44029D60" w14:textId="77777777" w:rsidR="0021162E" w:rsidRDefault="0021162E" w:rsidP="0021162E">
            <w:pPr>
              <w:pStyle w:val="Table-Bullet"/>
            </w:pPr>
            <w:r>
              <w:t xml:space="preserve">Baseline data used to inform resource </w:t>
            </w:r>
            <w:proofErr w:type="gramStart"/>
            <w:r>
              <w:t>allocation</w:t>
            </w:r>
            <w:proofErr w:type="gramEnd"/>
          </w:p>
          <w:p w14:paraId="335C3408" w14:textId="18553810" w:rsidR="0021162E" w:rsidRDefault="0021162E" w:rsidP="0021162E">
            <w:pPr>
              <w:pStyle w:val="Table-Bullet"/>
            </w:pPr>
            <w:r>
              <w:t>Treatment Progress (Quantitative)</w:t>
            </w:r>
          </w:p>
          <w:p w14:paraId="7344EDAC" w14:textId="736E8FC1" w:rsidR="0021162E" w:rsidRDefault="0021162E" w:rsidP="0021162E">
            <w:pPr>
              <w:pStyle w:val="Table-Bullet"/>
            </w:pPr>
            <w:r>
              <w:t>Treatment Progress (Qualitative)</w:t>
            </w:r>
          </w:p>
          <w:p w14:paraId="6CECA065" w14:textId="6D14069B" w:rsidR="0021162E" w:rsidRDefault="0021162E">
            <w:pPr>
              <w:pStyle w:val="Table-Bullet"/>
            </w:pPr>
            <w:r>
              <w:t>% increase in positive responses over</w:t>
            </w:r>
            <w:r w:rsidR="00911CFB">
              <w:t xml:space="preserve"> </w:t>
            </w:r>
            <w:r>
              <w:t>time (individual and cohort)</w:t>
            </w:r>
          </w:p>
          <w:p w14:paraId="4CD22EE3" w14:textId="3BB06817" w:rsidR="0021162E" w:rsidRDefault="0021162E" w:rsidP="0021162E">
            <w:pPr>
              <w:pStyle w:val="Table-Bullet"/>
            </w:pPr>
            <w:r>
              <w:t>Analysis of qualitative responses</w:t>
            </w:r>
          </w:p>
          <w:p w14:paraId="72C5197D" w14:textId="4A2EB6F1" w:rsidR="00557B80" w:rsidRDefault="0021162E" w:rsidP="0021162E">
            <w:pPr>
              <w:pStyle w:val="Table-Bullet"/>
            </w:pPr>
            <w:r>
              <w:t>Hospital Use Analysis</w:t>
            </w:r>
          </w:p>
        </w:tc>
        <w:tc>
          <w:tcPr>
            <w:tcW w:w="2586" w:type="dxa"/>
          </w:tcPr>
          <w:p w14:paraId="003731F2" w14:textId="77777777" w:rsidR="00911CFB" w:rsidRDefault="00911CFB" w:rsidP="00911CFB">
            <w:pPr>
              <w:pStyle w:val="Table-Bullet"/>
            </w:pPr>
            <w:r>
              <w:t xml:space="preserve">Government linked </w:t>
            </w:r>
            <w:proofErr w:type="gramStart"/>
            <w:r>
              <w:t>data</w:t>
            </w:r>
            <w:proofErr w:type="gramEnd"/>
          </w:p>
          <w:p w14:paraId="6083AFA2" w14:textId="4EC79D1F" w:rsidR="00911CFB" w:rsidRDefault="00911CFB" w:rsidP="00911CFB">
            <w:pPr>
              <w:pStyle w:val="Table-Bullet"/>
            </w:pPr>
            <w:r>
              <w:t>Participant interviews</w:t>
            </w:r>
          </w:p>
          <w:p w14:paraId="36F5C5D3" w14:textId="66EE31D4" w:rsidR="00911CFB" w:rsidRDefault="00911CFB" w:rsidP="00911CFB">
            <w:pPr>
              <w:pStyle w:val="Table-Bullet"/>
            </w:pPr>
            <w:r>
              <w:t>Case analysis</w:t>
            </w:r>
          </w:p>
          <w:p w14:paraId="0DB30E11" w14:textId="576F1CBE" w:rsidR="00911CFB" w:rsidRDefault="00911CFB" w:rsidP="00911CFB">
            <w:pPr>
              <w:pStyle w:val="Table-Bullet"/>
            </w:pPr>
            <w:r>
              <w:t>Enrolment Data Collection (baseline data)</w:t>
            </w:r>
          </w:p>
          <w:p w14:paraId="292F508F" w14:textId="74FD34B3" w:rsidR="00911CFB" w:rsidRDefault="00911CFB" w:rsidP="00911CFB">
            <w:pPr>
              <w:pStyle w:val="Table-Bullet"/>
            </w:pPr>
            <w:r>
              <w:t>Mental Health Assessment Tools</w:t>
            </w:r>
          </w:p>
          <w:p w14:paraId="17324223" w14:textId="77777777" w:rsidR="00911CFB" w:rsidRDefault="00911CFB" w:rsidP="00911CFB">
            <w:pPr>
              <w:pStyle w:val="Table-Bullet"/>
            </w:pPr>
            <w:r>
              <w:t>(K10, DASS21, RCADS-25)</w:t>
            </w:r>
          </w:p>
          <w:p w14:paraId="7E1FF76D" w14:textId="7215BCFD" w:rsidR="00911CFB" w:rsidRDefault="00911CFB" w:rsidP="00911CFB">
            <w:pPr>
              <w:pStyle w:val="Table-Bullet"/>
            </w:pPr>
            <w:r>
              <w:t>Qualitative Interview (Mental Health Outcomes)</w:t>
            </w:r>
          </w:p>
          <w:p w14:paraId="2B641213" w14:textId="2D52D0F8" w:rsidR="00911CFB" w:rsidRDefault="00911CFB" w:rsidP="00911CFB">
            <w:pPr>
              <w:pStyle w:val="Table-Bullet"/>
            </w:pPr>
            <w:r>
              <w:t>LL Student Outcomes Tracker</w:t>
            </w:r>
          </w:p>
          <w:p w14:paraId="391637F2" w14:textId="08A2CF07" w:rsidR="00911CFB" w:rsidRDefault="00911CFB" w:rsidP="00911CFB">
            <w:pPr>
              <w:pStyle w:val="Table-Bullet"/>
            </w:pPr>
            <w:r>
              <w:t>WILD Survey</w:t>
            </w:r>
          </w:p>
          <w:p w14:paraId="0E6FD6C3" w14:textId="54333F42" w:rsidR="00557B80" w:rsidRDefault="00911CFB" w:rsidP="00911CFB">
            <w:pPr>
              <w:pStyle w:val="Table-Bullet"/>
            </w:pPr>
            <w:r>
              <w:t>Hospital Use (Student Self Report)</w:t>
            </w:r>
          </w:p>
        </w:tc>
        <w:tc>
          <w:tcPr>
            <w:tcW w:w="1405" w:type="dxa"/>
          </w:tcPr>
          <w:p w14:paraId="738E9E2D" w14:textId="197F8570" w:rsidR="00557B80" w:rsidRDefault="00557B80" w:rsidP="00557B80">
            <w:pPr>
              <w:pStyle w:val="Table-Text"/>
              <w:rPr>
                <w:rFonts w:cs="Arial"/>
                <w:szCs w:val="20"/>
              </w:rPr>
            </w:pPr>
            <w:r>
              <w:rPr>
                <w:rFonts w:cs="Arial"/>
                <w:szCs w:val="20"/>
              </w:rPr>
              <w:t>N/A</w:t>
            </w:r>
          </w:p>
        </w:tc>
        <w:tc>
          <w:tcPr>
            <w:tcW w:w="1406" w:type="dxa"/>
          </w:tcPr>
          <w:p w14:paraId="41570C0C" w14:textId="4C2EE42A" w:rsidR="00557B80" w:rsidRDefault="00557B80" w:rsidP="00557B80">
            <w:pPr>
              <w:pStyle w:val="Table-Text"/>
              <w:rPr>
                <w:rFonts w:cs="Arial"/>
                <w:szCs w:val="20"/>
              </w:rPr>
            </w:pPr>
            <w:r>
              <w:rPr>
                <w:rFonts w:cs="Arial"/>
                <w:szCs w:val="20"/>
              </w:rPr>
              <w:t>Yes</w:t>
            </w:r>
          </w:p>
        </w:tc>
        <w:tc>
          <w:tcPr>
            <w:tcW w:w="1406" w:type="dxa"/>
          </w:tcPr>
          <w:p w14:paraId="4376112F" w14:textId="3DF40E3A" w:rsidR="00557B80" w:rsidRDefault="00557B80" w:rsidP="00557B80">
            <w:pPr>
              <w:pStyle w:val="Table-Text"/>
              <w:rPr>
                <w:rFonts w:cs="Arial"/>
                <w:szCs w:val="20"/>
              </w:rPr>
            </w:pPr>
            <w:r>
              <w:rPr>
                <w:rFonts w:cs="Arial"/>
                <w:szCs w:val="20"/>
              </w:rPr>
              <w:t>Yes</w:t>
            </w:r>
          </w:p>
        </w:tc>
      </w:tr>
      <w:tr w:rsidR="00557B80" w:rsidRPr="00780518" w14:paraId="65D2AB9E" w14:textId="77777777">
        <w:trPr>
          <w:cantSplit/>
          <w:trHeight w:val="474"/>
        </w:trPr>
        <w:tc>
          <w:tcPr>
            <w:tcW w:w="2585" w:type="dxa"/>
            <w:shd w:val="clear" w:color="auto" w:fill="auto"/>
          </w:tcPr>
          <w:p w14:paraId="50E35B21" w14:textId="4397484F" w:rsidR="003503BE" w:rsidRDefault="003503BE" w:rsidP="003503BE">
            <w:pPr>
              <w:pStyle w:val="Table-Bullet"/>
            </w:pPr>
            <w:r>
              <w:t>What are the justice outcomes for participants?</w:t>
            </w:r>
          </w:p>
          <w:p w14:paraId="3D2BE4F1" w14:textId="4C201FCE" w:rsidR="003503BE" w:rsidRDefault="003503BE" w:rsidP="003503BE">
            <w:pPr>
              <w:pStyle w:val="Table-Bullet"/>
            </w:pPr>
            <w:r>
              <w:t>What differences are visible between cohorts?</w:t>
            </w:r>
          </w:p>
          <w:p w14:paraId="7B13E8DE" w14:textId="57FAD73A" w:rsidR="00557B80" w:rsidRDefault="003503BE" w:rsidP="003503BE">
            <w:pPr>
              <w:pStyle w:val="Table-Bullet"/>
            </w:pPr>
            <w:r>
              <w:t>Are any unexpected outcomes observed?</w:t>
            </w:r>
          </w:p>
        </w:tc>
        <w:tc>
          <w:tcPr>
            <w:tcW w:w="2586" w:type="dxa"/>
          </w:tcPr>
          <w:p w14:paraId="3A193441" w14:textId="7A7183F8" w:rsidR="003503BE" w:rsidRDefault="003503BE" w:rsidP="003503BE">
            <w:pPr>
              <w:pStyle w:val="Table-Bullet"/>
            </w:pPr>
            <w:r>
              <w:t>Justice system contacts</w:t>
            </w:r>
          </w:p>
          <w:p w14:paraId="73F661D3" w14:textId="02F325A0" w:rsidR="003503BE" w:rsidRDefault="003503BE" w:rsidP="003503BE">
            <w:pPr>
              <w:pStyle w:val="Table-Bullet"/>
            </w:pPr>
            <w:r>
              <w:t>Justice system outcomes</w:t>
            </w:r>
          </w:p>
          <w:p w14:paraId="45D98DD3" w14:textId="4E13CF0B" w:rsidR="00557B80" w:rsidRDefault="003503BE" w:rsidP="003503BE">
            <w:pPr>
              <w:pStyle w:val="Table-Bullet"/>
            </w:pPr>
            <w:r>
              <w:t>Change is visible relative to controls</w:t>
            </w:r>
          </w:p>
        </w:tc>
        <w:tc>
          <w:tcPr>
            <w:tcW w:w="2586" w:type="dxa"/>
          </w:tcPr>
          <w:p w14:paraId="78A4CE9B" w14:textId="77777777" w:rsidR="004A5007" w:rsidRDefault="004A5007" w:rsidP="004A5007">
            <w:pPr>
              <w:pStyle w:val="Table-Bullet"/>
            </w:pPr>
            <w:r>
              <w:t>Days subject to corrections orders</w:t>
            </w:r>
          </w:p>
          <w:p w14:paraId="4622B730" w14:textId="2FC94AA5" w:rsidR="00557B80" w:rsidRDefault="004A5007" w:rsidP="004A5007">
            <w:pPr>
              <w:pStyle w:val="Table-Bullet"/>
            </w:pPr>
            <w:r>
              <w:t>Number of police contacts</w:t>
            </w:r>
          </w:p>
        </w:tc>
        <w:tc>
          <w:tcPr>
            <w:tcW w:w="2586" w:type="dxa"/>
          </w:tcPr>
          <w:p w14:paraId="1E7A423B" w14:textId="77777777" w:rsidR="004A5007" w:rsidRDefault="004A5007" w:rsidP="004A5007">
            <w:pPr>
              <w:pStyle w:val="Table-Bullet"/>
            </w:pPr>
            <w:r>
              <w:t>Participant interviews</w:t>
            </w:r>
          </w:p>
          <w:p w14:paraId="534B8E33" w14:textId="0BBEE567" w:rsidR="004A5007" w:rsidRDefault="004A5007" w:rsidP="004A5007">
            <w:pPr>
              <w:pStyle w:val="Table-Bullet"/>
            </w:pPr>
            <w:r>
              <w:t>Case analysis</w:t>
            </w:r>
          </w:p>
          <w:p w14:paraId="3CDA769E" w14:textId="2F6DD08D" w:rsidR="00557B80" w:rsidRDefault="004A5007" w:rsidP="004A5007">
            <w:pPr>
              <w:pStyle w:val="Table-Bullet"/>
            </w:pPr>
            <w:r>
              <w:t>Government linked data</w:t>
            </w:r>
          </w:p>
        </w:tc>
        <w:tc>
          <w:tcPr>
            <w:tcW w:w="1405" w:type="dxa"/>
          </w:tcPr>
          <w:p w14:paraId="24055E7F" w14:textId="0FA04F06" w:rsidR="00557B80" w:rsidRDefault="00557B80" w:rsidP="00557B80">
            <w:pPr>
              <w:pStyle w:val="Table-Text"/>
              <w:rPr>
                <w:rFonts w:cs="Arial"/>
                <w:szCs w:val="20"/>
              </w:rPr>
            </w:pPr>
            <w:r>
              <w:rPr>
                <w:rFonts w:cs="Arial"/>
                <w:szCs w:val="20"/>
              </w:rPr>
              <w:t>N/A</w:t>
            </w:r>
          </w:p>
        </w:tc>
        <w:tc>
          <w:tcPr>
            <w:tcW w:w="1406" w:type="dxa"/>
          </w:tcPr>
          <w:p w14:paraId="7D06F278" w14:textId="140446F7" w:rsidR="00557B80" w:rsidRDefault="00557B80" w:rsidP="00557B80">
            <w:pPr>
              <w:pStyle w:val="Table-Text"/>
              <w:rPr>
                <w:rFonts w:cs="Arial"/>
                <w:szCs w:val="20"/>
              </w:rPr>
            </w:pPr>
            <w:r>
              <w:rPr>
                <w:rFonts w:cs="Arial"/>
                <w:szCs w:val="20"/>
              </w:rPr>
              <w:t>Yes</w:t>
            </w:r>
          </w:p>
        </w:tc>
        <w:tc>
          <w:tcPr>
            <w:tcW w:w="1406" w:type="dxa"/>
          </w:tcPr>
          <w:p w14:paraId="0E90D89D" w14:textId="03232489" w:rsidR="00557B80" w:rsidRDefault="00557B80" w:rsidP="00557B80">
            <w:pPr>
              <w:pStyle w:val="Table-Text"/>
              <w:rPr>
                <w:rFonts w:cs="Arial"/>
                <w:szCs w:val="20"/>
              </w:rPr>
            </w:pPr>
            <w:r>
              <w:rPr>
                <w:rFonts w:cs="Arial"/>
                <w:szCs w:val="20"/>
              </w:rPr>
              <w:t>Yes</w:t>
            </w:r>
          </w:p>
        </w:tc>
      </w:tr>
      <w:tr w:rsidR="00557B80" w:rsidRPr="00780518" w14:paraId="57311955" w14:textId="77777777">
        <w:trPr>
          <w:cantSplit/>
          <w:trHeight w:val="474"/>
        </w:trPr>
        <w:tc>
          <w:tcPr>
            <w:tcW w:w="2585" w:type="dxa"/>
            <w:shd w:val="clear" w:color="auto" w:fill="auto"/>
          </w:tcPr>
          <w:p w14:paraId="468809AE" w14:textId="4C3C7C70" w:rsidR="004A5007" w:rsidRDefault="004A5007" w:rsidP="004A5007">
            <w:pPr>
              <w:pStyle w:val="Table-Bullet"/>
            </w:pPr>
            <w:r>
              <w:t>What are the housing and homelessness outcomes for participants?</w:t>
            </w:r>
          </w:p>
          <w:p w14:paraId="6BE822C3" w14:textId="71CBBF3A" w:rsidR="004A5007" w:rsidRDefault="004A5007" w:rsidP="004A5007">
            <w:pPr>
              <w:pStyle w:val="Table-Bullet"/>
            </w:pPr>
            <w:r>
              <w:t>What differences are visible between cohorts?</w:t>
            </w:r>
          </w:p>
          <w:p w14:paraId="14762110" w14:textId="438A88C7" w:rsidR="00557B80" w:rsidRDefault="004A5007" w:rsidP="004A5007">
            <w:pPr>
              <w:pStyle w:val="Table-Bullet"/>
            </w:pPr>
            <w:r>
              <w:t>Are any unexpected outcomes observed?</w:t>
            </w:r>
          </w:p>
        </w:tc>
        <w:tc>
          <w:tcPr>
            <w:tcW w:w="2586" w:type="dxa"/>
          </w:tcPr>
          <w:p w14:paraId="18D81077" w14:textId="5EDEFBC9" w:rsidR="00862B7B" w:rsidRDefault="00862B7B" w:rsidP="00862B7B">
            <w:pPr>
              <w:pStyle w:val="Table-Bullet"/>
            </w:pPr>
            <w:r>
              <w:t>Housing status among participants</w:t>
            </w:r>
          </w:p>
          <w:p w14:paraId="33FC61D9" w14:textId="0532052A" w:rsidR="00862B7B" w:rsidRDefault="00862B7B" w:rsidP="00862B7B">
            <w:pPr>
              <w:pStyle w:val="Table-Bullet"/>
            </w:pPr>
            <w:r>
              <w:t>Homelessness system contacts</w:t>
            </w:r>
          </w:p>
          <w:p w14:paraId="12DF182A" w14:textId="744299A5" w:rsidR="00557B80" w:rsidRDefault="00862B7B" w:rsidP="00862B7B">
            <w:pPr>
              <w:pStyle w:val="Table-Bullet"/>
            </w:pPr>
            <w:r>
              <w:t>Change is visible relative to controls</w:t>
            </w:r>
          </w:p>
        </w:tc>
        <w:tc>
          <w:tcPr>
            <w:tcW w:w="2586" w:type="dxa"/>
          </w:tcPr>
          <w:p w14:paraId="7874FD67" w14:textId="77777777" w:rsidR="00862B7B" w:rsidRDefault="00862B7B" w:rsidP="00862B7B">
            <w:pPr>
              <w:pStyle w:val="Table-Bullet"/>
            </w:pPr>
            <w:r>
              <w:t xml:space="preserve">Point in time housing </w:t>
            </w:r>
            <w:proofErr w:type="gramStart"/>
            <w:r>
              <w:t>status</w:t>
            </w:r>
            <w:proofErr w:type="gramEnd"/>
          </w:p>
          <w:p w14:paraId="3B2A61FD" w14:textId="74CBC611" w:rsidR="00862B7B" w:rsidRDefault="00862B7B" w:rsidP="00862B7B">
            <w:pPr>
              <w:pStyle w:val="Table-Bullet"/>
            </w:pPr>
            <w:r>
              <w:t>Changes in housing status</w:t>
            </w:r>
          </w:p>
          <w:p w14:paraId="13AEC353" w14:textId="3F1650D3" w:rsidR="00557B80" w:rsidRDefault="00862B7B" w:rsidP="00862B7B">
            <w:pPr>
              <w:pStyle w:val="Table-Bullet"/>
            </w:pPr>
            <w:r>
              <w:t>Homelessness system contacts.</w:t>
            </w:r>
          </w:p>
        </w:tc>
        <w:tc>
          <w:tcPr>
            <w:tcW w:w="2586" w:type="dxa"/>
          </w:tcPr>
          <w:p w14:paraId="7F5683A8" w14:textId="77777777" w:rsidR="00862B7B" w:rsidRDefault="00862B7B" w:rsidP="00862B7B">
            <w:pPr>
              <w:pStyle w:val="Table-Bullet"/>
            </w:pPr>
            <w:r>
              <w:t>Participant interviews</w:t>
            </w:r>
          </w:p>
          <w:p w14:paraId="3505BE64" w14:textId="3CB2055D" w:rsidR="00862B7B" w:rsidRDefault="00862B7B" w:rsidP="00862B7B">
            <w:pPr>
              <w:pStyle w:val="Table-Bullet"/>
            </w:pPr>
            <w:r>
              <w:t>Case analysis</w:t>
            </w:r>
          </w:p>
          <w:p w14:paraId="3288063E" w14:textId="7DCA5691" w:rsidR="00557B80" w:rsidRDefault="00862B7B" w:rsidP="00862B7B">
            <w:pPr>
              <w:pStyle w:val="Table-Bullet"/>
            </w:pPr>
            <w:r>
              <w:t>Government linked data</w:t>
            </w:r>
          </w:p>
        </w:tc>
        <w:tc>
          <w:tcPr>
            <w:tcW w:w="1405" w:type="dxa"/>
          </w:tcPr>
          <w:p w14:paraId="2764501E" w14:textId="4915CC25" w:rsidR="00557B80" w:rsidRDefault="00557B80" w:rsidP="00557B80">
            <w:pPr>
              <w:pStyle w:val="Table-Text"/>
              <w:rPr>
                <w:rFonts w:cs="Arial"/>
                <w:szCs w:val="20"/>
              </w:rPr>
            </w:pPr>
            <w:r>
              <w:rPr>
                <w:rFonts w:cs="Arial"/>
                <w:szCs w:val="20"/>
              </w:rPr>
              <w:t>N/A</w:t>
            </w:r>
          </w:p>
        </w:tc>
        <w:tc>
          <w:tcPr>
            <w:tcW w:w="1406" w:type="dxa"/>
          </w:tcPr>
          <w:p w14:paraId="4E624F56" w14:textId="6445743E" w:rsidR="00557B80" w:rsidRDefault="00557B80" w:rsidP="00557B80">
            <w:pPr>
              <w:pStyle w:val="Table-Text"/>
              <w:rPr>
                <w:rFonts w:cs="Arial"/>
                <w:szCs w:val="20"/>
              </w:rPr>
            </w:pPr>
            <w:r>
              <w:rPr>
                <w:rFonts w:cs="Arial"/>
                <w:szCs w:val="20"/>
              </w:rPr>
              <w:t>Yes</w:t>
            </w:r>
          </w:p>
        </w:tc>
        <w:tc>
          <w:tcPr>
            <w:tcW w:w="1406" w:type="dxa"/>
          </w:tcPr>
          <w:p w14:paraId="2C8A782D" w14:textId="57894F54" w:rsidR="00557B80" w:rsidRDefault="00557B80" w:rsidP="00557B80">
            <w:pPr>
              <w:pStyle w:val="Table-Text"/>
              <w:rPr>
                <w:rFonts w:cs="Arial"/>
                <w:szCs w:val="20"/>
              </w:rPr>
            </w:pPr>
            <w:r>
              <w:rPr>
                <w:rFonts w:cs="Arial"/>
                <w:szCs w:val="20"/>
              </w:rPr>
              <w:t>Yes</w:t>
            </w:r>
          </w:p>
        </w:tc>
      </w:tr>
      <w:tr w:rsidR="00094AB5" w:rsidRPr="00780518" w14:paraId="44F42EF6" w14:textId="77777777">
        <w:trPr>
          <w:cantSplit/>
          <w:trHeight w:val="474"/>
        </w:trPr>
        <w:tc>
          <w:tcPr>
            <w:tcW w:w="2585" w:type="dxa"/>
            <w:shd w:val="clear" w:color="auto" w:fill="auto"/>
          </w:tcPr>
          <w:p w14:paraId="6141AA17" w14:textId="7AFA773F" w:rsidR="00094AB5" w:rsidRDefault="00094AB5" w:rsidP="00094AB5">
            <w:pPr>
              <w:pStyle w:val="Table-Bullet"/>
            </w:pPr>
            <w:r w:rsidRPr="00094AB5">
              <w:t>What other outcomes are observed for participants?</w:t>
            </w:r>
          </w:p>
        </w:tc>
        <w:tc>
          <w:tcPr>
            <w:tcW w:w="2586" w:type="dxa"/>
          </w:tcPr>
          <w:p w14:paraId="2F271F94" w14:textId="76A362C2" w:rsidR="00094AB5" w:rsidRDefault="00094AB5" w:rsidP="00094AB5">
            <w:pPr>
              <w:pStyle w:val="Table-Bullet"/>
            </w:pPr>
            <w:r w:rsidRPr="00094AB5">
              <w:t>Participant reported additional outcomes not otherwise identified.</w:t>
            </w:r>
          </w:p>
        </w:tc>
        <w:tc>
          <w:tcPr>
            <w:tcW w:w="2586" w:type="dxa"/>
          </w:tcPr>
          <w:p w14:paraId="5055E4CE" w14:textId="77777777" w:rsidR="00094AB5" w:rsidRDefault="00094AB5" w:rsidP="00094AB5">
            <w:pPr>
              <w:pStyle w:val="Table-Bullet"/>
            </w:pPr>
            <w:r>
              <w:t xml:space="preserve">Participant reported </w:t>
            </w:r>
            <w:proofErr w:type="gramStart"/>
            <w:r>
              <w:t>outcomes</w:t>
            </w:r>
            <w:proofErr w:type="gramEnd"/>
          </w:p>
          <w:p w14:paraId="0AF347D6" w14:textId="054C82B8" w:rsidR="00094AB5" w:rsidRDefault="00094AB5" w:rsidP="00094AB5">
            <w:pPr>
              <w:pStyle w:val="Table-Bullet"/>
            </w:pPr>
            <w:r>
              <w:t>Stakeholder reported outcomes.</w:t>
            </w:r>
          </w:p>
        </w:tc>
        <w:tc>
          <w:tcPr>
            <w:tcW w:w="2586" w:type="dxa"/>
          </w:tcPr>
          <w:p w14:paraId="5F5685A1" w14:textId="77777777" w:rsidR="00094AB5" w:rsidRDefault="00094AB5" w:rsidP="00094AB5">
            <w:pPr>
              <w:pStyle w:val="Table-Bullet"/>
            </w:pPr>
            <w:r>
              <w:t>Participant interviews</w:t>
            </w:r>
          </w:p>
          <w:p w14:paraId="321792C4" w14:textId="72F08C5C" w:rsidR="00094AB5" w:rsidRDefault="00094AB5" w:rsidP="00094AB5">
            <w:pPr>
              <w:pStyle w:val="Table-Bullet"/>
            </w:pPr>
            <w:r>
              <w:t>Case analysis</w:t>
            </w:r>
          </w:p>
        </w:tc>
        <w:tc>
          <w:tcPr>
            <w:tcW w:w="1405" w:type="dxa"/>
          </w:tcPr>
          <w:p w14:paraId="4D66419E" w14:textId="600C3119" w:rsidR="00094AB5" w:rsidRDefault="00094AB5" w:rsidP="00094AB5">
            <w:pPr>
              <w:pStyle w:val="Table-Text"/>
              <w:rPr>
                <w:rFonts w:cs="Arial"/>
                <w:szCs w:val="20"/>
              </w:rPr>
            </w:pPr>
            <w:r>
              <w:rPr>
                <w:rFonts w:cs="Arial"/>
                <w:szCs w:val="20"/>
              </w:rPr>
              <w:t>N/A</w:t>
            </w:r>
          </w:p>
        </w:tc>
        <w:tc>
          <w:tcPr>
            <w:tcW w:w="1406" w:type="dxa"/>
          </w:tcPr>
          <w:p w14:paraId="66F03120" w14:textId="4EC47368" w:rsidR="00094AB5" w:rsidRDefault="00094AB5" w:rsidP="00094AB5">
            <w:pPr>
              <w:pStyle w:val="Table-Text"/>
              <w:rPr>
                <w:rFonts w:cs="Arial"/>
                <w:szCs w:val="20"/>
              </w:rPr>
            </w:pPr>
            <w:r>
              <w:rPr>
                <w:rFonts w:cs="Arial"/>
                <w:szCs w:val="20"/>
              </w:rPr>
              <w:t>Yes</w:t>
            </w:r>
          </w:p>
        </w:tc>
        <w:tc>
          <w:tcPr>
            <w:tcW w:w="1406" w:type="dxa"/>
          </w:tcPr>
          <w:p w14:paraId="27997397" w14:textId="618C4920" w:rsidR="00094AB5" w:rsidRDefault="00094AB5" w:rsidP="00094AB5">
            <w:pPr>
              <w:pStyle w:val="Table-Text"/>
              <w:rPr>
                <w:rFonts w:cs="Arial"/>
                <w:szCs w:val="20"/>
              </w:rPr>
            </w:pPr>
            <w:r>
              <w:rPr>
                <w:rFonts w:cs="Arial"/>
                <w:szCs w:val="20"/>
              </w:rPr>
              <w:t>Yes</w:t>
            </w:r>
          </w:p>
        </w:tc>
      </w:tr>
    </w:tbl>
    <w:p w14:paraId="4D6CA527" w14:textId="660A9B07" w:rsidR="00EE01A9" w:rsidRDefault="00094AB5" w:rsidP="00094AB5">
      <w:pPr>
        <w:pStyle w:val="Caption"/>
      </w:pPr>
      <w:bookmarkStart w:id="116" w:name="_Toc150431589"/>
      <w:bookmarkStart w:id="117" w:name="_Toc150431966"/>
      <w:r>
        <w:t xml:space="preserve">Table </w:t>
      </w:r>
      <w:r>
        <w:fldChar w:fldCharType="begin"/>
      </w:r>
      <w:r>
        <w:instrText xml:space="preserve"> SEQ Table \* ARABIC </w:instrText>
      </w:r>
      <w:r>
        <w:fldChar w:fldCharType="separate"/>
      </w:r>
      <w:r w:rsidR="008D0FC1">
        <w:rPr>
          <w:noProof/>
        </w:rPr>
        <w:t>16</w:t>
      </w:r>
      <w:r>
        <w:fldChar w:fldCharType="end"/>
      </w:r>
      <w:r>
        <w:t xml:space="preserve"> KEQ </w:t>
      </w:r>
      <w:r w:rsidR="005630DA" w:rsidRPr="005630DA">
        <w:t>O2: What outcomes or impacts are observed for other program stakeholders?</w:t>
      </w:r>
      <w:bookmarkEnd w:id="116"/>
      <w:bookmarkEnd w:id="117"/>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5630DA" w:rsidRPr="00780518" w14:paraId="246A31C8" w14:textId="77777777">
        <w:trPr>
          <w:cantSplit/>
          <w:trHeight w:val="474"/>
          <w:tblHeader/>
        </w:trPr>
        <w:tc>
          <w:tcPr>
            <w:tcW w:w="2585" w:type="dxa"/>
            <w:shd w:val="clear" w:color="auto" w:fill="4B91D7"/>
          </w:tcPr>
          <w:p w14:paraId="3A89FB95" w14:textId="77777777" w:rsidR="005630DA" w:rsidRPr="00780518" w:rsidRDefault="005630DA">
            <w:pPr>
              <w:pStyle w:val="Table-Heading"/>
              <w:rPr>
                <w:color w:val="FFFFFF" w:themeColor="background1"/>
              </w:rPr>
            </w:pPr>
            <w:r>
              <w:rPr>
                <w:color w:val="FFFFFF" w:themeColor="background1"/>
              </w:rPr>
              <w:t>Sub-questions</w:t>
            </w:r>
          </w:p>
        </w:tc>
        <w:tc>
          <w:tcPr>
            <w:tcW w:w="2586" w:type="dxa"/>
            <w:shd w:val="clear" w:color="auto" w:fill="4B91D7"/>
          </w:tcPr>
          <w:p w14:paraId="5A85674F" w14:textId="77777777" w:rsidR="005630DA" w:rsidRPr="00780518" w:rsidRDefault="005630DA">
            <w:pPr>
              <w:pStyle w:val="Table-Heading"/>
              <w:rPr>
                <w:color w:val="FFFFFF" w:themeColor="background1"/>
              </w:rPr>
            </w:pPr>
            <w:r>
              <w:rPr>
                <w:color w:val="FFFFFF" w:themeColor="background1"/>
              </w:rPr>
              <w:t>Indicators</w:t>
            </w:r>
          </w:p>
        </w:tc>
        <w:tc>
          <w:tcPr>
            <w:tcW w:w="2586" w:type="dxa"/>
            <w:shd w:val="clear" w:color="auto" w:fill="4B91D7"/>
          </w:tcPr>
          <w:p w14:paraId="4AD915EB" w14:textId="77777777" w:rsidR="005630DA" w:rsidRPr="00780518" w:rsidRDefault="005630DA">
            <w:pPr>
              <w:pStyle w:val="Table-Heading"/>
              <w:rPr>
                <w:color w:val="FFFFFF" w:themeColor="background1"/>
              </w:rPr>
            </w:pPr>
            <w:r>
              <w:rPr>
                <w:color w:val="FFFFFF" w:themeColor="background1"/>
              </w:rPr>
              <w:t>Measures</w:t>
            </w:r>
          </w:p>
        </w:tc>
        <w:tc>
          <w:tcPr>
            <w:tcW w:w="2586" w:type="dxa"/>
            <w:shd w:val="clear" w:color="auto" w:fill="4B91D7"/>
          </w:tcPr>
          <w:p w14:paraId="052AB882" w14:textId="77777777" w:rsidR="005630DA" w:rsidRPr="00780518" w:rsidRDefault="005630DA">
            <w:pPr>
              <w:pStyle w:val="Table-Heading"/>
              <w:rPr>
                <w:color w:val="FFFFFF" w:themeColor="background1"/>
              </w:rPr>
            </w:pPr>
            <w:r>
              <w:rPr>
                <w:color w:val="FFFFFF" w:themeColor="background1"/>
              </w:rPr>
              <w:t>Sources</w:t>
            </w:r>
          </w:p>
        </w:tc>
        <w:tc>
          <w:tcPr>
            <w:tcW w:w="1405" w:type="dxa"/>
            <w:shd w:val="clear" w:color="auto" w:fill="4B91D7"/>
          </w:tcPr>
          <w:p w14:paraId="52F5086D" w14:textId="77777777" w:rsidR="005630DA" w:rsidRPr="00780518" w:rsidRDefault="005630DA">
            <w:pPr>
              <w:pStyle w:val="Table-Heading"/>
              <w:rPr>
                <w:color w:val="FFFFFF" w:themeColor="background1"/>
              </w:rPr>
            </w:pPr>
            <w:r>
              <w:rPr>
                <w:color w:val="FFFFFF" w:themeColor="background1"/>
              </w:rPr>
              <w:t>Formative</w:t>
            </w:r>
          </w:p>
        </w:tc>
        <w:tc>
          <w:tcPr>
            <w:tcW w:w="1406" w:type="dxa"/>
            <w:shd w:val="clear" w:color="auto" w:fill="4B91D7"/>
          </w:tcPr>
          <w:p w14:paraId="1D511617" w14:textId="77777777" w:rsidR="005630DA" w:rsidRPr="00780518" w:rsidRDefault="005630DA">
            <w:pPr>
              <w:pStyle w:val="Table-Heading"/>
              <w:rPr>
                <w:color w:val="FFFFFF" w:themeColor="background1"/>
              </w:rPr>
            </w:pPr>
            <w:r>
              <w:rPr>
                <w:color w:val="FFFFFF" w:themeColor="background1"/>
              </w:rPr>
              <w:t>Interim</w:t>
            </w:r>
          </w:p>
        </w:tc>
        <w:tc>
          <w:tcPr>
            <w:tcW w:w="1406" w:type="dxa"/>
            <w:shd w:val="clear" w:color="auto" w:fill="4B91D7"/>
          </w:tcPr>
          <w:p w14:paraId="4AC937B0" w14:textId="77777777" w:rsidR="005630DA" w:rsidRPr="00780518" w:rsidRDefault="005630DA">
            <w:pPr>
              <w:pStyle w:val="Table-Heading"/>
              <w:rPr>
                <w:color w:val="FFFFFF" w:themeColor="background1"/>
              </w:rPr>
            </w:pPr>
            <w:r>
              <w:rPr>
                <w:color w:val="FFFFFF" w:themeColor="background1"/>
              </w:rPr>
              <w:t>Summative</w:t>
            </w:r>
          </w:p>
        </w:tc>
      </w:tr>
      <w:tr w:rsidR="0036289A" w:rsidRPr="00780518" w14:paraId="276A62BA" w14:textId="77777777">
        <w:trPr>
          <w:cantSplit/>
          <w:trHeight w:val="474"/>
        </w:trPr>
        <w:tc>
          <w:tcPr>
            <w:tcW w:w="2585" w:type="dxa"/>
            <w:shd w:val="clear" w:color="auto" w:fill="auto"/>
          </w:tcPr>
          <w:p w14:paraId="30A1694A" w14:textId="01D80F00" w:rsidR="0036289A" w:rsidRDefault="0036289A" w:rsidP="0036289A">
            <w:pPr>
              <w:pStyle w:val="Table-Bullet"/>
            </w:pPr>
            <w:r>
              <w:t>What impacts are observed for students who are not enrolled program participants?</w:t>
            </w:r>
          </w:p>
          <w:p w14:paraId="3B511A4B" w14:textId="045AD89A" w:rsidR="0036289A" w:rsidRDefault="0036289A" w:rsidP="0036289A">
            <w:pPr>
              <w:pStyle w:val="Table-Bullet"/>
            </w:pPr>
            <w:r>
              <w:t>What impacts are observed for Living Learning workforce?</w:t>
            </w:r>
          </w:p>
          <w:p w14:paraId="55943360" w14:textId="316A83FE" w:rsidR="0036289A" w:rsidRPr="00780518" w:rsidRDefault="0036289A" w:rsidP="0036289A">
            <w:pPr>
              <w:pStyle w:val="Table-Bullet"/>
            </w:pPr>
            <w:r>
              <w:t>What impacts are observed for adjacent services or supports?</w:t>
            </w:r>
          </w:p>
        </w:tc>
        <w:tc>
          <w:tcPr>
            <w:tcW w:w="2586" w:type="dxa"/>
          </w:tcPr>
          <w:p w14:paraId="4938D980" w14:textId="46D1F7BD" w:rsidR="0036289A" w:rsidRPr="00780518" w:rsidRDefault="0036289A" w:rsidP="0036289A">
            <w:pPr>
              <w:pStyle w:val="Table-Bullet"/>
            </w:pPr>
            <w:r w:rsidRPr="00700BBC">
              <w:t>Changes or outcomes are observed that are influenced by Living Learning.</w:t>
            </w:r>
          </w:p>
        </w:tc>
        <w:tc>
          <w:tcPr>
            <w:tcW w:w="2586" w:type="dxa"/>
          </w:tcPr>
          <w:p w14:paraId="47628F37" w14:textId="0CC53EE7" w:rsidR="0036289A" w:rsidRDefault="0036289A" w:rsidP="0036289A">
            <w:pPr>
              <w:pStyle w:val="Table-Bullet"/>
            </w:pPr>
            <w:r>
              <w:t>Comparative analysis of intervention and counterfactual cohorts.</w:t>
            </w:r>
          </w:p>
          <w:p w14:paraId="1508F5AB" w14:textId="19508D1B" w:rsidR="0036289A" w:rsidRPr="00780518" w:rsidRDefault="0036289A" w:rsidP="0036289A">
            <w:pPr>
              <w:pStyle w:val="Table-Bullet"/>
            </w:pPr>
            <w:r>
              <w:t>▪ Stakeholder viewpoints on program influence on non-participant stakeholders.</w:t>
            </w:r>
          </w:p>
        </w:tc>
        <w:tc>
          <w:tcPr>
            <w:tcW w:w="2586" w:type="dxa"/>
          </w:tcPr>
          <w:p w14:paraId="775D3961" w14:textId="77777777" w:rsidR="0036289A" w:rsidRDefault="0036289A" w:rsidP="0036289A">
            <w:pPr>
              <w:pStyle w:val="Table-Bullet"/>
            </w:pPr>
            <w:r>
              <w:t>Program data</w:t>
            </w:r>
          </w:p>
          <w:p w14:paraId="16D054B1" w14:textId="2123D98A" w:rsidR="0036289A" w:rsidRDefault="0036289A" w:rsidP="0036289A">
            <w:pPr>
              <w:pStyle w:val="Table-Bullet"/>
            </w:pPr>
            <w:r>
              <w:t>Key informant interviews</w:t>
            </w:r>
          </w:p>
          <w:p w14:paraId="136DED37" w14:textId="4B8E72B1" w:rsidR="0036289A" w:rsidRPr="00780518" w:rsidRDefault="0036289A" w:rsidP="0036289A">
            <w:pPr>
              <w:pStyle w:val="Table-Bullet"/>
            </w:pPr>
            <w:r>
              <w:t>Program documentation</w:t>
            </w:r>
          </w:p>
        </w:tc>
        <w:tc>
          <w:tcPr>
            <w:tcW w:w="1405" w:type="dxa"/>
          </w:tcPr>
          <w:p w14:paraId="7B32146B" w14:textId="2F7A67EC" w:rsidR="0036289A" w:rsidRPr="00780518" w:rsidRDefault="0036289A" w:rsidP="0036289A">
            <w:pPr>
              <w:pStyle w:val="Table-Text"/>
              <w:rPr>
                <w:rFonts w:cs="Arial"/>
                <w:szCs w:val="20"/>
              </w:rPr>
            </w:pPr>
            <w:r>
              <w:rPr>
                <w:rFonts w:cs="Arial"/>
                <w:szCs w:val="20"/>
              </w:rPr>
              <w:t>N/A</w:t>
            </w:r>
          </w:p>
        </w:tc>
        <w:tc>
          <w:tcPr>
            <w:tcW w:w="1406" w:type="dxa"/>
          </w:tcPr>
          <w:p w14:paraId="4B464AFA" w14:textId="1E283EEB" w:rsidR="0036289A" w:rsidRPr="00780518" w:rsidRDefault="0036289A" w:rsidP="0036289A">
            <w:pPr>
              <w:pStyle w:val="Table-Text"/>
              <w:rPr>
                <w:rFonts w:cs="Arial"/>
                <w:szCs w:val="20"/>
              </w:rPr>
            </w:pPr>
            <w:r>
              <w:rPr>
                <w:rFonts w:cs="Arial"/>
                <w:szCs w:val="20"/>
              </w:rPr>
              <w:t>Yes</w:t>
            </w:r>
          </w:p>
        </w:tc>
        <w:tc>
          <w:tcPr>
            <w:tcW w:w="1406" w:type="dxa"/>
          </w:tcPr>
          <w:p w14:paraId="62B72745" w14:textId="40030BBC" w:rsidR="0036289A" w:rsidRPr="00780518" w:rsidRDefault="0036289A" w:rsidP="0036289A">
            <w:pPr>
              <w:pStyle w:val="Table-Text"/>
              <w:rPr>
                <w:rFonts w:cs="Arial"/>
                <w:szCs w:val="20"/>
              </w:rPr>
            </w:pPr>
            <w:r>
              <w:rPr>
                <w:rFonts w:cs="Arial"/>
                <w:szCs w:val="20"/>
              </w:rPr>
              <w:t>Yes</w:t>
            </w:r>
          </w:p>
        </w:tc>
      </w:tr>
    </w:tbl>
    <w:p w14:paraId="1CECB95C" w14:textId="0E88870C" w:rsidR="005630DA" w:rsidRDefault="0036289A" w:rsidP="0036289A">
      <w:pPr>
        <w:pStyle w:val="Caption"/>
      </w:pPr>
      <w:bookmarkStart w:id="118" w:name="_Toc150431590"/>
      <w:bookmarkStart w:id="119" w:name="_Toc150431967"/>
      <w:r>
        <w:t xml:space="preserve">Table </w:t>
      </w:r>
      <w:r>
        <w:fldChar w:fldCharType="begin"/>
      </w:r>
      <w:r>
        <w:instrText xml:space="preserve"> SEQ Table \* ARABIC </w:instrText>
      </w:r>
      <w:r>
        <w:fldChar w:fldCharType="separate"/>
      </w:r>
      <w:r w:rsidR="008D0FC1">
        <w:rPr>
          <w:noProof/>
        </w:rPr>
        <w:t>17</w:t>
      </w:r>
      <w:r>
        <w:fldChar w:fldCharType="end"/>
      </w:r>
      <w:r>
        <w:t xml:space="preserve"> KEQ </w:t>
      </w:r>
      <w:r w:rsidRPr="0036289A">
        <w:t>O3: What contribution does the Living Learning Program make to the observed outcomes?</w:t>
      </w:r>
      <w:bookmarkEnd w:id="118"/>
      <w:bookmarkEnd w:id="119"/>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36289A" w:rsidRPr="00780518" w14:paraId="2A49A3EC" w14:textId="77777777">
        <w:trPr>
          <w:cantSplit/>
          <w:trHeight w:val="474"/>
          <w:tblHeader/>
        </w:trPr>
        <w:tc>
          <w:tcPr>
            <w:tcW w:w="2585" w:type="dxa"/>
            <w:shd w:val="clear" w:color="auto" w:fill="4B91D7"/>
          </w:tcPr>
          <w:p w14:paraId="4F1F54D0" w14:textId="77777777" w:rsidR="0036289A" w:rsidRPr="00780518" w:rsidRDefault="0036289A">
            <w:pPr>
              <w:pStyle w:val="Table-Heading"/>
              <w:rPr>
                <w:color w:val="FFFFFF" w:themeColor="background1"/>
              </w:rPr>
            </w:pPr>
            <w:r>
              <w:rPr>
                <w:color w:val="FFFFFF" w:themeColor="background1"/>
              </w:rPr>
              <w:t>Sub-questions</w:t>
            </w:r>
          </w:p>
        </w:tc>
        <w:tc>
          <w:tcPr>
            <w:tcW w:w="2586" w:type="dxa"/>
            <w:shd w:val="clear" w:color="auto" w:fill="4B91D7"/>
          </w:tcPr>
          <w:p w14:paraId="000586EF" w14:textId="77777777" w:rsidR="0036289A" w:rsidRPr="00780518" w:rsidRDefault="0036289A">
            <w:pPr>
              <w:pStyle w:val="Table-Heading"/>
              <w:rPr>
                <w:color w:val="FFFFFF" w:themeColor="background1"/>
              </w:rPr>
            </w:pPr>
            <w:r>
              <w:rPr>
                <w:color w:val="FFFFFF" w:themeColor="background1"/>
              </w:rPr>
              <w:t>Indicators</w:t>
            </w:r>
          </w:p>
        </w:tc>
        <w:tc>
          <w:tcPr>
            <w:tcW w:w="2586" w:type="dxa"/>
            <w:shd w:val="clear" w:color="auto" w:fill="4B91D7"/>
          </w:tcPr>
          <w:p w14:paraId="6F162A5B" w14:textId="77777777" w:rsidR="0036289A" w:rsidRPr="00780518" w:rsidRDefault="0036289A">
            <w:pPr>
              <w:pStyle w:val="Table-Heading"/>
              <w:rPr>
                <w:color w:val="FFFFFF" w:themeColor="background1"/>
              </w:rPr>
            </w:pPr>
            <w:r>
              <w:rPr>
                <w:color w:val="FFFFFF" w:themeColor="background1"/>
              </w:rPr>
              <w:t>Measures</w:t>
            </w:r>
          </w:p>
        </w:tc>
        <w:tc>
          <w:tcPr>
            <w:tcW w:w="2586" w:type="dxa"/>
            <w:shd w:val="clear" w:color="auto" w:fill="4B91D7"/>
          </w:tcPr>
          <w:p w14:paraId="4063D35B" w14:textId="77777777" w:rsidR="0036289A" w:rsidRPr="00780518" w:rsidRDefault="0036289A">
            <w:pPr>
              <w:pStyle w:val="Table-Heading"/>
              <w:rPr>
                <w:color w:val="FFFFFF" w:themeColor="background1"/>
              </w:rPr>
            </w:pPr>
            <w:r>
              <w:rPr>
                <w:color w:val="FFFFFF" w:themeColor="background1"/>
              </w:rPr>
              <w:t>Sources</w:t>
            </w:r>
          </w:p>
        </w:tc>
        <w:tc>
          <w:tcPr>
            <w:tcW w:w="1405" w:type="dxa"/>
            <w:shd w:val="clear" w:color="auto" w:fill="4B91D7"/>
          </w:tcPr>
          <w:p w14:paraId="50B019DB" w14:textId="77777777" w:rsidR="0036289A" w:rsidRPr="00780518" w:rsidRDefault="0036289A">
            <w:pPr>
              <w:pStyle w:val="Table-Heading"/>
              <w:rPr>
                <w:color w:val="FFFFFF" w:themeColor="background1"/>
              </w:rPr>
            </w:pPr>
            <w:r>
              <w:rPr>
                <w:color w:val="FFFFFF" w:themeColor="background1"/>
              </w:rPr>
              <w:t>Formative</w:t>
            </w:r>
          </w:p>
        </w:tc>
        <w:tc>
          <w:tcPr>
            <w:tcW w:w="1406" w:type="dxa"/>
            <w:shd w:val="clear" w:color="auto" w:fill="4B91D7"/>
          </w:tcPr>
          <w:p w14:paraId="0EDCD18F" w14:textId="77777777" w:rsidR="0036289A" w:rsidRPr="00780518" w:rsidRDefault="0036289A">
            <w:pPr>
              <w:pStyle w:val="Table-Heading"/>
              <w:rPr>
                <w:color w:val="FFFFFF" w:themeColor="background1"/>
              </w:rPr>
            </w:pPr>
            <w:r>
              <w:rPr>
                <w:color w:val="FFFFFF" w:themeColor="background1"/>
              </w:rPr>
              <w:t>Interim</w:t>
            </w:r>
          </w:p>
        </w:tc>
        <w:tc>
          <w:tcPr>
            <w:tcW w:w="1406" w:type="dxa"/>
            <w:shd w:val="clear" w:color="auto" w:fill="4B91D7"/>
          </w:tcPr>
          <w:p w14:paraId="48601D1C" w14:textId="77777777" w:rsidR="0036289A" w:rsidRPr="00780518" w:rsidRDefault="0036289A">
            <w:pPr>
              <w:pStyle w:val="Table-Heading"/>
              <w:rPr>
                <w:color w:val="FFFFFF" w:themeColor="background1"/>
              </w:rPr>
            </w:pPr>
            <w:r>
              <w:rPr>
                <w:color w:val="FFFFFF" w:themeColor="background1"/>
              </w:rPr>
              <w:t>Summative</w:t>
            </w:r>
          </w:p>
        </w:tc>
      </w:tr>
      <w:tr w:rsidR="0036289A" w:rsidRPr="00780518" w14:paraId="53A1FB87" w14:textId="77777777">
        <w:trPr>
          <w:cantSplit/>
          <w:trHeight w:val="474"/>
        </w:trPr>
        <w:tc>
          <w:tcPr>
            <w:tcW w:w="2585" w:type="dxa"/>
            <w:shd w:val="clear" w:color="auto" w:fill="auto"/>
          </w:tcPr>
          <w:p w14:paraId="3D2DF27D" w14:textId="4FFB08B9" w:rsidR="00AC2D74" w:rsidRDefault="00AC2D74" w:rsidP="00AC2D74">
            <w:pPr>
              <w:pStyle w:val="Table-Bullet"/>
            </w:pPr>
            <w:r>
              <w:t>What mechanisms of change are activated by the program?</w:t>
            </w:r>
          </w:p>
          <w:p w14:paraId="26BC69E6" w14:textId="4FF32847" w:rsidR="00AC2D74" w:rsidRDefault="00AC2D74" w:rsidP="00AC2D74">
            <w:pPr>
              <w:pStyle w:val="Table-Bullet"/>
            </w:pPr>
            <w:r>
              <w:t xml:space="preserve">How are these mechanisms activated by program assets, </w:t>
            </w:r>
            <w:proofErr w:type="gramStart"/>
            <w:r>
              <w:t>activities</w:t>
            </w:r>
            <w:proofErr w:type="gramEnd"/>
            <w:r>
              <w:t xml:space="preserve"> or outputs?</w:t>
            </w:r>
          </w:p>
          <w:p w14:paraId="2BD2D503" w14:textId="253750C8" w:rsidR="0036289A" w:rsidRPr="00780518" w:rsidRDefault="00AC2D74" w:rsidP="00AC2D74">
            <w:pPr>
              <w:pStyle w:val="Table-Bullet"/>
            </w:pPr>
            <w:r>
              <w:t>But for the program, what would outcomes likely have been for participants?</w:t>
            </w:r>
          </w:p>
        </w:tc>
        <w:tc>
          <w:tcPr>
            <w:tcW w:w="2586" w:type="dxa"/>
          </w:tcPr>
          <w:p w14:paraId="5BDD51A1" w14:textId="12C7A4FA" w:rsidR="00AC2D74" w:rsidRDefault="00AC2D74" w:rsidP="00AC2D74">
            <w:pPr>
              <w:pStyle w:val="Table-Bullet"/>
            </w:pPr>
            <w:r>
              <w:t>Extent to which there is a significant difference in participant outcomes compared to controls.</w:t>
            </w:r>
          </w:p>
          <w:p w14:paraId="54916514" w14:textId="2A218D5D" w:rsidR="00AC2D74" w:rsidRDefault="00AC2D74" w:rsidP="00AC2D74">
            <w:pPr>
              <w:pStyle w:val="Table-Bullet"/>
            </w:pPr>
            <w:r>
              <w:t>Extent to which participants attribute change to program elements.</w:t>
            </w:r>
          </w:p>
          <w:p w14:paraId="68DF9711" w14:textId="1890EC55" w:rsidR="00AC2D74" w:rsidRDefault="00AC2D74" w:rsidP="00AC2D74">
            <w:pPr>
              <w:pStyle w:val="Table-Bullet"/>
            </w:pPr>
            <w:r>
              <w:t>Extent to which program stakeholders attribute change to program elements.</w:t>
            </w:r>
          </w:p>
          <w:p w14:paraId="64B3491B" w14:textId="5DAB8C1E" w:rsidR="00AC2D74" w:rsidRDefault="00AC2D74" w:rsidP="00AC2D74">
            <w:pPr>
              <w:pStyle w:val="Table-Bullet"/>
            </w:pPr>
            <w:r>
              <w:t>Extent to which case analyses show plausible mechanisms of change.</w:t>
            </w:r>
          </w:p>
          <w:p w14:paraId="52429594" w14:textId="4D087A28" w:rsidR="0036289A" w:rsidRPr="00780518" w:rsidRDefault="00AC2D74" w:rsidP="00AC2D74">
            <w:pPr>
              <w:pStyle w:val="Table-Bullet"/>
            </w:pPr>
            <w:r>
              <w:t>Extent to which observed outcomes accord with program’s evidence base.</w:t>
            </w:r>
          </w:p>
        </w:tc>
        <w:tc>
          <w:tcPr>
            <w:tcW w:w="2586" w:type="dxa"/>
          </w:tcPr>
          <w:p w14:paraId="409742B8" w14:textId="4AD1D8E5" w:rsidR="006439FD" w:rsidRDefault="006439FD">
            <w:pPr>
              <w:pStyle w:val="Table-Bullet"/>
            </w:pPr>
            <w:r>
              <w:t>Comparative analysis of outcome data for intervention and counterfactual groups.</w:t>
            </w:r>
          </w:p>
          <w:p w14:paraId="1B43C343" w14:textId="3125B6EF" w:rsidR="006439FD" w:rsidRDefault="006439FD">
            <w:pPr>
              <w:pStyle w:val="Table-Bullet"/>
            </w:pPr>
            <w:r>
              <w:t>Participant reported attribution of change at interview.</w:t>
            </w:r>
          </w:p>
          <w:p w14:paraId="42D5377D" w14:textId="17237663" w:rsidR="006439FD" w:rsidRDefault="006439FD">
            <w:pPr>
              <w:pStyle w:val="Table-Bullet"/>
            </w:pPr>
            <w:r>
              <w:t>Stakeholder reported and plausibly substantiated attribution of change at interview.</w:t>
            </w:r>
          </w:p>
          <w:p w14:paraId="08BE914D" w14:textId="0E444AA4" w:rsidR="006439FD" w:rsidRDefault="006439FD" w:rsidP="006439FD">
            <w:pPr>
              <w:pStyle w:val="Table-Bullet"/>
            </w:pPr>
            <w:r>
              <w:t>Case analysis of program and external factors.</w:t>
            </w:r>
          </w:p>
          <w:p w14:paraId="11C56447" w14:textId="2AC596A8" w:rsidR="0036289A" w:rsidRPr="00780518" w:rsidRDefault="006439FD" w:rsidP="006439FD">
            <w:pPr>
              <w:pStyle w:val="Table-Bullet"/>
            </w:pPr>
            <w:r>
              <w:t>Comparative analysis of program model with the literature review.</w:t>
            </w:r>
          </w:p>
        </w:tc>
        <w:tc>
          <w:tcPr>
            <w:tcW w:w="2586" w:type="dxa"/>
          </w:tcPr>
          <w:p w14:paraId="77E13545" w14:textId="77777777" w:rsidR="006439FD" w:rsidRDefault="006439FD" w:rsidP="006439FD">
            <w:pPr>
              <w:pStyle w:val="Table-Bullet"/>
            </w:pPr>
            <w:r>
              <w:t xml:space="preserve">Government linked </w:t>
            </w:r>
            <w:proofErr w:type="gramStart"/>
            <w:r>
              <w:t>data</w:t>
            </w:r>
            <w:proofErr w:type="gramEnd"/>
          </w:p>
          <w:p w14:paraId="15C5A084" w14:textId="2CC307B4" w:rsidR="006439FD" w:rsidRDefault="006439FD" w:rsidP="006439FD">
            <w:pPr>
              <w:pStyle w:val="Table-Bullet"/>
            </w:pPr>
            <w:r>
              <w:t>Program data</w:t>
            </w:r>
          </w:p>
          <w:p w14:paraId="59AB9296" w14:textId="1CCB6039" w:rsidR="006439FD" w:rsidRDefault="006439FD" w:rsidP="006439FD">
            <w:pPr>
              <w:pStyle w:val="Table-Bullet"/>
            </w:pPr>
            <w:r>
              <w:t>Participant interviews</w:t>
            </w:r>
          </w:p>
          <w:p w14:paraId="26236BE5" w14:textId="30C8729E" w:rsidR="006439FD" w:rsidRDefault="006439FD" w:rsidP="006439FD">
            <w:pPr>
              <w:pStyle w:val="Table-Bullet"/>
            </w:pPr>
            <w:r>
              <w:t>Key informant interviews</w:t>
            </w:r>
          </w:p>
          <w:p w14:paraId="37EEFD25" w14:textId="2F47DE1B" w:rsidR="006439FD" w:rsidRDefault="006439FD" w:rsidP="006439FD">
            <w:pPr>
              <w:pStyle w:val="Table-Bullet"/>
            </w:pPr>
            <w:r>
              <w:t>Case analysis</w:t>
            </w:r>
          </w:p>
          <w:p w14:paraId="38C2D1C0" w14:textId="011ED201" w:rsidR="0036289A" w:rsidRPr="00780518" w:rsidRDefault="006439FD" w:rsidP="006439FD">
            <w:pPr>
              <w:pStyle w:val="Table-Bullet"/>
            </w:pPr>
            <w:r>
              <w:t>Literature review</w:t>
            </w:r>
          </w:p>
        </w:tc>
        <w:tc>
          <w:tcPr>
            <w:tcW w:w="1405" w:type="dxa"/>
          </w:tcPr>
          <w:p w14:paraId="24F5724B" w14:textId="77777777" w:rsidR="0036289A" w:rsidRPr="00780518" w:rsidRDefault="0036289A">
            <w:pPr>
              <w:pStyle w:val="Table-Text"/>
              <w:rPr>
                <w:rFonts w:cs="Arial"/>
                <w:szCs w:val="20"/>
              </w:rPr>
            </w:pPr>
            <w:r>
              <w:rPr>
                <w:rFonts w:cs="Arial"/>
                <w:szCs w:val="20"/>
              </w:rPr>
              <w:t>N/A</w:t>
            </w:r>
          </w:p>
        </w:tc>
        <w:tc>
          <w:tcPr>
            <w:tcW w:w="1406" w:type="dxa"/>
          </w:tcPr>
          <w:p w14:paraId="772E5BEB" w14:textId="77777777" w:rsidR="0036289A" w:rsidRPr="00780518" w:rsidRDefault="0036289A">
            <w:pPr>
              <w:pStyle w:val="Table-Text"/>
              <w:rPr>
                <w:rFonts w:cs="Arial"/>
                <w:szCs w:val="20"/>
              </w:rPr>
            </w:pPr>
            <w:r>
              <w:rPr>
                <w:rFonts w:cs="Arial"/>
                <w:szCs w:val="20"/>
              </w:rPr>
              <w:t>Yes</w:t>
            </w:r>
          </w:p>
        </w:tc>
        <w:tc>
          <w:tcPr>
            <w:tcW w:w="1406" w:type="dxa"/>
          </w:tcPr>
          <w:p w14:paraId="48893ACF" w14:textId="77777777" w:rsidR="0036289A" w:rsidRPr="00780518" w:rsidRDefault="0036289A">
            <w:pPr>
              <w:pStyle w:val="Table-Text"/>
              <w:rPr>
                <w:rFonts w:cs="Arial"/>
                <w:szCs w:val="20"/>
              </w:rPr>
            </w:pPr>
            <w:r>
              <w:rPr>
                <w:rFonts w:cs="Arial"/>
                <w:szCs w:val="20"/>
              </w:rPr>
              <w:t>Yes</w:t>
            </w:r>
          </w:p>
        </w:tc>
      </w:tr>
    </w:tbl>
    <w:p w14:paraId="694CBC35" w14:textId="5F7765DF" w:rsidR="0036289A" w:rsidRDefault="006439FD" w:rsidP="006439FD">
      <w:pPr>
        <w:pStyle w:val="Caption"/>
      </w:pPr>
      <w:bookmarkStart w:id="120" w:name="_Toc150431591"/>
      <w:bookmarkStart w:id="121" w:name="_Toc150431968"/>
      <w:r>
        <w:t xml:space="preserve">Table </w:t>
      </w:r>
      <w:r>
        <w:fldChar w:fldCharType="begin"/>
      </w:r>
      <w:r>
        <w:instrText xml:space="preserve"> SEQ Table \* ARABIC </w:instrText>
      </w:r>
      <w:r>
        <w:fldChar w:fldCharType="separate"/>
      </w:r>
      <w:r w:rsidR="008D0FC1">
        <w:rPr>
          <w:noProof/>
        </w:rPr>
        <w:t>18</w:t>
      </w:r>
      <w:r>
        <w:fldChar w:fldCharType="end"/>
      </w:r>
      <w:r>
        <w:t xml:space="preserve"> KEQ </w:t>
      </w:r>
      <w:r w:rsidR="004E21FC" w:rsidRPr="004E21FC">
        <w:t>O4: What external factors influence program outcomes and impact?</w:t>
      </w:r>
      <w:bookmarkEnd w:id="120"/>
      <w:bookmarkEnd w:id="121"/>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4E21FC" w:rsidRPr="00780518" w14:paraId="548D2C4C" w14:textId="77777777">
        <w:trPr>
          <w:cantSplit/>
          <w:trHeight w:val="474"/>
          <w:tblHeader/>
        </w:trPr>
        <w:tc>
          <w:tcPr>
            <w:tcW w:w="2585" w:type="dxa"/>
            <w:shd w:val="clear" w:color="auto" w:fill="4B91D7"/>
          </w:tcPr>
          <w:p w14:paraId="6ECCCC2F" w14:textId="77777777" w:rsidR="004E21FC" w:rsidRPr="00780518" w:rsidRDefault="004E21FC">
            <w:pPr>
              <w:pStyle w:val="Table-Heading"/>
              <w:rPr>
                <w:color w:val="FFFFFF" w:themeColor="background1"/>
              </w:rPr>
            </w:pPr>
            <w:r>
              <w:rPr>
                <w:color w:val="FFFFFF" w:themeColor="background1"/>
              </w:rPr>
              <w:t>Sub-questions</w:t>
            </w:r>
          </w:p>
        </w:tc>
        <w:tc>
          <w:tcPr>
            <w:tcW w:w="2586" w:type="dxa"/>
            <w:shd w:val="clear" w:color="auto" w:fill="4B91D7"/>
          </w:tcPr>
          <w:p w14:paraId="41C21405" w14:textId="77777777" w:rsidR="004E21FC" w:rsidRPr="00780518" w:rsidRDefault="004E21FC">
            <w:pPr>
              <w:pStyle w:val="Table-Heading"/>
              <w:rPr>
                <w:color w:val="FFFFFF" w:themeColor="background1"/>
              </w:rPr>
            </w:pPr>
            <w:r>
              <w:rPr>
                <w:color w:val="FFFFFF" w:themeColor="background1"/>
              </w:rPr>
              <w:t>Indicators</w:t>
            </w:r>
          </w:p>
        </w:tc>
        <w:tc>
          <w:tcPr>
            <w:tcW w:w="2586" w:type="dxa"/>
            <w:shd w:val="clear" w:color="auto" w:fill="4B91D7"/>
          </w:tcPr>
          <w:p w14:paraId="4D86E1DA" w14:textId="77777777" w:rsidR="004E21FC" w:rsidRPr="00780518" w:rsidRDefault="004E21FC">
            <w:pPr>
              <w:pStyle w:val="Table-Heading"/>
              <w:rPr>
                <w:color w:val="FFFFFF" w:themeColor="background1"/>
              </w:rPr>
            </w:pPr>
            <w:r>
              <w:rPr>
                <w:color w:val="FFFFFF" w:themeColor="background1"/>
              </w:rPr>
              <w:t>Measures</w:t>
            </w:r>
          </w:p>
        </w:tc>
        <w:tc>
          <w:tcPr>
            <w:tcW w:w="2586" w:type="dxa"/>
            <w:shd w:val="clear" w:color="auto" w:fill="4B91D7"/>
          </w:tcPr>
          <w:p w14:paraId="4A934076" w14:textId="77777777" w:rsidR="004E21FC" w:rsidRPr="00780518" w:rsidRDefault="004E21FC">
            <w:pPr>
              <w:pStyle w:val="Table-Heading"/>
              <w:rPr>
                <w:color w:val="FFFFFF" w:themeColor="background1"/>
              </w:rPr>
            </w:pPr>
            <w:r>
              <w:rPr>
                <w:color w:val="FFFFFF" w:themeColor="background1"/>
              </w:rPr>
              <w:t>Sources</w:t>
            </w:r>
          </w:p>
        </w:tc>
        <w:tc>
          <w:tcPr>
            <w:tcW w:w="1405" w:type="dxa"/>
            <w:shd w:val="clear" w:color="auto" w:fill="4B91D7"/>
          </w:tcPr>
          <w:p w14:paraId="0E1CC7A9" w14:textId="77777777" w:rsidR="004E21FC" w:rsidRPr="00780518" w:rsidRDefault="004E21FC">
            <w:pPr>
              <w:pStyle w:val="Table-Heading"/>
              <w:rPr>
                <w:color w:val="FFFFFF" w:themeColor="background1"/>
              </w:rPr>
            </w:pPr>
            <w:r>
              <w:rPr>
                <w:color w:val="FFFFFF" w:themeColor="background1"/>
              </w:rPr>
              <w:t>Formative</w:t>
            </w:r>
          </w:p>
        </w:tc>
        <w:tc>
          <w:tcPr>
            <w:tcW w:w="1406" w:type="dxa"/>
            <w:shd w:val="clear" w:color="auto" w:fill="4B91D7"/>
          </w:tcPr>
          <w:p w14:paraId="01245B3E" w14:textId="77777777" w:rsidR="004E21FC" w:rsidRPr="00780518" w:rsidRDefault="004E21FC">
            <w:pPr>
              <w:pStyle w:val="Table-Heading"/>
              <w:rPr>
                <w:color w:val="FFFFFF" w:themeColor="background1"/>
              </w:rPr>
            </w:pPr>
            <w:r>
              <w:rPr>
                <w:color w:val="FFFFFF" w:themeColor="background1"/>
              </w:rPr>
              <w:t>Interim</w:t>
            </w:r>
          </w:p>
        </w:tc>
        <w:tc>
          <w:tcPr>
            <w:tcW w:w="1406" w:type="dxa"/>
            <w:shd w:val="clear" w:color="auto" w:fill="4B91D7"/>
          </w:tcPr>
          <w:p w14:paraId="6ACCF984" w14:textId="77777777" w:rsidR="004E21FC" w:rsidRPr="00780518" w:rsidRDefault="004E21FC">
            <w:pPr>
              <w:pStyle w:val="Table-Heading"/>
              <w:rPr>
                <w:color w:val="FFFFFF" w:themeColor="background1"/>
              </w:rPr>
            </w:pPr>
            <w:r>
              <w:rPr>
                <w:color w:val="FFFFFF" w:themeColor="background1"/>
              </w:rPr>
              <w:t>Summative</w:t>
            </w:r>
          </w:p>
        </w:tc>
      </w:tr>
      <w:tr w:rsidR="004E21FC" w:rsidRPr="00780518" w14:paraId="421CAAC1" w14:textId="77777777">
        <w:trPr>
          <w:cantSplit/>
          <w:trHeight w:val="474"/>
        </w:trPr>
        <w:tc>
          <w:tcPr>
            <w:tcW w:w="2585" w:type="dxa"/>
            <w:shd w:val="clear" w:color="auto" w:fill="auto"/>
          </w:tcPr>
          <w:p w14:paraId="0CF7E2ED" w14:textId="2BA9643F" w:rsidR="004E21FC" w:rsidRPr="00780518" w:rsidRDefault="004E21FC">
            <w:pPr>
              <w:pStyle w:val="Table-Bullet"/>
            </w:pPr>
            <w:r w:rsidRPr="004E21FC">
              <w:t>What other, non-program factors are driving observed outcomes?</w:t>
            </w:r>
          </w:p>
        </w:tc>
        <w:tc>
          <w:tcPr>
            <w:tcW w:w="2586" w:type="dxa"/>
          </w:tcPr>
          <w:p w14:paraId="3A65B9C2" w14:textId="3520B824" w:rsidR="004E21FC" w:rsidRDefault="004E21FC" w:rsidP="004E21FC">
            <w:pPr>
              <w:pStyle w:val="Table-Bullet"/>
            </w:pPr>
            <w:r>
              <w:t>Extent to which stakeholders report external impacts on program.</w:t>
            </w:r>
          </w:p>
          <w:p w14:paraId="6B9410AE" w14:textId="22E3B92A" w:rsidR="004E21FC" w:rsidRDefault="004E21FC" w:rsidP="004E21FC">
            <w:pPr>
              <w:pStyle w:val="Table-Bullet"/>
            </w:pPr>
            <w:r>
              <w:t>Extent to which participants attribute change to program elements.</w:t>
            </w:r>
          </w:p>
          <w:p w14:paraId="2A50CECF" w14:textId="3D96B2B6" w:rsidR="004E21FC" w:rsidRDefault="004E21FC" w:rsidP="004E21FC">
            <w:pPr>
              <w:pStyle w:val="Table-Bullet"/>
            </w:pPr>
            <w:r>
              <w:t>Extent to which case analyses show external drivers of change.</w:t>
            </w:r>
          </w:p>
          <w:p w14:paraId="25CBBF78" w14:textId="791AAEBE" w:rsidR="004E21FC" w:rsidRPr="00780518" w:rsidRDefault="004E21FC" w:rsidP="004E21FC">
            <w:pPr>
              <w:pStyle w:val="Table-Bullet"/>
            </w:pPr>
            <w:r>
              <w:t>Extent to which PESTLE* factors impact program environment.</w:t>
            </w:r>
          </w:p>
        </w:tc>
        <w:tc>
          <w:tcPr>
            <w:tcW w:w="2586" w:type="dxa"/>
          </w:tcPr>
          <w:p w14:paraId="6FFAFA10" w14:textId="4F7A361D" w:rsidR="009E0311" w:rsidRDefault="009E0311">
            <w:pPr>
              <w:pStyle w:val="Table-Bullet"/>
            </w:pPr>
            <w:r>
              <w:t>Stakeholder reported and plausibly substantiated external factors impacting the program.</w:t>
            </w:r>
          </w:p>
          <w:p w14:paraId="764FB8DA" w14:textId="060B0D02" w:rsidR="009E0311" w:rsidRDefault="009E0311">
            <w:pPr>
              <w:pStyle w:val="Table-Bullet"/>
            </w:pPr>
            <w:r>
              <w:t>Participant reported attribution of change at interview.</w:t>
            </w:r>
          </w:p>
          <w:p w14:paraId="6B737323" w14:textId="2836569C" w:rsidR="009E0311" w:rsidRDefault="009E0311" w:rsidP="009E0311">
            <w:pPr>
              <w:pStyle w:val="Table-Bullet"/>
            </w:pPr>
            <w:r>
              <w:t>Case analysis of program and external factors.</w:t>
            </w:r>
          </w:p>
          <w:p w14:paraId="5EBF35F3" w14:textId="31546165" w:rsidR="004E21FC" w:rsidRPr="00780518" w:rsidRDefault="009E0311" w:rsidP="009E0311">
            <w:pPr>
              <w:pStyle w:val="Table-Bullet"/>
            </w:pPr>
            <w:r>
              <w:t>PESTLE analysis of the program environment</w:t>
            </w:r>
          </w:p>
        </w:tc>
        <w:tc>
          <w:tcPr>
            <w:tcW w:w="2586" w:type="dxa"/>
          </w:tcPr>
          <w:p w14:paraId="2DFBFAFF" w14:textId="77777777" w:rsidR="009E0311" w:rsidRDefault="009E0311" w:rsidP="009E0311">
            <w:pPr>
              <w:pStyle w:val="Table-Bullet"/>
            </w:pPr>
            <w:r>
              <w:t>Key informant interviews</w:t>
            </w:r>
          </w:p>
          <w:p w14:paraId="36D8E686" w14:textId="7CAE656B" w:rsidR="009E0311" w:rsidRDefault="009E0311" w:rsidP="009E0311">
            <w:pPr>
              <w:pStyle w:val="Table-Bullet"/>
            </w:pPr>
            <w:r>
              <w:t>Participant interviews</w:t>
            </w:r>
          </w:p>
          <w:p w14:paraId="3A106D02" w14:textId="16FBBAFB" w:rsidR="009E0311" w:rsidRDefault="009E0311" w:rsidP="009E0311">
            <w:pPr>
              <w:pStyle w:val="Table-Bullet"/>
            </w:pPr>
            <w:r>
              <w:t>Case analysis</w:t>
            </w:r>
          </w:p>
          <w:p w14:paraId="54EA3BB1" w14:textId="506137C2" w:rsidR="004E21FC" w:rsidRPr="00780518" w:rsidRDefault="009E0311" w:rsidP="009E0311">
            <w:pPr>
              <w:pStyle w:val="Table-Bullet"/>
            </w:pPr>
            <w:r>
              <w:t>Literature review</w:t>
            </w:r>
          </w:p>
        </w:tc>
        <w:tc>
          <w:tcPr>
            <w:tcW w:w="1405" w:type="dxa"/>
          </w:tcPr>
          <w:p w14:paraId="3900E219" w14:textId="77777777" w:rsidR="004E21FC" w:rsidRPr="00780518" w:rsidRDefault="004E21FC">
            <w:pPr>
              <w:pStyle w:val="Table-Text"/>
              <w:rPr>
                <w:rFonts w:cs="Arial"/>
                <w:szCs w:val="20"/>
              </w:rPr>
            </w:pPr>
            <w:r>
              <w:rPr>
                <w:rFonts w:cs="Arial"/>
                <w:szCs w:val="20"/>
              </w:rPr>
              <w:t>N/A</w:t>
            </w:r>
          </w:p>
        </w:tc>
        <w:tc>
          <w:tcPr>
            <w:tcW w:w="1406" w:type="dxa"/>
          </w:tcPr>
          <w:p w14:paraId="71EEA907" w14:textId="77777777" w:rsidR="004E21FC" w:rsidRPr="00780518" w:rsidRDefault="004E21FC">
            <w:pPr>
              <w:pStyle w:val="Table-Text"/>
              <w:rPr>
                <w:rFonts w:cs="Arial"/>
                <w:szCs w:val="20"/>
              </w:rPr>
            </w:pPr>
            <w:r>
              <w:rPr>
                <w:rFonts w:cs="Arial"/>
                <w:szCs w:val="20"/>
              </w:rPr>
              <w:t>Yes</w:t>
            </w:r>
          </w:p>
        </w:tc>
        <w:tc>
          <w:tcPr>
            <w:tcW w:w="1406" w:type="dxa"/>
          </w:tcPr>
          <w:p w14:paraId="6BD76A7A" w14:textId="77777777" w:rsidR="004E21FC" w:rsidRPr="00780518" w:rsidRDefault="004E21FC">
            <w:pPr>
              <w:pStyle w:val="Table-Text"/>
              <w:rPr>
                <w:rFonts w:cs="Arial"/>
                <w:szCs w:val="20"/>
              </w:rPr>
            </w:pPr>
            <w:r>
              <w:rPr>
                <w:rFonts w:cs="Arial"/>
                <w:szCs w:val="20"/>
              </w:rPr>
              <w:t>Yes</w:t>
            </w:r>
          </w:p>
        </w:tc>
      </w:tr>
      <w:tr w:rsidR="0066265D" w:rsidRPr="00780518" w14:paraId="182E1061" w14:textId="77777777">
        <w:trPr>
          <w:cantSplit/>
          <w:trHeight w:val="474"/>
        </w:trPr>
        <w:tc>
          <w:tcPr>
            <w:tcW w:w="2585" w:type="dxa"/>
            <w:shd w:val="clear" w:color="auto" w:fill="auto"/>
          </w:tcPr>
          <w:p w14:paraId="0BE73407" w14:textId="380386C9" w:rsidR="0066265D" w:rsidRPr="004E21FC" w:rsidRDefault="0066265D" w:rsidP="0066265D">
            <w:pPr>
              <w:pStyle w:val="Table-Bullet"/>
            </w:pPr>
            <w:r w:rsidRPr="006B0476">
              <w:t>What impact has the COVID pandemic had on program outcomes?</w:t>
            </w:r>
          </w:p>
        </w:tc>
        <w:tc>
          <w:tcPr>
            <w:tcW w:w="2586" w:type="dxa"/>
          </w:tcPr>
          <w:p w14:paraId="5B3F926F" w14:textId="425220FB" w:rsidR="0066265D" w:rsidRDefault="0066265D" w:rsidP="0066265D">
            <w:pPr>
              <w:pStyle w:val="Table-Bullet"/>
            </w:pPr>
            <w:r>
              <w:t>Extent to which COVID has driven broader trends in the target cohort.</w:t>
            </w:r>
          </w:p>
          <w:p w14:paraId="30E19E7B" w14:textId="50B29E98" w:rsidR="0066265D" w:rsidRDefault="0066265D" w:rsidP="0066265D">
            <w:pPr>
              <w:pStyle w:val="Table-Bullet"/>
            </w:pPr>
            <w:r>
              <w:t>Extent to which COVID-driven factors appear influential in case narratives.</w:t>
            </w:r>
          </w:p>
          <w:p w14:paraId="3FC3AD9C" w14:textId="5A8990ED" w:rsidR="0066265D" w:rsidRDefault="0066265D" w:rsidP="0066265D">
            <w:pPr>
              <w:pStyle w:val="Table-Bullet"/>
            </w:pPr>
            <w:r>
              <w:t>Extent to which stakeholders report COVID-driven impacts on program outcomes.</w:t>
            </w:r>
          </w:p>
        </w:tc>
        <w:tc>
          <w:tcPr>
            <w:tcW w:w="2586" w:type="dxa"/>
          </w:tcPr>
          <w:p w14:paraId="6A252552" w14:textId="7B694216" w:rsidR="0066265D" w:rsidRDefault="0066265D" w:rsidP="0066265D">
            <w:pPr>
              <w:pStyle w:val="Table-Bullet"/>
            </w:pPr>
            <w:r>
              <w:t>Analysis of relevant population trends attributable to COVID within the literature review.</w:t>
            </w:r>
          </w:p>
          <w:p w14:paraId="106BEE34" w14:textId="7C4E5EC7" w:rsidR="0066265D" w:rsidRDefault="0066265D" w:rsidP="0066265D">
            <w:pPr>
              <w:pStyle w:val="Table-Bullet"/>
            </w:pPr>
            <w:r>
              <w:t>Case analysis of program and external factors attributable to COVID.</w:t>
            </w:r>
          </w:p>
          <w:p w14:paraId="2086B967" w14:textId="32DA7FFF" w:rsidR="0066265D" w:rsidRDefault="0066265D" w:rsidP="0066265D">
            <w:pPr>
              <w:pStyle w:val="Table-Bullet"/>
            </w:pPr>
            <w:r>
              <w:t>Participant reported influence and impact of COVID.</w:t>
            </w:r>
          </w:p>
          <w:p w14:paraId="50E814EF" w14:textId="7A5EB647" w:rsidR="0066265D" w:rsidRDefault="0066265D" w:rsidP="0066265D">
            <w:pPr>
              <w:pStyle w:val="Table-Bullet"/>
            </w:pPr>
            <w:r>
              <w:t>Stakeholder reported and plausibly substantiated COVID factors impacting program outcomes.</w:t>
            </w:r>
          </w:p>
        </w:tc>
        <w:tc>
          <w:tcPr>
            <w:tcW w:w="2586" w:type="dxa"/>
          </w:tcPr>
          <w:p w14:paraId="701EB078" w14:textId="2A48531F" w:rsidR="0066265D" w:rsidRDefault="0066265D" w:rsidP="0066265D">
            <w:pPr>
              <w:pStyle w:val="Table-Bullet"/>
            </w:pPr>
            <w:r>
              <w:t xml:space="preserve">Government linked </w:t>
            </w:r>
            <w:proofErr w:type="gramStart"/>
            <w:r>
              <w:t>data</w:t>
            </w:r>
            <w:proofErr w:type="gramEnd"/>
          </w:p>
          <w:p w14:paraId="6464DD1C" w14:textId="6C741C5E" w:rsidR="0066265D" w:rsidRDefault="0066265D" w:rsidP="0066265D">
            <w:pPr>
              <w:pStyle w:val="Table-Bullet"/>
            </w:pPr>
            <w:r>
              <w:t>Key informant interviews</w:t>
            </w:r>
          </w:p>
          <w:p w14:paraId="0C835C35" w14:textId="4AF0EE7F" w:rsidR="0066265D" w:rsidRDefault="0066265D" w:rsidP="0066265D">
            <w:pPr>
              <w:pStyle w:val="Table-Bullet"/>
            </w:pPr>
            <w:r>
              <w:t>Participant interviews</w:t>
            </w:r>
          </w:p>
          <w:p w14:paraId="26751959" w14:textId="52E4F463" w:rsidR="0066265D" w:rsidRDefault="0066265D" w:rsidP="0066265D">
            <w:pPr>
              <w:pStyle w:val="Table-Bullet"/>
            </w:pPr>
            <w:r>
              <w:t>Case analysis</w:t>
            </w:r>
          </w:p>
          <w:p w14:paraId="7277F7CD" w14:textId="3428A9AF" w:rsidR="0066265D" w:rsidRDefault="0066265D" w:rsidP="0066265D">
            <w:pPr>
              <w:pStyle w:val="Table-Bullet"/>
            </w:pPr>
            <w:r>
              <w:t>Literature review</w:t>
            </w:r>
          </w:p>
        </w:tc>
        <w:tc>
          <w:tcPr>
            <w:tcW w:w="1405" w:type="dxa"/>
          </w:tcPr>
          <w:p w14:paraId="7F6A71A6" w14:textId="7DCBD9E9" w:rsidR="0066265D" w:rsidRDefault="0066265D" w:rsidP="0066265D">
            <w:pPr>
              <w:pStyle w:val="Table-Text"/>
              <w:rPr>
                <w:rFonts w:cs="Arial"/>
                <w:szCs w:val="20"/>
              </w:rPr>
            </w:pPr>
            <w:r>
              <w:rPr>
                <w:rFonts w:cs="Arial"/>
                <w:szCs w:val="20"/>
              </w:rPr>
              <w:t>N/A</w:t>
            </w:r>
          </w:p>
        </w:tc>
        <w:tc>
          <w:tcPr>
            <w:tcW w:w="1406" w:type="dxa"/>
          </w:tcPr>
          <w:p w14:paraId="3196E903" w14:textId="1073BDC1" w:rsidR="0066265D" w:rsidRDefault="0066265D" w:rsidP="0066265D">
            <w:pPr>
              <w:pStyle w:val="Table-Text"/>
              <w:rPr>
                <w:rFonts w:cs="Arial"/>
                <w:szCs w:val="20"/>
              </w:rPr>
            </w:pPr>
            <w:r>
              <w:rPr>
                <w:rFonts w:cs="Arial"/>
                <w:szCs w:val="20"/>
              </w:rPr>
              <w:t>Yes</w:t>
            </w:r>
          </w:p>
        </w:tc>
        <w:tc>
          <w:tcPr>
            <w:tcW w:w="1406" w:type="dxa"/>
          </w:tcPr>
          <w:p w14:paraId="0575EDBD" w14:textId="43433D33" w:rsidR="0066265D" w:rsidRDefault="0066265D" w:rsidP="0066265D">
            <w:pPr>
              <w:pStyle w:val="Table-Text"/>
              <w:rPr>
                <w:rFonts w:cs="Arial"/>
                <w:szCs w:val="20"/>
              </w:rPr>
            </w:pPr>
            <w:r>
              <w:rPr>
                <w:rFonts w:cs="Arial"/>
                <w:szCs w:val="20"/>
              </w:rPr>
              <w:t>Yes</w:t>
            </w:r>
          </w:p>
        </w:tc>
      </w:tr>
    </w:tbl>
    <w:p w14:paraId="7E01EF50" w14:textId="755E4E6B" w:rsidR="004E21FC" w:rsidRDefault="00C13EC5" w:rsidP="00C13EC5">
      <w:pPr>
        <w:pStyle w:val="ImageSource"/>
      </w:pPr>
      <w:r w:rsidRPr="00C13EC5">
        <w:t>*PESTLE is a mnemonic which in its expanded form denotes P for Political, E for Economic, S for Social, T for Technological,</w:t>
      </w:r>
      <w:r>
        <w:t xml:space="preserve"> </w:t>
      </w:r>
      <w:r w:rsidRPr="00C13EC5">
        <w:t>L for Legal, and E for Environmental.</w:t>
      </w:r>
    </w:p>
    <w:p w14:paraId="1F0F0C72" w14:textId="307D058A" w:rsidR="00C13EC5" w:rsidRDefault="0066265D" w:rsidP="0066265D">
      <w:pPr>
        <w:pStyle w:val="Caption"/>
      </w:pPr>
      <w:bookmarkStart w:id="122" w:name="_Toc150431592"/>
      <w:bookmarkStart w:id="123" w:name="_Toc150431969"/>
      <w:r>
        <w:t xml:space="preserve">Table </w:t>
      </w:r>
      <w:r>
        <w:fldChar w:fldCharType="begin"/>
      </w:r>
      <w:r>
        <w:instrText xml:space="preserve"> SEQ Table \* ARABIC </w:instrText>
      </w:r>
      <w:r>
        <w:fldChar w:fldCharType="separate"/>
      </w:r>
      <w:r w:rsidR="008D0FC1">
        <w:rPr>
          <w:noProof/>
        </w:rPr>
        <w:t>19</w:t>
      </w:r>
      <w:r>
        <w:fldChar w:fldCharType="end"/>
      </w:r>
      <w:r>
        <w:t xml:space="preserve"> KEQ </w:t>
      </w:r>
      <w:r w:rsidR="00E5375B" w:rsidRPr="00E5375B">
        <w:t>O5: How has the PAD funding model influenced the outcomes?</w:t>
      </w:r>
      <w:bookmarkEnd w:id="122"/>
      <w:bookmarkEnd w:id="123"/>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E5375B" w:rsidRPr="00780518" w14:paraId="252A2D3D" w14:textId="77777777">
        <w:trPr>
          <w:cantSplit/>
          <w:trHeight w:val="474"/>
          <w:tblHeader/>
        </w:trPr>
        <w:tc>
          <w:tcPr>
            <w:tcW w:w="2585" w:type="dxa"/>
            <w:shd w:val="clear" w:color="auto" w:fill="4B91D7"/>
          </w:tcPr>
          <w:p w14:paraId="711B531E" w14:textId="77777777" w:rsidR="00E5375B" w:rsidRPr="00780518" w:rsidRDefault="00E5375B">
            <w:pPr>
              <w:pStyle w:val="Table-Heading"/>
              <w:rPr>
                <w:color w:val="FFFFFF" w:themeColor="background1"/>
              </w:rPr>
            </w:pPr>
            <w:r>
              <w:rPr>
                <w:color w:val="FFFFFF" w:themeColor="background1"/>
              </w:rPr>
              <w:t>Sub-questions</w:t>
            </w:r>
          </w:p>
        </w:tc>
        <w:tc>
          <w:tcPr>
            <w:tcW w:w="2586" w:type="dxa"/>
            <w:shd w:val="clear" w:color="auto" w:fill="4B91D7"/>
          </w:tcPr>
          <w:p w14:paraId="40509B03" w14:textId="77777777" w:rsidR="00E5375B" w:rsidRPr="00780518" w:rsidRDefault="00E5375B">
            <w:pPr>
              <w:pStyle w:val="Table-Heading"/>
              <w:rPr>
                <w:color w:val="FFFFFF" w:themeColor="background1"/>
              </w:rPr>
            </w:pPr>
            <w:r>
              <w:rPr>
                <w:color w:val="FFFFFF" w:themeColor="background1"/>
              </w:rPr>
              <w:t>Indicators</w:t>
            </w:r>
          </w:p>
        </w:tc>
        <w:tc>
          <w:tcPr>
            <w:tcW w:w="2586" w:type="dxa"/>
            <w:shd w:val="clear" w:color="auto" w:fill="4B91D7"/>
          </w:tcPr>
          <w:p w14:paraId="6F579854" w14:textId="77777777" w:rsidR="00E5375B" w:rsidRPr="00780518" w:rsidRDefault="00E5375B">
            <w:pPr>
              <w:pStyle w:val="Table-Heading"/>
              <w:rPr>
                <w:color w:val="FFFFFF" w:themeColor="background1"/>
              </w:rPr>
            </w:pPr>
            <w:r>
              <w:rPr>
                <w:color w:val="FFFFFF" w:themeColor="background1"/>
              </w:rPr>
              <w:t>Measures</w:t>
            </w:r>
          </w:p>
        </w:tc>
        <w:tc>
          <w:tcPr>
            <w:tcW w:w="2586" w:type="dxa"/>
            <w:shd w:val="clear" w:color="auto" w:fill="4B91D7"/>
          </w:tcPr>
          <w:p w14:paraId="0E7BD158" w14:textId="77777777" w:rsidR="00E5375B" w:rsidRPr="00780518" w:rsidRDefault="00E5375B">
            <w:pPr>
              <w:pStyle w:val="Table-Heading"/>
              <w:rPr>
                <w:color w:val="FFFFFF" w:themeColor="background1"/>
              </w:rPr>
            </w:pPr>
            <w:r>
              <w:rPr>
                <w:color w:val="FFFFFF" w:themeColor="background1"/>
              </w:rPr>
              <w:t>Sources</w:t>
            </w:r>
          </w:p>
        </w:tc>
        <w:tc>
          <w:tcPr>
            <w:tcW w:w="1405" w:type="dxa"/>
            <w:shd w:val="clear" w:color="auto" w:fill="4B91D7"/>
          </w:tcPr>
          <w:p w14:paraId="3F1AD624" w14:textId="77777777" w:rsidR="00E5375B" w:rsidRPr="00780518" w:rsidRDefault="00E5375B">
            <w:pPr>
              <w:pStyle w:val="Table-Heading"/>
              <w:rPr>
                <w:color w:val="FFFFFF" w:themeColor="background1"/>
              </w:rPr>
            </w:pPr>
            <w:r>
              <w:rPr>
                <w:color w:val="FFFFFF" w:themeColor="background1"/>
              </w:rPr>
              <w:t>Formative</w:t>
            </w:r>
          </w:p>
        </w:tc>
        <w:tc>
          <w:tcPr>
            <w:tcW w:w="1406" w:type="dxa"/>
            <w:shd w:val="clear" w:color="auto" w:fill="4B91D7"/>
          </w:tcPr>
          <w:p w14:paraId="0395ED43" w14:textId="77777777" w:rsidR="00E5375B" w:rsidRPr="00780518" w:rsidRDefault="00E5375B">
            <w:pPr>
              <w:pStyle w:val="Table-Heading"/>
              <w:rPr>
                <w:color w:val="FFFFFF" w:themeColor="background1"/>
              </w:rPr>
            </w:pPr>
            <w:r>
              <w:rPr>
                <w:color w:val="FFFFFF" w:themeColor="background1"/>
              </w:rPr>
              <w:t>Interim</w:t>
            </w:r>
          </w:p>
        </w:tc>
        <w:tc>
          <w:tcPr>
            <w:tcW w:w="1406" w:type="dxa"/>
            <w:shd w:val="clear" w:color="auto" w:fill="4B91D7"/>
          </w:tcPr>
          <w:p w14:paraId="29BBD013" w14:textId="77777777" w:rsidR="00E5375B" w:rsidRPr="00780518" w:rsidRDefault="00E5375B">
            <w:pPr>
              <w:pStyle w:val="Table-Heading"/>
              <w:rPr>
                <w:color w:val="FFFFFF" w:themeColor="background1"/>
              </w:rPr>
            </w:pPr>
            <w:r>
              <w:rPr>
                <w:color w:val="FFFFFF" w:themeColor="background1"/>
              </w:rPr>
              <w:t>Summative</w:t>
            </w:r>
          </w:p>
        </w:tc>
      </w:tr>
      <w:tr w:rsidR="00E5375B" w:rsidRPr="00780518" w14:paraId="5BCFE226" w14:textId="77777777">
        <w:trPr>
          <w:cantSplit/>
          <w:trHeight w:val="474"/>
        </w:trPr>
        <w:tc>
          <w:tcPr>
            <w:tcW w:w="2585" w:type="dxa"/>
            <w:shd w:val="clear" w:color="auto" w:fill="auto"/>
          </w:tcPr>
          <w:p w14:paraId="44CA63D4" w14:textId="7BF743EB" w:rsidR="006112D1" w:rsidRDefault="006112D1" w:rsidP="006112D1">
            <w:pPr>
              <w:pStyle w:val="Table-Bullet"/>
            </w:pPr>
            <w:r>
              <w:t>How has the PAD funding model influenced the change mechanisms?</w:t>
            </w:r>
          </w:p>
          <w:p w14:paraId="23649DA6" w14:textId="16E92D74" w:rsidR="006112D1" w:rsidRDefault="006112D1" w:rsidP="006112D1">
            <w:pPr>
              <w:pStyle w:val="Table-Bullet"/>
            </w:pPr>
            <w:r>
              <w:t>How has the PAD funding model influenced who (and who doesn’t) benefits from the program?</w:t>
            </w:r>
          </w:p>
          <w:p w14:paraId="6600B6C7" w14:textId="6744737E" w:rsidR="006112D1" w:rsidRDefault="006112D1" w:rsidP="006112D1">
            <w:pPr>
              <w:pStyle w:val="Table-Bullet"/>
            </w:pPr>
            <w:r>
              <w:t>What intended or unintended incentives are created by the PAD funding model?</w:t>
            </w:r>
          </w:p>
          <w:p w14:paraId="4C310F1E" w14:textId="4470E974" w:rsidR="00E5375B" w:rsidRPr="00780518" w:rsidRDefault="006112D1" w:rsidP="006112D1">
            <w:pPr>
              <w:pStyle w:val="Table-Bullet"/>
            </w:pPr>
            <w:r>
              <w:t>How have these incentives impacted stakeholder behaviour?</w:t>
            </w:r>
          </w:p>
        </w:tc>
        <w:tc>
          <w:tcPr>
            <w:tcW w:w="2586" w:type="dxa"/>
          </w:tcPr>
          <w:p w14:paraId="2B4A4163" w14:textId="452929C1" w:rsidR="006112D1" w:rsidRDefault="006112D1" w:rsidP="006112D1">
            <w:pPr>
              <w:pStyle w:val="Table-Bullet"/>
            </w:pPr>
            <w:r>
              <w:t xml:space="preserve">Extent to which stakeholder behaviour is incentivised by the funding </w:t>
            </w:r>
            <w:proofErr w:type="gramStart"/>
            <w:r>
              <w:t>model</w:t>
            </w:r>
            <w:proofErr w:type="gramEnd"/>
          </w:p>
          <w:p w14:paraId="5ABB2EE8" w14:textId="7AACD6AA" w:rsidR="006112D1" w:rsidRDefault="006112D1" w:rsidP="006112D1">
            <w:pPr>
              <w:pStyle w:val="Table-Bullet"/>
            </w:pPr>
            <w:r>
              <w:t xml:space="preserve">Extent to which program recruitment and cohort profile is influenced by the way it is </w:t>
            </w:r>
            <w:proofErr w:type="gramStart"/>
            <w:r>
              <w:t>funded</w:t>
            </w:r>
            <w:proofErr w:type="gramEnd"/>
          </w:p>
          <w:p w14:paraId="5BD76DF0" w14:textId="5A03601C" w:rsidR="00E5375B" w:rsidRPr="00780518" w:rsidRDefault="006112D1" w:rsidP="006112D1">
            <w:pPr>
              <w:pStyle w:val="Table-Bullet"/>
            </w:pPr>
            <w:r>
              <w:t>Extent to which unintended behavioural incentives are evident in the model.</w:t>
            </w:r>
          </w:p>
        </w:tc>
        <w:tc>
          <w:tcPr>
            <w:tcW w:w="2586" w:type="dxa"/>
          </w:tcPr>
          <w:p w14:paraId="0EA4F64C" w14:textId="44BB23D9" w:rsidR="006112D1" w:rsidRDefault="006112D1">
            <w:pPr>
              <w:pStyle w:val="Table-Bullet"/>
            </w:pPr>
            <w:r>
              <w:t>Stakeholder viewpoints on own behaviours and behaviours of others.</w:t>
            </w:r>
          </w:p>
          <w:p w14:paraId="5C827A74" w14:textId="3DCA95FE" w:rsidR="006112D1" w:rsidRDefault="006112D1">
            <w:pPr>
              <w:pStyle w:val="Table-Bullet"/>
            </w:pPr>
            <w:r>
              <w:t>Stakeholder viewpoints on relationship between program model and PAD funding model</w:t>
            </w:r>
          </w:p>
          <w:p w14:paraId="14A08A89" w14:textId="09FD66D5" w:rsidR="006112D1" w:rsidRDefault="006112D1" w:rsidP="006112D1">
            <w:pPr>
              <w:pStyle w:val="Table-Bullet"/>
            </w:pPr>
            <w:r>
              <w:t>Program participant profile</w:t>
            </w:r>
          </w:p>
          <w:p w14:paraId="309D1284" w14:textId="16BFB7F9" w:rsidR="00E5375B" w:rsidRPr="00780518" w:rsidRDefault="006112D1" w:rsidP="006112D1">
            <w:pPr>
              <w:pStyle w:val="Table-Bullet"/>
            </w:pPr>
            <w:r>
              <w:t>Documented parameters guiding program operations</w:t>
            </w:r>
          </w:p>
        </w:tc>
        <w:tc>
          <w:tcPr>
            <w:tcW w:w="2586" w:type="dxa"/>
          </w:tcPr>
          <w:p w14:paraId="47B7501B" w14:textId="77777777" w:rsidR="00020B04" w:rsidRDefault="00020B04" w:rsidP="00020B04">
            <w:pPr>
              <w:pStyle w:val="Table-Bullet"/>
            </w:pPr>
            <w:r>
              <w:t>Program documentation</w:t>
            </w:r>
          </w:p>
          <w:p w14:paraId="5E88FFE9" w14:textId="0BB22802" w:rsidR="00020B04" w:rsidRDefault="00020B04" w:rsidP="00020B04">
            <w:pPr>
              <w:pStyle w:val="Table-Bullet"/>
            </w:pPr>
            <w:r>
              <w:t>Key informant interviews</w:t>
            </w:r>
          </w:p>
          <w:p w14:paraId="48CE8142" w14:textId="21692E5C" w:rsidR="00020B04" w:rsidRDefault="00020B04" w:rsidP="00020B04">
            <w:pPr>
              <w:pStyle w:val="Table-Bullet"/>
            </w:pPr>
            <w:r>
              <w:t>Program data</w:t>
            </w:r>
          </w:p>
          <w:p w14:paraId="60D58037" w14:textId="36EFC3F1" w:rsidR="00E5375B" w:rsidRPr="00780518" w:rsidRDefault="00020B04" w:rsidP="00020B04">
            <w:pPr>
              <w:pStyle w:val="Table-Bullet"/>
            </w:pPr>
            <w:r>
              <w:t>Outcome data</w:t>
            </w:r>
          </w:p>
        </w:tc>
        <w:tc>
          <w:tcPr>
            <w:tcW w:w="1405" w:type="dxa"/>
          </w:tcPr>
          <w:p w14:paraId="79A4BB2F" w14:textId="77777777" w:rsidR="00E5375B" w:rsidRPr="00780518" w:rsidRDefault="00E5375B">
            <w:pPr>
              <w:pStyle w:val="Table-Text"/>
              <w:rPr>
                <w:rFonts w:cs="Arial"/>
                <w:szCs w:val="20"/>
              </w:rPr>
            </w:pPr>
            <w:r>
              <w:rPr>
                <w:rFonts w:cs="Arial"/>
                <w:szCs w:val="20"/>
              </w:rPr>
              <w:t>N/A</w:t>
            </w:r>
          </w:p>
        </w:tc>
        <w:tc>
          <w:tcPr>
            <w:tcW w:w="1406" w:type="dxa"/>
          </w:tcPr>
          <w:p w14:paraId="3FADE7EB" w14:textId="77777777" w:rsidR="00E5375B" w:rsidRPr="00780518" w:rsidRDefault="00E5375B">
            <w:pPr>
              <w:pStyle w:val="Table-Text"/>
              <w:rPr>
                <w:rFonts w:cs="Arial"/>
                <w:szCs w:val="20"/>
              </w:rPr>
            </w:pPr>
            <w:r>
              <w:rPr>
                <w:rFonts w:cs="Arial"/>
                <w:szCs w:val="20"/>
              </w:rPr>
              <w:t>Yes</w:t>
            </w:r>
          </w:p>
        </w:tc>
        <w:tc>
          <w:tcPr>
            <w:tcW w:w="1406" w:type="dxa"/>
          </w:tcPr>
          <w:p w14:paraId="0DA7074E" w14:textId="77777777" w:rsidR="00E5375B" w:rsidRPr="00780518" w:rsidRDefault="00E5375B">
            <w:pPr>
              <w:pStyle w:val="Table-Text"/>
              <w:rPr>
                <w:rFonts w:cs="Arial"/>
                <w:szCs w:val="20"/>
              </w:rPr>
            </w:pPr>
            <w:r>
              <w:rPr>
                <w:rFonts w:cs="Arial"/>
                <w:szCs w:val="20"/>
              </w:rPr>
              <w:t>Yes</w:t>
            </w:r>
          </w:p>
        </w:tc>
      </w:tr>
    </w:tbl>
    <w:p w14:paraId="2A2E80DE" w14:textId="5F020276" w:rsidR="00E5375B" w:rsidRDefault="00EE2714" w:rsidP="00EE2714">
      <w:pPr>
        <w:pStyle w:val="Caption"/>
      </w:pPr>
      <w:bookmarkStart w:id="124" w:name="_Toc150431593"/>
      <w:bookmarkStart w:id="125" w:name="_Toc150431970"/>
      <w:r>
        <w:t xml:space="preserve">Table </w:t>
      </w:r>
      <w:r>
        <w:fldChar w:fldCharType="begin"/>
      </w:r>
      <w:r>
        <w:instrText xml:space="preserve"> SEQ Table \* ARABIC </w:instrText>
      </w:r>
      <w:r>
        <w:fldChar w:fldCharType="separate"/>
      </w:r>
      <w:r w:rsidR="008D0FC1">
        <w:rPr>
          <w:noProof/>
        </w:rPr>
        <w:t>20</w:t>
      </w:r>
      <w:r>
        <w:fldChar w:fldCharType="end"/>
      </w:r>
      <w:r>
        <w:t xml:space="preserve"> KEQ </w:t>
      </w:r>
      <w:r w:rsidRPr="00EE2714">
        <w:t>O6: How sustainable and scalable is the Living Learning Program with its current funding model?</w:t>
      </w:r>
      <w:bookmarkEnd w:id="124"/>
      <w:bookmarkEnd w:id="125"/>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EE2714" w:rsidRPr="00780518" w14:paraId="26D551E4" w14:textId="77777777">
        <w:trPr>
          <w:cantSplit/>
          <w:trHeight w:val="474"/>
          <w:tblHeader/>
        </w:trPr>
        <w:tc>
          <w:tcPr>
            <w:tcW w:w="2585" w:type="dxa"/>
            <w:shd w:val="clear" w:color="auto" w:fill="4B91D7"/>
          </w:tcPr>
          <w:p w14:paraId="1E4F1A80" w14:textId="77777777" w:rsidR="00EE2714" w:rsidRPr="00780518" w:rsidRDefault="00EE2714">
            <w:pPr>
              <w:pStyle w:val="Table-Heading"/>
              <w:rPr>
                <w:color w:val="FFFFFF" w:themeColor="background1"/>
              </w:rPr>
            </w:pPr>
            <w:r>
              <w:rPr>
                <w:color w:val="FFFFFF" w:themeColor="background1"/>
              </w:rPr>
              <w:t>Sub-questions</w:t>
            </w:r>
          </w:p>
        </w:tc>
        <w:tc>
          <w:tcPr>
            <w:tcW w:w="2586" w:type="dxa"/>
            <w:shd w:val="clear" w:color="auto" w:fill="4B91D7"/>
          </w:tcPr>
          <w:p w14:paraId="5BB8697B" w14:textId="77777777" w:rsidR="00EE2714" w:rsidRPr="00780518" w:rsidRDefault="00EE2714">
            <w:pPr>
              <w:pStyle w:val="Table-Heading"/>
              <w:rPr>
                <w:color w:val="FFFFFF" w:themeColor="background1"/>
              </w:rPr>
            </w:pPr>
            <w:r>
              <w:rPr>
                <w:color w:val="FFFFFF" w:themeColor="background1"/>
              </w:rPr>
              <w:t>Indicators</w:t>
            </w:r>
          </w:p>
        </w:tc>
        <w:tc>
          <w:tcPr>
            <w:tcW w:w="2586" w:type="dxa"/>
            <w:shd w:val="clear" w:color="auto" w:fill="4B91D7"/>
          </w:tcPr>
          <w:p w14:paraId="4CB375E0" w14:textId="77777777" w:rsidR="00EE2714" w:rsidRPr="00780518" w:rsidRDefault="00EE2714">
            <w:pPr>
              <w:pStyle w:val="Table-Heading"/>
              <w:rPr>
                <w:color w:val="FFFFFF" w:themeColor="background1"/>
              </w:rPr>
            </w:pPr>
            <w:r>
              <w:rPr>
                <w:color w:val="FFFFFF" w:themeColor="background1"/>
              </w:rPr>
              <w:t>Measures</w:t>
            </w:r>
          </w:p>
        </w:tc>
        <w:tc>
          <w:tcPr>
            <w:tcW w:w="2586" w:type="dxa"/>
            <w:shd w:val="clear" w:color="auto" w:fill="4B91D7"/>
          </w:tcPr>
          <w:p w14:paraId="1BBE00F9" w14:textId="77777777" w:rsidR="00EE2714" w:rsidRPr="00780518" w:rsidRDefault="00EE2714">
            <w:pPr>
              <w:pStyle w:val="Table-Heading"/>
              <w:rPr>
                <w:color w:val="FFFFFF" w:themeColor="background1"/>
              </w:rPr>
            </w:pPr>
            <w:r>
              <w:rPr>
                <w:color w:val="FFFFFF" w:themeColor="background1"/>
              </w:rPr>
              <w:t>Sources</w:t>
            </w:r>
          </w:p>
        </w:tc>
        <w:tc>
          <w:tcPr>
            <w:tcW w:w="1405" w:type="dxa"/>
            <w:shd w:val="clear" w:color="auto" w:fill="4B91D7"/>
          </w:tcPr>
          <w:p w14:paraId="633807D4" w14:textId="77777777" w:rsidR="00EE2714" w:rsidRPr="00780518" w:rsidRDefault="00EE2714">
            <w:pPr>
              <w:pStyle w:val="Table-Heading"/>
              <w:rPr>
                <w:color w:val="FFFFFF" w:themeColor="background1"/>
              </w:rPr>
            </w:pPr>
            <w:r>
              <w:rPr>
                <w:color w:val="FFFFFF" w:themeColor="background1"/>
              </w:rPr>
              <w:t>Formative</w:t>
            </w:r>
          </w:p>
        </w:tc>
        <w:tc>
          <w:tcPr>
            <w:tcW w:w="1406" w:type="dxa"/>
            <w:shd w:val="clear" w:color="auto" w:fill="4B91D7"/>
          </w:tcPr>
          <w:p w14:paraId="779132C5" w14:textId="77777777" w:rsidR="00EE2714" w:rsidRPr="00780518" w:rsidRDefault="00EE2714">
            <w:pPr>
              <w:pStyle w:val="Table-Heading"/>
              <w:rPr>
                <w:color w:val="FFFFFF" w:themeColor="background1"/>
              </w:rPr>
            </w:pPr>
            <w:r>
              <w:rPr>
                <w:color w:val="FFFFFF" w:themeColor="background1"/>
              </w:rPr>
              <w:t>Interim</w:t>
            </w:r>
          </w:p>
        </w:tc>
        <w:tc>
          <w:tcPr>
            <w:tcW w:w="1406" w:type="dxa"/>
            <w:shd w:val="clear" w:color="auto" w:fill="4B91D7"/>
          </w:tcPr>
          <w:p w14:paraId="185598D8" w14:textId="77777777" w:rsidR="00EE2714" w:rsidRPr="00780518" w:rsidRDefault="00EE2714">
            <w:pPr>
              <w:pStyle w:val="Table-Heading"/>
              <w:rPr>
                <w:color w:val="FFFFFF" w:themeColor="background1"/>
              </w:rPr>
            </w:pPr>
            <w:r>
              <w:rPr>
                <w:color w:val="FFFFFF" w:themeColor="background1"/>
              </w:rPr>
              <w:t>Summative</w:t>
            </w:r>
          </w:p>
        </w:tc>
      </w:tr>
      <w:tr w:rsidR="00EE2714" w:rsidRPr="00780518" w14:paraId="44AD43E9" w14:textId="77777777">
        <w:trPr>
          <w:cantSplit/>
          <w:trHeight w:val="474"/>
        </w:trPr>
        <w:tc>
          <w:tcPr>
            <w:tcW w:w="2585" w:type="dxa"/>
            <w:shd w:val="clear" w:color="auto" w:fill="auto"/>
          </w:tcPr>
          <w:p w14:paraId="72F57F6B" w14:textId="4C557D2C" w:rsidR="000671BB" w:rsidRDefault="000671BB" w:rsidP="000671BB">
            <w:pPr>
              <w:pStyle w:val="Table-Bullet"/>
            </w:pPr>
            <w:r>
              <w:t>To what extent does program cashflow cover operating costs?</w:t>
            </w:r>
          </w:p>
          <w:p w14:paraId="4F262913" w14:textId="7A1BE71E" w:rsidR="000671BB" w:rsidRDefault="000671BB" w:rsidP="000671BB">
            <w:pPr>
              <w:pStyle w:val="Table-Bullet"/>
            </w:pPr>
            <w:r>
              <w:t>To what extent is the financial model for the program viable at smaller or larger scales?</w:t>
            </w:r>
          </w:p>
          <w:p w14:paraId="0602ABD3" w14:textId="6B922B2D" w:rsidR="000671BB" w:rsidRDefault="000671BB" w:rsidP="000671BB">
            <w:pPr>
              <w:pStyle w:val="Table-Bullet"/>
            </w:pPr>
            <w:r>
              <w:t>Does the program generate financial returns acceptable to investors?</w:t>
            </w:r>
          </w:p>
          <w:p w14:paraId="4B0F3862" w14:textId="2F86830A" w:rsidR="00EE2714" w:rsidRPr="00780518" w:rsidRDefault="000671BB" w:rsidP="000671BB">
            <w:pPr>
              <w:pStyle w:val="Table-Bullet"/>
            </w:pPr>
            <w:r>
              <w:t>To what extent is the operating model scalable?</w:t>
            </w:r>
          </w:p>
        </w:tc>
        <w:tc>
          <w:tcPr>
            <w:tcW w:w="2586" w:type="dxa"/>
          </w:tcPr>
          <w:p w14:paraId="730C444F" w14:textId="2A84438F" w:rsidR="004D7871" w:rsidRDefault="004D7871" w:rsidP="004D7871">
            <w:pPr>
              <w:pStyle w:val="Table-Bullet"/>
            </w:pPr>
            <w:r>
              <w:t>Extent to which program actual costs align to budgeted costs.</w:t>
            </w:r>
          </w:p>
          <w:p w14:paraId="38A56FB4" w14:textId="53161A1B" w:rsidR="004D7871" w:rsidRDefault="004D7871" w:rsidP="004D7871">
            <w:pPr>
              <w:pStyle w:val="Table-Bullet"/>
            </w:pPr>
            <w:r>
              <w:t>Extent to which the program has a manageable cashflow model.</w:t>
            </w:r>
          </w:p>
          <w:p w14:paraId="3DBB2089" w14:textId="34ABDA28" w:rsidR="004D7871" w:rsidRDefault="004D7871" w:rsidP="004D7871">
            <w:pPr>
              <w:pStyle w:val="Table-Bullet"/>
            </w:pPr>
            <w:r>
              <w:t>Extent to which efficiencies are gained or lost at smaller and larger scales.</w:t>
            </w:r>
          </w:p>
          <w:p w14:paraId="4EDC00EF" w14:textId="0E317000" w:rsidR="004D7871" w:rsidRDefault="004D7871" w:rsidP="004D7871">
            <w:pPr>
              <w:pStyle w:val="Table-Bullet"/>
            </w:pPr>
            <w:r>
              <w:t>What is the investor profile to which the model is attractive?</w:t>
            </w:r>
          </w:p>
          <w:p w14:paraId="691CB081" w14:textId="5D818489" w:rsidR="004D7871" w:rsidRDefault="004D7871" w:rsidP="004D7871">
            <w:pPr>
              <w:pStyle w:val="Table-Bullet"/>
            </w:pPr>
            <w:r>
              <w:t>Extent to which investor IRR expectations are met.</w:t>
            </w:r>
          </w:p>
          <w:p w14:paraId="2ABE861C" w14:textId="0CAC4358" w:rsidR="00EE2714" w:rsidRPr="00780518" w:rsidRDefault="004D7871" w:rsidP="004D7871">
            <w:pPr>
              <w:pStyle w:val="Table-Bullet"/>
            </w:pPr>
            <w:r>
              <w:t>Extent to which operating model is replicable and larger scales.</w:t>
            </w:r>
          </w:p>
        </w:tc>
        <w:tc>
          <w:tcPr>
            <w:tcW w:w="2586" w:type="dxa"/>
          </w:tcPr>
          <w:p w14:paraId="53F2BE87" w14:textId="77777777" w:rsidR="00D17950" w:rsidRDefault="00D17950" w:rsidP="00D17950">
            <w:pPr>
              <w:pStyle w:val="Table-Bullet"/>
            </w:pPr>
            <w:r>
              <w:t>Program operating cost and variance to budget</w:t>
            </w:r>
          </w:p>
          <w:p w14:paraId="4044AA91" w14:textId="5B3451DC" w:rsidR="00D17950" w:rsidRDefault="00D17950">
            <w:pPr>
              <w:pStyle w:val="Table-Bullet"/>
            </w:pPr>
            <w:r>
              <w:t xml:space="preserve">Program revenues achieved and variance to </w:t>
            </w:r>
            <w:proofErr w:type="gramStart"/>
            <w:r>
              <w:t>budget</w:t>
            </w:r>
            <w:proofErr w:type="gramEnd"/>
          </w:p>
          <w:p w14:paraId="17C3043B" w14:textId="73D18BF9" w:rsidR="00D17950" w:rsidRDefault="00D17950">
            <w:pPr>
              <w:pStyle w:val="Table-Bullet"/>
            </w:pPr>
            <w:r>
              <w:t>Stakeholder viewpoints on manageability of cashflow.</w:t>
            </w:r>
          </w:p>
          <w:p w14:paraId="41D90A98" w14:textId="5370EE65" w:rsidR="00D17950" w:rsidRDefault="00D17950">
            <w:pPr>
              <w:pStyle w:val="Table-Bullet"/>
            </w:pPr>
            <w:r>
              <w:t>Stakeholder viewpoints on impacts on costs at smaller and larger scales.</w:t>
            </w:r>
          </w:p>
          <w:p w14:paraId="3E783DD0" w14:textId="3488C9A0" w:rsidR="00D17950" w:rsidRDefault="00D17950" w:rsidP="00D17950">
            <w:pPr>
              <w:pStyle w:val="Table-Bullet"/>
            </w:pPr>
            <w:r>
              <w:t>IRR performance compared to prospectus.</w:t>
            </w:r>
          </w:p>
          <w:p w14:paraId="6CC7255C" w14:textId="6EA9330A" w:rsidR="00EE2714" w:rsidRPr="00780518" w:rsidRDefault="00D17950" w:rsidP="00D17950">
            <w:pPr>
              <w:pStyle w:val="Table-Bullet"/>
            </w:pPr>
            <w:r>
              <w:t>Stakeholder viewpoints on scalability of operating model.</w:t>
            </w:r>
          </w:p>
        </w:tc>
        <w:tc>
          <w:tcPr>
            <w:tcW w:w="2586" w:type="dxa"/>
          </w:tcPr>
          <w:p w14:paraId="46EF049F" w14:textId="77777777" w:rsidR="0039511B" w:rsidRDefault="0039511B" w:rsidP="0039511B">
            <w:pPr>
              <w:pStyle w:val="Table-Bullet"/>
            </w:pPr>
            <w:r>
              <w:t>Program financial data</w:t>
            </w:r>
          </w:p>
          <w:p w14:paraId="5A913561" w14:textId="4A842518" w:rsidR="0039511B" w:rsidRDefault="0039511B" w:rsidP="0039511B">
            <w:pPr>
              <w:pStyle w:val="Table-Bullet"/>
            </w:pPr>
            <w:r>
              <w:t>Stakeholder interviews</w:t>
            </w:r>
          </w:p>
          <w:p w14:paraId="5C744924" w14:textId="2A589BD9" w:rsidR="00EE2714" w:rsidRPr="00780518" w:rsidRDefault="0039511B" w:rsidP="0039511B">
            <w:pPr>
              <w:pStyle w:val="Table-Bullet"/>
            </w:pPr>
            <w:r>
              <w:t>Program documentation</w:t>
            </w:r>
          </w:p>
        </w:tc>
        <w:tc>
          <w:tcPr>
            <w:tcW w:w="1405" w:type="dxa"/>
          </w:tcPr>
          <w:p w14:paraId="7426E050" w14:textId="77777777" w:rsidR="00EE2714" w:rsidRPr="00780518" w:rsidRDefault="00EE2714">
            <w:pPr>
              <w:pStyle w:val="Table-Text"/>
              <w:rPr>
                <w:rFonts w:cs="Arial"/>
                <w:szCs w:val="20"/>
              </w:rPr>
            </w:pPr>
            <w:r>
              <w:rPr>
                <w:rFonts w:cs="Arial"/>
                <w:szCs w:val="20"/>
              </w:rPr>
              <w:t>N/A</w:t>
            </w:r>
          </w:p>
        </w:tc>
        <w:tc>
          <w:tcPr>
            <w:tcW w:w="1406" w:type="dxa"/>
          </w:tcPr>
          <w:p w14:paraId="12784F08" w14:textId="77777777" w:rsidR="00EE2714" w:rsidRPr="00780518" w:rsidRDefault="00EE2714">
            <w:pPr>
              <w:pStyle w:val="Table-Text"/>
              <w:rPr>
                <w:rFonts w:cs="Arial"/>
                <w:szCs w:val="20"/>
              </w:rPr>
            </w:pPr>
            <w:r>
              <w:rPr>
                <w:rFonts w:cs="Arial"/>
                <w:szCs w:val="20"/>
              </w:rPr>
              <w:t>Yes</w:t>
            </w:r>
          </w:p>
        </w:tc>
        <w:tc>
          <w:tcPr>
            <w:tcW w:w="1406" w:type="dxa"/>
          </w:tcPr>
          <w:p w14:paraId="2C7CA406" w14:textId="77777777" w:rsidR="00EE2714" w:rsidRPr="00780518" w:rsidRDefault="00EE2714">
            <w:pPr>
              <w:pStyle w:val="Table-Text"/>
              <w:rPr>
                <w:rFonts w:cs="Arial"/>
                <w:szCs w:val="20"/>
              </w:rPr>
            </w:pPr>
            <w:r>
              <w:rPr>
                <w:rFonts w:cs="Arial"/>
                <w:szCs w:val="20"/>
              </w:rPr>
              <w:t>Yes</w:t>
            </w:r>
          </w:p>
        </w:tc>
      </w:tr>
    </w:tbl>
    <w:p w14:paraId="3D047D05" w14:textId="5CBBE2E6" w:rsidR="00EE2714" w:rsidRDefault="0039511B" w:rsidP="0039511B">
      <w:pPr>
        <w:pStyle w:val="Caption"/>
      </w:pPr>
      <w:bookmarkStart w:id="126" w:name="_Toc150431594"/>
      <w:bookmarkStart w:id="127" w:name="_Toc150431971"/>
      <w:r>
        <w:t xml:space="preserve">Table </w:t>
      </w:r>
      <w:r>
        <w:fldChar w:fldCharType="begin"/>
      </w:r>
      <w:r>
        <w:instrText xml:space="preserve"> SEQ Table \* ARABIC </w:instrText>
      </w:r>
      <w:r>
        <w:fldChar w:fldCharType="separate"/>
      </w:r>
      <w:r w:rsidR="008D0FC1">
        <w:rPr>
          <w:noProof/>
        </w:rPr>
        <w:t>21</w:t>
      </w:r>
      <w:r>
        <w:fldChar w:fldCharType="end"/>
      </w:r>
      <w:r>
        <w:t xml:space="preserve"> KEQ </w:t>
      </w:r>
      <w:r w:rsidRPr="0039511B">
        <w:t>E1: To what extent does the Living Learning PAD achieve a net economic benefit for Victoria?</w:t>
      </w:r>
      <w:bookmarkEnd w:id="126"/>
      <w:bookmarkEnd w:id="127"/>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39511B" w:rsidRPr="00780518" w14:paraId="6F3778B7" w14:textId="77777777">
        <w:trPr>
          <w:cantSplit/>
          <w:trHeight w:val="474"/>
          <w:tblHeader/>
        </w:trPr>
        <w:tc>
          <w:tcPr>
            <w:tcW w:w="2585" w:type="dxa"/>
            <w:shd w:val="clear" w:color="auto" w:fill="4B91D7"/>
          </w:tcPr>
          <w:p w14:paraId="0991645C" w14:textId="77777777" w:rsidR="0039511B" w:rsidRPr="00780518" w:rsidRDefault="0039511B">
            <w:pPr>
              <w:pStyle w:val="Table-Heading"/>
              <w:rPr>
                <w:color w:val="FFFFFF" w:themeColor="background1"/>
              </w:rPr>
            </w:pPr>
            <w:r>
              <w:rPr>
                <w:color w:val="FFFFFF" w:themeColor="background1"/>
              </w:rPr>
              <w:t>Sub-questions</w:t>
            </w:r>
          </w:p>
        </w:tc>
        <w:tc>
          <w:tcPr>
            <w:tcW w:w="2586" w:type="dxa"/>
            <w:shd w:val="clear" w:color="auto" w:fill="4B91D7"/>
          </w:tcPr>
          <w:p w14:paraId="29C3E548" w14:textId="77777777" w:rsidR="0039511B" w:rsidRPr="00780518" w:rsidRDefault="0039511B">
            <w:pPr>
              <w:pStyle w:val="Table-Heading"/>
              <w:rPr>
                <w:color w:val="FFFFFF" w:themeColor="background1"/>
              </w:rPr>
            </w:pPr>
            <w:r>
              <w:rPr>
                <w:color w:val="FFFFFF" w:themeColor="background1"/>
              </w:rPr>
              <w:t>Indicators</w:t>
            </w:r>
          </w:p>
        </w:tc>
        <w:tc>
          <w:tcPr>
            <w:tcW w:w="2586" w:type="dxa"/>
            <w:shd w:val="clear" w:color="auto" w:fill="4B91D7"/>
          </w:tcPr>
          <w:p w14:paraId="5B3FB60C" w14:textId="77777777" w:rsidR="0039511B" w:rsidRPr="00780518" w:rsidRDefault="0039511B">
            <w:pPr>
              <w:pStyle w:val="Table-Heading"/>
              <w:rPr>
                <w:color w:val="FFFFFF" w:themeColor="background1"/>
              </w:rPr>
            </w:pPr>
            <w:r>
              <w:rPr>
                <w:color w:val="FFFFFF" w:themeColor="background1"/>
              </w:rPr>
              <w:t>Measures</w:t>
            </w:r>
          </w:p>
        </w:tc>
        <w:tc>
          <w:tcPr>
            <w:tcW w:w="2586" w:type="dxa"/>
            <w:shd w:val="clear" w:color="auto" w:fill="4B91D7"/>
          </w:tcPr>
          <w:p w14:paraId="3637E1B9" w14:textId="77777777" w:rsidR="0039511B" w:rsidRPr="00780518" w:rsidRDefault="0039511B">
            <w:pPr>
              <w:pStyle w:val="Table-Heading"/>
              <w:rPr>
                <w:color w:val="FFFFFF" w:themeColor="background1"/>
              </w:rPr>
            </w:pPr>
            <w:r>
              <w:rPr>
                <w:color w:val="FFFFFF" w:themeColor="background1"/>
              </w:rPr>
              <w:t>Sources</w:t>
            </w:r>
          </w:p>
        </w:tc>
        <w:tc>
          <w:tcPr>
            <w:tcW w:w="1405" w:type="dxa"/>
            <w:shd w:val="clear" w:color="auto" w:fill="4B91D7"/>
          </w:tcPr>
          <w:p w14:paraId="18DB373F" w14:textId="77777777" w:rsidR="0039511B" w:rsidRPr="00780518" w:rsidRDefault="0039511B">
            <w:pPr>
              <w:pStyle w:val="Table-Heading"/>
              <w:rPr>
                <w:color w:val="FFFFFF" w:themeColor="background1"/>
              </w:rPr>
            </w:pPr>
            <w:r>
              <w:rPr>
                <w:color w:val="FFFFFF" w:themeColor="background1"/>
              </w:rPr>
              <w:t>Formative</w:t>
            </w:r>
          </w:p>
        </w:tc>
        <w:tc>
          <w:tcPr>
            <w:tcW w:w="1406" w:type="dxa"/>
            <w:shd w:val="clear" w:color="auto" w:fill="4B91D7"/>
          </w:tcPr>
          <w:p w14:paraId="2CE338D7" w14:textId="77777777" w:rsidR="0039511B" w:rsidRPr="00780518" w:rsidRDefault="0039511B">
            <w:pPr>
              <w:pStyle w:val="Table-Heading"/>
              <w:rPr>
                <w:color w:val="FFFFFF" w:themeColor="background1"/>
              </w:rPr>
            </w:pPr>
            <w:r>
              <w:rPr>
                <w:color w:val="FFFFFF" w:themeColor="background1"/>
              </w:rPr>
              <w:t>Interim</w:t>
            </w:r>
          </w:p>
        </w:tc>
        <w:tc>
          <w:tcPr>
            <w:tcW w:w="1406" w:type="dxa"/>
            <w:shd w:val="clear" w:color="auto" w:fill="4B91D7"/>
          </w:tcPr>
          <w:p w14:paraId="2408587D" w14:textId="77777777" w:rsidR="0039511B" w:rsidRPr="00780518" w:rsidRDefault="0039511B">
            <w:pPr>
              <w:pStyle w:val="Table-Heading"/>
              <w:rPr>
                <w:color w:val="FFFFFF" w:themeColor="background1"/>
              </w:rPr>
            </w:pPr>
            <w:r>
              <w:rPr>
                <w:color w:val="FFFFFF" w:themeColor="background1"/>
              </w:rPr>
              <w:t>Summative</w:t>
            </w:r>
          </w:p>
        </w:tc>
      </w:tr>
      <w:tr w:rsidR="0039511B" w:rsidRPr="00780518" w14:paraId="01CC4E9D" w14:textId="77777777">
        <w:trPr>
          <w:cantSplit/>
          <w:trHeight w:val="474"/>
        </w:trPr>
        <w:tc>
          <w:tcPr>
            <w:tcW w:w="2585" w:type="dxa"/>
            <w:shd w:val="clear" w:color="auto" w:fill="auto"/>
          </w:tcPr>
          <w:p w14:paraId="4A49499B" w14:textId="2297DD29" w:rsidR="007C2666" w:rsidRDefault="007C2666" w:rsidP="007C2666">
            <w:pPr>
              <w:pStyle w:val="Table-Bullet"/>
            </w:pPr>
            <w:r>
              <w:t>What is the total cost of the program to the State?</w:t>
            </w:r>
          </w:p>
          <w:p w14:paraId="7899AE6D" w14:textId="0A001DD5" w:rsidR="007C2666" w:rsidRDefault="007C2666" w:rsidP="007C2666">
            <w:pPr>
              <w:pStyle w:val="Table-Bullet"/>
            </w:pPr>
            <w:r>
              <w:t>What is the total value of quantifiable benefits attributable to the program?</w:t>
            </w:r>
          </w:p>
          <w:p w14:paraId="765CDCD7" w14:textId="3AC573C0" w:rsidR="0039511B" w:rsidRPr="00780518" w:rsidRDefault="007C2666" w:rsidP="007C2666">
            <w:pPr>
              <w:pStyle w:val="Table-Bullet"/>
            </w:pPr>
            <w:r>
              <w:t>What are the non-quantifiable costs and benefits?</w:t>
            </w:r>
          </w:p>
        </w:tc>
        <w:tc>
          <w:tcPr>
            <w:tcW w:w="2586" w:type="dxa"/>
          </w:tcPr>
          <w:p w14:paraId="49380E3A" w14:textId="7E5EA885" w:rsidR="007C2666" w:rsidRDefault="007C2666" w:rsidP="007C2666">
            <w:pPr>
              <w:pStyle w:val="Table-Bullet"/>
            </w:pPr>
            <w:r>
              <w:t>Total of payments through the PAD model.</w:t>
            </w:r>
          </w:p>
          <w:p w14:paraId="0686A363" w14:textId="3C747B03" w:rsidR="007C2666" w:rsidRDefault="007C2666" w:rsidP="007C2666">
            <w:pPr>
              <w:pStyle w:val="Table-Bullet"/>
            </w:pPr>
            <w:r>
              <w:t>Net present value of quantifiable benefits.</w:t>
            </w:r>
          </w:p>
          <w:p w14:paraId="5E8AB667" w14:textId="7636B80C" w:rsidR="0039511B" w:rsidRPr="00780518" w:rsidRDefault="007C2666" w:rsidP="007C2666">
            <w:pPr>
              <w:pStyle w:val="Table-Bullet"/>
            </w:pPr>
            <w:r>
              <w:t>Extent to which stakeholders ascribe value to non-quantifiable benefits.</w:t>
            </w:r>
          </w:p>
        </w:tc>
        <w:tc>
          <w:tcPr>
            <w:tcW w:w="2586" w:type="dxa"/>
          </w:tcPr>
          <w:p w14:paraId="4E508500" w14:textId="77777777" w:rsidR="007C2666" w:rsidRDefault="007C2666" w:rsidP="007C2666">
            <w:pPr>
              <w:pStyle w:val="Table-Bullet"/>
            </w:pPr>
            <w:r>
              <w:t>Modelled value of payable outcomes</w:t>
            </w:r>
          </w:p>
          <w:p w14:paraId="020B3A9D" w14:textId="5CA0557A" w:rsidR="007C2666" w:rsidRDefault="007C2666" w:rsidP="007C2666">
            <w:pPr>
              <w:pStyle w:val="Table-Bullet"/>
            </w:pPr>
            <w:r>
              <w:t>Modelled value of other quantifiable outcomes.</w:t>
            </w:r>
          </w:p>
          <w:p w14:paraId="6620CD82" w14:textId="66A8CC3C" w:rsidR="0039511B" w:rsidRPr="00780518" w:rsidRDefault="007C2666" w:rsidP="007C2666">
            <w:pPr>
              <w:pStyle w:val="Table-Bullet"/>
            </w:pPr>
            <w:r>
              <w:t>Stakeholder viewpoints on nonquantifiable benefits.</w:t>
            </w:r>
          </w:p>
        </w:tc>
        <w:tc>
          <w:tcPr>
            <w:tcW w:w="2586" w:type="dxa"/>
          </w:tcPr>
          <w:p w14:paraId="3C26116C" w14:textId="77777777" w:rsidR="008E3258" w:rsidRDefault="008E3258" w:rsidP="008E3258">
            <w:pPr>
              <w:pStyle w:val="Table-Bullet"/>
            </w:pPr>
            <w:r>
              <w:t>Program financial data</w:t>
            </w:r>
          </w:p>
          <w:p w14:paraId="1B7738D9" w14:textId="33B08680" w:rsidR="008E3258" w:rsidRDefault="008E3258" w:rsidP="008E3258">
            <w:pPr>
              <w:pStyle w:val="Table-Bullet"/>
            </w:pPr>
            <w:r>
              <w:t>Stakeholder interviews</w:t>
            </w:r>
          </w:p>
          <w:p w14:paraId="35EEB326" w14:textId="2A6ECDE0" w:rsidR="0039511B" w:rsidRPr="00780518" w:rsidRDefault="008E3258" w:rsidP="008E3258">
            <w:pPr>
              <w:pStyle w:val="Table-Bullet"/>
            </w:pPr>
            <w:r>
              <w:t>Literature review</w:t>
            </w:r>
          </w:p>
        </w:tc>
        <w:tc>
          <w:tcPr>
            <w:tcW w:w="1405" w:type="dxa"/>
          </w:tcPr>
          <w:p w14:paraId="215B97BE" w14:textId="77777777" w:rsidR="0039511B" w:rsidRPr="00780518" w:rsidRDefault="0039511B">
            <w:pPr>
              <w:pStyle w:val="Table-Text"/>
              <w:rPr>
                <w:rFonts w:cs="Arial"/>
                <w:szCs w:val="20"/>
              </w:rPr>
            </w:pPr>
            <w:r>
              <w:rPr>
                <w:rFonts w:cs="Arial"/>
                <w:szCs w:val="20"/>
              </w:rPr>
              <w:t>N/A</w:t>
            </w:r>
          </w:p>
        </w:tc>
        <w:tc>
          <w:tcPr>
            <w:tcW w:w="1406" w:type="dxa"/>
          </w:tcPr>
          <w:p w14:paraId="51D90CD1" w14:textId="513604BD" w:rsidR="0039511B" w:rsidRPr="00780518" w:rsidRDefault="001811E8">
            <w:pPr>
              <w:pStyle w:val="Table-Text"/>
              <w:rPr>
                <w:rFonts w:cs="Arial"/>
                <w:szCs w:val="20"/>
              </w:rPr>
            </w:pPr>
            <w:r>
              <w:rPr>
                <w:rFonts w:cs="Arial"/>
                <w:szCs w:val="20"/>
              </w:rPr>
              <w:t>N/A</w:t>
            </w:r>
          </w:p>
        </w:tc>
        <w:tc>
          <w:tcPr>
            <w:tcW w:w="1406" w:type="dxa"/>
          </w:tcPr>
          <w:p w14:paraId="0ECDA1FE" w14:textId="77777777" w:rsidR="0039511B" w:rsidRPr="00780518" w:rsidRDefault="0039511B">
            <w:pPr>
              <w:pStyle w:val="Table-Text"/>
              <w:rPr>
                <w:rFonts w:cs="Arial"/>
                <w:szCs w:val="20"/>
              </w:rPr>
            </w:pPr>
            <w:r>
              <w:rPr>
                <w:rFonts w:cs="Arial"/>
                <w:szCs w:val="20"/>
              </w:rPr>
              <w:t>Yes</w:t>
            </w:r>
          </w:p>
        </w:tc>
      </w:tr>
    </w:tbl>
    <w:p w14:paraId="36CA94EA" w14:textId="00237A8D" w:rsidR="0039511B" w:rsidRDefault="008E3258" w:rsidP="008E3258">
      <w:pPr>
        <w:pStyle w:val="Caption"/>
      </w:pPr>
      <w:bookmarkStart w:id="128" w:name="_Toc150431595"/>
      <w:bookmarkStart w:id="129" w:name="_Toc150431972"/>
      <w:r>
        <w:t xml:space="preserve">Table </w:t>
      </w:r>
      <w:r>
        <w:fldChar w:fldCharType="begin"/>
      </w:r>
      <w:r>
        <w:instrText xml:space="preserve"> SEQ Table \* ARABIC </w:instrText>
      </w:r>
      <w:r>
        <w:fldChar w:fldCharType="separate"/>
      </w:r>
      <w:r w:rsidR="008D0FC1">
        <w:rPr>
          <w:noProof/>
        </w:rPr>
        <w:t>22</w:t>
      </w:r>
      <w:r>
        <w:fldChar w:fldCharType="end"/>
      </w:r>
      <w:r>
        <w:t xml:space="preserve"> KEQ </w:t>
      </w:r>
      <w:r w:rsidRPr="008E3258">
        <w:t>E2: How does the PAD funding mechanism enable or hinder value for money delivery of the PAD program?</w:t>
      </w:r>
      <w:bookmarkEnd w:id="128"/>
      <w:bookmarkEnd w:id="129"/>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8E3258" w:rsidRPr="00780518" w14:paraId="4769499E" w14:textId="77777777">
        <w:trPr>
          <w:cantSplit/>
          <w:trHeight w:val="474"/>
          <w:tblHeader/>
        </w:trPr>
        <w:tc>
          <w:tcPr>
            <w:tcW w:w="2585" w:type="dxa"/>
            <w:shd w:val="clear" w:color="auto" w:fill="4B91D7"/>
          </w:tcPr>
          <w:p w14:paraId="57AA93C3" w14:textId="77777777" w:rsidR="008E3258" w:rsidRPr="00780518" w:rsidRDefault="008E3258">
            <w:pPr>
              <w:pStyle w:val="Table-Heading"/>
              <w:rPr>
                <w:color w:val="FFFFFF" w:themeColor="background1"/>
              </w:rPr>
            </w:pPr>
            <w:r>
              <w:rPr>
                <w:color w:val="FFFFFF" w:themeColor="background1"/>
              </w:rPr>
              <w:t>Sub-questions</w:t>
            </w:r>
          </w:p>
        </w:tc>
        <w:tc>
          <w:tcPr>
            <w:tcW w:w="2586" w:type="dxa"/>
            <w:shd w:val="clear" w:color="auto" w:fill="4B91D7"/>
          </w:tcPr>
          <w:p w14:paraId="45F388F7" w14:textId="77777777" w:rsidR="008E3258" w:rsidRPr="00780518" w:rsidRDefault="008E3258">
            <w:pPr>
              <w:pStyle w:val="Table-Heading"/>
              <w:rPr>
                <w:color w:val="FFFFFF" w:themeColor="background1"/>
              </w:rPr>
            </w:pPr>
            <w:r>
              <w:rPr>
                <w:color w:val="FFFFFF" w:themeColor="background1"/>
              </w:rPr>
              <w:t>Indicators</w:t>
            </w:r>
          </w:p>
        </w:tc>
        <w:tc>
          <w:tcPr>
            <w:tcW w:w="2586" w:type="dxa"/>
            <w:shd w:val="clear" w:color="auto" w:fill="4B91D7"/>
          </w:tcPr>
          <w:p w14:paraId="2ADA3F80" w14:textId="77777777" w:rsidR="008E3258" w:rsidRPr="00780518" w:rsidRDefault="008E3258">
            <w:pPr>
              <w:pStyle w:val="Table-Heading"/>
              <w:rPr>
                <w:color w:val="FFFFFF" w:themeColor="background1"/>
              </w:rPr>
            </w:pPr>
            <w:r>
              <w:rPr>
                <w:color w:val="FFFFFF" w:themeColor="background1"/>
              </w:rPr>
              <w:t>Measures</w:t>
            </w:r>
          </w:p>
        </w:tc>
        <w:tc>
          <w:tcPr>
            <w:tcW w:w="2586" w:type="dxa"/>
            <w:shd w:val="clear" w:color="auto" w:fill="4B91D7"/>
          </w:tcPr>
          <w:p w14:paraId="11C2EE30" w14:textId="77777777" w:rsidR="008E3258" w:rsidRPr="00780518" w:rsidRDefault="008E3258">
            <w:pPr>
              <w:pStyle w:val="Table-Heading"/>
              <w:rPr>
                <w:color w:val="FFFFFF" w:themeColor="background1"/>
              </w:rPr>
            </w:pPr>
            <w:r>
              <w:rPr>
                <w:color w:val="FFFFFF" w:themeColor="background1"/>
              </w:rPr>
              <w:t>Sources</w:t>
            </w:r>
          </w:p>
        </w:tc>
        <w:tc>
          <w:tcPr>
            <w:tcW w:w="1405" w:type="dxa"/>
            <w:shd w:val="clear" w:color="auto" w:fill="4B91D7"/>
          </w:tcPr>
          <w:p w14:paraId="7E38755C" w14:textId="77777777" w:rsidR="008E3258" w:rsidRPr="00780518" w:rsidRDefault="008E3258">
            <w:pPr>
              <w:pStyle w:val="Table-Heading"/>
              <w:rPr>
                <w:color w:val="FFFFFF" w:themeColor="background1"/>
              </w:rPr>
            </w:pPr>
            <w:r>
              <w:rPr>
                <w:color w:val="FFFFFF" w:themeColor="background1"/>
              </w:rPr>
              <w:t>Formative</w:t>
            </w:r>
          </w:p>
        </w:tc>
        <w:tc>
          <w:tcPr>
            <w:tcW w:w="1406" w:type="dxa"/>
            <w:shd w:val="clear" w:color="auto" w:fill="4B91D7"/>
          </w:tcPr>
          <w:p w14:paraId="56FB4707" w14:textId="77777777" w:rsidR="008E3258" w:rsidRPr="00780518" w:rsidRDefault="008E3258">
            <w:pPr>
              <w:pStyle w:val="Table-Heading"/>
              <w:rPr>
                <w:color w:val="FFFFFF" w:themeColor="background1"/>
              </w:rPr>
            </w:pPr>
            <w:r>
              <w:rPr>
                <w:color w:val="FFFFFF" w:themeColor="background1"/>
              </w:rPr>
              <w:t>Interim</w:t>
            </w:r>
          </w:p>
        </w:tc>
        <w:tc>
          <w:tcPr>
            <w:tcW w:w="1406" w:type="dxa"/>
            <w:shd w:val="clear" w:color="auto" w:fill="4B91D7"/>
          </w:tcPr>
          <w:p w14:paraId="00E0B415" w14:textId="77777777" w:rsidR="008E3258" w:rsidRPr="00780518" w:rsidRDefault="008E3258">
            <w:pPr>
              <w:pStyle w:val="Table-Heading"/>
              <w:rPr>
                <w:color w:val="FFFFFF" w:themeColor="background1"/>
              </w:rPr>
            </w:pPr>
            <w:r>
              <w:rPr>
                <w:color w:val="FFFFFF" w:themeColor="background1"/>
              </w:rPr>
              <w:t>Summative</w:t>
            </w:r>
          </w:p>
        </w:tc>
      </w:tr>
      <w:tr w:rsidR="008E3258" w:rsidRPr="00780518" w14:paraId="05FB7F9E" w14:textId="77777777">
        <w:trPr>
          <w:cantSplit/>
          <w:trHeight w:val="474"/>
        </w:trPr>
        <w:tc>
          <w:tcPr>
            <w:tcW w:w="2585" w:type="dxa"/>
            <w:shd w:val="clear" w:color="auto" w:fill="auto"/>
          </w:tcPr>
          <w:p w14:paraId="065C6C4C" w14:textId="72C2A9B0" w:rsidR="00C521A0" w:rsidRDefault="00C521A0" w:rsidP="00C521A0">
            <w:pPr>
              <w:pStyle w:val="Table-Bullet"/>
            </w:pPr>
            <w:r>
              <w:t>What is the focus and emphasis of the model, including the relative focus on efficiency and effectiveness of service processes and outcomes?</w:t>
            </w:r>
          </w:p>
          <w:p w14:paraId="3CB9A334" w14:textId="22B34779" w:rsidR="008E3258" w:rsidRPr="00780518" w:rsidRDefault="00C521A0" w:rsidP="00C521A0">
            <w:pPr>
              <w:pStyle w:val="Table-Bullet"/>
            </w:pPr>
            <w:r>
              <w:t>What are the value drivers for the PAD funding model compared to other funding approaches?</w:t>
            </w:r>
          </w:p>
        </w:tc>
        <w:tc>
          <w:tcPr>
            <w:tcW w:w="2586" w:type="dxa"/>
          </w:tcPr>
          <w:p w14:paraId="1D78CCDB" w14:textId="7F471021" w:rsidR="00C521A0" w:rsidRDefault="00C521A0" w:rsidP="00C521A0">
            <w:pPr>
              <w:pStyle w:val="Table-Bullet"/>
            </w:pPr>
            <w:r>
              <w:t>Extent to which the program is operationally efficient.</w:t>
            </w:r>
          </w:p>
          <w:p w14:paraId="3E57BAF6" w14:textId="6335A430" w:rsidR="00C521A0" w:rsidRDefault="00C521A0" w:rsidP="00C521A0">
            <w:pPr>
              <w:pStyle w:val="Table-Bullet"/>
            </w:pPr>
            <w:r>
              <w:t>Extent to which the program is effective (</w:t>
            </w:r>
            <w:proofErr w:type="gramStart"/>
            <w:r>
              <w:t>i.e.</w:t>
            </w:r>
            <w:proofErr w:type="gramEnd"/>
            <w:r>
              <w:t xml:space="preserve"> delivers beneficial outcomes).</w:t>
            </w:r>
          </w:p>
          <w:p w14:paraId="2A710122" w14:textId="46AC3B32" w:rsidR="008E3258" w:rsidRPr="00780518" w:rsidRDefault="00C521A0" w:rsidP="00C521A0">
            <w:pPr>
              <w:pStyle w:val="Table-Bullet"/>
            </w:pPr>
            <w:r>
              <w:t>Extent to which stakeholders attribute efficiency and/or effectiveness to the funding model.</w:t>
            </w:r>
          </w:p>
        </w:tc>
        <w:tc>
          <w:tcPr>
            <w:tcW w:w="2586" w:type="dxa"/>
          </w:tcPr>
          <w:p w14:paraId="1D6E9183" w14:textId="77777777" w:rsidR="00C521A0" w:rsidRDefault="00C521A0" w:rsidP="00C521A0">
            <w:pPr>
              <w:pStyle w:val="Table-Bullet"/>
            </w:pPr>
            <w:r>
              <w:t>Operational efficiency measures</w:t>
            </w:r>
          </w:p>
          <w:p w14:paraId="35D1055D" w14:textId="67381383" w:rsidR="00C521A0" w:rsidRDefault="00C521A0" w:rsidP="00C521A0">
            <w:pPr>
              <w:pStyle w:val="Table-Bullet"/>
            </w:pPr>
            <w:r>
              <w:t>Outcome measures</w:t>
            </w:r>
          </w:p>
          <w:p w14:paraId="40F2EF7D" w14:textId="56BF8FE9" w:rsidR="008E3258" w:rsidRPr="00780518" w:rsidRDefault="00C521A0" w:rsidP="00C521A0">
            <w:pPr>
              <w:pStyle w:val="Table-Bullet"/>
            </w:pPr>
            <w:r>
              <w:t>Stakeholder views on value drivers</w:t>
            </w:r>
          </w:p>
        </w:tc>
        <w:tc>
          <w:tcPr>
            <w:tcW w:w="2586" w:type="dxa"/>
          </w:tcPr>
          <w:p w14:paraId="53373CDE" w14:textId="77777777" w:rsidR="001811E8" w:rsidRDefault="001811E8" w:rsidP="001811E8">
            <w:pPr>
              <w:pStyle w:val="Table-Bullet"/>
            </w:pPr>
            <w:r>
              <w:t>Program financial data</w:t>
            </w:r>
          </w:p>
          <w:p w14:paraId="0926F116" w14:textId="2C8CFCC3" w:rsidR="001811E8" w:rsidRDefault="001811E8" w:rsidP="001811E8">
            <w:pPr>
              <w:pStyle w:val="Table-Bullet"/>
            </w:pPr>
            <w:r>
              <w:t xml:space="preserve">Government linked </w:t>
            </w:r>
            <w:proofErr w:type="gramStart"/>
            <w:r>
              <w:t>data</w:t>
            </w:r>
            <w:proofErr w:type="gramEnd"/>
          </w:p>
          <w:p w14:paraId="35FB83B4" w14:textId="04964AE8" w:rsidR="001811E8" w:rsidRDefault="001811E8" w:rsidP="001811E8">
            <w:pPr>
              <w:pStyle w:val="Table-Bullet"/>
            </w:pPr>
            <w:r>
              <w:t>Program outcome data</w:t>
            </w:r>
          </w:p>
          <w:p w14:paraId="0CF85866" w14:textId="5857D15E" w:rsidR="001811E8" w:rsidRDefault="001811E8" w:rsidP="001811E8">
            <w:pPr>
              <w:pStyle w:val="Table-Bullet"/>
            </w:pPr>
            <w:r>
              <w:t>Benchmark unit costs (if available)</w:t>
            </w:r>
          </w:p>
          <w:p w14:paraId="72C6B2C6" w14:textId="2FA3E494" w:rsidR="008E3258" w:rsidRPr="00780518" w:rsidRDefault="001811E8" w:rsidP="001811E8">
            <w:pPr>
              <w:pStyle w:val="Table-Bullet"/>
            </w:pPr>
            <w:r>
              <w:t>Key informant interviews</w:t>
            </w:r>
          </w:p>
        </w:tc>
        <w:tc>
          <w:tcPr>
            <w:tcW w:w="1405" w:type="dxa"/>
          </w:tcPr>
          <w:p w14:paraId="4BC556A8" w14:textId="77777777" w:rsidR="008E3258" w:rsidRPr="00780518" w:rsidRDefault="008E3258">
            <w:pPr>
              <w:pStyle w:val="Table-Text"/>
              <w:rPr>
                <w:rFonts w:cs="Arial"/>
                <w:szCs w:val="20"/>
              </w:rPr>
            </w:pPr>
            <w:r>
              <w:rPr>
                <w:rFonts w:cs="Arial"/>
                <w:szCs w:val="20"/>
              </w:rPr>
              <w:t>N/A</w:t>
            </w:r>
          </w:p>
        </w:tc>
        <w:tc>
          <w:tcPr>
            <w:tcW w:w="1406" w:type="dxa"/>
          </w:tcPr>
          <w:p w14:paraId="6C9A4744" w14:textId="11581E0A" w:rsidR="008E3258" w:rsidRPr="00780518" w:rsidRDefault="001811E8">
            <w:pPr>
              <w:pStyle w:val="Table-Text"/>
              <w:rPr>
                <w:rFonts w:cs="Arial"/>
                <w:szCs w:val="20"/>
              </w:rPr>
            </w:pPr>
            <w:r>
              <w:rPr>
                <w:rFonts w:cs="Arial"/>
                <w:szCs w:val="20"/>
              </w:rPr>
              <w:t>N/A</w:t>
            </w:r>
          </w:p>
        </w:tc>
        <w:tc>
          <w:tcPr>
            <w:tcW w:w="1406" w:type="dxa"/>
          </w:tcPr>
          <w:p w14:paraId="75ACEC8B" w14:textId="77777777" w:rsidR="008E3258" w:rsidRPr="00780518" w:rsidRDefault="008E3258">
            <w:pPr>
              <w:pStyle w:val="Table-Text"/>
              <w:rPr>
                <w:rFonts w:cs="Arial"/>
                <w:szCs w:val="20"/>
              </w:rPr>
            </w:pPr>
            <w:r>
              <w:rPr>
                <w:rFonts w:cs="Arial"/>
                <w:szCs w:val="20"/>
              </w:rPr>
              <w:t>Yes</w:t>
            </w:r>
          </w:p>
        </w:tc>
      </w:tr>
    </w:tbl>
    <w:p w14:paraId="53E31688" w14:textId="2A000054" w:rsidR="008E3258" w:rsidRDefault="00452C9B" w:rsidP="00452C9B">
      <w:pPr>
        <w:pStyle w:val="Caption"/>
      </w:pPr>
      <w:bookmarkStart w:id="130" w:name="_Toc150431596"/>
      <w:bookmarkStart w:id="131" w:name="_Toc150431973"/>
      <w:r>
        <w:t xml:space="preserve">Table </w:t>
      </w:r>
      <w:r>
        <w:fldChar w:fldCharType="begin"/>
      </w:r>
      <w:r>
        <w:instrText xml:space="preserve"> SEQ Table \* ARABIC </w:instrText>
      </w:r>
      <w:r>
        <w:fldChar w:fldCharType="separate"/>
      </w:r>
      <w:r w:rsidR="008D0FC1">
        <w:rPr>
          <w:noProof/>
        </w:rPr>
        <w:t>23</w:t>
      </w:r>
      <w:r>
        <w:fldChar w:fldCharType="end"/>
      </w:r>
      <w:r>
        <w:t xml:space="preserve"> KEQ </w:t>
      </w:r>
      <w:r w:rsidR="00571E8A" w:rsidRPr="00571E8A">
        <w:t>E3: To what extent is the PAD funding model an appropriate approach to financing social impact programs for vulnerable cohorts?</w:t>
      </w:r>
      <w:bookmarkEnd w:id="130"/>
      <w:bookmarkEnd w:id="131"/>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571E8A" w:rsidRPr="00780518" w14:paraId="17B8B5A3" w14:textId="77777777">
        <w:trPr>
          <w:cantSplit/>
          <w:trHeight w:val="474"/>
          <w:tblHeader/>
        </w:trPr>
        <w:tc>
          <w:tcPr>
            <w:tcW w:w="2585" w:type="dxa"/>
            <w:shd w:val="clear" w:color="auto" w:fill="4B91D7"/>
          </w:tcPr>
          <w:p w14:paraId="60BED03E" w14:textId="77777777" w:rsidR="00571E8A" w:rsidRPr="00780518" w:rsidRDefault="00571E8A">
            <w:pPr>
              <w:pStyle w:val="Table-Heading"/>
              <w:rPr>
                <w:color w:val="FFFFFF" w:themeColor="background1"/>
              </w:rPr>
            </w:pPr>
            <w:r>
              <w:rPr>
                <w:color w:val="FFFFFF" w:themeColor="background1"/>
              </w:rPr>
              <w:t>Sub-questions</w:t>
            </w:r>
          </w:p>
        </w:tc>
        <w:tc>
          <w:tcPr>
            <w:tcW w:w="2586" w:type="dxa"/>
            <w:shd w:val="clear" w:color="auto" w:fill="4B91D7"/>
          </w:tcPr>
          <w:p w14:paraId="1347C41A" w14:textId="77777777" w:rsidR="00571E8A" w:rsidRPr="00780518" w:rsidRDefault="00571E8A">
            <w:pPr>
              <w:pStyle w:val="Table-Heading"/>
              <w:rPr>
                <w:color w:val="FFFFFF" w:themeColor="background1"/>
              </w:rPr>
            </w:pPr>
            <w:r>
              <w:rPr>
                <w:color w:val="FFFFFF" w:themeColor="background1"/>
              </w:rPr>
              <w:t>Indicators</w:t>
            </w:r>
          </w:p>
        </w:tc>
        <w:tc>
          <w:tcPr>
            <w:tcW w:w="2586" w:type="dxa"/>
            <w:shd w:val="clear" w:color="auto" w:fill="4B91D7"/>
          </w:tcPr>
          <w:p w14:paraId="433ACA4C" w14:textId="77777777" w:rsidR="00571E8A" w:rsidRPr="00780518" w:rsidRDefault="00571E8A">
            <w:pPr>
              <w:pStyle w:val="Table-Heading"/>
              <w:rPr>
                <w:color w:val="FFFFFF" w:themeColor="background1"/>
              </w:rPr>
            </w:pPr>
            <w:r>
              <w:rPr>
                <w:color w:val="FFFFFF" w:themeColor="background1"/>
              </w:rPr>
              <w:t>Measures</w:t>
            </w:r>
          </w:p>
        </w:tc>
        <w:tc>
          <w:tcPr>
            <w:tcW w:w="2586" w:type="dxa"/>
            <w:shd w:val="clear" w:color="auto" w:fill="4B91D7"/>
          </w:tcPr>
          <w:p w14:paraId="416FAFEF" w14:textId="77777777" w:rsidR="00571E8A" w:rsidRPr="00780518" w:rsidRDefault="00571E8A">
            <w:pPr>
              <w:pStyle w:val="Table-Heading"/>
              <w:rPr>
                <w:color w:val="FFFFFF" w:themeColor="background1"/>
              </w:rPr>
            </w:pPr>
            <w:r>
              <w:rPr>
                <w:color w:val="FFFFFF" w:themeColor="background1"/>
              </w:rPr>
              <w:t>Sources</w:t>
            </w:r>
          </w:p>
        </w:tc>
        <w:tc>
          <w:tcPr>
            <w:tcW w:w="1405" w:type="dxa"/>
            <w:shd w:val="clear" w:color="auto" w:fill="4B91D7"/>
          </w:tcPr>
          <w:p w14:paraId="74BD33FF" w14:textId="77777777" w:rsidR="00571E8A" w:rsidRPr="00780518" w:rsidRDefault="00571E8A">
            <w:pPr>
              <w:pStyle w:val="Table-Heading"/>
              <w:rPr>
                <w:color w:val="FFFFFF" w:themeColor="background1"/>
              </w:rPr>
            </w:pPr>
            <w:r>
              <w:rPr>
                <w:color w:val="FFFFFF" w:themeColor="background1"/>
              </w:rPr>
              <w:t>Formative</w:t>
            </w:r>
          </w:p>
        </w:tc>
        <w:tc>
          <w:tcPr>
            <w:tcW w:w="1406" w:type="dxa"/>
            <w:shd w:val="clear" w:color="auto" w:fill="4B91D7"/>
          </w:tcPr>
          <w:p w14:paraId="1980A51E" w14:textId="77777777" w:rsidR="00571E8A" w:rsidRPr="00780518" w:rsidRDefault="00571E8A">
            <w:pPr>
              <w:pStyle w:val="Table-Heading"/>
              <w:rPr>
                <w:color w:val="FFFFFF" w:themeColor="background1"/>
              </w:rPr>
            </w:pPr>
            <w:r>
              <w:rPr>
                <w:color w:val="FFFFFF" w:themeColor="background1"/>
              </w:rPr>
              <w:t>Interim</w:t>
            </w:r>
          </w:p>
        </w:tc>
        <w:tc>
          <w:tcPr>
            <w:tcW w:w="1406" w:type="dxa"/>
            <w:shd w:val="clear" w:color="auto" w:fill="4B91D7"/>
          </w:tcPr>
          <w:p w14:paraId="774B1D87" w14:textId="77777777" w:rsidR="00571E8A" w:rsidRPr="00780518" w:rsidRDefault="00571E8A">
            <w:pPr>
              <w:pStyle w:val="Table-Heading"/>
              <w:rPr>
                <w:color w:val="FFFFFF" w:themeColor="background1"/>
              </w:rPr>
            </w:pPr>
            <w:r>
              <w:rPr>
                <w:color w:val="FFFFFF" w:themeColor="background1"/>
              </w:rPr>
              <w:t>Summative</w:t>
            </w:r>
          </w:p>
        </w:tc>
      </w:tr>
      <w:tr w:rsidR="00571E8A" w:rsidRPr="00780518" w14:paraId="4607E2E3" w14:textId="77777777">
        <w:trPr>
          <w:cantSplit/>
          <w:trHeight w:val="474"/>
        </w:trPr>
        <w:tc>
          <w:tcPr>
            <w:tcW w:w="2585" w:type="dxa"/>
            <w:shd w:val="clear" w:color="auto" w:fill="auto"/>
          </w:tcPr>
          <w:p w14:paraId="04FC3A96" w14:textId="4CD4B4A8" w:rsidR="00571E8A" w:rsidRDefault="00571E8A" w:rsidP="00571E8A">
            <w:pPr>
              <w:pStyle w:val="Table-Bullet"/>
            </w:pPr>
            <w:r>
              <w:t>What is the relationship between the state and external stakeholders and how are risks and resources allocated – including external agencies – from private and non-profit sectors, and their relationship with public sector agencies?</w:t>
            </w:r>
          </w:p>
          <w:p w14:paraId="05277CAA" w14:textId="5B60474F" w:rsidR="00571E8A" w:rsidRPr="00780518" w:rsidRDefault="00571E8A" w:rsidP="00571E8A">
            <w:pPr>
              <w:pStyle w:val="Table-Bullet"/>
            </w:pPr>
            <w:r>
              <w:t>What are the governance and accountability mechanisms and the processes associated with delivery?</w:t>
            </w:r>
          </w:p>
        </w:tc>
        <w:tc>
          <w:tcPr>
            <w:tcW w:w="2586" w:type="dxa"/>
          </w:tcPr>
          <w:p w14:paraId="38CF051E" w14:textId="24B11283" w:rsidR="00571E8A" w:rsidRDefault="00571E8A" w:rsidP="00571E8A">
            <w:pPr>
              <w:pStyle w:val="Table-Bullet"/>
            </w:pPr>
            <w:r>
              <w:t>Extent to which risk allocation is appropriate.</w:t>
            </w:r>
          </w:p>
          <w:p w14:paraId="7904216B" w14:textId="647D89D6" w:rsidR="00571E8A" w:rsidRDefault="00571E8A" w:rsidP="00571E8A">
            <w:pPr>
              <w:pStyle w:val="Table-Bullet"/>
            </w:pPr>
            <w:r>
              <w:t>Extent to which stakeholder incentives and drivers are appropriate.</w:t>
            </w:r>
          </w:p>
          <w:p w14:paraId="2E82F7B0" w14:textId="594E55F6" w:rsidR="00571E8A" w:rsidRDefault="00571E8A" w:rsidP="00571E8A">
            <w:pPr>
              <w:pStyle w:val="Table-Bullet"/>
            </w:pPr>
            <w:r>
              <w:t>Extent to which the PAD funding model drives beneficial outcomes.</w:t>
            </w:r>
          </w:p>
          <w:p w14:paraId="7164F17A" w14:textId="12A9C0FF" w:rsidR="00571E8A" w:rsidRDefault="00571E8A" w:rsidP="00571E8A">
            <w:pPr>
              <w:pStyle w:val="Table-Bullet"/>
            </w:pPr>
            <w:r>
              <w:t>Extent to which the PAD funding model creates detrimental outcomes.</w:t>
            </w:r>
          </w:p>
          <w:p w14:paraId="3F74F093" w14:textId="4890CDA8" w:rsidR="00571E8A" w:rsidRPr="00780518" w:rsidRDefault="00571E8A" w:rsidP="00571E8A">
            <w:pPr>
              <w:pStyle w:val="Table-Bullet"/>
            </w:pPr>
            <w:r>
              <w:t xml:space="preserve">Extent to which program stakeholders report governance is effective at managing risk, </w:t>
            </w:r>
            <w:proofErr w:type="gramStart"/>
            <w:r>
              <w:t>accountability</w:t>
            </w:r>
            <w:proofErr w:type="gramEnd"/>
            <w:r>
              <w:t xml:space="preserve"> and program performance.</w:t>
            </w:r>
          </w:p>
        </w:tc>
        <w:tc>
          <w:tcPr>
            <w:tcW w:w="2586" w:type="dxa"/>
          </w:tcPr>
          <w:p w14:paraId="0D9E2910" w14:textId="77777777" w:rsidR="00EE2EF6" w:rsidRDefault="00EE2EF6" w:rsidP="00EE2EF6">
            <w:pPr>
              <w:pStyle w:val="Table-Bullet"/>
            </w:pPr>
            <w:r>
              <w:t>Stakeholder viewpoints on risk allocation.</w:t>
            </w:r>
          </w:p>
          <w:p w14:paraId="3841BFA0" w14:textId="7BF4F949" w:rsidR="00EE2EF6" w:rsidRDefault="00EE2EF6">
            <w:pPr>
              <w:pStyle w:val="Table-Bullet"/>
            </w:pPr>
            <w:r>
              <w:t>Stakeholder viewpoints on incentives and drivers under the model.</w:t>
            </w:r>
          </w:p>
          <w:p w14:paraId="267DA848" w14:textId="0875D648" w:rsidR="00EE2EF6" w:rsidRDefault="00EE2EF6">
            <w:pPr>
              <w:pStyle w:val="Table-Bullet"/>
            </w:pPr>
            <w:r>
              <w:t>Stakeholder viewpoints on outcomes generated (beneficial or detrimental)</w:t>
            </w:r>
          </w:p>
          <w:p w14:paraId="493C37DD" w14:textId="3F3FAC77" w:rsidR="00EE2EF6" w:rsidRDefault="00EE2EF6">
            <w:pPr>
              <w:pStyle w:val="Table-Bullet"/>
            </w:pPr>
            <w:r>
              <w:t>Comparative analysis of contemporary practice/alternative models.</w:t>
            </w:r>
          </w:p>
          <w:p w14:paraId="0AF74D79" w14:textId="5AAE9454" w:rsidR="00571E8A" w:rsidRPr="00780518" w:rsidRDefault="00EE2EF6" w:rsidP="00EE2EF6">
            <w:pPr>
              <w:pStyle w:val="Table-Bullet"/>
            </w:pPr>
            <w:r>
              <w:t>Stakeholder viewpoints on effectiveness of governance.</w:t>
            </w:r>
          </w:p>
        </w:tc>
        <w:tc>
          <w:tcPr>
            <w:tcW w:w="2586" w:type="dxa"/>
          </w:tcPr>
          <w:p w14:paraId="75D75712" w14:textId="77777777" w:rsidR="00EE2EF6" w:rsidRDefault="00EE2EF6" w:rsidP="00EE2EF6">
            <w:pPr>
              <w:pStyle w:val="Table-Bullet"/>
            </w:pPr>
            <w:r>
              <w:t>Program documentation</w:t>
            </w:r>
          </w:p>
          <w:p w14:paraId="61344280" w14:textId="54CFBCED" w:rsidR="00EE2EF6" w:rsidRDefault="00EE2EF6" w:rsidP="00EE2EF6">
            <w:pPr>
              <w:pStyle w:val="Table-Bullet"/>
            </w:pPr>
            <w:r>
              <w:t>Key informant interviews.</w:t>
            </w:r>
          </w:p>
          <w:p w14:paraId="2DC1DDCC" w14:textId="7F8E1F7C" w:rsidR="00571E8A" w:rsidRPr="00780518" w:rsidRDefault="00EE2EF6" w:rsidP="00EE2EF6">
            <w:pPr>
              <w:pStyle w:val="Table-Bullet"/>
            </w:pPr>
            <w:r>
              <w:t>Literature review</w:t>
            </w:r>
          </w:p>
        </w:tc>
        <w:tc>
          <w:tcPr>
            <w:tcW w:w="1405" w:type="dxa"/>
          </w:tcPr>
          <w:p w14:paraId="0166A165" w14:textId="77777777" w:rsidR="00571E8A" w:rsidRPr="00780518" w:rsidRDefault="00571E8A">
            <w:pPr>
              <w:pStyle w:val="Table-Text"/>
              <w:rPr>
                <w:rFonts w:cs="Arial"/>
                <w:szCs w:val="20"/>
              </w:rPr>
            </w:pPr>
            <w:r>
              <w:rPr>
                <w:rFonts w:cs="Arial"/>
                <w:szCs w:val="20"/>
              </w:rPr>
              <w:t>N/A</w:t>
            </w:r>
          </w:p>
        </w:tc>
        <w:tc>
          <w:tcPr>
            <w:tcW w:w="1406" w:type="dxa"/>
          </w:tcPr>
          <w:p w14:paraId="594A61B4" w14:textId="77777777" w:rsidR="00571E8A" w:rsidRPr="00780518" w:rsidRDefault="00571E8A">
            <w:pPr>
              <w:pStyle w:val="Table-Text"/>
              <w:rPr>
                <w:rFonts w:cs="Arial"/>
                <w:szCs w:val="20"/>
              </w:rPr>
            </w:pPr>
            <w:r>
              <w:rPr>
                <w:rFonts w:cs="Arial"/>
                <w:szCs w:val="20"/>
              </w:rPr>
              <w:t>N/A</w:t>
            </w:r>
          </w:p>
        </w:tc>
        <w:tc>
          <w:tcPr>
            <w:tcW w:w="1406" w:type="dxa"/>
          </w:tcPr>
          <w:p w14:paraId="15931135" w14:textId="77777777" w:rsidR="00571E8A" w:rsidRPr="00780518" w:rsidRDefault="00571E8A">
            <w:pPr>
              <w:pStyle w:val="Table-Text"/>
              <w:rPr>
                <w:rFonts w:cs="Arial"/>
                <w:szCs w:val="20"/>
              </w:rPr>
            </w:pPr>
            <w:r>
              <w:rPr>
                <w:rFonts w:cs="Arial"/>
                <w:szCs w:val="20"/>
              </w:rPr>
              <w:t>Yes</w:t>
            </w:r>
          </w:p>
        </w:tc>
      </w:tr>
    </w:tbl>
    <w:p w14:paraId="6BEAFF41" w14:textId="45387F4C" w:rsidR="00571E8A" w:rsidRDefault="00085E50" w:rsidP="00085E50">
      <w:pPr>
        <w:pStyle w:val="Caption"/>
      </w:pPr>
      <w:bookmarkStart w:id="132" w:name="_Toc150431597"/>
      <w:bookmarkStart w:id="133" w:name="_Toc150431974"/>
      <w:r>
        <w:t xml:space="preserve">Table </w:t>
      </w:r>
      <w:r>
        <w:fldChar w:fldCharType="begin"/>
      </w:r>
      <w:r>
        <w:instrText xml:space="preserve"> SEQ Table \* ARABIC </w:instrText>
      </w:r>
      <w:r>
        <w:fldChar w:fldCharType="separate"/>
      </w:r>
      <w:r w:rsidR="008D0FC1">
        <w:rPr>
          <w:noProof/>
        </w:rPr>
        <w:t>24</w:t>
      </w:r>
      <w:r>
        <w:fldChar w:fldCharType="end"/>
      </w:r>
      <w:r>
        <w:t xml:space="preserve"> KEQ </w:t>
      </w:r>
      <w:r w:rsidR="00846D51" w:rsidRPr="00846D51">
        <w:t>S1: In what ways does the Living Learning Program model contribute to the broader evidence base about effective responses for disengaged young people with mental illness in educational settings?</w:t>
      </w:r>
      <w:bookmarkEnd w:id="132"/>
      <w:bookmarkEnd w:id="133"/>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846D51" w:rsidRPr="00780518" w14:paraId="304D5101" w14:textId="77777777">
        <w:trPr>
          <w:cantSplit/>
          <w:trHeight w:val="474"/>
          <w:tblHeader/>
        </w:trPr>
        <w:tc>
          <w:tcPr>
            <w:tcW w:w="2585" w:type="dxa"/>
            <w:shd w:val="clear" w:color="auto" w:fill="4B91D7"/>
          </w:tcPr>
          <w:p w14:paraId="5C06C63D" w14:textId="77777777" w:rsidR="00846D51" w:rsidRPr="00780518" w:rsidRDefault="00846D51">
            <w:pPr>
              <w:pStyle w:val="Table-Heading"/>
              <w:rPr>
                <w:color w:val="FFFFFF" w:themeColor="background1"/>
              </w:rPr>
            </w:pPr>
            <w:r>
              <w:rPr>
                <w:color w:val="FFFFFF" w:themeColor="background1"/>
              </w:rPr>
              <w:t>Sub-questions</w:t>
            </w:r>
          </w:p>
        </w:tc>
        <w:tc>
          <w:tcPr>
            <w:tcW w:w="2586" w:type="dxa"/>
            <w:shd w:val="clear" w:color="auto" w:fill="4B91D7"/>
          </w:tcPr>
          <w:p w14:paraId="0AEFEA6E" w14:textId="77777777" w:rsidR="00846D51" w:rsidRPr="00780518" w:rsidRDefault="00846D51">
            <w:pPr>
              <w:pStyle w:val="Table-Heading"/>
              <w:rPr>
                <w:color w:val="FFFFFF" w:themeColor="background1"/>
              </w:rPr>
            </w:pPr>
            <w:r>
              <w:rPr>
                <w:color w:val="FFFFFF" w:themeColor="background1"/>
              </w:rPr>
              <w:t>Indicators</w:t>
            </w:r>
          </w:p>
        </w:tc>
        <w:tc>
          <w:tcPr>
            <w:tcW w:w="2586" w:type="dxa"/>
            <w:shd w:val="clear" w:color="auto" w:fill="4B91D7"/>
          </w:tcPr>
          <w:p w14:paraId="31013064" w14:textId="77777777" w:rsidR="00846D51" w:rsidRPr="00780518" w:rsidRDefault="00846D51">
            <w:pPr>
              <w:pStyle w:val="Table-Heading"/>
              <w:rPr>
                <w:color w:val="FFFFFF" w:themeColor="background1"/>
              </w:rPr>
            </w:pPr>
            <w:r>
              <w:rPr>
                <w:color w:val="FFFFFF" w:themeColor="background1"/>
              </w:rPr>
              <w:t>Measures</w:t>
            </w:r>
          </w:p>
        </w:tc>
        <w:tc>
          <w:tcPr>
            <w:tcW w:w="2586" w:type="dxa"/>
            <w:shd w:val="clear" w:color="auto" w:fill="4B91D7"/>
          </w:tcPr>
          <w:p w14:paraId="15AA292C" w14:textId="77777777" w:rsidR="00846D51" w:rsidRPr="00780518" w:rsidRDefault="00846D51">
            <w:pPr>
              <w:pStyle w:val="Table-Heading"/>
              <w:rPr>
                <w:color w:val="FFFFFF" w:themeColor="background1"/>
              </w:rPr>
            </w:pPr>
            <w:r>
              <w:rPr>
                <w:color w:val="FFFFFF" w:themeColor="background1"/>
              </w:rPr>
              <w:t>Sources</w:t>
            </w:r>
          </w:p>
        </w:tc>
        <w:tc>
          <w:tcPr>
            <w:tcW w:w="1405" w:type="dxa"/>
            <w:shd w:val="clear" w:color="auto" w:fill="4B91D7"/>
          </w:tcPr>
          <w:p w14:paraId="3BFA4358" w14:textId="77777777" w:rsidR="00846D51" w:rsidRPr="00780518" w:rsidRDefault="00846D51">
            <w:pPr>
              <w:pStyle w:val="Table-Heading"/>
              <w:rPr>
                <w:color w:val="FFFFFF" w:themeColor="background1"/>
              </w:rPr>
            </w:pPr>
            <w:r>
              <w:rPr>
                <w:color w:val="FFFFFF" w:themeColor="background1"/>
              </w:rPr>
              <w:t>Formative</w:t>
            </w:r>
          </w:p>
        </w:tc>
        <w:tc>
          <w:tcPr>
            <w:tcW w:w="1406" w:type="dxa"/>
            <w:shd w:val="clear" w:color="auto" w:fill="4B91D7"/>
          </w:tcPr>
          <w:p w14:paraId="0AF64FF4" w14:textId="77777777" w:rsidR="00846D51" w:rsidRPr="00780518" w:rsidRDefault="00846D51">
            <w:pPr>
              <w:pStyle w:val="Table-Heading"/>
              <w:rPr>
                <w:color w:val="FFFFFF" w:themeColor="background1"/>
              </w:rPr>
            </w:pPr>
            <w:r>
              <w:rPr>
                <w:color w:val="FFFFFF" w:themeColor="background1"/>
              </w:rPr>
              <w:t>Interim</w:t>
            </w:r>
          </w:p>
        </w:tc>
        <w:tc>
          <w:tcPr>
            <w:tcW w:w="1406" w:type="dxa"/>
            <w:shd w:val="clear" w:color="auto" w:fill="4B91D7"/>
          </w:tcPr>
          <w:p w14:paraId="2665F3F9" w14:textId="77777777" w:rsidR="00846D51" w:rsidRPr="00780518" w:rsidRDefault="00846D51">
            <w:pPr>
              <w:pStyle w:val="Table-Heading"/>
              <w:rPr>
                <w:color w:val="FFFFFF" w:themeColor="background1"/>
              </w:rPr>
            </w:pPr>
            <w:r>
              <w:rPr>
                <w:color w:val="FFFFFF" w:themeColor="background1"/>
              </w:rPr>
              <w:t>Summative</w:t>
            </w:r>
          </w:p>
        </w:tc>
      </w:tr>
      <w:tr w:rsidR="00846D51" w:rsidRPr="00780518" w14:paraId="03120B48" w14:textId="77777777">
        <w:trPr>
          <w:cantSplit/>
          <w:trHeight w:val="474"/>
        </w:trPr>
        <w:tc>
          <w:tcPr>
            <w:tcW w:w="2585" w:type="dxa"/>
            <w:shd w:val="clear" w:color="auto" w:fill="auto"/>
          </w:tcPr>
          <w:p w14:paraId="53E5349A" w14:textId="11694158" w:rsidR="00846D51" w:rsidRDefault="00846D51" w:rsidP="00846D51">
            <w:pPr>
              <w:pStyle w:val="Table-Bullet"/>
            </w:pPr>
            <w:r>
              <w:t>What are the most significant lessons emerging from the program model?</w:t>
            </w:r>
          </w:p>
          <w:p w14:paraId="1B1FCBB8" w14:textId="1D6BF2A3" w:rsidR="00846D51" w:rsidRDefault="00846D51" w:rsidP="00846D51">
            <w:pPr>
              <w:pStyle w:val="Table-Bullet"/>
            </w:pPr>
            <w:r>
              <w:t>What contextual factors have influenced the model’s success?</w:t>
            </w:r>
          </w:p>
          <w:p w14:paraId="4A6F56AB" w14:textId="2DD7082B" w:rsidR="00846D51" w:rsidRPr="00780518" w:rsidRDefault="00846D51" w:rsidP="00846D51">
            <w:pPr>
              <w:pStyle w:val="Table-Bullet"/>
            </w:pPr>
            <w:r>
              <w:t>To what extent are key lessons transferrable to other contexts?</w:t>
            </w:r>
          </w:p>
        </w:tc>
        <w:tc>
          <w:tcPr>
            <w:tcW w:w="2586" w:type="dxa"/>
          </w:tcPr>
          <w:p w14:paraId="28DFAAA8" w14:textId="6FBB5619" w:rsidR="00846D51" w:rsidRPr="00780518" w:rsidRDefault="00846D51">
            <w:pPr>
              <w:pStyle w:val="Table-Bullet"/>
            </w:pPr>
            <w:r>
              <w:t>N/A</w:t>
            </w:r>
          </w:p>
        </w:tc>
        <w:tc>
          <w:tcPr>
            <w:tcW w:w="2586" w:type="dxa"/>
          </w:tcPr>
          <w:p w14:paraId="13AB4083" w14:textId="35C5A177" w:rsidR="000A08E5" w:rsidRDefault="000A08E5">
            <w:pPr>
              <w:pStyle w:val="Table-Bullet"/>
            </w:pPr>
            <w:r>
              <w:t>Stakeholder viewpoints on most significant lessons or model features.</w:t>
            </w:r>
          </w:p>
          <w:p w14:paraId="6432670D" w14:textId="2AC1D77A" w:rsidR="000A08E5" w:rsidRDefault="000A08E5">
            <w:pPr>
              <w:pStyle w:val="Table-Bullet"/>
            </w:pPr>
            <w:r>
              <w:t>Stakeholder viewpoints on impact of contextual factors.</w:t>
            </w:r>
          </w:p>
          <w:p w14:paraId="0A6AA6CE" w14:textId="73CB9CEE" w:rsidR="00846D51" w:rsidRPr="00780518" w:rsidRDefault="000A08E5" w:rsidP="000A08E5">
            <w:pPr>
              <w:pStyle w:val="Table-Bullet"/>
            </w:pPr>
            <w:r>
              <w:t>Critical analysis of strategic context for the program</w:t>
            </w:r>
          </w:p>
        </w:tc>
        <w:tc>
          <w:tcPr>
            <w:tcW w:w="2586" w:type="dxa"/>
          </w:tcPr>
          <w:p w14:paraId="35D0E3CE" w14:textId="77777777" w:rsidR="000A08E5" w:rsidRDefault="000A08E5" w:rsidP="000A08E5">
            <w:pPr>
              <w:pStyle w:val="Table-Bullet"/>
            </w:pPr>
            <w:r>
              <w:t xml:space="preserve">Formative, </w:t>
            </w:r>
            <w:proofErr w:type="gramStart"/>
            <w:r>
              <w:t>outcome</w:t>
            </w:r>
            <w:proofErr w:type="gramEnd"/>
            <w:r>
              <w:t xml:space="preserve"> and economic evaluation.</w:t>
            </w:r>
          </w:p>
          <w:p w14:paraId="29C02C88" w14:textId="4187DDA5" w:rsidR="000A08E5" w:rsidRDefault="000A08E5" w:rsidP="000A08E5">
            <w:pPr>
              <w:pStyle w:val="Table-Bullet"/>
            </w:pPr>
            <w:r>
              <w:t>Key informant interviews</w:t>
            </w:r>
          </w:p>
          <w:p w14:paraId="7B637012" w14:textId="7EEBDAAE" w:rsidR="00846D51" w:rsidRPr="00780518" w:rsidRDefault="000A08E5" w:rsidP="000A08E5">
            <w:pPr>
              <w:pStyle w:val="Table-Bullet"/>
            </w:pPr>
            <w:r>
              <w:t>Literature review</w:t>
            </w:r>
          </w:p>
        </w:tc>
        <w:tc>
          <w:tcPr>
            <w:tcW w:w="1405" w:type="dxa"/>
          </w:tcPr>
          <w:p w14:paraId="30CF59E7" w14:textId="77777777" w:rsidR="00846D51" w:rsidRPr="00780518" w:rsidRDefault="00846D51">
            <w:pPr>
              <w:pStyle w:val="Table-Text"/>
              <w:rPr>
                <w:rFonts w:cs="Arial"/>
                <w:szCs w:val="20"/>
              </w:rPr>
            </w:pPr>
            <w:r>
              <w:rPr>
                <w:rFonts w:cs="Arial"/>
                <w:szCs w:val="20"/>
              </w:rPr>
              <w:t>N/A</w:t>
            </w:r>
          </w:p>
        </w:tc>
        <w:tc>
          <w:tcPr>
            <w:tcW w:w="1406" w:type="dxa"/>
          </w:tcPr>
          <w:p w14:paraId="1DB8B408" w14:textId="4DEAC485" w:rsidR="00846D51" w:rsidRPr="00780518" w:rsidRDefault="000A08E5">
            <w:pPr>
              <w:pStyle w:val="Table-Text"/>
              <w:rPr>
                <w:rFonts w:cs="Arial"/>
                <w:szCs w:val="20"/>
              </w:rPr>
            </w:pPr>
            <w:r>
              <w:rPr>
                <w:rFonts w:cs="Arial"/>
                <w:szCs w:val="20"/>
              </w:rPr>
              <w:t>Yes</w:t>
            </w:r>
          </w:p>
        </w:tc>
        <w:tc>
          <w:tcPr>
            <w:tcW w:w="1406" w:type="dxa"/>
          </w:tcPr>
          <w:p w14:paraId="51DF6AD3" w14:textId="77777777" w:rsidR="00846D51" w:rsidRPr="00780518" w:rsidRDefault="00846D51">
            <w:pPr>
              <w:pStyle w:val="Table-Text"/>
              <w:rPr>
                <w:rFonts w:cs="Arial"/>
                <w:szCs w:val="20"/>
              </w:rPr>
            </w:pPr>
            <w:r>
              <w:rPr>
                <w:rFonts w:cs="Arial"/>
                <w:szCs w:val="20"/>
              </w:rPr>
              <w:t>Yes</w:t>
            </w:r>
          </w:p>
        </w:tc>
      </w:tr>
    </w:tbl>
    <w:p w14:paraId="6926AF15" w14:textId="27154085" w:rsidR="00846D51" w:rsidRDefault="000A08E5" w:rsidP="000A08E5">
      <w:pPr>
        <w:pStyle w:val="Caption"/>
      </w:pPr>
      <w:bookmarkStart w:id="134" w:name="_Toc150431598"/>
      <w:bookmarkStart w:id="135" w:name="_Toc150431975"/>
      <w:r>
        <w:t xml:space="preserve">Table </w:t>
      </w:r>
      <w:r>
        <w:fldChar w:fldCharType="begin"/>
      </w:r>
      <w:r>
        <w:instrText xml:space="preserve"> SEQ Table \* ARABIC </w:instrText>
      </w:r>
      <w:r>
        <w:fldChar w:fldCharType="separate"/>
      </w:r>
      <w:r w:rsidR="008D0FC1">
        <w:rPr>
          <w:noProof/>
        </w:rPr>
        <w:t>25</w:t>
      </w:r>
      <w:r>
        <w:fldChar w:fldCharType="end"/>
      </w:r>
      <w:r>
        <w:t xml:space="preserve"> KEQ </w:t>
      </w:r>
      <w:r w:rsidR="00000E5F" w:rsidRPr="00000E5F">
        <w:t>S2: In what ways does the Living Learning PAD augment the range of available policy responses to strengthen social and economic participation for marginalised or disadvantaged young people?</w:t>
      </w:r>
      <w:bookmarkEnd w:id="134"/>
      <w:bookmarkEnd w:id="135"/>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ayout w:type="fixed"/>
        <w:tblCellMar>
          <w:left w:w="0" w:type="dxa"/>
          <w:right w:w="0" w:type="dxa"/>
        </w:tblCellMar>
        <w:tblLook w:val="0420" w:firstRow="1" w:lastRow="0" w:firstColumn="0" w:lastColumn="0" w:noHBand="0" w:noVBand="1"/>
      </w:tblPr>
      <w:tblGrid>
        <w:gridCol w:w="2585"/>
        <w:gridCol w:w="2586"/>
        <w:gridCol w:w="2586"/>
        <w:gridCol w:w="2586"/>
        <w:gridCol w:w="1405"/>
        <w:gridCol w:w="1406"/>
        <w:gridCol w:w="1406"/>
      </w:tblGrid>
      <w:tr w:rsidR="00000E5F" w:rsidRPr="00780518" w14:paraId="75ABCE5B" w14:textId="77777777">
        <w:trPr>
          <w:cantSplit/>
          <w:trHeight w:val="474"/>
          <w:tblHeader/>
        </w:trPr>
        <w:tc>
          <w:tcPr>
            <w:tcW w:w="2585" w:type="dxa"/>
            <w:shd w:val="clear" w:color="auto" w:fill="4B91D7"/>
          </w:tcPr>
          <w:p w14:paraId="15D8639A" w14:textId="77777777" w:rsidR="00000E5F" w:rsidRPr="00780518" w:rsidRDefault="00000E5F">
            <w:pPr>
              <w:pStyle w:val="Table-Heading"/>
              <w:rPr>
                <w:color w:val="FFFFFF" w:themeColor="background1"/>
              </w:rPr>
            </w:pPr>
            <w:r>
              <w:rPr>
                <w:color w:val="FFFFFF" w:themeColor="background1"/>
              </w:rPr>
              <w:t>Sub-questions</w:t>
            </w:r>
          </w:p>
        </w:tc>
        <w:tc>
          <w:tcPr>
            <w:tcW w:w="2586" w:type="dxa"/>
            <w:shd w:val="clear" w:color="auto" w:fill="4B91D7"/>
          </w:tcPr>
          <w:p w14:paraId="2971D487" w14:textId="77777777" w:rsidR="00000E5F" w:rsidRPr="00780518" w:rsidRDefault="00000E5F">
            <w:pPr>
              <w:pStyle w:val="Table-Heading"/>
              <w:rPr>
                <w:color w:val="FFFFFF" w:themeColor="background1"/>
              </w:rPr>
            </w:pPr>
            <w:r>
              <w:rPr>
                <w:color w:val="FFFFFF" w:themeColor="background1"/>
              </w:rPr>
              <w:t>Indicators</w:t>
            </w:r>
          </w:p>
        </w:tc>
        <w:tc>
          <w:tcPr>
            <w:tcW w:w="2586" w:type="dxa"/>
            <w:shd w:val="clear" w:color="auto" w:fill="4B91D7"/>
          </w:tcPr>
          <w:p w14:paraId="0EF300C2" w14:textId="77777777" w:rsidR="00000E5F" w:rsidRPr="00780518" w:rsidRDefault="00000E5F">
            <w:pPr>
              <w:pStyle w:val="Table-Heading"/>
              <w:rPr>
                <w:color w:val="FFFFFF" w:themeColor="background1"/>
              </w:rPr>
            </w:pPr>
            <w:r>
              <w:rPr>
                <w:color w:val="FFFFFF" w:themeColor="background1"/>
              </w:rPr>
              <w:t>Measures</w:t>
            </w:r>
          </w:p>
        </w:tc>
        <w:tc>
          <w:tcPr>
            <w:tcW w:w="2586" w:type="dxa"/>
            <w:shd w:val="clear" w:color="auto" w:fill="4B91D7"/>
          </w:tcPr>
          <w:p w14:paraId="1B70D16B" w14:textId="77777777" w:rsidR="00000E5F" w:rsidRPr="00780518" w:rsidRDefault="00000E5F">
            <w:pPr>
              <w:pStyle w:val="Table-Heading"/>
              <w:rPr>
                <w:color w:val="FFFFFF" w:themeColor="background1"/>
              </w:rPr>
            </w:pPr>
            <w:r>
              <w:rPr>
                <w:color w:val="FFFFFF" w:themeColor="background1"/>
              </w:rPr>
              <w:t>Sources</w:t>
            </w:r>
          </w:p>
        </w:tc>
        <w:tc>
          <w:tcPr>
            <w:tcW w:w="1405" w:type="dxa"/>
            <w:shd w:val="clear" w:color="auto" w:fill="4B91D7"/>
          </w:tcPr>
          <w:p w14:paraId="521EBF86" w14:textId="77777777" w:rsidR="00000E5F" w:rsidRPr="00780518" w:rsidRDefault="00000E5F">
            <w:pPr>
              <w:pStyle w:val="Table-Heading"/>
              <w:rPr>
                <w:color w:val="FFFFFF" w:themeColor="background1"/>
              </w:rPr>
            </w:pPr>
            <w:r>
              <w:rPr>
                <w:color w:val="FFFFFF" w:themeColor="background1"/>
              </w:rPr>
              <w:t>Formative</w:t>
            </w:r>
          </w:p>
        </w:tc>
        <w:tc>
          <w:tcPr>
            <w:tcW w:w="1406" w:type="dxa"/>
            <w:shd w:val="clear" w:color="auto" w:fill="4B91D7"/>
          </w:tcPr>
          <w:p w14:paraId="00A666BA" w14:textId="77777777" w:rsidR="00000E5F" w:rsidRPr="00780518" w:rsidRDefault="00000E5F">
            <w:pPr>
              <w:pStyle w:val="Table-Heading"/>
              <w:rPr>
                <w:color w:val="FFFFFF" w:themeColor="background1"/>
              </w:rPr>
            </w:pPr>
            <w:r>
              <w:rPr>
                <w:color w:val="FFFFFF" w:themeColor="background1"/>
              </w:rPr>
              <w:t>Interim</w:t>
            </w:r>
          </w:p>
        </w:tc>
        <w:tc>
          <w:tcPr>
            <w:tcW w:w="1406" w:type="dxa"/>
            <w:shd w:val="clear" w:color="auto" w:fill="4B91D7"/>
          </w:tcPr>
          <w:p w14:paraId="0ABFA865" w14:textId="77777777" w:rsidR="00000E5F" w:rsidRPr="00780518" w:rsidRDefault="00000E5F">
            <w:pPr>
              <w:pStyle w:val="Table-Heading"/>
              <w:rPr>
                <w:color w:val="FFFFFF" w:themeColor="background1"/>
              </w:rPr>
            </w:pPr>
            <w:r>
              <w:rPr>
                <w:color w:val="FFFFFF" w:themeColor="background1"/>
              </w:rPr>
              <w:t>Summative</w:t>
            </w:r>
          </w:p>
        </w:tc>
      </w:tr>
      <w:tr w:rsidR="00000E5F" w:rsidRPr="00780518" w14:paraId="4CE0666E" w14:textId="77777777">
        <w:trPr>
          <w:cantSplit/>
          <w:trHeight w:val="474"/>
        </w:trPr>
        <w:tc>
          <w:tcPr>
            <w:tcW w:w="2585" w:type="dxa"/>
            <w:shd w:val="clear" w:color="auto" w:fill="auto"/>
          </w:tcPr>
          <w:p w14:paraId="1B1F6E8C" w14:textId="0D97BA7A" w:rsidR="00000E5F" w:rsidRDefault="00000E5F" w:rsidP="00000E5F">
            <w:pPr>
              <w:pStyle w:val="Table-Bullet"/>
            </w:pPr>
            <w:r>
              <w:t>What are the most significant lessons emerging from the deployment of the PAD funding model in this context?</w:t>
            </w:r>
          </w:p>
          <w:p w14:paraId="1FE0B1AD" w14:textId="07F8D0F3" w:rsidR="00000E5F" w:rsidRDefault="00000E5F" w:rsidP="00000E5F">
            <w:pPr>
              <w:pStyle w:val="Table-Bullet"/>
            </w:pPr>
            <w:r>
              <w:t>What contextual factors have influenced the model’s success?</w:t>
            </w:r>
          </w:p>
          <w:p w14:paraId="70E1DDAD" w14:textId="0A0CF1E6" w:rsidR="00000E5F" w:rsidRPr="00780518" w:rsidRDefault="00000E5F" w:rsidP="00000E5F">
            <w:pPr>
              <w:pStyle w:val="Table-Bullet"/>
            </w:pPr>
            <w:r>
              <w:t>To what extent are the key lessons transferrable to other contexts?</w:t>
            </w:r>
          </w:p>
        </w:tc>
        <w:tc>
          <w:tcPr>
            <w:tcW w:w="2586" w:type="dxa"/>
          </w:tcPr>
          <w:p w14:paraId="24022FE8" w14:textId="27DF7ADD" w:rsidR="00000E5F" w:rsidRPr="00780518" w:rsidRDefault="00000E5F">
            <w:pPr>
              <w:pStyle w:val="Table-Bullet"/>
            </w:pPr>
            <w:r>
              <w:t>N/A</w:t>
            </w:r>
          </w:p>
        </w:tc>
        <w:tc>
          <w:tcPr>
            <w:tcW w:w="2586" w:type="dxa"/>
          </w:tcPr>
          <w:p w14:paraId="71B964DD" w14:textId="49A88206" w:rsidR="00000E5F" w:rsidRDefault="00000E5F">
            <w:pPr>
              <w:pStyle w:val="Table-Bullet"/>
            </w:pPr>
            <w:r>
              <w:t>Stakeholder viewpoints on most significant lessons or model features.</w:t>
            </w:r>
          </w:p>
          <w:p w14:paraId="15371F82" w14:textId="26DF3153" w:rsidR="00000E5F" w:rsidRDefault="00000E5F">
            <w:pPr>
              <w:pStyle w:val="Table-Bullet"/>
            </w:pPr>
            <w:r>
              <w:t>Stakeholder viewpoints on impact of contextual factors.</w:t>
            </w:r>
          </w:p>
          <w:p w14:paraId="4CFE2B1F" w14:textId="2D99F019" w:rsidR="00000E5F" w:rsidRPr="00780518" w:rsidRDefault="00000E5F" w:rsidP="00000E5F">
            <w:pPr>
              <w:pStyle w:val="Table-Bullet"/>
            </w:pPr>
            <w:r>
              <w:t>Critical analysis of strategic context for the program</w:t>
            </w:r>
          </w:p>
        </w:tc>
        <w:tc>
          <w:tcPr>
            <w:tcW w:w="2586" w:type="dxa"/>
          </w:tcPr>
          <w:p w14:paraId="6A88BF78" w14:textId="77777777" w:rsidR="001E5162" w:rsidRDefault="001E5162" w:rsidP="001E5162">
            <w:pPr>
              <w:pStyle w:val="Table-Bullet"/>
            </w:pPr>
            <w:r>
              <w:t xml:space="preserve">Formative, </w:t>
            </w:r>
            <w:proofErr w:type="gramStart"/>
            <w:r>
              <w:t>outcome</w:t>
            </w:r>
            <w:proofErr w:type="gramEnd"/>
            <w:r>
              <w:t xml:space="preserve"> and economic evaluation.</w:t>
            </w:r>
          </w:p>
          <w:p w14:paraId="1B264A0B" w14:textId="4B1CFF17" w:rsidR="001E5162" w:rsidRDefault="001E5162" w:rsidP="001E5162">
            <w:pPr>
              <w:pStyle w:val="Table-Bullet"/>
            </w:pPr>
            <w:r>
              <w:t>Key informant interviews</w:t>
            </w:r>
          </w:p>
          <w:p w14:paraId="06E79232" w14:textId="1D198A51" w:rsidR="00000E5F" w:rsidRPr="00780518" w:rsidRDefault="001E5162" w:rsidP="001E5162">
            <w:pPr>
              <w:pStyle w:val="Table-Bullet"/>
            </w:pPr>
            <w:r>
              <w:t>Literature review</w:t>
            </w:r>
          </w:p>
        </w:tc>
        <w:tc>
          <w:tcPr>
            <w:tcW w:w="1405" w:type="dxa"/>
          </w:tcPr>
          <w:p w14:paraId="7CE02A2E" w14:textId="77777777" w:rsidR="00000E5F" w:rsidRPr="00780518" w:rsidRDefault="00000E5F">
            <w:pPr>
              <w:pStyle w:val="Table-Text"/>
              <w:rPr>
                <w:rFonts w:cs="Arial"/>
                <w:szCs w:val="20"/>
              </w:rPr>
            </w:pPr>
            <w:r>
              <w:rPr>
                <w:rFonts w:cs="Arial"/>
                <w:szCs w:val="20"/>
              </w:rPr>
              <w:t>N/A</w:t>
            </w:r>
          </w:p>
        </w:tc>
        <w:tc>
          <w:tcPr>
            <w:tcW w:w="1406" w:type="dxa"/>
          </w:tcPr>
          <w:p w14:paraId="3EBF1262" w14:textId="77777777" w:rsidR="00000E5F" w:rsidRPr="00780518" w:rsidRDefault="00000E5F">
            <w:pPr>
              <w:pStyle w:val="Table-Text"/>
              <w:rPr>
                <w:rFonts w:cs="Arial"/>
                <w:szCs w:val="20"/>
              </w:rPr>
            </w:pPr>
            <w:r>
              <w:rPr>
                <w:rFonts w:cs="Arial"/>
                <w:szCs w:val="20"/>
              </w:rPr>
              <w:t>Yes</w:t>
            </w:r>
          </w:p>
        </w:tc>
        <w:tc>
          <w:tcPr>
            <w:tcW w:w="1406" w:type="dxa"/>
          </w:tcPr>
          <w:p w14:paraId="43311431" w14:textId="77777777" w:rsidR="00000E5F" w:rsidRPr="00780518" w:rsidRDefault="00000E5F">
            <w:pPr>
              <w:pStyle w:val="Table-Text"/>
              <w:rPr>
                <w:rFonts w:cs="Arial"/>
                <w:szCs w:val="20"/>
              </w:rPr>
            </w:pPr>
            <w:r>
              <w:rPr>
                <w:rFonts w:cs="Arial"/>
                <w:szCs w:val="20"/>
              </w:rPr>
              <w:t>Yes</w:t>
            </w:r>
          </w:p>
        </w:tc>
      </w:tr>
    </w:tbl>
    <w:p w14:paraId="46BF054B" w14:textId="77777777" w:rsidR="00462AC6" w:rsidRPr="004E658A" w:rsidRDefault="00462AC6" w:rsidP="001C6F56"/>
    <w:p w14:paraId="589E8FF7" w14:textId="4ABFC2E9" w:rsidR="00C568BA" w:rsidRPr="007E4973" w:rsidRDefault="00C568BA" w:rsidP="001C6F56">
      <w:pPr>
        <w:rPr>
          <w:lang w:val="en-AU"/>
        </w:rPr>
        <w:sectPr w:rsidR="00C568BA" w:rsidRPr="007E4973" w:rsidSect="00E763AC">
          <w:pgSz w:w="16838" w:h="11906" w:orient="landscape" w:code="9"/>
          <w:pgMar w:top="1418" w:right="1134" w:bottom="1418" w:left="1134" w:header="709" w:footer="284" w:gutter="0"/>
          <w:cols w:space="708"/>
          <w:docGrid w:linePitch="360"/>
        </w:sectPr>
      </w:pPr>
    </w:p>
    <w:p w14:paraId="307616BB" w14:textId="7DFA882B" w:rsidR="00FD22F4" w:rsidRPr="007E4973" w:rsidRDefault="00913A5B" w:rsidP="0055490E">
      <w:pPr>
        <w:rPr>
          <w:lang w:val="en-AU"/>
        </w:rPr>
      </w:pPr>
      <w:r w:rsidRPr="00A228D4">
        <w:rPr>
          <w:noProof/>
          <w:highlight w:val="yellow"/>
        </w:rPr>
        <w:drawing>
          <wp:anchor distT="0" distB="0" distL="114300" distR="114300" simplePos="0" relativeHeight="251658256" behindDoc="0" locked="0" layoutInCell="1" allowOverlap="1" wp14:anchorId="479C61F9" wp14:editId="67782B8D">
            <wp:simplePos x="0" y="0"/>
            <wp:positionH relativeFrom="margin">
              <wp:posOffset>0</wp:posOffset>
            </wp:positionH>
            <wp:positionV relativeFrom="margin">
              <wp:posOffset>-635</wp:posOffset>
            </wp:positionV>
            <wp:extent cx="1196185" cy="8892000"/>
            <wp:effectExtent l="0" t="0" r="4445" b="4445"/>
            <wp:wrapNone/>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96185" cy="8892000"/>
                    </a:xfrm>
                    <a:prstGeom prst="rect">
                      <a:avLst/>
                    </a:prstGeom>
                  </pic:spPr>
                </pic:pic>
              </a:graphicData>
            </a:graphic>
            <wp14:sizeRelH relativeFrom="margin">
              <wp14:pctWidth>0</wp14:pctWidth>
            </wp14:sizeRelH>
            <wp14:sizeRelV relativeFrom="margin">
              <wp14:pctHeight>0</wp14:pctHeight>
            </wp14:sizeRelV>
          </wp:anchor>
        </w:drawing>
      </w:r>
      <w:r w:rsidR="00A228D4" w:rsidRPr="007E4973">
        <w:rPr>
          <w:lang w:val="en-AU"/>
        </w:rPr>
        <w:t xml:space="preserve"> </w:t>
      </w:r>
    </w:p>
    <w:sectPr w:rsidR="00FD22F4" w:rsidRPr="007E4973" w:rsidSect="004B72A7">
      <w:footerReference w:type="even" r:id="rId68"/>
      <w:footerReference w:type="default" r:id="rId69"/>
      <w:pgSz w:w="11906" w:h="16838" w:code="9"/>
      <w:pgMar w:top="1134" w:right="1134" w:bottom="1418"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0788B" w14:textId="77777777" w:rsidR="00365453" w:rsidRPr="00DD773B" w:rsidRDefault="00365453" w:rsidP="009E4B94">
      <w:r w:rsidRPr="00DD773B">
        <w:separator/>
      </w:r>
    </w:p>
  </w:endnote>
  <w:endnote w:type="continuationSeparator" w:id="0">
    <w:p w14:paraId="1461C390" w14:textId="77777777" w:rsidR="00365453" w:rsidRPr="00DD773B" w:rsidRDefault="00365453" w:rsidP="009E4B94">
      <w:r w:rsidRPr="00DD773B">
        <w:continuationSeparator/>
      </w:r>
    </w:p>
  </w:endnote>
  <w:endnote w:type="continuationNotice" w:id="1">
    <w:p w14:paraId="3AE73A44" w14:textId="77777777" w:rsidR="00365453" w:rsidRPr="00DD773B" w:rsidRDefault="00365453">
      <w:pPr>
        <w:spacing w:after="0"/>
      </w:pPr>
    </w:p>
  </w:endnote>
  <w:endnote w:id="2">
    <w:p w14:paraId="5A3428DB" w14:textId="0CFC18AE" w:rsidR="001704DB" w:rsidRPr="00683A62" w:rsidRDefault="001704DB" w:rsidP="00200CE0">
      <w:pPr>
        <w:pStyle w:val="EndnoteText"/>
        <w:rPr>
          <w:sz w:val="16"/>
        </w:rPr>
      </w:pPr>
      <w:r>
        <w:rPr>
          <w:rStyle w:val="EndnoteReference"/>
        </w:rPr>
        <w:endnoteRef/>
      </w:r>
      <w:r>
        <w:t xml:space="preserve"> </w:t>
      </w:r>
      <w:r w:rsidR="00714C22">
        <w:tab/>
      </w:r>
      <w:r w:rsidR="00714C22" w:rsidRPr="00EB26F8">
        <w:rPr>
          <w:rStyle w:val="EndnoteTextChar"/>
        </w:rPr>
        <w:t>As of March 2023, the Living Learning Program was seeking to reduce the number of food vouchers it distributes. The increase in cost of living has seen a rise in the proportion of program participants who are struggling to afford food.</w:t>
      </w:r>
    </w:p>
  </w:endnote>
  <w:endnote w:id="3">
    <w:p w14:paraId="14F58E0A" w14:textId="246131C3" w:rsidR="007F6A0B" w:rsidRPr="007F6A0B" w:rsidRDefault="007F6A0B" w:rsidP="00200CE0">
      <w:pPr>
        <w:pStyle w:val="EndnoteText"/>
        <w:rPr>
          <w:lang w:val="en-AU"/>
        </w:rPr>
      </w:pPr>
      <w:r>
        <w:rPr>
          <w:rStyle w:val="EndnoteReference"/>
        </w:rPr>
        <w:endnoteRef/>
      </w:r>
      <w:r>
        <w:t xml:space="preserve"> </w:t>
      </w:r>
      <w:r w:rsidR="000D0E08">
        <w:tab/>
      </w:r>
      <w:r w:rsidR="000D0E08" w:rsidRPr="000D0E08">
        <w:t xml:space="preserve">McLeod, S. A. (2012). What is the zone of proximal </w:t>
      </w:r>
      <w:r w:rsidR="000D0E08" w:rsidRPr="00CD7AB2">
        <w:t>development</w:t>
      </w:r>
      <w:r w:rsidR="000D0E08" w:rsidRPr="000D0E08">
        <w:t xml:space="preserve">? Retrieved </w:t>
      </w:r>
      <w:hyperlink r:id="rId1" w:history="1">
        <w:r w:rsidR="000D0E08" w:rsidRPr="007C7643">
          <w:rPr>
            <w:rStyle w:val="Hyperlink"/>
          </w:rPr>
          <w:t>https://www.simplypsychology.org/Zone-of-Proximal-Development.html</w:t>
        </w:r>
      </w:hyperlink>
      <w:r w:rsidR="000D0E08" w:rsidRPr="000D0E08">
        <w:t>.</w:t>
      </w:r>
    </w:p>
  </w:endnote>
  <w:endnote w:id="4">
    <w:p w14:paraId="2559BD15" w14:textId="292418FC" w:rsidR="006B0944" w:rsidRPr="006B0944" w:rsidRDefault="006B0944" w:rsidP="00200CE0">
      <w:pPr>
        <w:pStyle w:val="EndnoteText"/>
        <w:rPr>
          <w:lang w:val="en-AU"/>
        </w:rPr>
      </w:pPr>
      <w:r>
        <w:rPr>
          <w:rStyle w:val="EndnoteReference"/>
        </w:rPr>
        <w:endnoteRef/>
      </w:r>
      <w:r>
        <w:t xml:space="preserve"> </w:t>
      </w:r>
      <w:r w:rsidR="003C01C6">
        <w:tab/>
      </w:r>
      <w:r w:rsidR="003C01C6" w:rsidRPr="003C01C6">
        <w:t xml:space="preserve">In accordance with the Living Learning Operations Manual criteria and based on the amount of time these young people </w:t>
      </w:r>
      <w:r w:rsidR="003C01C6" w:rsidRPr="00CD7AB2">
        <w:t>participated</w:t>
      </w:r>
      <w:r w:rsidR="003C01C6" w:rsidRPr="003C01C6">
        <w:t xml:space="preserve"> in the program, the exited young </w:t>
      </w:r>
      <w:r w:rsidR="003C01C6" w:rsidRPr="00CD7AB2">
        <w:t>person</w:t>
      </w:r>
      <w:r w:rsidR="003C01C6" w:rsidRPr="003C01C6">
        <w:t xml:space="preserve"> has been removed from measurement, while the other exited young person is still in the measurement cohort.</w:t>
      </w:r>
    </w:p>
  </w:endnote>
  <w:endnote w:id="5">
    <w:p w14:paraId="5B82C21E" w14:textId="41453724" w:rsidR="00CD7AB2" w:rsidRPr="00CD7AB2" w:rsidRDefault="00CD7AB2" w:rsidP="00200CE0">
      <w:pPr>
        <w:pStyle w:val="EndnoteText"/>
      </w:pPr>
      <w:r>
        <w:rPr>
          <w:rStyle w:val="EndnoteReference"/>
        </w:rPr>
        <w:endnoteRef/>
      </w:r>
      <w:r>
        <w:t xml:space="preserve"> </w:t>
      </w:r>
      <w:r>
        <w:tab/>
      </w:r>
      <w:r w:rsidR="00105122" w:rsidRPr="00105122">
        <w:t xml:space="preserve">Bennett, M., Ng-Knight, T., &amp; Hayes, B. (2017). Autonomy-supportive teaching and its antecedents: differences between teachers and teaching assistants and the predictive role of perceived competence. </w:t>
      </w:r>
      <w:r w:rsidR="00105122" w:rsidRPr="00D20DCC">
        <w:t>European Journal of Psychology of Education, 32, 643</w:t>
      </w:r>
      <w:r w:rsidR="00105122" w:rsidRPr="00105122">
        <w:t>-667</w:t>
      </w:r>
      <w:r w:rsidR="00105122">
        <w:t>.</w:t>
      </w:r>
    </w:p>
  </w:endnote>
  <w:endnote w:id="6">
    <w:p w14:paraId="0EBAFBE9" w14:textId="09A3F171" w:rsidR="008676D0" w:rsidRPr="008676D0" w:rsidRDefault="008676D0" w:rsidP="00200CE0">
      <w:pPr>
        <w:pStyle w:val="EndnoteText"/>
        <w:rPr>
          <w:lang w:val="en-AU"/>
        </w:rPr>
      </w:pPr>
      <w:r>
        <w:rPr>
          <w:rStyle w:val="EndnoteReference"/>
        </w:rPr>
        <w:endnoteRef/>
      </w:r>
      <w:r>
        <w:t xml:space="preserve"> </w:t>
      </w:r>
      <w:r w:rsidR="002D28D5">
        <w:tab/>
      </w:r>
      <w:r w:rsidR="002D28D5" w:rsidRPr="002D28D5">
        <w:t>K10 is a measure of psychological distress, Depression Anxiety Stress Scales 21 (DASS 21) and Revised Child Anxiety and Depression Scale (RCADS) Mental Health Outcomes.</w:t>
      </w:r>
    </w:p>
  </w:endnote>
  <w:endnote w:id="7">
    <w:p w14:paraId="66CFE51B" w14:textId="4AAEF961" w:rsidR="00AE6919" w:rsidRPr="00AE6919" w:rsidRDefault="00AE6919" w:rsidP="00200CE0">
      <w:pPr>
        <w:pStyle w:val="EndnoteText"/>
        <w:rPr>
          <w:lang w:val="en-AU"/>
        </w:rPr>
      </w:pPr>
      <w:r>
        <w:rPr>
          <w:rStyle w:val="EndnoteReference"/>
        </w:rPr>
        <w:endnoteRef/>
      </w:r>
      <w:r>
        <w:t xml:space="preserve"> </w:t>
      </w:r>
      <w:r w:rsidR="00474466">
        <w:tab/>
      </w:r>
      <w:r w:rsidR="00474466" w:rsidRPr="00474466">
        <w:t xml:space="preserve">Productivity Commission 2020, </w:t>
      </w:r>
      <w:r w:rsidR="00474466" w:rsidRPr="00D20DCC">
        <w:t>Mental Health,</w:t>
      </w:r>
      <w:r w:rsidR="00474466" w:rsidRPr="00474466">
        <w:t xml:space="preserve"> Report no. 95, Canberra.</w:t>
      </w:r>
    </w:p>
  </w:endnote>
  <w:endnote w:id="8">
    <w:p w14:paraId="2C9A2BD8" w14:textId="0BACBBB7" w:rsidR="003246FD" w:rsidRPr="003246FD" w:rsidRDefault="003246FD" w:rsidP="00200CE0">
      <w:pPr>
        <w:pStyle w:val="EndnoteText"/>
        <w:rPr>
          <w:lang w:val="en-AU"/>
        </w:rPr>
      </w:pPr>
      <w:r>
        <w:rPr>
          <w:rStyle w:val="EndnoteReference"/>
        </w:rPr>
        <w:endnoteRef/>
      </w:r>
      <w:r>
        <w:t xml:space="preserve"> </w:t>
      </w:r>
      <w:r>
        <w:rPr>
          <w:lang w:val="en-AU"/>
        </w:rPr>
        <w:tab/>
      </w:r>
      <w:r w:rsidR="00FE77E5" w:rsidRPr="00FE77E5">
        <w:rPr>
          <w:lang w:val="en-AU"/>
        </w:rPr>
        <w:t xml:space="preserve">This gap was described in Productivity Commission </w:t>
      </w:r>
      <w:r w:rsidR="00FE77E5" w:rsidRPr="00D20DCC">
        <w:rPr>
          <w:lang w:val="en-AU"/>
        </w:rPr>
        <w:t>2020, Mental Health, Report</w:t>
      </w:r>
      <w:r w:rsidR="00FE77E5" w:rsidRPr="00FE77E5">
        <w:rPr>
          <w:lang w:val="en-AU"/>
        </w:rPr>
        <w:t xml:space="preserve"> no. 95, Canberra, p.8.</w:t>
      </w:r>
    </w:p>
  </w:endnote>
  <w:endnote w:id="9">
    <w:p w14:paraId="5B992717" w14:textId="11F5D5BF" w:rsidR="00FE77E5" w:rsidRPr="00FE77E5" w:rsidRDefault="00FE77E5" w:rsidP="00200CE0">
      <w:pPr>
        <w:pStyle w:val="EndnoteText"/>
        <w:rPr>
          <w:lang w:val="en-AU"/>
        </w:rPr>
      </w:pPr>
      <w:r>
        <w:rPr>
          <w:rStyle w:val="EndnoteReference"/>
        </w:rPr>
        <w:endnoteRef/>
      </w:r>
      <w:r>
        <w:t xml:space="preserve"> </w:t>
      </w:r>
      <w:r>
        <w:rPr>
          <w:lang w:val="en-AU"/>
        </w:rPr>
        <w:tab/>
      </w:r>
      <w:r w:rsidR="002E5DEB" w:rsidRPr="002E5DEB">
        <w:rPr>
          <w:lang w:val="en-AU"/>
        </w:rPr>
        <w:t>This can be attributed to the shortage of mental health care professionals in the private mediation market amidst the COVID-19 pandemic. FRMP is dependent on recruiting professionals from the private mediation market.</w:t>
      </w:r>
    </w:p>
  </w:endnote>
  <w:endnote w:id="10">
    <w:p w14:paraId="5E4D79C2" w14:textId="290BCB5D" w:rsidR="00764737" w:rsidRPr="00764737" w:rsidRDefault="00764737" w:rsidP="00200CE0">
      <w:pPr>
        <w:pStyle w:val="EndnoteText"/>
        <w:rPr>
          <w:lang w:val="en-AU"/>
        </w:rPr>
      </w:pPr>
      <w:r>
        <w:rPr>
          <w:rStyle w:val="EndnoteReference"/>
        </w:rPr>
        <w:endnoteRef/>
      </w:r>
      <w:r>
        <w:t xml:space="preserve"> </w:t>
      </w:r>
      <w:r>
        <w:rPr>
          <w:lang w:val="en-AU"/>
        </w:rPr>
        <w:tab/>
      </w:r>
      <w:r w:rsidR="00D20DCC" w:rsidRPr="00D20DCC">
        <w:rPr>
          <w:lang w:val="en-AU"/>
        </w:rPr>
        <w:t xml:space="preserve">Bandura, A. (1994). Self-efficacy. In V.S. </w:t>
      </w:r>
      <w:proofErr w:type="spellStart"/>
      <w:r w:rsidR="00D20DCC" w:rsidRPr="00D20DCC">
        <w:rPr>
          <w:lang w:val="en-AU"/>
        </w:rPr>
        <w:t>Ramachaudran</w:t>
      </w:r>
      <w:proofErr w:type="spellEnd"/>
      <w:r w:rsidR="00D20DCC" w:rsidRPr="00D20DCC">
        <w:rPr>
          <w:lang w:val="en-AU"/>
        </w:rPr>
        <w:t xml:space="preserve"> (Ed.), Encyclopaedia of human behaviour (Vol. 4, pp. 71-81). New York: Academic Press.</w:t>
      </w:r>
    </w:p>
  </w:endnote>
  <w:endnote w:id="11">
    <w:p w14:paraId="12CD0AFD" w14:textId="096849EB" w:rsidR="00FB4CD4" w:rsidRPr="00FB4CD4" w:rsidRDefault="00FB4CD4" w:rsidP="00200CE0">
      <w:pPr>
        <w:pStyle w:val="EndnoteText"/>
        <w:rPr>
          <w:lang w:val="en-AU"/>
        </w:rPr>
      </w:pPr>
      <w:r>
        <w:rPr>
          <w:rStyle w:val="EndnoteReference"/>
        </w:rPr>
        <w:endnoteRef/>
      </w:r>
      <w:r w:rsidRPr="00CE7362">
        <w:rPr>
          <w:lang w:val="en-AU"/>
        </w:rPr>
        <w:t xml:space="preserve"> </w:t>
      </w:r>
      <w:r w:rsidR="00BD0BAF" w:rsidRPr="00CE7362">
        <w:rPr>
          <w:lang w:val="en-AU"/>
        </w:rPr>
        <w:tab/>
        <w:t xml:space="preserve">Hepworth, D.H., et al. </w:t>
      </w:r>
      <w:r w:rsidR="00BD0BAF" w:rsidRPr="00BD0BAF">
        <w:rPr>
          <w:lang w:val="en-AU"/>
        </w:rPr>
        <w:t>(2006). Direct Social Work Practice: Theory and Skills, Seventh Edition. Brooks/Cole, Cengage Learning.</w:t>
      </w:r>
    </w:p>
  </w:endnote>
  <w:endnote w:id="12">
    <w:p w14:paraId="5FAAAB72" w14:textId="64FB63E0" w:rsidR="00C275D8" w:rsidRPr="00C275D8" w:rsidRDefault="00C275D8" w:rsidP="00200CE0">
      <w:pPr>
        <w:pStyle w:val="EndnoteText"/>
        <w:rPr>
          <w:lang w:val="en-AU"/>
        </w:rPr>
      </w:pPr>
      <w:r>
        <w:rPr>
          <w:rStyle w:val="EndnoteReference"/>
        </w:rPr>
        <w:endnoteRef/>
      </w:r>
      <w:r>
        <w:t xml:space="preserve"> </w:t>
      </w:r>
      <w:r>
        <w:rPr>
          <w:lang w:val="en-AU"/>
        </w:rPr>
        <w:tab/>
      </w:r>
      <w:r w:rsidRPr="00C275D8">
        <w:rPr>
          <w:lang w:val="en-AU"/>
        </w:rPr>
        <w:t>Australian Institute of Health and Welfare (2022) Oral health and dental care in Australia, AIHW, Australian Government.</w:t>
      </w:r>
    </w:p>
  </w:endnote>
  <w:endnote w:id="13">
    <w:p w14:paraId="3FF1FF0B" w14:textId="165E9560" w:rsidR="00702724" w:rsidRPr="00702724" w:rsidRDefault="00702724" w:rsidP="00200CE0">
      <w:pPr>
        <w:pStyle w:val="EndnoteText"/>
        <w:rPr>
          <w:lang w:val="en-AU"/>
        </w:rPr>
      </w:pPr>
      <w:r>
        <w:rPr>
          <w:rStyle w:val="EndnoteReference"/>
        </w:rPr>
        <w:endnoteRef/>
      </w:r>
      <w:r>
        <w:t xml:space="preserve"> </w:t>
      </w:r>
      <w:r>
        <w:tab/>
      </w:r>
      <w:r w:rsidR="00BE09AB" w:rsidRPr="00BE09AB">
        <w:t>Ibid.</w:t>
      </w:r>
    </w:p>
  </w:endnote>
  <w:endnote w:id="14">
    <w:p w14:paraId="50CE28CD" w14:textId="056F0849" w:rsidR="00BE09AB" w:rsidRPr="00BE09AB" w:rsidRDefault="00BE09AB" w:rsidP="00200CE0">
      <w:pPr>
        <w:pStyle w:val="EndnoteText"/>
        <w:rPr>
          <w:lang w:val="en-AU"/>
        </w:rPr>
      </w:pPr>
      <w:r>
        <w:rPr>
          <w:rStyle w:val="EndnoteReference"/>
        </w:rPr>
        <w:endnoteRef/>
      </w:r>
      <w:r>
        <w:t xml:space="preserve"> </w:t>
      </w:r>
      <w:r w:rsidR="00B55A11">
        <w:rPr>
          <w:lang w:val="en-AU"/>
        </w:rPr>
        <w:tab/>
      </w:r>
      <w:r w:rsidR="00B55A11" w:rsidRPr="00B55A11">
        <w:rPr>
          <w:lang w:val="en-AU"/>
        </w:rPr>
        <w:t>Level 3 BKSB is deemed to be a ‘functional’ level of literacy and numeracy.</w:t>
      </w:r>
    </w:p>
  </w:endnote>
  <w:endnote w:id="15">
    <w:p w14:paraId="51906DDF" w14:textId="77E9BDB8" w:rsidR="00B55A11" w:rsidRPr="00B55A11" w:rsidRDefault="00B55A11" w:rsidP="00200CE0">
      <w:pPr>
        <w:pStyle w:val="EndnoteText"/>
        <w:rPr>
          <w:lang w:val="en-AU"/>
        </w:rPr>
      </w:pPr>
      <w:r>
        <w:rPr>
          <w:rStyle w:val="EndnoteReference"/>
        </w:rPr>
        <w:endnoteRef/>
      </w:r>
      <w:r>
        <w:t xml:space="preserve"> </w:t>
      </w:r>
      <w:r>
        <w:tab/>
      </w:r>
      <w:r w:rsidRPr="00B55A11">
        <w:t>Program staff believe BKSB levels are not sufficiently ‘granular’ (given how BKSB levels span several school years) and that BKSB does not reveal an individual’s incremental improvement.</w:t>
      </w:r>
    </w:p>
  </w:endnote>
  <w:endnote w:id="16">
    <w:p w14:paraId="366482DC" w14:textId="61E38A4D" w:rsidR="00D17098" w:rsidRPr="00B55A11" w:rsidRDefault="00B55A11" w:rsidP="00200CE0">
      <w:pPr>
        <w:pStyle w:val="EndnoteText"/>
        <w:rPr>
          <w:lang w:val="en-AU"/>
        </w:rPr>
      </w:pPr>
      <w:r>
        <w:rPr>
          <w:rStyle w:val="EndnoteReference"/>
        </w:rPr>
        <w:endnoteRef/>
      </w:r>
      <w:r>
        <w:t xml:space="preserve"> </w:t>
      </w:r>
      <w:r w:rsidR="00D17098">
        <w:rPr>
          <w:lang w:val="en-AU"/>
        </w:rPr>
        <w:tab/>
      </w:r>
      <w:r w:rsidR="00D17098" w:rsidRPr="00D17098">
        <w:rPr>
          <w:lang w:val="en-AU"/>
        </w:rPr>
        <w:t>BKSB is used by more than 70 per cent of Australian TAFEs. See https://www.bksb.com.au/about/, retrieved 20 March 2023.</w:t>
      </w:r>
    </w:p>
  </w:endnote>
  <w:endnote w:id="17">
    <w:p w14:paraId="6B268C01" w14:textId="5E2B6FA5" w:rsidR="002E1CA2" w:rsidRPr="002E1CA2" w:rsidRDefault="002E1CA2" w:rsidP="00200CE0">
      <w:pPr>
        <w:pStyle w:val="EndnoteText"/>
        <w:rPr>
          <w:lang w:val="en-AU"/>
        </w:rPr>
      </w:pPr>
      <w:r>
        <w:rPr>
          <w:rStyle w:val="EndnoteReference"/>
        </w:rPr>
        <w:endnoteRef/>
      </w:r>
      <w:r>
        <w:t xml:space="preserve"> </w:t>
      </w:r>
      <w:r>
        <w:tab/>
      </w:r>
      <w:r w:rsidR="00273740" w:rsidRPr="00273740">
        <w:t>It is important to note that there is a large range within one BKSB level for improvement, so students may have increased their skills and yet retained the same BKSB level, i.e., level 3 BKSB correlates to a skill range equivalent to Year 7–9.</w:t>
      </w:r>
    </w:p>
  </w:endnote>
  <w:endnote w:id="18">
    <w:p w14:paraId="6B269EA5" w14:textId="07C5421A" w:rsidR="008F131A" w:rsidRPr="008F131A" w:rsidRDefault="008F131A" w:rsidP="00200CE0">
      <w:pPr>
        <w:pStyle w:val="EndnoteText"/>
        <w:rPr>
          <w:lang w:val="en-AU"/>
        </w:rPr>
      </w:pPr>
      <w:r>
        <w:rPr>
          <w:rStyle w:val="EndnoteReference"/>
        </w:rPr>
        <w:endnoteRef/>
      </w:r>
      <w:r>
        <w:t xml:space="preserve"> </w:t>
      </w:r>
      <w:r w:rsidR="00334ED0">
        <w:rPr>
          <w:lang w:val="en-AU"/>
        </w:rPr>
        <w:tab/>
      </w:r>
      <w:r w:rsidR="00334ED0" w:rsidRPr="00334ED0">
        <w:rPr>
          <w:lang w:val="en-AU"/>
        </w:rPr>
        <w:t>A small number of participant survey respondents (4 of 32) described how their Key Worker had provided them</w:t>
      </w:r>
      <w:r w:rsidR="00334ED0">
        <w:rPr>
          <w:lang w:val="en-AU"/>
        </w:rPr>
        <w:t xml:space="preserve"> </w:t>
      </w:r>
      <w:r w:rsidR="00334ED0" w:rsidRPr="00334ED0">
        <w:rPr>
          <w:lang w:val="en-AU"/>
        </w:rPr>
        <w:t>with housing support. This included support through</w:t>
      </w:r>
      <w:r w:rsidR="00334ED0">
        <w:rPr>
          <w:lang w:val="en-AU"/>
        </w:rPr>
        <w:t xml:space="preserve"> </w:t>
      </w:r>
      <w:r w:rsidR="00334ED0" w:rsidRPr="00334ED0">
        <w:rPr>
          <w:lang w:val="en-AU"/>
        </w:rPr>
        <w:t>homelessness, in finding a new house, and in moving in and out of homes.</w:t>
      </w:r>
    </w:p>
  </w:endnote>
  <w:endnote w:id="19">
    <w:p w14:paraId="5B4E5279" w14:textId="52A025FA" w:rsidR="002F255E" w:rsidRPr="002F255E" w:rsidRDefault="002F255E" w:rsidP="00200CE0">
      <w:pPr>
        <w:pStyle w:val="EndnoteText"/>
        <w:rPr>
          <w:lang w:val="en-AU"/>
        </w:rPr>
      </w:pPr>
      <w:r>
        <w:rPr>
          <w:rStyle w:val="EndnoteReference"/>
        </w:rPr>
        <w:endnoteRef/>
      </w:r>
      <w:r>
        <w:t xml:space="preserve"> </w:t>
      </w:r>
      <w:r>
        <w:rPr>
          <w:lang w:val="en-AU"/>
        </w:rPr>
        <w:tab/>
      </w:r>
      <w:r w:rsidRPr="002F255E">
        <w:rPr>
          <w:lang w:val="en-AU"/>
        </w:rPr>
        <w:t>As noted in Section 4.2, the Living Learning Program has not been able to utilise MCM’s Family Reconciliation Mediation Program (FRMP) to date due to a shortage of mental health professionals.</w:t>
      </w:r>
    </w:p>
  </w:endnote>
  <w:endnote w:id="20">
    <w:p w14:paraId="49F5AC26" w14:textId="106EAF34" w:rsidR="00091871" w:rsidRPr="00091871" w:rsidRDefault="00091871" w:rsidP="00200CE0">
      <w:pPr>
        <w:pStyle w:val="EndnoteText"/>
        <w:rPr>
          <w:lang w:val="en-AU"/>
        </w:rPr>
      </w:pPr>
      <w:r>
        <w:rPr>
          <w:rStyle w:val="EndnoteReference"/>
        </w:rPr>
        <w:endnoteRef/>
      </w:r>
      <w:r>
        <w:t xml:space="preserve"> </w:t>
      </w:r>
      <w:r w:rsidR="00307A86">
        <w:rPr>
          <w:lang w:val="en-AU"/>
        </w:rPr>
        <w:tab/>
      </w:r>
      <w:r w:rsidR="00307A86" w:rsidRPr="00307A86">
        <w:rPr>
          <w:lang w:val="en-AU"/>
        </w:rPr>
        <w:t>Cohort 1 under reported by 60% and cohort 2 by 80% in the January to June 2022 period. This was determined through comparison of self-reported ED presentations since enrolling in Living Learning and actual ED presentations gleaned from government-supplied data.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lama Cond Bold">
    <w:charset w:val="00"/>
    <w:family w:val="auto"/>
    <w:pitch w:val="variable"/>
    <w:sig w:usb0="00000003" w:usb1="00000000" w:usb2="00000000" w:usb3="00000000" w:csb0="00000001" w:csb1="00000000"/>
    <w:embedRegular r:id="rId1" w:fontKey="{48682139-6274-4F64-8C65-ED800922F8DE}"/>
    <w:embedBold r:id="rId2" w:fontKey="{456BD006-DDA7-4389-8CCA-9228F4F517D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3" w:fontKey="{BC739246-4921-41FD-A1ED-C62C6F019D8F}"/>
    <w:embedBold r:id="rId4" w:fontKey="{29D9EDD2-F750-4761-BD84-76B55107F13C}"/>
    <w:embedItalic r:id="rId5" w:fontKey="{BD5F93D8-F53E-49EC-B706-3678A12ADE33}"/>
    <w:embedBoldItalic r:id="rId6" w:fontKey="{1C20A92A-0080-4641-8FFE-6B9A37D16555}"/>
  </w:font>
  <w:font w:name="Arial Black">
    <w:panose1 w:val="020B0A04020102020204"/>
    <w:charset w:val="00"/>
    <w:family w:val="swiss"/>
    <w:pitch w:val="variable"/>
    <w:sig w:usb0="A00002AF" w:usb1="400078FB" w:usb2="00000000" w:usb3="00000000" w:csb0="0000009F" w:csb1="00000000"/>
    <w:embedRegular r:id="rId7" w:fontKey="{4E037EB2-BC7D-41F9-BB04-5B8673F1F5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A5B123C" w:rsidRPr="00DD773B" w14:paraId="154FD563" w14:textId="77777777" w:rsidTr="4A5B123C">
      <w:tc>
        <w:tcPr>
          <w:tcW w:w="3210" w:type="dxa"/>
        </w:tcPr>
        <w:p w14:paraId="36CA7B24" w14:textId="1F2FD8E9" w:rsidR="4A5B123C" w:rsidRPr="00DD773B" w:rsidRDefault="002D477D" w:rsidP="4A5B123C">
          <w:pPr>
            <w:pStyle w:val="Header"/>
            <w:ind w:left="-115"/>
          </w:pPr>
          <w:r>
            <w:rPr>
              <w:noProof/>
            </w:rPr>
            <mc:AlternateContent>
              <mc:Choice Requires="wps">
                <w:drawing>
                  <wp:anchor distT="0" distB="0" distL="114300" distR="114300" simplePos="0" relativeHeight="251658240" behindDoc="0" locked="0" layoutInCell="0" allowOverlap="1" wp14:anchorId="09A122A3" wp14:editId="2C2BC22A">
                    <wp:simplePos x="0" y="9365456"/>
                    <wp:positionH relativeFrom="page">
                      <wp:align>center</wp:align>
                    </wp:positionH>
                    <wp:positionV relativeFrom="page">
                      <wp:align>bottom</wp:align>
                    </wp:positionV>
                    <wp:extent cx="7772400" cy="502285"/>
                    <wp:effectExtent l="0" t="0" r="0" b="12065"/>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B3E1F4" w14:textId="43D79526" w:rsidR="002D477D" w:rsidRPr="002D477D" w:rsidRDefault="002D477D" w:rsidP="002D477D">
                                <w:pPr>
                                  <w:spacing w:after="0"/>
                                  <w:jc w:val="center"/>
                                  <w:rPr>
                                    <w:rFonts w:ascii="Arial Black" w:hAnsi="Arial Black"/>
                                    <w:color w:val="000000"/>
                                  </w:rPr>
                                </w:pPr>
                                <w:r w:rsidRPr="002D477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A122A3" id="_x0000_t202" coordsize="21600,21600" o:spt="202" path="m,l,21600r21600,l21600,xe">
                    <v:stroke joinstyle="miter"/>
                    <v:path gradientshapeok="t" o:connecttype="rect"/>
                  </v:shapetype>
                  <v:shape id="Text Box 20" o:spid="_x0000_s1026" type="#_x0000_t202" alt="&quot;&quot;" style="position:absolute;left:0;text-align:left;margin-left:0;margin-top:0;width:612pt;height:39.5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5EB3E1F4" w14:textId="43D79526" w:rsidR="002D477D" w:rsidRPr="002D477D" w:rsidRDefault="002D477D" w:rsidP="002D477D">
                          <w:pPr>
                            <w:spacing w:after="0"/>
                            <w:jc w:val="center"/>
                            <w:rPr>
                              <w:rFonts w:ascii="Arial Black" w:hAnsi="Arial Black"/>
                              <w:color w:val="000000"/>
                            </w:rPr>
                          </w:pPr>
                          <w:r w:rsidRPr="002D477D">
                            <w:rPr>
                              <w:rFonts w:ascii="Arial Black" w:hAnsi="Arial Black"/>
                              <w:color w:val="000000"/>
                            </w:rPr>
                            <w:t>OFFICIAL</w:t>
                          </w:r>
                        </w:p>
                      </w:txbxContent>
                    </v:textbox>
                    <w10:wrap anchorx="page" anchory="page"/>
                  </v:shape>
                </w:pict>
              </mc:Fallback>
            </mc:AlternateContent>
          </w:r>
        </w:p>
      </w:tc>
      <w:tc>
        <w:tcPr>
          <w:tcW w:w="3210" w:type="dxa"/>
        </w:tcPr>
        <w:p w14:paraId="0B87E25C" w14:textId="0EDED51E" w:rsidR="4A5B123C" w:rsidRPr="00DD773B" w:rsidRDefault="4A5B123C" w:rsidP="4A5B123C">
          <w:pPr>
            <w:pStyle w:val="Header"/>
            <w:jc w:val="center"/>
          </w:pPr>
        </w:p>
      </w:tc>
      <w:tc>
        <w:tcPr>
          <w:tcW w:w="3210" w:type="dxa"/>
        </w:tcPr>
        <w:p w14:paraId="149E9513" w14:textId="12DC112B" w:rsidR="4A5B123C" w:rsidRPr="00DD773B" w:rsidRDefault="4A5B123C" w:rsidP="4A5B123C">
          <w:pPr>
            <w:pStyle w:val="Header"/>
            <w:ind w:right="-115"/>
            <w:jc w:val="right"/>
          </w:pPr>
        </w:p>
      </w:tc>
    </w:tr>
  </w:tbl>
  <w:p w14:paraId="2F7DCB25" w14:textId="2FA78D60" w:rsidR="00C629FE" w:rsidRPr="00DD773B" w:rsidRDefault="00C629F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29865" w14:textId="77777777" w:rsidR="00B45672" w:rsidRPr="00DD773B" w:rsidRDefault="00B45672" w:rsidP="000F6349">
    <w:pPr>
      <w:pStyle w:val="Footertextleft"/>
      <w:spacing w:after="0"/>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D56F5" w14:textId="77777777" w:rsidR="00FD22F4" w:rsidRPr="00DD773B" w:rsidRDefault="00FD22F4" w:rsidP="00674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177C6" w14:textId="469AAF3B" w:rsidR="0042505F" w:rsidRPr="00DD773B" w:rsidRDefault="0042505F" w:rsidP="00B0615A">
    <w:pPr>
      <w:pStyle w:val="Footer"/>
    </w:pPr>
    <w:r w:rsidRPr="00DD773B">
      <w:fldChar w:fldCharType="begin"/>
    </w:r>
    <w:r w:rsidRPr="00DD773B">
      <w:instrText xml:space="preserve"> FILENAME  </w:instrText>
    </w:r>
    <w:r w:rsidRPr="00DD773B">
      <w:fldChar w:fldCharType="separate"/>
    </w:r>
    <w:r w:rsidR="008D0FC1">
      <w:rPr>
        <w:noProof/>
      </w:rPr>
      <w:t>LL PAD Interim Report Accessible 9 Nov 2023</w:t>
    </w:r>
    <w:r w:rsidRPr="00DD773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F3A50" w14:textId="77777777" w:rsidR="001B70A7" w:rsidRDefault="001B70A7" w:rsidP="00194009">
    <w:pPr>
      <w:pStyle w:val="Footer"/>
      <w:rPr>
        <w:color w:val="808080" w:themeColor="background1" w:themeShade="80"/>
      </w:rPr>
    </w:pPr>
  </w:p>
  <w:p w14:paraId="1C6B2D7A" w14:textId="14DFA0BE" w:rsidR="0042505F" w:rsidRPr="00DD773B" w:rsidRDefault="0042505F" w:rsidP="001940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B27A5" w14:textId="32C80401" w:rsidR="0042505F" w:rsidRPr="00DD773B" w:rsidRDefault="0042505F" w:rsidP="006743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7C110" w14:textId="0C0FBA5E" w:rsidR="0042505F" w:rsidRPr="00DD773B" w:rsidRDefault="0042505F" w:rsidP="00B0615A">
    <w:pPr>
      <w:pStyle w:val="Footer"/>
    </w:pPr>
    <w:r w:rsidRPr="00DD773B">
      <w:fldChar w:fldCharType="begin"/>
    </w:r>
    <w:r w:rsidRPr="00DD773B">
      <w:instrText xml:space="preserve"> FILENAME  </w:instrText>
    </w:r>
    <w:r w:rsidRPr="00DD773B">
      <w:fldChar w:fldCharType="separate"/>
    </w:r>
    <w:r w:rsidR="008D0FC1">
      <w:rPr>
        <w:noProof/>
      </w:rPr>
      <w:t>LL PAD Interim Report Accessible 9 Nov 2023</w:t>
    </w:r>
    <w:r w:rsidRPr="00DD773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487FE" w14:textId="1DA4CC04" w:rsidR="007C693D" w:rsidRPr="00DD773B" w:rsidRDefault="009D008C" w:rsidP="009D008C">
    <w:pPr>
      <w:pStyle w:val="Footer"/>
      <w:tabs>
        <w:tab w:val="clear" w:pos="4513"/>
        <w:tab w:val="clear" w:pos="9026"/>
      </w:tabs>
      <w:jc w:val="both"/>
    </w:pPr>
    <w:r>
      <w:fldChar w:fldCharType="begin"/>
    </w:r>
    <w:r>
      <w:instrText xml:space="preserve"> PAGE   \* MERGEFORMAT </w:instrText>
    </w:r>
    <w:r>
      <w:fldChar w:fldCharType="separate"/>
    </w:r>
    <w:r>
      <w:rPr>
        <w:noProof/>
      </w:rPr>
      <w:t>1</w:t>
    </w:r>
    <w:r>
      <w:rPr>
        <w:noProof/>
      </w:rPr>
      <w:fldChar w:fldCharType="end"/>
    </w:r>
    <w:r w:rsidR="00140799">
      <w:rPr>
        <w:noProof/>
      </w:rPr>
      <w:t xml:space="preserve"> | </w:t>
    </w:r>
    <w:r w:rsidR="00397E49" w:rsidRPr="00397E49">
      <w:rPr>
        <w:b/>
        <w:bCs/>
        <w:noProof/>
      </w:rPr>
      <w:t>Evaluation of the Living Learning Partnership Addressing Disadvantage</w:t>
    </w:r>
    <w:r w:rsidR="00397E49">
      <w:rPr>
        <w:noProof/>
      </w:rPr>
      <w:t xml:space="preserve"> Interim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1BD22" w14:textId="7E8A666A" w:rsidR="007C693D" w:rsidRPr="00DD773B" w:rsidRDefault="00AD1266" w:rsidP="009D008C">
    <w:pPr>
      <w:pStyle w:val="Footer"/>
      <w:jc w:val="right"/>
    </w:pPr>
    <w:r w:rsidRPr="00AD1266">
      <w:rPr>
        <w:b/>
        <w:bCs/>
      </w:rPr>
      <w:t>Prepared by Urbis</w:t>
    </w:r>
    <w:r>
      <w:t xml:space="preserve"> for The Department of Treasury and Finance</w:t>
    </w:r>
    <w:r w:rsidR="00140799">
      <w:t xml:space="preserve"> </w:t>
    </w:r>
    <w:r w:rsidR="009D008C">
      <w:t>|</w:t>
    </w:r>
    <w:r w:rsidR="00140799">
      <w:t xml:space="preserve"> </w:t>
    </w:r>
    <w:r w:rsidR="009D008C">
      <w:fldChar w:fldCharType="begin"/>
    </w:r>
    <w:r w:rsidR="009D008C">
      <w:instrText xml:space="preserve"> PAGE   \* MERGEFORMAT </w:instrText>
    </w:r>
    <w:r w:rsidR="009D008C">
      <w:fldChar w:fldCharType="separate"/>
    </w:r>
    <w:r w:rsidR="009D008C">
      <w:rPr>
        <w:noProof/>
      </w:rPr>
      <w:t>1</w:t>
    </w:r>
    <w:r w:rsidR="009D008C">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C8CA" w14:textId="7D05F1BB" w:rsidR="009974FF" w:rsidRPr="00B75B78" w:rsidRDefault="00B75B78" w:rsidP="00B75B78">
    <w:pPr>
      <w:pStyle w:val="Footer"/>
      <w:tabs>
        <w:tab w:val="clear" w:pos="4513"/>
        <w:tab w:val="clear" w:pos="9026"/>
      </w:tabs>
      <w:jc w:val="both"/>
      <w:rPr>
        <w:rStyle w:val="PageNumber"/>
        <w:sz w:val="20"/>
      </w:rPr>
    </w:pPr>
    <w:r>
      <w:fldChar w:fldCharType="begin"/>
    </w:r>
    <w:r>
      <w:instrText xml:space="preserve"> PAGE   \* MERGEFORMAT </w:instrText>
    </w:r>
    <w:r>
      <w:fldChar w:fldCharType="separate"/>
    </w:r>
    <w:r>
      <w:t>62</w:t>
    </w:r>
    <w:r>
      <w:rPr>
        <w:noProof/>
      </w:rPr>
      <w:fldChar w:fldCharType="end"/>
    </w:r>
    <w:r>
      <w:rPr>
        <w:noProof/>
      </w:rPr>
      <w:t xml:space="preserve"> | </w:t>
    </w:r>
    <w:r w:rsidR="00397E49" w:rsidRPr="00397E49">
      <w:rPr>
        <w:b/>
        <w:bCs/>
        <w:noProof/>
      </w:rPr>
      <w:t>Evaluation of the Living Learning Partnership Addressing Disadvantage</w:t>
    </w:r>
    <w:r w:rsidR="00397E49">
      <w:rPr>
        <w:noProof/>
      </w:rPr>
      <w:t xml:space="preserve"> Interim Report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226FD" w14:textId="2A3292B3" w:rsidR="0055490E" w:rsidRPr="00DD773B" w:rsidRDefault="00397E49" w:rsidP="00B75B78">
    <w:pPr>
      <w:pStyle w:val="Footer"/>
      <w:jc w:val="right"/>
    </w:pPr>
    <w:r w:rsidRPr="00AD1266">
      <w:rPr>
        <w:b/>
        <w:bCs/>
      </w:rPr>
      <w:t>Prepared by Urbis</w:t>
    </w:r>
    <w:r>
      <w:t xml:space="preserve"> for The Department of Treasury and Finance </w:t>
    </w:r>
    <w:r w:rsidR="00B75B78">
      <w:t xml:space="preserve">| </w:t>
    </w:r>
    <w:r w:rsidR="00B75B78">
      <w:fldChar w:fldCharType="begin"/>
    </w:r>
    <w:r w:rsidR="00B75B78">
      <w:instrText xml:space="preserve"> PAGE   \* MERGEFORMAT </w:instrText>
    </w:r>
    <w:r w:rsidR="00B75B78">
      <w:fldChar w:fldCharType="separate"/>
    </w:r>
    <w:r w:rsidR="00B75B78">
      <w:t>63</w:t>
    </w:r>
    <w:r w:rsidR="00B75B7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1D614" w14:textId="77777777" w:rsidR="00365453" w:rsidRPr="00DD773B" w:rsidRDefault="00365453" w:rsidP="00597022">
      <w:pPr>
        <w:pStyle w:val="FootnoteSeparator"/>
      </w:pPr>
    </w:p>
  </w:footnote>
  <w:footnote w:type="continuationSeparator" w:id="0">
    <w:p w14:paraId="6492D68A" w14:textId="77777777" w:rsidR="00365453" w:rsidRPr="00DD773B" w:rsidRDefault="00365453" w:rsidP="009E4B94">
      <w:r w:rsidRPr="00DD773B">
        <w:continuationSeparator/>
      </w:r>
    </w:p>
  </w:footnote>
  <w:footnote w:type="continuationNotice" w:id="1">
    <w:p w14:paraId="7BDCFA2A" w14:textId="77777777" w:rsidR="00365453" w:rsidRPr="00DD773B" w:rsidRDefault="003654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19B7A" w14:textId="77777777" w:rsidR="0042505F" w:rsidRPr="00DD773B" w:rsidRDefault="0042505F" w:rsidP="00B0615A">
    <w:pPr>
      <w:pStyle w:val="Header"/>
    </w:pPr>
  </w:p>
  <w:p w14:paraId="0C668ED6" w14:textId="77777777" w:rsidR="0042505F" w:rsidRPr="00DD773B" w:rsidRDefault="0042505F" w:rsidP="00B061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B564B" w14:textId="77777777" w:rsidR="0042505F" w:rsidRPr="00DD773B" w:rsidRDefault="004250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E1AB5" w14:textId="77777777" w:rsidR="0042505F" w:rsidRPr="00DD773B" w:rsidRDefault="004250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CA9FF" w14:textId="77777777" w:rsidR="0042505F" w:rsidRPr="00DD773B" w:rsidRDefault="0042505F" w:rsidP="00B0615A">
    <w:pPr>
      <w:pStyle w:val="Header"/>
    </w:pPr>
  </w:p>
  <w:p w14:paraId="4EB2448C" w14:textId="77777777" w:rsidR="0042505F" w:rsidRPr="00DD773B" w:rsidRDefault="0042505F" w:rsidP="00B06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F485DE4"/>
    <w:lvl w:ilvl="0">
      <w:start w:val="1"/>
      <w:numFmt w:val="decimal"/>
      <w:pStyle w:val="ListNumber5"/>
      <w:lvlText w:val="%1."/>
      <w:lvlJc w:val="left"/>
      <w:pPr>
        <w:tabs>
          <w:tab w:val="num" w:pos="2409"/>
        </w:tabs>
        <w:ind w:left="2409" w:hanging="360"/>
      </w:pPr>
    </w:lvl>
  </w:abstractNum>
  <w:abstractNum w:abstractNumId="1" w15:restartNumberingAfterBreak="0">
    <w:nsid w:val="FFFFFF80"/>
    <w:multiLevelType w:val="singleLevel"/>
    <w:tmpl w:val="774042C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5D14C25"/>
    <w:multiLevelType w:val="multilevel"/>
    <w:tmpl w:val="B2B20078"/>
    <w:lvl w:ilvl="0">
      <w:numFmt w:val="decimal"/>
      <w:lvlText w:val=""/>
      <w:lvlJc w:val="left"/>
    </w:lvl>
    <w:lvl w:ilvl="1">
      <w:numFmt w:val="decimal"/>
      <w:pStyle w:val="Appendix2"/>
      <w:lvlText w:val=""/>
      <w:lvlJc w:val="left"/>
    </w:lvl>
    <w:lvl w:ilvl="2">
      <w:numFmt w:val="decimal"/>
      <w:pStyle w:val="Appendix3"/>
      <w:lvlText w:val=""/>
      <w:lvlJc w:val="left"/>
    </w:lvl>
    <w:lvl w:ilvl="3">
      <w:numFmt w:val="decimal"/>
      <w:pStyle w:val="Appendix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FE7859"/>
    <w:multiLevelType w:val="hybridMultilevel"/>
    <w:tmpl w:val="5020465C"/>
    <w:lvl w:ilvl="0" w:tplc="ADB2397C">
      <w:start w:val="1"/>
      <w:numFmt w:val="upperLetter"/>
      <w:pStyle w:val="AppendixA"/>
      <w:lvlText w:val="Appendix %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FE0320"/>
    <w:multiLevelType w:val="multilevel"/>
    <w:tmpl w:val="8E806008"/>
    <w:styleLink w:val="ListNumberList"/>
    <w:lvl w:ilvl="0">
      <w:start w:val="1"/>
      <w:numFmt w:val="decimal"/>
      <w:pStyle w:val="ListNumber"/>
      <w:lvlText w:val="%1."/>
      <w:lvlJc w:val="left"/>
      <w:pPr>
        <w:ind w:left="340" w:hanging="340"/>
      </w:pPr>
      <w:rPr>
        <w:rFonts w:ascii="Arial" w:hAnsi="Arial" w:cs="Arial" w:hint="default"/>
      </w:rPr>
    </w:lvl>
    <w:lvl w:ilvl="1">
      <w:start w:val="1"/>
      <w:numFmt w:val="decimal"/>
      <w:pStyle w:val="ListNumber2"/>
      <w:lvlText w:val="%1.%2."/>
      <w:lvlJc w:val="left"/>
      <w:pPr>
        <w:ind w:left="964" w:hanging="624"/>
      </w:pPr>
      <w:rPr>
        <w:rFonts w:hint="default"/>
      </w:rPr>
    </w:lvl>
    <w:lvl w:ilvl="2">
      <w:start w:val="1"/>
      <w:numFmt w:val="decimal"/>
      <w:pStyle w:val="ListNumber3"/>
      <w:lvlText w:val="%1.%2.%3."/>
      <w:lvlJc w:val="left"/>
      <w:pPr>
        <w:ind w:left="1758" w:hanging="794"/>
      </w:pPr>
      <w:rPr>
        <w:rFonts w:hint="default"/>
      </w:rPr>
    </w:lvl>
    <w:lvl w:ilvl="3">
      <w:start w:val="1"/>
      <w:numFmt w:val="decimal"/>
      <w:pStyle w:val="ListNumber4"/>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5" w15:restartNumberingAfterBreak="0">
    <w:nsid w:val="14A81ABD"/>
    <w:multiLevelType w:val="multilevel"/>
    <w:tmpl w:val="3DF8DE0E"/>
    <w:styleLink w:val="ListLetters"/>
    <w:lvl w:ilvl="0">
      <w:start w:val="1"/>
      <w:numFmt w:val="lowerLetter"/>
      <w:lvlText w:val="(%1)"/>
      <w:lvlJc w:val="left"/>
      <w:pPr>
        <w:ind w:left="340" w:hanging="340"/>
      </w:pPr>
      <w:rPr>
        <w:rFonts w:ascii="Arial" w:hAnsi="Arial" w:cs="Arial" w:hint="default"/>
        <w:color w:val="666666" w:themeColor="text2"/>
      </w:rPr>
    </w:lvl>
    <w:lvl w:ilvl="1">
      <w:start w:val="1"/>
      <w:numFmt w:val="lowerRoman"/>
      <w:lvlText w:val="(%2)"/>
      <w:lvlJc w:val="left"/>
      <w:pPr>
        <w:ind w:left="680" w:hanging="340"/>
      </w:pPr>
      <w:rPr>
        <w:rFonts w:hint="default"/>
        <w:color w:val="404040"/>
      </w:rPr>
    </w:lvl>
    <w:lvl w:ilvl="2">
      <w:start w:val="1"/>
      <w:numFmt w:val="none"/>
      <w:lvlRestart w:val="0"/>
      <w:lvlText w:val=""/>
      <w:lvlJc w:val="righ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righ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1B246C97"/>
    <w:multiLevelType w:val="multilevel"/>
    <w:tmpl w:val="4256558C"/>
    <w:styleLink w:val="ListAppendix1"/>
    <w:lvl w:ilvl="0">
      <w:start w:val="1"/>
      <w:numFmt w:val="upperLetter"/>
      <w:lvlText w:val="Appendix %1"/>
      <w:lvlJc w:val="left"/>
      <w:pPr>
        <w:tabs>
          <w:tab w:val="num" w:pos="3402"/>
        </w:tabs>
        <w:ind w:left="3402" w:hanging="3402"/>
      </w:pPr>
      <w:rPr>
        <w:rFonts w:ascii="Flama Cond Bold" w:hAnsi="Flama Cond Bold" w:cs="Arial" w:hint="default"/>
        <w:b w:val="0"/>
        <w:i w:val="0"/>
        <w:color w:val="auto"/>
        <w:sz w:val="48"/>
      </w:rPr>
    </w:lvl>
    <w:lvl w:ilvl="1">
      <w:start w:val="1"/>
      <w:numFmt w:val="decimal"/>
      <w:lvlRestart w:val="0"/>
      <w:lvlText w:val="%1.%2"/>
      <w:lvlJc w:val="left"/>
      <w:pPr>
        <w:ind w:left="1701" w:hanging="1701"/>
      </w:pPr>
      <w:rPr>
        <w:rFonts w:ascii="Arial" w:hAnsi="Arial" w:hint="default"/>
        <w:b w:val="0"/>
        <w:i w:val="0"/>
        <w:sz w:val="26"/>
      </w:rPr>
    </w:lvl>
    <w:lvl w:ilvl="2">
      <w:start w:val="1"/>
      <w:numFmt w:val="decimal"/>
      <w:lvlRestart w:val="0"/>
      <w:lvlText w:val="%1.%2.%3"/>
      <w:lvlJc w:val="left"/>
      <w:pPr>
        <w:ind w:left="1701" w:hanging="1701"/>
      </w:pPr>
      <w:rPr>
        <w:rFonts w:ascii="Arial" w:hAnsi="Arial" w:hint="default"/>
        <w:b w:val="0"/>
        <w:i w:val="0"/>
        <w:sz w:val="24"/>
      </w:rPr>
    </w:lvl>
    <w:lvl w:ilvl="3">
      <w:start w:val="1"/>
      <w:numFmt w:val="decimal"/>
      <w:lvlRestart w:val="0"/>
      <w:lvlText w:val="%1.%2.%3.%4"/>
      <w:lvlJc w:val="left"/>
      <w:pPr>
        <w:ind w:left="1701" w:hanging="1701"/>
      </w:pPr>
      <w:rPr>
        <w:rFonts w:ascii="Arial" w:hAnsi="Arial" w:hint="default"/>
        <w:b w:val="0"/>
        <w:i w:val="0"/>
        <w:sz w:val="22"/>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25DF04EA"/>
    <w:multiLevelType w:val="hybridMultilevel"/>
    <w:tmpl w:val="114E32D0"/>
    <w:lvl w:ilvl="0" w:tplc="9EA48502">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8" w15:restartNumberingAfterBreak="0">
    <w:nsid w:val="27924AD8"/>
    <w:multiLevelType w:val="multilevel"/>
    <w:tmpl w:val="3DF8DE0E"/>
    <w:lvl w:ilvl="0">
      <w:numFmt w:val="decimal"/>
      <w:pStyle w:val="ListLetter"/>
      <w:lvlText w:val=""/>
      <w:lvlJc w:val="left"/>
    </w:lvl>
    <w:lvl w:ilvl="1">
      <w:numFmt w:val="decimal"/>
      <w:pStyle w:val="ListLette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F74D43"/>
    <w:multiLevelType w:val="multilevel"/>
    <w:tmpl w:val="CA6C33A8"/>
    <w:styleLink w:val="ListBullets"/>
    <w:lvl w:ilvl="0">
      <w:start w:val="1"/>
      <w:numFmt w:val="bullet"/>
      <w:pStyle w:val="ListBullet"/>
      <w:lvlText w:val=""/>
      <w:lvlJc w:val="left"/>
      <w:pPr>
        <w:ind w:left="340" w:hanging="340"/>
      </w:pPr>
      <w:rPr>
        <w:rFonts w:ascii="Wingdings" w:hAnsi="Wingdings" w:hint="default"/>
        <w:color w:val="404040"/>
        <w:sz w:val="20"/>
      </w:rPr>
    </w:lvl>
    <w:lvl w:ilvl="1">
      <w:start w:val="1"/>
      <w:numFmt w:val="bullet"/>
      <w:pStyle w:val="ListBullet2"/>
      <w:lvlText w:val="‒"/>
      <w:lvlJc w:val="left"/>
      <w:pPr>
        <w:ind w:left="680" w:hanging="340"/>
      </w:pPr>
      <w:rPr>
        <w:rFonts w:ascii="Arial" w:hAnsi="Arial" w:hint="default"/>
        <w:color w:val="404040"/>
      </w:rPr>
    </w:lvl>
    <w:lvl w:ilvl="2">
      <w:start w:val="1"/>
      <w:numFmt w:val="bullet"/>
      <w:pStyle w:val="ListBullet3"/>
      <w:lvlText w:val=""/>
      <w:lvlJc w:val="left"/>
      <w:pPr>
        <w:ind w:left="1191" w:hanging="340"/>
      </w:pPr>
      <w:rPr>
        <w:rFonts w:ascii="Symbol" w:hAnsi="Symbol" w:hint="default"/>
        <w:color w:val="404040"/>
      </w:rPr>
    </w:lvl>
    <w:lvl w:ilvl="3">
      <w:start w:val="1"/>
      <w:numFmt w:val="bullet"/>
      <w:pStyle w:val="ListBullet4"/>
      <w:lvlText w:val="‒"/>
      <w:lvlJc w:val="left"/>
      <w:pPr>
        <w:ind w:left="1360" w:hanging="340"/>
      </w:pPr>
      <w:rPr>
        <w:rFonts w:ascii="Arial" w:hAnsi="Arial" w:hint="default"/>
        <w:color w:val="404040"/>
      </w:rPr>
    </w:lvl>
    <w:lvl w:ilvl="4">
      <w:start w:val="1"/>
      <w:numFmt w:val="bullet"/>
      <w:lvlText w:val="‒"/>
      <w:lvlJc w:val="left"/>
      <w:pPr>
        <w:ind w:left="1700" w:hanging="340"/>
      </w:pPr>
      <w:rPr>
        <w:rFonts w:ascii="Arial" w:hAnsi="Arial" w:hint="default"/>
        <w:color w:val="666666" w:themeColor="text2"/>
      </w:rPr>
    </w:lvl>
    <w:lvl w:ilvl="5">
      <w:start w:val="1"/>
      <w:numFmt w:val="bullet"/>
      <w:lvlText w:val="‒"/>
      <w:lvlJc w:val="left"/>
      <w:pPr>
        <w:ind w:left="2040" w:hanging="340"/>
      </w:pPr>
      <w:rPr>
        <w:rFonts w:ascii="Arial" w:hAnsi="Arial" w:hint="default"/>
        <w:color w:val="666666" w:themeColor="text2"/>
      </w:rPr>
    </w:lvl>
    <w:lvl w:ilvl="6">
      <w:start w:val="1"/>
      <w:numFmt w:val="bullet"/>
      <w:lvlText w:val="‒"/>
      <w:lvlJc w:val="left"/>
      <w:pPr>
        <w:ind w:left="2380" w:hanging="340"/>
      </w:pPr>
      <w:rPr>
        <w:rFonts w:ascii="Arial" w:hAnsi="Arial" w:hint="default"/>
        <w:color w:val="666666" w:themeColor="text2"/>
      </w:rPr>
    </w:lvl>
    <w:lvl w:ilvl="7">
      <w:start w:val="1"/>
      <w:numFmt w:val="bullet"/>
      <w:lvlText w:val="‒"/>
      <w:lvlJc w:val="left"/>
      <w:pPr>
        <w:ind w:left="2720" w:hanging="340"/>
      </w:pPr>
      <w:rPr>
        <w:rFonts w:ascii="Arial" w:hAnsi="Arial" w:hint="default"/>
        <w:color w:val="666666" w:themeColor="text2"/>
      </w:rPr>
    </w:lvl>
    <w:lvl w:ilvl="8">
      <w:start w:val="1"/>
      <w:numFmt w:val="bullet"/>
      <w:lvlText w:val="‒"/>
      <w:lvlJc w:val="left"/>
      <w:pPr>
        <w:ind w:left="3060" w:hanging="340"/>
      </w:pPr>
      <w:rPr>
        <w:rFonts w:ascii="Arial" w:hAnsi="Arial" w:hint="default"/>
        <w:color w:val="666666" w:themeColor="text2"/>
      </w:rPr>
    </w:lvl>
  </w:abstractNum>
  <w:abstractNum w:abstractNumId="10" w15:restartNumberingAfterBreak="0">
    <w:nsid w:val="3BA20628"/>
    <w:multiLevelType w:val="multilevel"/>
    <w:tmpl w:val="80387E5C"/>
    <w:lvl w:ilvl="0">
      <w:numFmt w:val="decimal"/>
      <w:pStyle w:val="Appendix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CFE277C"/>
    <w:multiLevelType w:val="hybridMultilevel"/>
    <w:tmpl w:val="FCF048D4"/>
    <w:lvl w:ilvl="0" w:tplc="4CF0FFC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75E225A"/>
    <w:multiLevelType w:val="hybridMultilevel"/>
    <w:tmpl w:val="9DFEB1C8"/>
    <w:lvl w:ilvl="0" w:tplc="F224150C">
      <w:start w:val="1"/>
      <w:numFmt w:val="upperLetter"/>
      <w:pStyle w:val="AccessibleAppendix1"/>
      <w:lvlText w:val="Appendix %1   "/>
      <w:lvlJc w:val="left"/>
      <w:pPr>
        <w:ind w:left="720" w:hanging="360"/>
      </w:pPr>
      <w:rPr>
        <w:rFonts w:ascii="Arial" w:hAnsi="Arial" w:hint="default"/>
        <w:b/>
        <w:bCs/>
        <w:sz w:val="48"/>
        <w:szCs w:val="4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7207C6"/>
    <w:multiLevelType w:val="multilevel"/>
    <w:tmpl w:val="E5C07AEE"/>
    <w:styleLink w:val="ListTableNumberBullets"/>
    <w:lvl w:ilvl="0">
      <w:start w:val="1"/>
      <w:numFmt w:val="decimal"/>
      <w:pStyle w:val="Table-NumberBullet"/>
      <w:lvlText w:val="%1."/>
      <w:lvlJc w:val="left"/>
      <w:pPr>
        <w:ind w:left="454" w:hanging="341"/>
      </w:pPr>
      <w:rPr>
        <w:rFonts w:hint="default"/>
      </w:rPr>
    </w:lvl>
    <w:lvl w:ilvl="1">
      <w:start w:val="1"/>
      <w:numFmt w:val="lowerLetter"/>
      <w:pStyle w:val="Table-NumberBullet2"/>
      <w:lvlText w:val="%2."/>
      <w:lvlJc w:val="left"/>
      <w:pPr>
        <w:ind w:left="907" w:hanging="453"/>
      </w:pPr>
      <w:rPr>
        <w:rFonts w:hint="default"/>
      </w:rPr>
    </w:lvl>
    <w:lvl w:ilvl="2">
      <w:start w:val="1"/>
      <w:numFmt w:val="lowerRoman"/>
      <w:pStyle w:val="Table-NumberBullet3"/>
      <w:lvlText w:val="%3."/>
      <w:lvlJc w:val="left"/>
      <w:pPr>
        <w:ind w:left="124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tabs>
          <w:tab w:val="num" w:pos="4536"/>
        </w:tabs>
        <w:ind w:left="0" w:firstLine="0"/>
      </w:pPr>
      <w:rPr>
        <w:rFonts w:hint="default"/>
      </w:rPr>
    </w:lvl>
  </w:abstractNum>
  <w:abstractNum w:abstractNumId="14" w15:restartNumberingAfterBreak="0">
    <w:nsid w:val="4C74418F"/>
    <w:multiLevelType w:val="hybridMultilevel"/>
    <w:tmpl w:val="A56C9226"/>
    <w:lvl w:ilvl="0" w:tplc="A2565A26">
      <w:start w:val="1"/>
      <w:numFmt w:val="decimal"/>
      <w:pStyle w:val="EndnoteList"/>
      <w:lvlText w:val="%1"/>
      <w:lvlJc w:val="left"/>
      <w:pPr>
        <w:ind w:left="502" w:hanging="360"/>
      </w:pPr>
      <w:rPr>
        <w:rFonts w:ascii="Arial" w:hAnsi="Arial" w:hint="default"/>
        <w:vertAlign w:val="baseline"/>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5" w15:restartNumberingAfterBreak="0">
    <w:nsid w:val="4E3A49DD"/>
    <w:multiLevelType w:val="hybridMultilevel"/>
    <w:tmpl w:val="913AE392"/>
    <w:lvl w:ilvl="0" w:tplc="F7D8AB36">
      <w:start w:val="1"/>
      <w:numFmt w:val="bullet"/>
      <w:pStyle w:val="UrbisTable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FBC2E5D"/>
    <w:multiLevelType w:val="hybridMultilevel"/>
    <w:tmpl w:val="601C8858"/>
    <w:lvl w:ilvl="0" w:tplc="272896F4">
      <w:start w:val="1"/>
      <w:numFmt w:val="decimal"/>
      <w:pStyle w:val="NormalNumbered"/>
      <w:lvlText w:val="%1."/>
      <w:lvlJc w:val="left"/>
      <w:pPr>
        <w:tabs>
          <w:tab w:val="num" w:pos="714"/>
        </w:tabs>
        <w:ind w:left="714" w:hanging="71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FC3357D"/>
    <w:multiLevelType w:val="multilevel"/>
    <w:tmpl w:val="08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0AF0C4D"/>
    <w:multiLevelType w:val="multilevel"/>
    <w:tmpl w:val="18BEAD54"/>
    <w:styleLink w:val="ListHeadings"/>
    <w:lvl w:ilvl="0">
      <w:start w:val="1"/>
      <w:numFmt w:val="decimal"/>
      <w:lvlText w:val="%1."/>
      <w:lvlJc w:val="left"/>
      <w:pPr>
        <w:ind w:left="851" w:hanging="851"/>
      </w:pPr>
      <w:rPr>
        <w:rFonts w:ascii="Flama Cond Bold" w:hAnsi="Flama Cond Bold" w:cs="Arial" w:hint="default"/>
      </w:rPr>
    </w:lvl>
    <w:lvl w:ilvl="1">
      <w:start w:val="1"/>
      <w:numFmt w:val="decimal"/>
      <w:lvlText w:val="%1.%2."/>
      <w:lvlJc w:val="left"/>
      <w:pPr>
        <w:ind w:left="851" w:hanging="851"/>
      </w:pPr>
      <w:rPr>
        <w:rFonts w:ascii="Flama Cond Bold" w:hAnsi="Flama Cond Bold" w:hint="default"/>
      </w:rPr>
    </w:lvl>
    <w:lvl w:ilvl="2">
      <w:start w:val="1"/>
      <w:numFmt w:val="decimal"/>
      <w:lvlText w:val="%1.%2.%3."/>
      <w:lvlJc w:val="left"/>
      <w:pPr>
        <w:ind w:left="851" w:hanging="851"/>
      </w:pPr>
      <w:rPr>
        <w:rFonts w:ascii="Arial" w:hAnsi="Arial" w:hint="default"/>
      </w:rPr>
    </w:lvl>
    <w:lvl w:ilvl="3">
      <w:start w:val="1"/>
      <w:numFmt w:val="decimal"/>
      <w:lvlText w:val="%1.%2.%3.%4."/>
      <w:lvlJc w:val="left"/>
      <w:pPr>
        <w:tabs>
          <w:tab w:val="num" w:pos="851"/>
        </w:tabs>
        <w:ind w:left="851" w:hanging="851"/>
      </w:pPr>
      <w:rPr>
        <w:rFonts w:ascii="Arial" w:hAnsi="Arial" w:hint="default"/>
      </w:rPr>
    </w:lvl>
    <w:lvl w:ilvl="4">
      <w:start w:val="1"/>
      <w:numFmt w:val="decimal"/>
      <w:lvlText w:val="%1.%2.%3.%4.%5."/>
      <w:lvlJc w:val="left"/>
      <w:pPr>
        <w:ind w:left="0" w:firstLine="0"/>
      </w:pPr>
      <w:rPr>
        <w:rFonts w:ascii="Arial Narrow" w:hAnsi="Arial Narrow" w:hint="default"/>
      </w:rPr>
    </w:lvl>
    <w:lvl w:ilvl="5">
      <w:start w:val="1"/>
      <w:numFmt w:val="decimal"/>
      <w:lvlText w:val="%1.%2.%3.%4.%5.%6."/>
      <w:lvlJc w:val="left"/>
      <w:pPr>
        <w:ind w:left="0" w:firstLine="0"/>
      </w:pPr>
      <w:rPr>
        <w:rFonts w:ascii="Arial Narrow" w:hAnsi="Arial Narrow" w:hint="default"/>
      </w:rPr>
    </w:lvl>
    <w:lvl w:ilvl="6">
      <w:start w:val="1"/>
      <w:numFmt w:val="decimal"/>
      <w:lvlText w:val="%1.%2.%3.%4.%5.%6.%7."/>
      <w:lvlJc w:val="left"/>
      <w:pPr>
        <w:ind w:left="0" w:firstLine="0"/>
      </w:pPr>
      <w:rPr>
        <w:rFonts w:ascii="Arial Narrow" w:hAnsi="Arial Narrow" w:hint="default"/>
      </w:rPr>
    </w:lvl>
    <w:lvl w:ilvl="7">
      <w:start w:val="1"/>
      <w:numFmt w:val="decimal"/>
      <w:lvlText w:val="%1.%2.%3.%4.%5.%6.%7.%8."/>
      <w:lvlJc w:val="left"/>
      <w:pPr>
        <w:ind w:left="0" w:firstLine="0"/>
      </w:pPr>
      <w:rPr>
        <w:rFonts w:ascii="Arial Narrow" w:hAnsi="Arial Narrow" w:hint="default"/>
      </w:rPr>
    </w:lvl>
    <w:lvl w:ilvl="8">
      <w:start w:val="1"/>
      <w:numFmt w:val="decimal"/>
      <w:lvlText w:val="%1.%2.%3.%4.%5.%6.%7.%8.%9."/>
      <w:lvlJc w:val="left"/>
      <w:pPr>
        <w:ind w:left="0" w:firstLine="0"/>
      </w:pPr>
      <w:rPr>
        <w:rFonts w:ascii="Arial Narrow" w:hAnsi="Arial Narrow" w:hint="default"/>
      </w:rPr>
    </w:lvl>
  </w:abstractNum>
  <w:abstractNum w:abstractNumId="19" w15:restartNumberingAfterBreak="0">
    <w:nsid w:val="552B10C5"/>
    <w:multiLevelType w:val="multilevel"/>
    <w:tmpl w:val="5CEC4328"/>
    <w:styleLink w:val="ListTableBullets"/>
    <w:lvl w:ilvl="0">
      <w:start w:val="1"/>
      <w:numFmt w:val="bullet"/>
      <w:lvlText w:val=""/>
      <w:lvlJc w:val="left"/>
      <w:pPr>
        <w:ind w:left="454" w:hanging="341"/>
      </w:pPr>
      <w:rPr>
        <w:rFonts w:ascii="Wingdings" w:hAnsi="Wingdings" w:hint="default"/>
        <w:color w:val="404040"/>
      </w:rPr>
    </w:lvl>
    <w:lvl w:ilvl="1">
      <w:start w:val="1"/>
      <w:numFmt w:val="none"/>
      <w:lvlText w:val=""/>
      <w:lvlJc w:val="left"/>
      <w:pPr>
        <w:ind w:left="0" w:firstLine="0"/>
      </w:pPr>
      <w:rPr>
        <w:rFonts w:hint="default"/>
        <w:color w:val="404040"/>
      </w:rPr>
    </w:lvl>
    <w:lvl w:ilvl="2">
      <w:start w:val="1"/>
      <w:numFmt w:val="none"/>
      <w:lvlText w:val=""/>
      <w:lvlJc w:val="left"/>
      <w:pPr>
        <w:ind w:left="0" w:firstLine="0"/>
      </w:pPr>
      <w:rPr>
        <w:rFonts w:hint="default"/>
        <w:color w:val="404040"/>
      </w:rPr>
    </w:lvl>
    <w:lvl w:ilvl="3">
      <w:start w:val="1"/>
      <w:numFmt w:val="bullet"/>
      <w:lvlText w:val="‒"/>
      <w:lvlJc w:val="left"/>
      <w:pPr>
        <w:ind w:left="1361" w:hanging="340"/>
      </w:pPr>
      <w:rPr>
        <w:rFonts w:ascii="Arial" w:hAnsi="Arial" w:hint="default"/>
        <w:color w:val="404040"/>
      </w:rPr>
    </w:lvl>
    <w:lvl w:ilvl="4">
      <w:start w:val="1"/>
      <w:numFmt w:val="bullet"/>
      <w:lvlText w:val="‒"/>
      <w:lvlJc w:val="left"/>
      <w:pPr>
        <w:ind w:left="1361" w:hanging="340"/>
      </w:pPr>
      <w:rPr>
        <w:rFonts w:ascii="Arial" w:hAnsi="Arial" w:hint="default"/>
        <w:color w:val="666666" w:themeColor="text2"/>
      </w:rPr>
    </w:lvl>
    <w:lvl w:ilvl="5">
      <w:start w:val="1"/>
      <w:numFmt w:val="bullet"/>
      <w:lvlText w:val="‒"/>
      <w:lvlJc w:val="left"/>
      <w:pPr>
        <w:ind w:left="1361" w:hanging="340"/>
      </w:pPr>
      <w:rPr>
        <w:rFonts w:ascii="Arial" w:hAnsi="Arial" w:hint="default"/>
        <w:color w:val="666666" w:themeColor="text2"/>
      </w:rPr>
    </w:lvl>
    <w:lvl w:ilvl="6">
      <w:start w:val="1"/>
      <w:numFmt w:val="bullet"/>
      <w:lvlText w:val="‒"/>
      <w:lvlJc w:val="left"/>
      <w:pPr>
        <w:ind w:left="1361" w:hanging="340"/>
      </w:pPr>
      <w:rPr>
        <w:rFonts w:ascii="Arial" w:hAnsi="Arial" w:hint="default"/>
        <w:color w:val="666666" w:themeColor="text2"/>
      </w:rPr>
    </w:lvl>
    <w:lvl w:ilvl="7">
      <w:start w:val="1"/>
      <w:numFmt w:val="bullet"/>
      <w:lvlText w:val="‒"/>
      <w:lvlJc w:val="left"/>
      <w:pPr>
        <w:ind w:left="1361" w:hanging="340"/>
      </w:pPr>
      <w:rPr>
        <w:rFonts w:ascii="Arial" w:hAnsi="Arial" w:hint="default"/>
        <w:color w:val="666666" w:themeColor="text2"/>
      </w:rPr>
    </w:lvl>
    <w:lvl w:ilvl="8">
      <w:start w:val="1"/>
      <w:numFmt w:val="bullet"/>
      <w:lvlText w:val="‒"/>
      <w:lvlJc w:val="left"/>
      <w:pPr>
        <w:ind w:left="1361" w:hanging="340"/>
      </w:pPr>
      <w:rPr>
        <w:rFonts w:ascii="Arial" w:hAnsi="Arial" w:hint="default"/>
        <w:color w:val="666666" w:themeColor="text2"/>
      </w:rPr>
    </w:lvl>
  </w:abstractNum>
  <w:abstractNum w:abstractNumId="20" w15:restartNumberingAfterBreak="0">
    <w:nsid w:val="67613D5C"/>
    <w:multiLevelType w:val="multilevel"/>
    <w:tmpl w:val="A6D60596"/>
    <w:lvl w:ilvl="0">
      <w:start w:val="1"/>
      <w:numFmt w:val="bullet"/>
      <w:pStyle w:val="Table-Bullet"/>
      <w:lvlText w:val=""/>
      <w:lvlJc w:val="left"/>
      <w:pPr>
        <w:ind w:left="473"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B65179F"/>
    <w:multiLevelType w:val="multilevel"/>
    <w:tmpl w:val="08ACF004"/>
    <w:styleLink w:val="1ai"/>
    <w:lvl w:ilvl="0">
      <w:start w:val="1"/>
      <w:numFmt w:val="decimal"/>
      <w:pStyle w:val="Heading1"/>
      <w:lvlText w:val="%1."/>
      <w:lvlJc w:val="left"/>
      <w:pPr>
        <w:ind w:left="851" w:hanging="851"/>
      </w:pPr>
      <w:rPr>
        <w:rFonts w:ascii="Flama Cond Bold" w:hAnsi="Flama Cond Bold" w:cs="Arial" w:hint="default"/>
      </w:rPr>
    </w:lvl>
    <w:lvl w:ilvl="1">
      <w:start w:val="1"/>
      <w:numFmt w:val="decimal"/>
      <w:pStyle w:val="Heading2"/>
      <w:lvlText w:val="%1.%2."/>
      <w:lvlJc w:val="left"/>
      <w:pPr>
        <w:ind w:left="851" w:hanging="851"/>
      </w:pPr>
      <w:rPr>
        <w:rFonts w:ascii="Flama Cond Bold" w:hAnsi="Flama Cond Bold" w:hint="default"/>
      </w:rPr>
    </w:lvl>
    <w:lvl w:ilvl="2">
      <w:start w:val="1"/>
      <w:numFmt w:val="decimal"/>
      <w:pStyle w:val="Heading3"/>
      <w:lvlText w:val="%1.%2.%3."/>
      <w:lvlJc w:val="left"/>
      <w:pPr>
        <w:ind w:left="851" w:hanging="851"/>
      </w:pPr>
      <w:rPr>
        <w:rFonts w:ascii="Arial" w:hAnsi="Arial" w:hint="default"/>
      </w:rPr>
    </w:lvl>
    <w:lvl w:ilvl="3">
      <w:start w:val="1"/>
      <w:numFmt w:val="decimal"/>
      <w:pStyle w:val="Heading4"/>
      <w:lvlText w:val="%1.%2.%3.%4."/>
      <w:lvlJc w:val="left"/>
      <w:pPr>
        <w:tabs>
          <w:tab w:val="num" w:pos="851"/>
        </w:tabs>
        <w:ind w:left="851" w:hanging="851"/>
      </w:pPr>
      <w:rPr>
        <w:rFonts w:ascii="Arial" w:hAnsi="Arial" w:hint="default"/>
      </w:rPr>
    </w:lvl>
    <w:lvl w:ilvl="4">
      <w:start w:val="1"/>
      <w:numFmt w:val="decimal"/>
      <w:lvlText w:val="%1.%2.%3.%4.%5."/>
      <w:lvlJc w:val="left"/>
      <w:pPr>
        <w:ind w:left="0" w:firstLine="0"/>
      </w:pPr>
      <w:rPr>
        <w:rFonts w:ascii="Arial Narrow" w:hAnsi="Arial Narrow" w:hint="default"/>
      </w:rPr>
    </w:lvl>
    <w:lvl w:ilvl="5">
      <w:start w:val="1"/>
      <w:numFmt w:val="decimal"/>
      <w:lvlText w:val="%1.%2.%3.%4.%5.%6."/>
      <w:lvlJc w:val="left"/>
      <w:pPr>
        <w:ind w:left="0" w:firstLine="0"/>
      </w:pPr>
      <w:rPr>
        <w:rFonts w:ascii="Arial Narrow" w:hAnsi="Arial Narrow" w:hint="default"/>
      </w:rPr>
    </w:lvl>
    <w:lvl w:ilvl="6">
      <w:start w:val="1"/>
      <w:numFmt w:val="decimal"/>
      <w:lvlText w:val="%1.%2.%3.%4.%5.%6.%7."/>
      <w:lvlJc w:val="left"/>
      <w:pPr>
        <w:ind w:left="0" w:firstLine="0"/>
      </w:pPr>
      <w:rPr>
        <w:rFonts w:ascii="Arial Narrow" w:hAnsi="Arial Narrow" w:hint="default"/>
      </w:rPr>
    </w:lvl>
    <w:lvl w:ilvl="7">
      <w:start w:val="1"/>
      <w:numFmt w:val="decimal"/>
      <w:lvlText w:val="%1.%2.%3.%4.%5.%6.%7.%8."/>
      <w:lvlJc w:val="left"/>
      <w:pPr>
        <w:ind w:left="0" w:firstLine="0"/>
      </w:pPr>
      <w:rPr>
        <w:rFonts w:ascii="Arial Narrow" w:hAnsi="Arial Narrow" w:hint="default"/>
      </w:rPr>
    </w:lvl>
    <w:lvl w:ilvl="8">
      <w:start w:val="1"/>
      <w:numFmt w:val="decimal"/>
      <w:lvlText w:val="%1.%2.%3.%4.%5.%6.%7.%8.%9."/>
      <w:lvlJc w:val="left"/>
      <w:pPr>
        <w:ind w:left="0" w:firstLine="0"/>
      </w:pPr>
      <w:rPr>
        <w:rFonts w:ascii="Arial Narrow" w:hAnsi="Arial Narrow" w:hint="default"/>
      </w:rPr>
    </w:lvl>
  </w:abstractNum>
  <w:num w:numId="1" w16cid:durableId="864053085">
    <w:abstractNumId w:val="9"/>
  </w:num>
  <w:num w:numId="2" w16cid:durableId="473260356">
    <w:abstractNumId w:val="1"/>
  </w:num>
  <w:num w:numId="3" w16cid:durableId="1714962853">
    <w:abstractNumId w:val="16"/>
  </w:num>
  <w:num w:numId="4" w16cid:durableId="1014575036">
    <w:abstractNumId w:val="5"/>
  </w:num>
  <w:num w:numId="5" w16cid:durableId="1704473145">
    <w:abstractNumId w:val="20"/>
  </w:num>
  <w:num w:numId="6" w16cid:durableId="1623490478">
    <w:abstractNumId w:val="15"/>
  </w:num>
  <w:num w:numId="7" w16cid:durableId="30615874">
    <w:abstractNumId w:val="18"/>
  </w:num>
  <w:num w:numId="8" w16cid:durableId="1803116359">
    <w:abstractNumId w:val="21"/>
    <w:lvlOverride w:ilvl="0">
      <w:lvl w:ilvl="0">
        <w:start w:val="1"/>
        <w:numFmt w:val="decimal"/>
        <w:pStyle w:val="Heading1"/>
        <w:lvlText w:val="%1."/>
        <w:lvlJc w:val="left"/>
        <w:pPr>
          <w:ind w:left="851" w:hanging="851"/>
        </w:pPr>
        <w:rPr>
          <w:rFonts w:asciiTheme="majorHAnsi" w:hAnsiTheme="majorHAnsi" w:cstheme="majorHAnsi" w:hint="default"/>
        </w:rPr>
      </w:lvl>
    </w:lvlOverride>
    <w:lvlOverride w:ilvl="1">
      <w:lvl w:ilvl="1">
        <w:start w:val="1"/>
        <w:numFmt w:val="decimal"/>
        <w:pStyle w:val="Heading2"/>
        <w:lvlText w:val="%1.%2."/>
        <w:lvlJc w:val="left"/>
        <w:pPr>
          <w:ind w:left="851" w:hanging="851"/>
        </w:pPr>
        <w:rPr>
          <w:rFonts w:asciiTheme="majorHAnsi" w:hAnsiTheme="majorHAnsi" w:cstheme="majorHAnsi" w:hint="default"/>
          <w:b/>
          <w:bCs/>
        </w:rPr>
      </w:lvl>
    </w:lvlOverride>
  </w:num>
  <w:num w:numId="9" w16cid:durableId="2120832633">
    <w:abstractNumId w:val="4"/>
  </w:num>
  <w:num w:numId="10" w16cid:durableId="1539200993">
    <w:abstractNumId w:val="19"/>
  </w:num>
  <w:num w:numId="11" w16cid:durableId="1638146639">
    <w:abstractNumId w:val="13"/>
  </w:num>
  <w:num w:numId="12" w16cid:durableId="1988898131">
    <w:abstractNumId w:val="10"/>
    <w:lvlOverride w:ilvl="0">
      <w:lvl w:ilvl="0">
        <w:start w:val="1"/>
        <w:numFmt w:val="upperLetter"/>
        <w:pStyle w:val="Appendix1"/>
        <w:lvlText w:val="Appendix %1"/>
        <w:lvlJc w:val="left"/>
        <w:pPr>
          <w:ind w:left="2770" w:hanging="360"/>
        </w:pPr>
        <w:rPr>
          <w:rFonts w:hint="default"/>
        </w:rPr>
      </w:lvl>
    </w:lvlOverride>
    <w:lvlOverride w:ilvl="1">
      <w:lvl w:ilvl="1" w:tentative="1">
        <w:start w:val="1"/>
        <w:numFmt w:val="lowerLetter"/>
        <w:lvlText w:val="%2."/>
        <w:lvlJc w:val="left"/>
        <w:pPr>
          <w:ind w:left="3490" w:hanging="360"/>
        </w:pPr>
      </w:lvl>
    </w:lvlOverride>
    <w:lvlOverride w:ilvl="2">
      <w:lvl w:ilvl="2" w:tentative="1">
        <w:start w:val="1"/>
        <w:numFmt w:val="lowerRoman"/>
        <w:lvlText w:val="%3."/>
        <w:lvlJc w:val="right"/>
        <w:pPr>
          <w:ind w:left="4210" w:hanging="180"/>
        </w:pPr>
      </w:lvl>
    </w:lvlOverride>
    <w:lvlOverride w:ilvl="3">
      <w:lvl w:ilvl="3" w:tentative="1">
        <w:start w:val="1"/>
        <w:numFmt w:val="decimal"/>
        <w:lvlText w:val="%4."/>
        <w:lvlJc w:val="left"/>
        <w:pPr>
          <w:ind w:left="4930" w:hanging="360"/>
        </w:pPr>
      </w:lvl>
    </w:lvlOverride>
    <w:lvlOverride w:ilvl="4">
      <w:lvl w:ilvl="4" w:tentative="1">
        <w:start w:val="1"/>
        <w:numFmt w:val="lowerLetter"/>
        <w:lvlText w:val="%5."/>
        <w:lvlJc w:val="left"/>
        <w:pPr>
          <w:ind w:left="5650" w:hanging="360"/>
        </w:pPr>
      </w:lvl>
    </w:lvlOverride>
    <w:lvlOverride w:ilvl="5">
      <w:lvl w:ilvl="5" w:tentative="1">
        <w:start w:val="1"/>
        <w:numFmt w:val="lowerRoman"/>
        <w:lvlText w:val="%6."/>
        <w:lvlJc w:val="right"/>
        <w:pPr>
          <w:ind w:left="6370" w:hanging="180"/>
        </w:pPr>
      </w:lvl>
    </w:lvlOverride>
    <w:lvlOverride w:ilvl="6">
      <w:lvl w:ilvl="6" w:tentative="1">
        <w:start w:val="1"/>
        <w:numFmt w:val="decimal"/>
        <w:lvlText w:val="%7."/>
        <w:lvlJc w:val="left"/>
        <w:pPr>
          <w:ind w:left="7090" w:hanging="360"/>
        </w:pPr>
      </w:lvl>
    </w:lvlOverride>
    <w:lvlOverride w:ilvl="7">
      <w:lvl w:ilvl="7" w:tentative="1">
        <w:start w:val="1"/>
        <w:numFmt w:val="lowerLetter"/>
        <w:lvlText w:val="%8."/>
        <w:lvlJc w:val="left"/>
        <w:pPr>
          <w:ind w:left="7810" w:hanging="360"/>
        </w:pPr>
      </w:lvl>
    </w:lvlOverride>
    <w:lvlOverride w:ilvl="8">
      <w:lvl w:ilvl="8" w:tentative="1">
        <w:start w:val="1"/>
        <w:numFmt w:val="lowerRoman"/>
        <w:lvlText w:val="%9."/>
        <w:lvlJc w:val="right"/>
        <w:pPr>
          <w:ind w:left="8530" w:hanging="180"/>
        </w:pPr>
      </w:lvl>
    </w:lvlOverride>
  </w:num>
  <w:num w:numId="13" w16cid:durableId="74211905">
    <w:abstractNumId w:val="6"/>
  </w:num>
  <w:num w:numId="14" w16cid:durableId="576133182">
    <w:abstractNumId w:val="8"/>
  </w:num>
  <w:num w:numId="15" w16cid:durableId="1129324506">
    <w:abstractNumId w:val="0"/>
  </w:num>
  <w:num w:numId="16" w16cid:durableId="226693804">
    <w:abstractNumId w:val="2"/>
    <w:lvlOverride w:ilvl="0">
      <w:lvl w:ilvl="0">
        <w:start w:val="1"/>
        <w:numFmt w:val="upperLetter"/>
        <w:lvlText w:val="Appendix %1"/>
        <w:lvlJc w:val="left"/>
        <w:pPr>
          <w:tabs>
            <w:tab w:val="num" w:pos="3402"/>
          </w:tabs>
          <w:ind w:left="3402" w:hanging="3402"/>
        </w:pPr>
        <w:rPr>
          <w:rFonts w:ascii="Flama Cond Bold" w:hAnsi="Flama Cond Bold" w:hint="default"/>
          <w:b w:val="0"/>
          <w:i w:val="0"/>
          <w:color w:val="auto"/>
          <w:sz w:val="48"/>
        </w:rPr>
      </w:lvl>
    </w:lvlOverride>
  </w:num>
  <w:num w:numId="17" w16cid:durableId="1220634510">
    <w:abstractNumId w:val="17"/>
  </w:num>
  <w:num w:numId="18" w16cid:durableId="505511193">
    <w:abstractNumId w:val="21"/>
  </w:num>
  <w:num w:numId="19" w16cid:durableId="1609120765">
    <w:abstractNumId w:val="3"/>
  </w:num>
  <w:num w:numId="20" w16cid:durableId="299501893">
    <w:abstractNumId w:val="7"/>
  </w:num>
  <w:num w:numId="21" w16cid:durableId="40249581">
    <w:abstractNumId w:val="14"/>
  </w:num>
  <w:num w:numId="22" w16cid:durableId="123545907">
    <w:abstractNumId w:val="11"/>
  </w:num>
  <w:num w:numId="23" w16cid:durableId="1742363065">
    <w:abstractNumId w:val="12"/>
  </w:num>
  <w:num w:numId="24" w16cid:durableId="1259945812">
    <w:abstractNumId w:val="12"/>
  </w:num>
  <w:num w:numId="25" w16cid:durableId="174622061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hyphenationZone w:val="425"/>
  <w:doNotHyphenateCaps/>
  <w:evenAndOddHeaders/>
  <w:characterSpacingControl w:val="doNotCompress"/>
  <w:savePreviewPicture/>
  <w:hdrShapeDefaults>
    <o:shapedefaults v:ext="edit" spidmax="2050"/>
  </w:hdrShapeDefaults>
  <w:footnotePr>
    <w:footnote w:id="-1"/>
    <w:footnote w:id="0"/>
    <w:footnote w:id="1"/>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yNTQyNrQwN7MwtrBU0lEKTi0uzszPAykwrgUA+ncV9SwAAAA="/>
  </w:docVars>
  <w:rsids>
    <w:rsidRoot w:val="009E4B94"/>
    <w:rsid w:val="00000244"/>
    <w:rsid w:val="000005AA"/>
    <w:rsid w:val="00000708"/>
    <w:rsid w:val="00000AE2"/>
    <w:rsid w:val="00000E0F"/>
    <w:rsid w:val="00000E5F"/>
    <w:rsid w:val="00000EDC"/>
    <w:rsid w:val="00001203"/>
    <w:rsid w:val="0000151E"/>
    <w:rsid w:val="0000167B"/>
    <w:rsid w:val="00001706"/>
    <w:rsid w:val="000017AF"/>
    <w:rsid w:val="00001B10"/>
    <w:rsid w:val="00001B9A"/>
    <w:rsid w:val="00001DE6"/>
    <w:rsid w:val="00001E48"/>
    <w:rsid w:val="0000251A"/>
    <w:rsid w:val="000028F7"/>
    <w:rsid w:val="00002AF0"/>
    <w:rsid w:val="00002C78"/>
    <w:rsid w:val="00002CE2"/>
    <w:rsid w:val="00002D23"/>
    <w:rsid w:val="00002E61"/>
    <w:rsid w:val="00003021"/>
    <w:rsid w:val="00003A49"/>
    <w:rsid w:val="00003A85"/>
    <w:rsid w:val="00003E41"/>
    <w:rsid w:val="00003F48"/>
    <w:rsid w:val="000045F9"/>
    <w:rsid w:val="00004865"/>
    <w:rsid w:val="00004BE9"/>
    <w:rsid w:val="00005192"/>
    <w:rsid w:val="00005270"/>
    <w:rsid w:val="0000527E"/>
    <w:rsid w:val="00005485"/>
    <w:rsid w:val="000054C6"/>
    <w:rsid w:val="000054E4"/>
    <w:rsid w:val="0000556E"/>
    <w:rsid w:val="00005752"/>
    <w:rsid w:val="00005849"/>
    <w:rsid w:val="00006191"/>
    <w:rsid w:val="00006392"/>
    <w:rsid w:val="0000643C"/>
    <w:rsid w:val="000065BC"/>
    <w:rsid w:val="000069CC"/>
    <w:rsid w:val="00006D70"/>
    <w:rsid w:val="00006D93"/>
    <w:rsid w:val="00006DFA"/>
    <w:rsid w:val="00007109"/>
    <w:rsid w:val="000072FB"/>
    <w:rsid w:val="000079E0"/>
    <w:rsid w:val="00007A93"/>
    <w:rsid w:val="00007AAF"/>
    <w:rsid w:val="00007DBB"/>
    <w:rsid w:val="000100C1"/>
    <w:rsid w:val="000101CE"/>
    <w:rsid w:val="000103B4"/>
    <w:rsid w:val="000104CA"/>
    <w:rsid w:val="00010C1F"/>
    <w:rsid w:val="00010DF4"/>
    <w:rsid w:val="00010F14"/>
    <w:rsid w:val="0001106D"/>
    <w:rsid w:val="000110DD"/>
    <w:rsid w:val="000112D3"/>
    <w:rsid w:val="000113DF"/>
    <w:rsid w:val="0001168A"/>
    <w:rsid w:val="00011793"/>
    <w:rsid w:val="000117C6"/>
    <w:rsid w:val="000118AE"/>
    <w:rsid w:val="00011A78"/>
    <w:rsid w:val="00011B0E"/>
    <w:rsid w:val="00011DCE"/>
    <w:rsid w:val="00011E13"/>
    <w:rsid w:val="00011F6D"/>
    <w:rsid w:val="0001228A"/>
    <w:rsid w:val="00012678"/>
    <w:rsid w:val="00012704"/>
    <w:rsid w:val="00012DDD"/>
    <w:rsid w:val="00012EBD"/>
    <w:rsid w:val="00012F89"/>
    <w:rsid w:val="00013363"/>
    <w:rsid w:val="0001340A"/>
    <w:rsid w:val="00013B69"/>
    <w:rsid w:val="00013C15"/>
    <w:rsid w:val="00013CB6"/>
    <w:rsid w:val="00013E71"/>
    <w:rsid w:val="00013F6A"/>
    <w:rsid w:val="00014293"/>
    <w:rsid w:val="000143FA"/>
    <w:rsid w:val="00014682"/>
    <w:rsid w:val="00014DEE"/>
    <w:rsid w:val="00014F0C"/>
    <w:rsid w:val="00015493"/>
    <w:rsid w:val="00015847"/>
    <w:rsid w:val="00015925"/>
    <w:rsid w:val="000159B4"/>
    <w:rsid w:val="000159CC"/>
    <w:rsid w:val="00015A38"/>
    <w:rsid w:val="00015BFD"/>
    <w:rsid w:val="00015EE9"/>
    <w:rsid w:val="00015F1B"/>
    <w:rsid w:val="00015F1D"/>
    <w:rsid w:val="000162CD"/>
    <w:rsid w:val="0001655D"/>
    <w:rsid w:val="0001688F"/>
    <w:rsid w:val="00016E4F"/>
    <w:rsid w:val="000172C5"/>
    <w:rsid w:val="00017339"/>
    <w:rsid w:val="000173E6"/>
    <w:rsid w:val="0001799E"/>
    <w:rsid w:val="00017D90"/>
    <w:rsid w:val="00017F0F"/>
    <w:rsid w:val="000201B5"/>
    <w:rsid w:val="0002022C"/>
    <w:rsid w:val="0002065A"/>
    <w:rsid w:val="00020B04"/>
    <w:rsid w:val="00020DC0"/>
    <w:rsid w:val="00020E41"/>
    <w:rsid w:val="00020F05"/>
    <w:rsid w:val="000212AE"/>
    <w:rsid w:val="0002140A"/>
    <w:rsid w:val="00021B85"/>
    <w:rsid w:val="000223BD"/>
    <w:rsid w:val="00022872"/>
    <w:rsid w:val="00023338"/>
    <w:rsid w:val="0002338F"/>
    <w:rsid w:val="000236EC"/>
    <w:rsid w:val="000237BA"/>
    <w:rsid w:val="00023C7F"/>
    <w:rsid w:val="00023E34"/>
    <w:rsid w:val="000240EA"/>
    <w:rsid w:val="000241F6"/>
    <w:rsid w:val="0002437A"/>
    <w:rsid w:val="000244D4"/>
    <w:rsid w:val="000244D9"/>
    <w:rsid w:val="0002497C"/>
    <w:rsid w:val="000249FC"/>
    <w:rsid w:val="00024BB9"/>
    <w:rsid w:val="000254A4"/>
    <w:rsid w:val="000255F6"/>
    <w:rsid w:val="00025864"/>
    <w:rsid w:val="00025CFD"/>
    <w:rsid w:val="00025D64"/>
    <w:rsid w:val="00026076"/>
    <w:rsid w:val="00026318"/>
    <w:rsid w:val="000268CF"/>
    <w:rsid w:val="0002694C"/>
    <w:rsid w:val="00026963"/>
    <w:rsid w:val="000269EC"/>
    <w:rsid w:val="00026BB6"/>
    <w:rsid w:val="0002722D"/>
    <w:rsid w:val="00027780"/>
    <w:rsid w:val="00027985"/>
    <w:rsid w:val="00027A35"/>
    <w:rsid w:val="00027E5C"/>
    <w:rsid w:val="00030256"/>
    <w:rsid w:val="00030477"/>
    <w:rsid w:val="000304C4"/>
    <w:rsid w:val="00030565"/>
    <w:rsid w:val="00030A81"/>
    <w:rsid w:val="00030A9F"/>
    <w:rsid w:val="00030BB3"/>
    <w:rsid w:val="00030DA7"/>
    <w:rsid w:val="00030E8D"/>
    <w:rsid w:val="000314CC"/>
    <w:rsid w:val="00031556"/>
    <w:rsid w:val="000317CE"/>
    <w:rsid w:val="00032806"/>
    <w:rsid w:val="0003303B"/>
    <w:rsid w:val="000331DB"/>
    <w:rsid w:val="0003327A"/>
    <w:rsid w:val="00033537"/>
    <w:rsid w:val="000337AD"/>
    <w:rsid w:val="000337BE"/>
    <w:rsid w:val="00033BD4"/>
    <w:rsid w:val="0003407C"/>
    <w:rsid w:val="00034199"/>
    <w:rsid w:val="00034451"/>
    <w:rsid w:val="0003481A"/>
    <w:rsid w:val="00034A20"/>
    <w:rsid w:val="00034A60"/>
    <w:rsid w:val="00034DF0"/>
    <w:rsid w:val="00034F0A"/>
    <w:rsid w:val="00035255"/>
    <w:rsid w:val="0003529F"/>
    <w:rsid w:val="000359FA"/>
    <w:rsid w:val="00035BA3"/>
    <w:rsid w:val="00035C3D"/>
    <w:rsid w:val="00035D2C"/>
    <w:rsid w:val="00035F19"/>
    <w:rsid w:val="0003612A"/>
    <w:rsid w:val="00036208"/>
    <w:rsid w:val="00036318"/>
    <w:rsid w:val="0003664B"/>
    <w:rsid w:val="0003674E"/>
    <w:rsid w:val="000367EE"/>
    <w:rsid w:val="00036999"/>
    <w:rsid w:val="00036C78"/>
    <w:rsid w:val="00036E17"/>
    <w:rsid w:val="00036E64"/>
    <w:rsid w:val="0003700B"/>
    <w:rsid w:val="00037434"/>
    <w:rsid w:val="0003774B"/>
    <w:rsid w:val="00037A45"/>
    <w:rsid w:val="00037B6C"/>
    <w:rsid w:val="00037BA1"/>
    <w:rsid w:val="00037DA3"/>
    <w:rsid w:val="00040246"/>
    <w:rsid w:val="0004049B"/>
    <w:rsid w:val="00040582"/>
    <w:rsid w:val="00040590"/>
    <w:rsid w:val="0004082C"/>
    <w:rsid w:val="000409C1"/>
    <w:rsid w:val="00040A42"/>
    <w:rsid w:val="00041402"/>
    <w:rsid w:val="000417A9"/>
    <w:rsid w:val="00041A50"/>
    <w:rsid w:val="00041A91"/>
    <w:rsid w:val="00041DC8"/>
    <w:rsid w:val="00041DD9"/>
    <w:rsid w:val="00041E0C"/>
    <w:rsid w:val="00041EFA"/>
    <w:rsid w:val="00042057"/>
    <w:rsid w:val="00042251"/>
    <w:rsid w:val="000425EA"/>
    <w:rsid w:val="00042CF8"/>
    <w:rsid w:val="00042D6E"/>
    <w:rsid w:val="00042DC8"/>
    <w:rsid w:val="00042F59"/>
    <w:rsid w:val="00042FA8"/>
    <w:rsid w:val="000431C3"/>
    <w:rsid w:val="00043368"/>
    <w:rsid w:val="0004348E"/>
    <w:rsid w:val="0004359A"/>
    <w:rsid w:val="00043979"/>
    <w:rsid w:val="00043A89"/>
    <w:rsid w:val="00043B76"/>
    <w:rsid w:val="00043F74"/>
    <w:rsid w:val="00043FFA"/>
    <w:rsid w:val="00044292"/>
    <w:rsid w:val="0004444F"/>
    <w:rsid w:val="0004483A"/>
    <w:rsid w:val="00044861"/>
    <w:rsid w:val="00044A68"/>
    <w:rsid w:val="00044B4C"/>
    <w:rsid w:val="000452C6"/>
    <w:rsid w:val="000458DC"/>
    <w:rsid w:val="00045CA0"/>
    <w:rsid w:val="00045E48"/>
    <w:rsid w:val="00046223"/>
    <w:rsid w:val="0004670E"/>
    <w:rsid w:val="00046864"/>
    <w:rsid w:val="000468D4"/>
    <w:rsid w:val="00046DD7"/>
    <w:rsid w:val="00046F6E"/>
    <w:rsid w:val="0004715C"/>
    <w:rsid w:val="00047332"/>
    <w:rsid w:val="00047708"/>
    <w:rsid w:val="000478EE"/>
    <w:rsid w:val="00047A91"/>
    <w:rsid w:val="00047C11"/>
    <w:rsid w:val="00047CC5"/>
    <w:rsid w:val="0005048D"/>
    <w:rsid w:val="0005049E"/>
    <w:rsid w:val="00050525"/>
    <w:rsid w:val="00050AE1"/>
    <w:rsid w:val="00050B58"/>
    <w:rsid w:val="00050CC5"/>
    <w:rsid w:val="00051108"/>
    <w:rsid w:val="000513F4"/>
    <w:rsid w:val="00051EEB"/>
    <w:rsid w:val="00051F3E"/>
    <w:rsid w:val="00052185"/>
    <w:rsid w:val="00052262"/>
    <w:rsid w:val="0005236F"/>
    <w:rsid w:val="000526E5"/>
    <w:rsid w:val="00052847"/>
    <w:rsid w:val="00052D65"/>
    <w:rsid w:val="00052DC9"/>
    <w:rsid w:val="00053263"/>
    <w:rsid w:val="000535F5"/>
    <w:rsid w:val="00053C55"/>
    <w:rsid w:val="00053CF9"/>
    <w:rsid w:val="0005413A"/>
    <w:rsid w:val="0005434B"/>
    <w:rsid w:val="0005437E"/>
    <w:rsid w:val="00054434"/>
    <w:rsid w:val="0005479E"/>
    <w:rsid w:val="00054FD1"/>
    <w:rsid w:val="00055170"/>
    <w:rsid w:val="00055452"/>
    <w:rsid w:val="0005545E"/>
    <w:rsid w:val="00055604"/>
    <w:rsid w:val="00055703"/>
    <w:rsid w:val="00055769"/>
    <w:rsid w:val="00055E5B"/>
    <w:rsid w:val="00055EA1"/>
    <w:rsid w:val="000560FD"/>
    <w:rsid w:val="00056134"/>
    <w:rsid w:val="000562CC"/>
    <w:rsid w:val="00056340"/>
    <w:rsid w:val="0005658A"/>
    <w:rsid w:val="00056627"/>
    <w:rsid w:val="00056636"/>
    <w:rsid w:val="000569EC"/>
    <w:rsid w:val="00056AFF"/>
    <w:rsid w:val="00056C3B"/>
    <w:rsid w:val="00057108"/>
    <w:rsid w:val="000573DF"/>
    <w:rsid w:val="0005765D"/>
    <w:rsid w:val="0005775B"/>
    <w:rsid w:val="000577BB"/>
    <w:rsid w:val="00057838"/>
    <w:rsid w:val="00057957"/>
    <w:rsid w:val="00057BC2"/>
    <w:rsid w:val="00057D8F"/>
    <w:rsid w:val="00057DA2"/>
    <w:rsid w:val="00057FFE"/>
    <w:rsid w:val="00060180"/>
    <w:rsid w:val="0006028C"/>
    <w:rsid w:val="00060328"/>
    <w:rsid w:val="0006032F"/>
    <w:rsid w:val="00060588"/>
    <w:rsid w:val="000605A6"/>
    <w:rsid w:val="00060960"/>
    <w:rsid w:val="00060C50"/>
    <w:rsid w:val="00060C67"/>
    <w:rsid w:val="00060C94"/>
    <w:rsid w:val="00060D45"/>
    <w:rsid w:val="00060F52"/>
    <w:rsid w:val="000611D9"/>
    <w:rsid w:val="00061294"/>
    <w:rsid w:val="00061395"/>
    <w:rsid w:val="0006139C"/>
    <w:rsid w:val="000614CB"/>
    <w:rsid w:val="00061561"/>
    <w:rsid w:val="00061660"/>
    <w:rsid w:val="000616DB"/>
    <w:rsid w:val="00061709"/>
    <w:rsid w:val="0006191C"/>
    <w:rsid w:val="000619F9"/>
    <w:rsid w:val="00061AB5"/>
    <w:rsid w:val="00061B36"/>
    <w:rsid w:val="00062219"/>
    <w:rsid w:val="00062382"/>
    <w:rsid w:val="000626CC"/>
    <w:rsid w:val="00062826"/>
    <w:rsid w:val="0006285E"/>
    <w:rsid w:val="00062A1B"/>
    <w:rsid w:val="00062E32"/>
    <w:rsid w:val="00062FA2"/>
    <w:rsid w:val="00062FE3"/>
    <w:rsid w:val="000630D6"/>
    <w:rsid w:val="00063251"/>
    <w:rsid w:val="000632A1"/>
    <w:rsid w:val="000633C5"/>
    <w:rsid w:val="0006347A"/>
    <w:rsid w:val="0006370E"/>
    <w:rsid w:val="00063B86"/>
    <w:rsid w:val="00063F82"/>
    <w:rsid w:val="000643B7"/>
    <w:rsid w:val="00064C6F"/>
    <w:rsid w:val="00064E0C"/>
    <w:rsid w:val="00064F77"/>
    <w:rsid w:val="000652D6"/>
    <w:rsid w:val="00065572"/>
    <w:rsid w:val="000655EF"/>
    <w:rsid w:val="00065813"/>
    <w:rsid w:val="00065A66"/>
    <w:rsid w:val="00065CFD"/>
    <w:rsid w:val="00065FA5"/>
    <w:rsid w:val="00066556"/>
    <w:rsid w:val="000665FE"/>
    <w:rsid w:val="00066619"/>
    <w:rsid w:val="00066631"/>
    <w:rsid w:val="00066A4E"/>
    <w:rsid w:val="00066B81"/>
    <w:rsid w:val="00066BD8"/>
    <w:rsid w:val="00066D48"/>
    <w:rsid w:val="00066F11"/>
    <w:rsid w:val="000670E9"/>
    <w:rsid w:val="000671BB"/>
    <w:rsid w:val="000672C1"/>
    <w:rsid w:val="00067369"/>
    <w:rsid w:val="000679DD"/>
    <w:rsid w:val="00067BA8"/>
    <w:rsid w:val="00067C39"/>
    <w:rsid w:val="00067CAF"/>
    <w:rsid w:val="00067D54"/>
    <w:rsid w:val="00067D86"/>
    <w:rsid w:val="000702F9"/>
    <w:rsid w:val="000703B0"/>
    <w:rsid w:val="000705E1"/>
    <w:rsid w:val="00070610"/>
    <w:rsid w:val="0007085E"/>
    <w:rsid w:val="00070A11"/>
    <w:rsid w:val="00070B73"/>
    <w:rsid w:val="00070D5E"/>
    <w:rsid w:val="000711E7"/>
    <w:rsid w:val="0007125D"/>
    <w:rsid w:val="000714C9"/>
    <w:rsid w:val="000716B8"/>
    <w:rsid w:val="00071771"/>
    <w:rsid w:val="00071C2B"/>
    <w:rsid w:val="00071D90"/>
    <w:rsid w:val="00072469"/>
    <w:rsid w:val="0007293E"/>
    <w:rsid w:val="00072ABF"/>
    <w:rsid w:val="00072AC7"/>
    <w:rsid w:val="00072AE0"/>
    <w:rsid w:val="00072D06"/>
    <w:rsid w:val="00073201"/>
    <w:rsid w:val="0007323E"/>
    <w:rsid w:val="00073280"/>
    <w:rsid w:val="00073B6A"/>
    <w:rsid w:val="00073BF3"/>
    <w:rsid w:val="00073E6F"/>
    <w:rsid w:val="00073FE9"/>
    <w:rsid w:val="00074305"/>
    <w:rsid w:val="000744FB"/>
    <w:rsid w:val="00074695"/>
    <w:rsid w:val="000747BF"/>
    <w:rsid w:val="00074801"/>
    <w:rsid w:val="000748AE"/>
    <w:rsid w:val="00074AB7"/>
    <w:rsid w:val="00074DBD"/>
    <w:rsid w:val="00074DF0"/>
    <w:rsid w:val="000751F8"/>
    <w:rsid w:val="00075328"/>
    <w:rsid w:val="000753A7"/>
    <w:rsid w:val="000759EC"/>
    <w:rsid w:val="00075AB2"/>
    <w:rsid w:val="00075B12"/>
    <w:rsid w:val="00075B88"/>
    <w:rsid w:val="00075C50"/>
    <w:rsid w:val="00075CEB"/>
    <w:rsid w:val="00076038"/>
    <w:rsid w:val="00076144"/>
    <w:rsid w:val="0007615A"/>
    <w:rsid w:val="0007647D"/>
    <w:rsid w:val="00076537"/>
    <w:rsid w:val="00076768"/>
    <w:rsid w:val="00076897"/>
    <w:rsid w:val="0007787C"/>
    <w:rsid w:val="00077938"/>
    <w:rsid w:val="00077B48"/>
    <w:rsid w:val="00077EC1"/>
    <w:rsid w:val="00080049"/>
    <w:rsid w:val="0008039C"/>
    <w:rsid w:val="0008093D"/>
    <w:rsid w:val="00080A1C"/>
    <w:rsid w:val="00080DF4"/>
    <w:rsid w:val="00080E22"/>
    <w:rsid w:val="00080E6E"/>
    <w:rsid w:val="00080EC2"/>
    <w:rsid w:val="000810E3"/>
    <w:rsid w:val="000811FA"/>
    <w:rsid w:val="00081320"/>
    <w:rsid w:val="000813B5"/>
    <w:rsid w:val="000814EF"/>
    <w:rsid w:val="0008164A"/>
    <w:rsid w:val="00081793"/>
    <w:rsid w:val="000822AE"/>
    <w:rsid w:val="00082518"/>
    <w:rsid w:val="00082598"/>
    <w:rsid w:val="000827D0"/>
    <w:rsid w:val="00082C16"/>
    <w:rsid w:val="00082D26"/>
    <w:rsid w:val="00082E39"/>
    <w:rsid w:val="00082F96"/>
    <w:rsid w:val="0008308D"/>
    <w:rsid w:val="000831BF"/>
    <w:rsid w:val="00083291"/>
    <w:rsid w:val="000833F7"/>
    <w:rsid w:val="00083615"/>
    <w:rsid w:val="0008364D"/>
    <w:rsid w:val="000836BC"/>
    <w:rsid w:val="00083762"/>
    <w:rsid w:val="00083B05"/>
    <w:rsid w:val="00083CE8"/>
    <w:rsid w:val="00083D47"/>
    <w:rsid w:val="00083E5A"/>
    <w:rsid w:val="00083F2F"/>
    <w:rsid w:val="00083FF3"/>
    <w:rsid w:val="000842C6"/>
    <w:rsid w:val="0008441E"/>
    <w:rsid w:val="00084540"/>
    <w:rsid w:val="000845F1"/>
    <w:rsid w:val="000846C1"/>
    <w:rsid w:val="0008475A"/>
    <w:rsid w:val="000849A2"/>
    <w:rsid w:val="00084ACB"/>
    <w:rsid w:val="00085271"/>
    <w:rsid w:val="00085AA4"/>
    <w:rsid w:val="00085DF5"/>
    <w:rsid w:val="00085E50"/>
    <w:rsid w:val="00085EE0"/>
    <w:rsid w:val="000860E2"/>
    <w:rsid w:val="000861BF"/>
    <w:rsid w:val="00086243"/>
    <w:rsid w:val="0008628D"/>
    <w:rsid w:val="00086335"/>
    <w:rsid w:val="000863BC"/>
    <w:rsid w:val="00086712"/>
    <w:rsid w:val="0008678D"/>
    <w:rsid w:val="000869B5"/>
    <w:rsid w:val="00086C07"/>
    <w:rsid w:val="0008703C"/>
    <w:rsid w:val="000870D1"/>
    <w:rsid w:val="00087212"/>
    <w:rsid w:val="00087300"/>
    <w:rsid w:val="0008747D"/>
    <w:rsid w:val="00087480"/>
    <w:rsid w:val="00087575"/>
    <w:rsid w:val="000878E0"/>
    <w:rsid w:val="00087A02"/>
    <w:rsid w:val="00087BF8"/>
    <w:rsid w:val="00087D78"/>
    <w:rsid w:val="00090119"/>
    <w:rsid w:val="000903B5"/>
    <w:rsid w:val="00090422"/>
    <w:rsid w:val="0009044B"/>
    <w:rsid w:val="00090A09"/>
    <w:rsid w:val="00090AD9"/>
    <w:rsid w:val="00090C12"/>
    <w:rsid w:val="00090C23"/>
    <w:rsid w:val="000910FD"/>
    <w:rsid w:val="00091107"/>
    <w:rsid w:val="00091110"/>
    <w:rsid w:val="0009112D"/>
    <w:rsid w:val="000915F5"/>
    <w:rsid w:val="0009168C"/>
    <w:rsid w:val="00091795"/>
    <w:rsid w:val="00091871"/>
    <w:rsid w:val="0009191E"/>
    <w:rsid w:val="00091A61"/>
    <w:rsid w:val="00091A70"/>
    <w:rsid w:val="00091C7B"/>
    <w:rsid w:val="00091D87"/>
    <w:rsid w:val="00091D96"/>
    <w:rsid w:val="00091EFF"/>
    <w:rsid w:val="0009218C"/>
    <w:rsid w:val="000923E3"/>
    <w:rsid w:val="00092583"/>
    <w:rsid w:val="000929ED"/>
    <w:rsid w:val="000930B1"/>
    <w:rsid w:val="000930B3"/>
    <w:rsid w:val="000934F7"/>
    <w:rsid w:val="00093815"/>
    <w:rsid w:val="00093D2A"/>
    <w:rsid w:val="00094058"/>
    <w:rsid w:val="000941CA"/>
    <w:rsid w:val="000943C9"/>
    <w:rsid w:val="0009443B"/>
    <w:rsid w:val="000945A1"/>
    <w:rsid w:val="00094793"/>
    <w:rsid w:val="00094A3B"/>
    <w:rsid w:val="00094AB5"/>
    <w:rsid w:val="00094ABD"/>
    <w:rsid w:val="00095728"/>
    <w:rsid w:val="00095D1F"/>
    <w:rsid w:val="00095FBB"/>
    <w:rsid w:val="0009612D"/>
    <w:rsid w:val="0009618A"/>
    <w:rsid w:val="0009685E"/>
    <w:rsid w:val="00096890"/>
    <w:rsid w:val="00096B81"/>
    <w:rsid w:val="00096C09"/>
    <w:rsid w:val="00096F4D"/>
    <w:rsid w:val="0009714C"/>
    <w:rsid w:val="000973B0"/>
    <w:rsid w:val="0009745F"/>
    <w:rsid w:val="000974B4"/>
    <w:rsid w:val="00097A46"/>
    <w:rsid w:val="00097BC7"/>
    <w:rsid w:val="00097E87"/>
    <w:rsid w:val="00097EFE"/>
    <w:rsid w:val="000A08D2"/>
    <w:rsid w:val="000A08E5"/>
    <w:rsid w:val="000A0C3B"/>
    <w:rsid w:val="000A0D88"/>
    <w:rsid w:val="000A0EB9"/>
    <w:rsid w:val="000A1456"/>
    <w:rsid w:val="000A15D9"/>
    <w:rsid w:val="000A16E8"/>
    <w:rsid w:val="000A1741"/>
    <w:rsid w:val="000A198D"/>
    <w:rsid w:val="000A19CF"/>
    <w:rsid w:val="000A1A15"/>
    <w:rsid w:val="000A2319"/>
    <w:rsid w:val="000A2342"/>
    <w:rsid w:val="000A2A72"/>
    <w:rsid w:val="000A2B6B"/>
    <w:rsid w:val="000A2B77"/>
    <w:rsid w:val="000A2CEF"/>
    <w:rsid w:val="000A2FC6"/>
    <w:rsid w:val="000A3434"/>
    <w:rsid w:val="000A3899"/>
    <w:rsid w:val="000A3912"/>
    <w:rsid w:val="000A3CCF"/>
    <w:rsid w:val="000A41D4"/>
    <w:rsid w:val="000A4214"/>
    <w:rsid w:val="000A42B1"/>
    <w:rsid w:val="000A4329"/>
    <w:rsid w:val="000A4413"/>
    <w:rsid w:val="000A4590"/>
    <w:rsid w:val="000A4735"/>
    <w:rsid w:val="000A47D0"/>
    <w:rsid w:val="000A4A7D"/>
    <w:rsid w:val="000A4BD7"/>
    <w:rsid w:val="000A5102"/>
    <w:rsid w:val="000A551D"/>
    <w:rsid w:val="000A55EC"/>
    <w:rsid w:val="000A5625"/>
    <w:rsid w:val="000A59FC"/>
    <w:rsid w:val="000A5AC0"/>
    <w:rsid w:val="000A5D41"/>
    <w:rsid w:val="000A61B9"/>
    <w:rsid w:val="000A63D3"/>
    <w:rsid w:val="000A6419"/>
    <w:rsid w:val="000A656B"/>
    <w:rsid w:val="000A6A4B"/>
    <w:rsid w:val="000A70B2"/>
    <w:rsid w:val="000A7122"/>
    <w:rsid w:val="000A7361"/>
    <w:rsid w:val="000A7368"/>
    <w:rsid w:val="000A7582"/>
    <w:rsid w:val="000A762F"/>
    <w:rsid w:val="000A7C3B"/>
    <w:rsid w:val="000A7DB4"/>
    <w:rsid w:val="000A7EF0"/>
    <w:rsid w:val="000A7EF2"/>
    <w:rsid w:val="000A7F00"/>
    <w:rsid w:val="000A7F3F"/>
    <w:rsid w:val="000B00C0"/>
    <w:rsid w:val="000B035F"/>
    <w:rsid w:val="000B0ACF"/>
    <w:rsid w:val="000B0CC9"/>
    <w:rsid w:val="000B0D7D"/>
    <w:rsid w:val="000B0E4C"/>
    <w:rsid w:val="000B0F02"/>
    <w:rsid w:val="000B120C"/>
    <w:rsid w:val="000B1228"/>
    <w:rsid w:val="000B15B6"/>
    <w:rsid w:val="000B1F04"/>
    <w:rsid w:val="000B2079"/>
    <w:rsid w:val="000B22CB"/>
    <w:rsid w:val="000B2801"/>
    <w:rsid w:val="000B28F1"/>
    <w:rsid w:val="000B2B64"/>
    <w:rsid w:val="000B2B8A"/>
    <w:rsid w:val="000B2CA0"/>
    <w:rsid w:val="000B2E92"/>
    <w:rsid w:val="000B3043"/>
    <w:rsid w:val="000B337F"/>
    <w:rsid w:val="000B3525"/>
    <w:rsid w:val="000B3685"/>
    <w:rsid w:val="000B38C1"/>
    <w:rsid w:val="000B47B3"/>
    <w:rsid w:val="000B481E"/>
    <w:rsid w:val="000B4895"/>
    <w:rsid w:val="000B4949"/>
    <w:rsid w:val="000B4D33"/>
    <w:rsid w:val="000B4F8F"/>
    <w:rsid w:val="000B53AD"/>
    <w:rsid w:val="000B584D"/>
    <w:rsid w:val="000B58BB"/>
    <w:rsid w:val="000B5954"/>
    <w:rsid w:val="000B5E70"/>
    <w:rsid w:val="000B5F17"/>
    <w:rsid w:val="000B6036"/>
    <w:rsid w:val="000B63E1"/>
    <w:rsid w:val="000B65D5"/>
    <w:rsid w:val="000B675A"/>
    <w:rsid w:val="000B6821"/>
    <w:rsid w:val="000B6941"/>
    <w:rsid w:val="000B6B13"/>
    <w:rsid w:val="000B6C14"/>
    <w:rsid w:val="000B6C6A"/>
    <w:rsid w:val="000B6D5C"/>
    <w:rsid w:val="000B78EF"/>
    <w:rsid w:val="000B7991"/>
    <w:rsid w:val="000B7D57"/>
    <w:rsid w:val="000B7E9C"/>
    <w:rsid w:val="000C00B2"/>
    <w:rsid w:val="000C01BD"/>
    <w:rsid w:val="000C08D5"/>
    <w:rsid w:val="000C0B44"/>
    <w:rsid w:val="000C0D62"/>
    <w:rsid w:val="000C0EDF"/>
    <w:rsid w:val="000C10C4"/>
    <w:rsid w:val="000C1312"/>
    <w:rsid w:val="000C1426"/>
    <w:rsid w:val="000C1552"/>
    <w:rsid w:val="000C1639"/>
    <w:rsid w:val="000C1BAC"/>
    <w:rsid w:val="000C1C34"/>
    <w:rsid w:val="000C1D15"/>
    <w:rsid w:val="000C1D31"/>
    <w:rsid w:val="000C1E81"/>
    <w:rsid w:val="000C2275"/>
    <w:rsid w:val="000C25E0"/>
    <w:rsid w:val="000C26BF"/>
    <w:rsid w:val="000C27CF"/>
    <w:rsid w:val="000C27F4"/>
    <w:rsid w:val="000C2A71"/>
    <w:rsid w:val="000C2B82"/>
    <w:rsid w:val="000C2BBA"/>
    <w:rsid w:val="000C2BDF"/>
    <w:rsid w:val="000C3115"/>
    <w:rsid w:val="000C36CE"/>
    <w:rsid w:val="000C38C2"/>
    <w:rsid w:val="000C3BF1"/>
    <w:rsid w:val="000C3E58"/>
    <w:rsid w:val="000C4502"/>
    <w:rsid w:val="000C4704"/>
    <w:rsid w:val="000C4756"/>
    <w:rsid w:val="000C4948"/>
    <w:rsid w:val="000C50A7"/>
    <w:rsid w:val="000C5162"/>
    <w:rsid w:val="000C53BB"/>
    <w:rsid w:val="000C5443"/>
    <w:rsid w:val="000C5AFD"/>
    <w:rsid w:val="000C5B5E"/>
    <w:rsid w:val="000C5C1A"/>
    <w:rsid w:val="000C5C79"/>
    <w:rsid w:val="000C60FB"/>
    <w:rsid w:val="000C627E"/>
    <w:rsid w:val="000C6462"/>
    <w:rsid w:val="000C646B"/>
    <w:rsid w:val="000C66C9"/>
    <w:rsid w:val="000C6748"/>
    <w:rsid w:val="000C6836"/>
    <w:rsid w:val="000C69A4"/>
    <w:rsid w:val="000C6CBC"/>
    <w:rsid w:val="000C73D7"/>
    <w:rsid w:val="000C7406"/>
    <w:rsid w:val="000C75F7"/>
    <w:rsid w:val="000C78AC"/>
    <w:rsid w:val="000C7AF6"/>
    <w:rsid w:val="000C7F7C"/>
    <w:rsid w:val="000D0260"/>
    <w:rsid w:val="000D03F9"/>
    <w:rsid w:val="000D053B"/>
    <w:rsid w:val="000D0540"/>
    <w:rsid w:val="000D0E08"/>
    <w:rsid w:val="000D0E0C"/>
    <w:rsid w:val="000D108F"/>
    <w:rsid w:val="000D1264"/>
    <w:rsid w:val="000D1E1F"/>
    <w:rsid w:val="000D1F23"/>
    <w:rsid w:val="000D2475"/>
    <w:rsid w:val="000D2694"/>
    <w:rsid w:val="000D27A2"/>
    <w:rsid w:val="000D300A"/>
    <w:rsid w:val="000D312C"/>
    <w:rsid w:val="000D338E"/>
    <w:rsid w:val="000D34C6"/>
    <w:rsid w:val="000D3925"/>
    <w:rsid w:val="000D3AC1"/>
    <w:rsid w:val="000D3B68"/>
    <w:rsid w:val="000D3BF0"/>
    <w:rsid w:val="000D3C9B"/>
    <w:rsid w:val="000D3D90"/>
    <w:rsid w:val="000D3F86"/>
    <w:rsid w:val="000D42A3"/>
    <w:rsid w:val="000D43B4"/>
    <w:rsid w:val="000D4467"/>
    <w:rsid w:val="000D447B"/>
    <w:rsid w:val="000D4515"/>
    <w:rsid w:val="000D463B"/>
    <w:rsid w:val="000D4D6D"/>
    <w:rsid w:val="000D4E60"/>
    <w:rsid w:val="000D4FF0"/>
    <w:rsid w:val="000D50CD"/>
    <w:rsid w:val="000D52DE"/>
    <w:rsid w:val="000D5439"/>
    <w:rsid w:val="000D557B"/>
    <w:rsid w:val="000D55C4"/>
    <w:rsid w:val="000D5689"/>
    <w:rsid w:val="000D59F2"/>
    <w:rsid w:val="000D5BCC"/>
    <w:rsid w:val="000D5D17"/>
    <w:rsid w:val="000D5DB4"/>
    <w:rsid w:val="000D66FC"/>
    <w:rsid w:val="000D68BC"/>
    <w:rsid w:val="000D690F"/>
    <w:rsid w:val="000D6C2E"/>
    <w:rsid w:val="000D6C9B"/>
    <w:rsid w:val="000D6D5D"/>
    <w:rsid w:val="000D71DE"/>
    <w:rsid w:val="000D7975"/>
    <w:rsid w:val="000D7D87"/>
    <w:rsid w:val="000D7DDB"/>
    <w:rsid w:val="000D7F92"/>
    <w:rsid w:val="000E0167"/>
    <w:rsid w:val="000E053B"/>
    <w:rsid w:val="000E0700"/>
    <w:rsid w:val="000E071C"/>
    <w:rsid w:val="000E085C"/>
    <w:rsid w:val="000E0A0F"/>
    <w:rsid w:val="000E0A9A"/>
    <w:rsid w:val="000E0E8A"/>
    <w:rsid w:val="000E0F09"/>
    <w:rsid w:val="000E136C"/>
    <w:rsid w:val="000E1636"/>
    <w:rsid w:val="000E1BCA"/>
    <w:rsid w:val="000E1BCB"/>
    <w:rsid w:val="000E1BFD"/>
    <w:rsid w:val="000E1FA8"/>
    <w:rsid w:val="000E20CE"/>
    <w:rsid w:val="000E274C"/>
    <w:rsid w:val="000E290B"/>
    <w:rsid w:val="000E2AAD"/>
    <w:rsid w:val="000E2B1E"/>
    <w:rsid w:val="000E31D0"/>
    <w:rsid w:val="000E384A"/>
    <w:rsid w:val="000E3F2A"/>
    <w:rsid w:val="000E41D6"/>
    <w:rsid w:val="000E4343"/>
    <w:rsid w:val="000E485B"/>
    <w:rsid w:val="000E48BB"/>
    <w:rsid w:val="000E516C"/>
    <w:rsid w:val="000E5208"/>
    <w:rsid w:val="000E57E5"/>
    <w:rsid w:val="000E5877"/>
    <w:rsid w:val="000E58D3"/>
    <w:rsid w:val="000E5C3E"/>
    <w:rsid w:val="000E601A"/>
    <w:rsid w:val="000E6236"/>
    <w:rsid w:val="000E63A0"/>
    <w:rsid w:val="000E65B1"/>
    <w:rsid w:val="000E65EF"/>
    <w:rsid w:val="000E667C"/>
    <w:rsid w:val="000E69EC"/>
    <w:rsid w:val="000E6BC3"/>
    <w:rsid w:val="000E6CBA"/>
    <w:rsid w:val="000E6F1C"/>
    <w:rsid w:val="000E6FCF"/>
    <w:rsid w:val="000E6FF9"/>
    <w:rsid w:val="000E7367"/>
    <w:rsid w:val="000E7839"/>
    <w:rsid w:val="000E7B9B"/>
    <w:rsid w:val="000E7C2F"/>
    <w:rsid w:val="000E7C63"/>
    <w:rsid w:val="000E7EB1"/>
    <w:rsid w:val="000E7F1C"/>
    <w:rsid w:val="000F02A0"/>
    <w:rsid w:val="000F02D3"/>
    <w:rsid w:val="000F050B"/>
    <w:rsid w:val="000F0C15"/>
    <w:rsid w:val="000F0EBC"/>
    <w:rsid w:val="000F0F8D"/>
    <w:rsid w:val="000F11EE"/>
    <w:rsid w:val="000F1579"/>
    <w:rsid w:val="000F15D5"/>
    <w:rsid w:val="000F19C8"/>
    <w:rsid w:val="000F1AB7"/>
    <w:rsid w:val="000F1EDC"/>
    <w:rsid w:val="000F25E7"/>
    <w:rsid w:val="000F26F9"/>
    <w:rsid w:val="000F28EC"/>
    <w:rsid w:val="000F2AC8"/>
    <w:rsid w:val="000F2B1E"/>
    <w:rsid w:val="000F2D11"/>
    <w:rsid w:val="000F2D35"/>
    <w:rsid w:val="000F3020"/>
    <w:rsid w:val="000F3177"/>
    <w:rsid w:val="000F3293"/>
    <w:rsid w:val="000F32C3"/>
    <w:rsid w:val="000F33BF"/>
    <w:rsid w:val="000F35AB"/>
    <w:rsid w:val="000F362A"/>
    <w:rsid w:val="000F3675"/>
    <w:rsid w:val="000F383D"/>
    <w:rsid w:val="000F3E89"/>
    <w:rsid w:val="000F4368"/>
    <w:rsid w:val="000F43A8"/>
    <w:rsid w:val="000F4737"/>
    <w:rsid w:val="000F4B34"/>
    <w:rsid w:val="000F4E34"/>
    <w:rsid w:val="000F4E9E"/>
    <w:rsid w:val="000F4EF9"/>
    <w:rsid w:val="000F4F8C"/>
    <w:rsid w:val="000F4F9A"/>
    <w:rsid w:val="000F55B6"/>
    <w:rsid w:val="000F5A9B"/>
    <w:rsid w:val="000F6349"/>
    <w:rsid w:val="000F634B"/>
    <w:rsid w:val="000F63C2"/>
    <w:rsid w:val="000F65DE"/>
    <w:rsid w:val="000F6F3C"/>
    <w:rsid w:val="000F71E0"/>
    <w:rsid w:val="000F73DB"/>
    <w:rsid w:val="000F75BB"/>
    <w:rsid w:val="000F7769"/>
    <w:rsid w:val="000F7A69"/>
    <w:rsid w:val="000F7D72"/>
    <w:rsid w:val="000F7F30"/>
    <w:rsid w:val="001003F0"/>
    <w:rsid w:val="001004EC"/>
    <w:rsid w:val="00100A52"/>
    <w:rsid w:val="00100DB9"/>
    <w:rsid w:val="00100E60"/>
    <w:rsid w:val="00101188"/>
    <w:rsid w:val="001018E3"/>
    <w:rsid w:val="001020D4"/>
    <w:rsid w:val="001022F1"/>
    <w:rsid w:val="00102491"/>
    <w:rsid w:val="00102517"/>
    <w:rsid w:val="00102822"/>
    <w:rsid w:val="001028A2"/>
    <w:rsid w:val="00102A69"/>
    <w:rsid w:val="00102CDF"/>
    <w:rsid w:val="00103228"/>
    <w:rsid w:val="00103447"/>
    <w:rsid w:val="00103743"/>
    <w:rsid w:val="001039C0"/>
    <w:rsid w:val="001039F0"/>
    <w:rsid w:val="00103DB3"/>
    <w:rsid w:val="00103F06"/>
    <w:rsid w:val="0010483C"/>
    <w:rsid w:val="001049D4"/>
    <w:rsid w:val="00104A50"/>
    <w:rsid w:val="00104B80"/>
    <w:rsid w:val="00104D80"/>
    <w:rsid w:val="00105122"/>
    <w:rsid w:val="001051F1"/>
    <w:rsid w:val="001054B3"/>
    <w:rsid w:val="001054D0"/>
    <w:rsid w:val="00105605"/>
    <w:rsid w:val="00105607"/>
    <w:rsid w:val="0010569F"/>
    <w:rsid w:val="00105955"/>
    <w:rsid w:val="0010595C"/>
    <w:rsid w:val="00105BE4"/>
    <w:rsid w:val="00105D49"/>
    <w:rsid w:val="00106277"/>
    <w:rsid w:val="00106412"/>
    <w:rsid w:val="00106489"/>
    <w:rsid w:val="00106519"/>
    <w:rsid w:val="00106654"/>
    <w:rsid w:val="001069E9"/>
    <w:rsid w:val="00106B36"/>
    <w:rsid w:val="00106CF7"/>
    <w:rsid w:val="00106D86"/>
    <w:rsid w:val="00106F97"/>
    <w:rsid w:val="0010741C"/>
    <w:rsid w:val="001074F6"/>
    <w:rsid w:val="0010762B"/>
    <w:rsid w:val="00107E6C"/>
    <w:rsid w:val="00107F03"/>
    <w:rsid w:val="00110032"/>
    <w:rsid w:val="00110217"/>
    <w:rsid w:val="001102DF"/>
    <w:rsid w:val="001103F7"/>
    <w:rsid w:val="001105D2"/>
    <w:rsid w:val="00110657"/>
    <w:rsid w:val="00110730"/>
    <w:rsid w:val="001108B2"/>
    <w:rsid w:val="00110C5D"/>
    <w:rsid w:val="00110E65"/>
    <w:rsid w:val="00111195"/>
    <w:rsid w:val="001114C6"/>
    <w:rsid w:val="00111A37"/>
    <w:rsid w:val="00111AD3"/>
    <w:rsid w:val="00111C1E"/>
    <w:rsid w:val="0011200C"/>
    <w:rsid w:val="00112083"/>
    <w:rsid w:val="0011261C"/>
    <w:rsid w:val="001126C8"/>
    <w:rsid w:val="00112A4D"/>
    <w:rsid w:val="00112C50"/>
    <w:rsid w:val="00112E00"/>
    <w:rsid w:val="00112EF6"/>
    <w:rsid w:val="001133F1"/>
    <w:rsid w:val="00113547"/>
    <w:rsid w:val="00113659"/>
    <w:rsid w:val="001136DD"/>
    <w:rsid w:val="00114081"/>
    <w:rsid w:val="00114426"/>
    <w:rsid w:val="00114667"/>
    <w:rsid w:val="00114815"/>
    <w:rsid w:val="0011498B"/>
    <w:rsid w:val="001149A5"/>
    <w:rsid w:val="00115031"/>
    <w:rsid w:val="00115118"/>
    <w:rsid w:val="00115504"/>
    <w:rsid w:val="00115A59"/>
    <w:rsid w:val="00115E3F"/>
    <w:rsid w:val="0011610B"/>
    <w:rsid w:val="001161A0"/>
    <w:rsid w:val="00116C3B"/>
    <w:rsid w:val="0011763B"/>
    <w:rsid w:val="00117769"/>
    <w:rsid w:val="001177CA"/>
    <w:rsid w:val="001178CE"/>
    <w:rsid w:val="00117BDA"/>
    <w:rsid w:val="00117DEA"/>
    <w:rsid w:val="0012009A"/>
    <w:rsid w:val="001200CF"/>
    <w:rsid w:val="0012014D"/>
    <w:rsid w:val="0012026F"/>
    <w:rsid w:val="001203F8"/>
    <w:rsid w:val="001209FF"/>
    <w:rsid w:val="00120A4D"/>
    <w:rsid w:val="00120AD5"/>
    <w:rsid w:val="00120D7C"/>
    <w:rsid w:val="001215FD"/>
    <w:rsid w:val="001219D1"/>
    <w:rsid w:val="00121C37"/>
    <w:rsid w:val="00121E74"/>
    <w:rsid w:val="00122005"/>
    <w:rsid w:val="00122531"/>
    <w:rsid w:val="001225B3"/>
    <w:rsid w:val="00122687"/>
    <w:rsid w:val="00122783"/>
    <w:rsid w:val="0012285D"/>
    <w:rsid w:val="001228F1"/>
    <w:rsid w:val="00122C00"/>
    <w:rsid w:val="00122C8D"/>
    <w:rsid w:val="001231BC"/>
    <w:rsid w:val="001232AC"/>
    <w:rsid w:val="0012382C"/>
    <w:rsid w:val="00123A4E"/>
    <w:rsid w:val="00123AA6"/>
    <w:rsid w:val="00123AF7"/>
    <w:rsid w:val="00123E93"/>
    <w:rsid w:val="00124768"/>
    <w:rsid w:val="00124992"/>
    <w:rsid w:val="001249C6"/>
    <w:rsid w:val="001249F4"/>
    <w:rsid w:val="00124CC2"/>
    <w:rsid w:val="00124E00"/>
    <w:rsid w:val="00124F67"/>
    <w:rsid w:val="00125459"/>
    <w:rsid w:val="001256F5"/>
    <w:rsid w:val="0012581B"/>
    <w:rsid w:val="001258A7"/>
    <w:rsid w:val="00125C58"/>
    <w:rsid w:val="001266A2"/>
    <w:rsid w:val="0012691F"/>
    <w:rsid w:val="00126D7D"/>
    <w:rsid w:val="00126E2E"/>
    <w:rsid w:val="0012731D"/>
    <w:rsid w:val="001277E0"/>
    <w:rsid w:val="0012787C"/>
    <w:rsid w:val="00127915"/>
    <w:rsid w:val="00127A48"/>
    <w:rsid w:val="00127C6D"/>
    <w:rsid w:val="00127E44"/>
    <w:rsid w:val="001304EA"/>
    <w:rsid w:val="00130995"/>
    <w:rsid w:val="00130A4E"/>
    <w:rsid w:val="00130BCA"/>
    <w:rsid w:val="00130C94"/>
    <w:rsid w:val="00130E47"/>
    <w:rsid w:val="001313F9"/>
    <w:rsid w:val="00131524"/>
    <w:rsid w:val="0013155C"/>
    <w:rsid w:val="00131FA5"/>
    <w:rsid w:val="00132066"/>
    <w:rsid w:val="00132355"/>
    <w:rsid w:val="0013244F"/>
    <w:rsid w:val="0013272F"/>
    <w:rsid w:val="00132A7E"/>
    <w:rsid w:val="001331C9"/>
    <w:rsid w:val="0013322F"/>
    <w:rsid w:val="00133364"/>
    <w:rsid w:val="001333D3"/>
    <w:rsid w:val="00133603"/>
    <w:rsid w:val="00133743"/>
    <w:rsid w:val="00133D1B"/>
    <w:rsid w:val="00133EBB"/>
    <w:rsid w:val="00133EDF"/>
    <w:rsid w:val="00134432"/>
    <w:rsid w:val="00134563"/>
    <w:rsid w:val="00134675"/>
    <w:rsid w:val="001346AC"/>
    <w:rsid w:val="00134BA7"/>
    <w:rsid w:val="00134BE0"/>
    <w:rsid w:val="00135509"/>
    <w:rsid w:val="0013558E"/>
    <w:rsid w:val="00135668"/>
    <w:rsid w:val="00135F00"/>
    <w:rsid w:val="00135F38"/>
    <w:rsid w:val="00136399"/>
    <w:rsid w:val="001363E0"/>
    <w:rsid w:val="00136B5A"/>
    <w:rsid w:val="00136CD0"/>
    <w:rsid w:val="00136E11"/>
    <w:rsid w:val="001372E1"/>
    <w:rsid w:val="00137749"/>
    <w:rsid w:val="00137836"/>
    <w:rsid w:val="00137B11"/>
    <w:rsid w:val="00137B1E"/>
    <w:rsid w:val="00137B64"/>
    <w:rsid w:val="00137BFE"/>
    <w:rsid w:val="00137C4B"/>
    <w:rsid w:val="00137FAB"/>
    <w:rsid w:val="001401B5"/>
    <w:rsid w:val="001406D2"/>
    <w:rsid w:val="001406FD"/>
    <w:rsid w:val="00140799"/>
    <w:rsid w:val="00140B83"/>
    <w:rsid w:val="00140E05"/>
    <w:rsid w:val="00140F24"/>
    <w:rsid w:val="0014104E"/>
    <w:rsid w:val="001411EA"/>
    <w:rsid w:val="00141852"/>
    <w:rsid w:val="00141A52"/>
    <w:rsid w:val="00141E3D"/>
    <w:rsid w:val="00141EA6"/>
    <w:rsid w:val="0014271F"/>
    <w:rsid w:val="00143018"/>
    <w:rsid w:val="001438C0"/>
    <w:rsid w:val="00143978"/>
    <w:rsid w:val="00143AB7"/>
    <w:rsid w:val="00143E1D"/>
    <w:rsid w:val="0014403C"/>
    <w:rsid w:val="001441B8"/>
    <w:rsid w:val="00144386"/>
    <w:rsid w:val="00144441"/>
    <w:rsid w:val="00144525"/>
    <w:rsid w:val="00144567"/>
    <w:rsid w:val="00144619"/>
    <w:rsid w:val="00144649"/>
    <w:rsid w:val="00144950"/>
    <w:rsid w:val="001449E4"/>
    <w:rsid w:val="0014537B"/>
    <w:rsid w:val="0014545F"/>
    <w:rsid w:val="00145469"/>
    <w:rsid w:val="00145635"/>
    <w:rsid w:val="001457C0"/>
    <w:rsid w:val="00145C81"/>
    <w:rsid w:val="00145E0F"/>
    <w:rsid w:val="00145EA0"/>
    <w:rsid w:val="00146447"/>
    <w:rsid w:val="001464E6"/>
    <w:rsid w:val="00146564"/>
    <w:rsid w:val="001468E8"/>
    <w:rsid w:val="001474F1"/>
    <w:rsid w:val="001478A1"/>
    <w:rsid w:val="00147B51"/>
    <w:rsid w:val="00147D65"/>
    <w:rsid w:val="00147E7A"/>
    <w:rsid w:val="00147E83"/>
    <w:rsid w:val="001500A5"/>
    <w:rsid w:val="001501AB"/>
    <w:rsid w:val="001503D1"/>
    <w:rsid w:val="0015087A"/>
    <w:rsid w:val="0015122A"/>
    <w:rsid w:val="001512D1"/>
    <w:rsid w:val="00151347"/>
    <w:rsid w:val="00151692"/>
    <w:rsid w:val="00151946"/>
    <w:rsid w:val="00151D30"/>
    <w:rsid w:val="00151DF9"/>
    <w:rsid w:val="00151F19"/>
    <w:rsid w:val="0015236D"/>
    <w:rsid w:val="00152601"/>
    <w:rsid w:val="00152B28"/>
    <w:rsid w:val="00152B99"/>
    <w:rsid w:val="001536B0"/>
    <w:rsid w:val="001536D7"/>
    <w:rsid w:val="001537E1"/>
    <w:rsid w:val="00153918"/>
    <w:rsid w:val="00153987"/>
    <w:rsid w:val="001539D2"/>
    <w:rsid w:val="00153B57"/>
    <w:rsid w:val="00153C93"/>
    <w:rsid w:val="00153F41"/>
    <w:rsid w:val="00153F63"/>
    <w:rsid w:val="001541C1"/>
    <w:rsid w:val="001544AC"/>
    <w:rsid w:val="0015461C"/>
    <w:rsid w:val="00154B67"/>
    <w:rsid w:val="00154BB2"/>
    <w:rsid w:val="00154C17"/>
    <w:rsid w:val="00154D40"/>
    <w:rsid w:val="00155332"/>
    <w:rsid w:val="00155468"/>
    <w:rsid w:val="00155592"/>
    <w:rsid w:val="001559A3"/>
    <w:rsid w:val="00155BD2"/>
    <w:rsid w:val="00155C1C"/>
    <w:rsid w:val="00155C8B"/>
    <w:rsid w:val="00155D30"/>
    <w:rsid w:val="00155EE7"/>
    <w:rsid w:val="001561F8"/>
    <w:rsid w:val="00156306"/>
    <w:rsid w:val="001570C9"/>
    <w:rsid w:val="001570F3"/>
    <w:rsid w:val="001571C2"/>
    <w:rsid w:val="001572D7"/>
    <w:rsid w:val="001573A7"/>
    <w:rsid w:val="00157849"/>
    <w:rsid w:val="0015792A"/>
    <w:rsid w:val="001579C9"/>
    <w:rsid w:val="00157AB9"/>
    <w:rsid w:val="00157B1A"/>
    <w:rsid w:val="00157B5C"/>
    <w:rsid w:val="00157B77"/>
    <w:rsid w:val="00157C1E"/>
    <w:rsid w:val="00160166"/>
    <w:rsid w:val="001606DC"/>
    <w:rsid w:val="001608F1"/>
    <w:rsid w:val="00160C01"/>
    <w:rsid w:val="00160D41"/>
    <w:rsid w:val="00160E21"/>
    <w:rsid w:val="001613DC"/>
    <w:rsid w:val="00161506"/>
    <w:rsid w:val="0016162C"/>
    <w:rsid w:val="00161985"/>
    <w:rsid w:val="001619F2"/>
    <w:rsid w:val="00161A7F"/>
    <w:rsid w:val="00161C59"/>
    <w:rsid w:val="0016200E"/>
    <w:rsid w:val="00162206"/>
    <w:rsid w:val="001623A0"/>
    <w:rsid w:val="001624D8"/>
    <w:rsid w:val="00162528"/>
    <w:rsid w:val="001627F4"/>
    <w:rsid w:val="00162B99"/>
    <w:rsid w:val="00162C6B"/>
    <w:rsid w:val="00162D8C"/>
    <w:rsid w:val="00162EF5"/>
    <w:rsid w:val="0016304C"/>
    <w:rsid w:val="00163116"/>
    <w:rsid w:val="001632CB"/>
    <w:rsid w:val="001633A0"/>
    <w:rsid w:val="0016365E"/>
    <w:rsid w:val="0016391E"/>
    <w:rsid w:val="00163974"/>
    <w:rsid w:val="00163A0C"/>
    <w:rsid w:val="00163A84"/>
    <w:rsid w:val="00163D76"/>
    <w:rsid w:val="00163FA3"/>
    <w:rsid w:val="0016413B"/>
    <w:rsid w:val="00164464"/>
    <w:rsid w:val="001646B7"/>
    <w:rsid w:val="0016486E"/>
    <w:rsid w:val="0016487D"/>
    <w:rsid w:val="00164C37"/>
    <w:rsid w:val="00164CA1"/>
    <w:rsid w:val="0016518D"/>
    <w:rsid w:val="00165199"/>
    <w:rsid w:val="0016541B"/>
    <w:rsid w:val="0016551B"/>
    <w:rsid w:val="00165D95"/>
    <w:rsid w:val="00165FFB"/>
    <w:rsid w:val="001661AC"/>
    <w:rsid w:val="00166419"/>
    <w:rsid w:val="001665A2"/>
    <w:rsid w:val="0016673A"/>
    <w:rsid w:val="00166751"/>
    <w:rsid w:val="001668C3"/>
    <w:rsid w:val="00166A7D"/>
    <w:rsid w:val="0016765C"/>
    <w:rsid w:val="00167A4F"/>
    <w:rsid w:val="00167B84"/>
    <w:rsid w:val="001702CE"/>
    <w:rsid w:val="00170428"/>
    <w:rsid w:val="001704DB"/>
    <w:rsid w:val="001705F5"/>
    <w:rsid w:val="00170B7E"/>
    <w:rsid w:val="00170D1A"/>
    <w:rsid w:val="00170D35"/>
    <w:rsid w:val="00170E0C"/>
    <w:rsid w:val="001711FA"/>
    <w:rsid w:val="00171201"/>
    <w:rsid w:val="0017163F"/>
    <w:rsid w:val="001717CA"/>
    <w:rsid w:val="001719CA"/>
    <w:rsid w:val="00172512"/>
    <w:rsid w:val="00172542"/>
    <w:rsid w:val="001725E4"/>
    <w:rsid w:val="001728E1"/>
    <w:rsid w:val="00172994"/>
    <w:rsid w:val="00172C48"/>
    <w:rsid w:val="0017300E"/>
    <w:rsid w:val="00173530"/>
    <w:rsid w:val="00173643"/>
    <w:rsid w:val="001736DA"/>
    <w:rsid w:val="001737BE"/>
    <w:rsid w:val="001738D5"/>
    <w:rsid w:val="00173A16"/>
    <w:rsid w:val="00173D93"/>
    <w:rsid w:val="00173DDC"/>
    <w:rsid w:val="00173F42"/>
    <w:rsid w:val="00173F96"/>
    <w:rsid w:val="001740E3"/>
    <w:rsid w:val="00174FE7"/>
    <w:rsid w:val="00175602"/>
    <w:rsid w:val="001757D6"/>
    <w:rsid w:val="001758C8"/>
    <w:rsid w:val="001759DE"/>
    <w:rsid w:val="00175B80"/>
    <w:rsid w:val="00175BF5"/>
    <w:rsid w:val="00175EC7"/>
    <w:rsid w:val="001763C6"/>
    <w:rsid w:val="001765FA"/>
    <w:rsid w:val="0017692A"/>
    <w:rsid w:val="00176951"/>
    <w:rsid w:val="00176970"/>
    <w:rsid w:val="00176C0E"/>
    <w:rsid w:val="00176CAE"/>
    <w:rsid w:val="00176F12"/>
    <w:rsid w:val="00177470"/>
    <w:rsid w:val="001775E8"/>
    <w:rsid w:val="00177AD7"/>
    <w:rsid w:val="00177CC2"/>
    <w:rsid w:val="00180053"/>
    <w:rsid w:val="001800B5"/>
    <w:rsid w:val="001800D0"/>
    <w:rsid w:val="00180191"/>
    <w:rsid w:val="00180295"/>
    <w:rsid w:val="00180418"/>
    <w:rsid w:val="00180841"/>
    <w:rsid w:val="00180899"/>
    <w:rsid w:val="001809AC"/>
    <w:rsid w:val="00180CB6"/>
    <w:rsid w:val="00180D57"/>
    <w:rsid w:val="00180D7C"/>
    <w:rsid w:val="00180EE7"/>
    <w:rsid w:val="0018117D"/>
    <w:rsid w:val="001811E8"/>
    <w:rsid w:val="001812A4"/>
    <w:rsid w:val="001815BF"/>
    <w:rsid w:val="00181618"/>
    <w:rsid w:val="0018178D"/>
    <w:rsid w:val="00181B2E"/>
    <w:rsid w:val="00181FEF"/>
    <w:rsid w:val="00182060"/>
    <w:rsid w:val="0018221E"/>
    <w:rsid w:val="00182443"/>
    <w:rsid w:val="0018254B"/>
    <w:rsid w:val="00182580"/>
    <w:rsid w:val="00182651"/>
    <w:rsid w:val="0018294D"/>
    <w:rsid w:val="00182A3F"/>
    <w:rsid w:val="00182A48"/>
    <w:rsid w:val="00182B4D"/>
    <w:rsid w:val="00182E47"/>
    <w:rsid w:val="00183496"/>
    <w:rsid w:val="00183AF0"/>
    <w:rsid w:val="00183CA4"/>
    <w:rsid w:val="00183CED"/>
    <w:rsid w:val="00184502"/>
    <w:rsid w:val="00184709"/>
    <w:rsid w:val="0018471E"/>
    <w:rsid w:val="00184777"/>
    <w:rsid w:val="001847B0"/>
    <w:rsid w:val="00184837"/>
    <w:rsid w:val="00184CF0"/>
    <w:rsid w:val="00184D3B"/>
    <w:rsid w:val="00184DB7"/>
    <w:rsid w:val="00184E10"/>
    <w:rsid w:val="00185178"/>
    <w:rsid w:val="001851CE"/>
    <w:rsid w:val="001852BE"/>
    <w:rsid w:val="001855FC"/>
    <w:rsid w:val="00185731"/>
    <w:rsid w:val="0018594B"/>
    <w:rsid w:val="00185A99"/>
    <w:rsid w:val="00185C0B"/>
    <w:rsid w:val="00185F74"/>
    <w:rsid w:val="0018688B"/>
    <w:rsid w:val="001868A1"/>
    <w:rsid w:val="00186958"/>
    <w:rsid w:val="00186A0B"/>
    <w:rsid w:val="00187561"/>
    <w:rsid w:val="001875F9"/>
    <w:rsid w:val="00187B78"/>
    <w:rsid w:val="00187DFA"/>
    <w:rsid w:val="00190222"/>
    <w:rsid w:val="001902B6"/>
    <w:rsid w:val="0019055C"/>
    <w:rsid w:val="00190569"/>
    <w:rsid w:val="001907DE"/>
    <w:rsid w:val="001909F5"/>
    <w:rsid w:val="00190D0C"/>
    <w:rsid w:val="001915FE"/>
    <w:rsid w:val="001916BB"/>
    <w:rsid w:val="00191713"/>
    <w:rsid w:val="00191771"/>
    <w:rsid w:val="00191B1E"/>
    <w:rsid w:val="00191B93"/>
    <w:rsid w:val="00191BAD"/>
    <w:rsid w:val="00191F47"/>
    <w:rsid w:val="00192279"/>
    <w:rsid w:val="00192BEA"/>
    <w:rsid w:val="00192C93"/>
    <w:rsid w:val="0019325D"/>
    <w:rsid w:val="001933C9"/>
    <w:rsid w:val="00193677"/>
    <w:rsid w:val="001937A2"/>
    <w:rsid w:val="00193A64"/>
    <w:rsid w:val="00193A8A"/>
    <w:rsid w:val="00193BA8"/>
    <w:rsid w:val="00193CF4"/>
    <w:rsid w:val="00193E36"/>
    <w:rsid w:val="00193FE2"/>
    <w:rsid w:val="00194009"/>
    <w:rsid w:val="0019461C"/>
    <w:rsid w:val="00194659"/>
    <w:rsid w:val="00194BAD"/>
    <w:rsid w:val="00194DC9"/>
    <w:rsid w:val="00195227"/>
    <w:rsid w:val="0019527D"/>
    <w:rsid w:val="0019555B"/>
    <w:rsid w:val="0019558D"/>
    <w:rsid w:val="001955CE"/>
    <w:rsid w:val="00195835"/>
    <w:rsid w:val="00195887"/>
    <w:rsid w:val="00195DA0"/>
    <w:rsid w:val="0019659D"/>
    <w:rsid w:val="001966FD"/>
    <w:rsid w:val="0019683B"/>
    <w:rsid w:val="00196E02"/>
    <w:rsid w:val="00196FE5"/>
    <w:rsid w:val="0019715B"/>
    <w:rsid w:val="001972E5"/>
    <w:rsid w:val="0019757D"/>
    <w:rsid w:val="00197D8D"/>
    <w:rsid w:val="00197ECF"/>
    <w:rsid w:val="001A0313"/>
    <w:rsid w:val="001A0523"/>
    <w:rsid w:val="001A08C2"/>
    <w:rsid w:val="001A0ACA"/>
    <w:rsid w:val="001A0B2C"/>
    <w:rsid w:val="001A0B35"/>
    <w:rsid w:val="001A0BC5"/>
    <w:rsid w:val="001A0CEB"/>
    <w:rsid w:val="001A1003"/>
    <w:rsid w:val="001A1037"/>
    <w:rsid w:val="001A11D8"/>
    <w:rsid w:val="001A14B7"/>
    <w:rsid w:val="001A171B"/>
    <w:rsid w:val="001A1A3E"/>
    <w:rsid w:val="001A1B3A"/>
    <w:rsid w:val="001A1EBB"/>
    <w:rsid w:val="001A1F60"/>
    <w:rsid w:val="001A210E"/>
    <w:rsid w:val="001A21CD"/>
    <w:rsid w:val="001A259A"/>
    <w:rsid w:val="001A2734"/>
    <w:rsid w:val="001A2AC3"/>
    <w:rsid w:val="001A2B11"/>
    <w:rsid w:val="001A2BB5"/>
    <w:rsid w:val="001A2BBA"/>
    <w:rsid w:val="001A2F4B"/>
    <w:rsid w:val="001A2FFD"/>
    <w:rsid w:val="001A30C2"/>
    <w:rsid w:val="001A312F"/>
    <w:rsid w:val="001A313D"/>
    <w:rsid w:val="001A3260"/>
    <w:rsid w:val="001A3396"/>
    <w:rsid w:val="001A3A80"/>
    <w:rsid w:val="001A3B1B"/>
    <w:rsid w:val="001A3CB9"/>
    <w:rsid w:val="001A3DF6"/>
    <w:rsid w:val="001A3E26"/>
    <w:rsid w:val="001A3FBA"/>
    <w:rsid w:val="001A4519"/>
    <w:rsid w:val="001A47B3"/>
    <w:rsid w:val="001A47C8"/>
    <w:rsid w:val="001A4C5D"/>
    <w:rsid w:val="001A502C"/>
    <w:rsid w:val="001A53F8"/>
    <w:rsid w:val="001A544C"/>
    <w:rsid w:val="001A5874"/>
    <w:rsid w:val="001A5B2D"/>
    <w:rsid w:val="001A5DF3"/>
    <w:rsid w:val="001A5EE0"/>
    <w:rsid w:val="001A62BA"/>
    <w:rsid w:val="001A63AA"/>
    <w:rsid w:val="001A64D4"/>
    <w:rsid w:val="001A69C7"/>
    <w:rsid w:val="001A6B4F"/>
    <w:rsid w:val="001A6E45"/>
    <w:rsid w:val="001A7006"/>
    <w:rsid w:val="001A7172"/>
    <w:rsid w:val="001A73EC"/>
    <w:rsid w:val="001A7998"/>
    <w:rsid w:val="001A7FB4"/>
    <w:rsid w:val="001B0626"/>
    <w:rsid w:val="001B0824"/>
    <w:rsid w:val="001B0917"/>
    <w:rsid w:val="001B0AC4"/>
    <w:rsid w:val="001B0BF8"/>
    <w:rsid w:val="001B0EC3"/>
    <w:rsid w:val="001B0FB7"/>
    <w:rsid w:val="001B1334"/>
    <w:rsid w:val="001B14E3"/>
    <w:rsid w:val="001B1586"/>
    <w:rsid w:val="001B164D"/>
    <w:rsid w:val="001B18D2"/>
    <w:rsid w:val="001B1B6B"/>
    <w:rsid w:val="001B1C7E"/>
    <w:rsid w:val="001B1CCD"/>
    <w:rsid w:val="001B1E2C"/>
    <w:rsid w:val="001B1E43"/>
    <w:rsid w:val="001B209F"/>
    <w:rsid w:val="001B2196"/>
    <w:rsid w:val="001B242F"/>
    <w:rsid w:val="001B2445"/>
    <w:rsid w:val="001B24CE"/>
    <w:rsid w:val="001B2580"/>
    <w:rsid w:val="001B2DD1"/>
    <w:rsid w:val="001B3029"/>
    <w:rsid w:val="001B34C7"/>
    <w:rsid w:val="001B36FD"/>
    <w:rsid w:val="001B3790"/>
    <w:rsid w:val="001B38FF"/>
    <w:rsid w:val="001B3AC3"/>
    <w:rsid w:val="001B3C16"/>
    <w:rsid w:val="001B3CCC"/>
    <w:rsid w:val="001B3D03"/>
    <w:rsid w:val="001B3FE6"/>
    <w:rsid w:val="001B427E"/>
    <w:rsid w:val="001B4642"/>
    <w:rsid w:val="001B464C"/>
    <w:rsid w:val="001B475F"/>
    <w:rsid w:val="001B4850"/>
    <w:rsid w:val="001B48C9"/>
    <w:rsid w:val="001B4F81"/>
    <w:rsid w:val="001B509B"/>
    <w:rsid w:val="001B5115"/>
    <w:rsid w:val="001B5178"/>
    <w:rsid w:val="001B526B"/>
    <w:rsid w:val="001B569A"/>
    <w:rsid w:val="001B56D7"/>
    <w:rsid w:val="001B5769"/>
    <w:rsid w:val="001B5A61"/>
    <w:rsid w:val="001B5E7B"/>
    <w:rsid w:val="001B5E83"/>
    <w:rsid w:val="001B5EE6"/>
    <w:rsid w:val="001B6182"/>
    <w:rsid w:val="001B6213"/>
    <w:rsid w:val="001B6414"/>
    <w:rsid w:val="001B6690"/>
    <w:rsid w:val="001B67C1"/>
    <w:rsid w:val="001B6873"/>
    <w:rsid w:val="001B68A7"/>
    <w:rsid w:val="001B6BD7"/>
    <w:rsid w:val="001B6D88"/>
    <w:rsid w:val="001B6ED3"/>
    <w:rsid w:val="001B6FA5"/>
    <w:rsid w:val="001B706E"/>
    <w:rsid w:val="001B70A7"/>
    <w:rsid w:val="001B72F3"/>
    <w:rsid w:val="001B73D7"/>
    <w:rsid w:val="001B75B9"/>
    <w:rsid w:val="001B7700"/>
    <w:rsid w:val="001B7746"/>
    <w:rsid w:val="001B77D2"/>
    <w:rsid w:val="001B7998"/>
    <w:rsid w:val="001B79D6"/>
    <w:rsid w:val="001B7D90"/>
    <w:rsid w:val="001B7DEB"/>
    <w:rsid w:val="001B7E8A"/>
    <w:rsid w:val="001B7F89"/>
    <w:rsid w:val="001C01F0"/>
    <w:rsid w:val="001C04F1"/>
    <w:rsid w:val="001C070A"/>
    <w:rsid w:val="001C0B1C"/>
    <w:rsid w:val="001C0D9B"/>
    <w:rsid w:val="001C104A"/>
    <w:rsid w:val="001C1223"/>
    <w:rsid w:val="001C1F38"/>
    <w:rsid w:val="001C1F3A"/>
    <w:rsid w:val="001C1F91"/>
    <w:rsid w:val="001C1FF6"/>
    <w:rsid w:val="001C2369"/>
    <w:rsid w:val="001C28FB"/>
    <w:rsid w:val="001C2A35"/>
    <w:rsid w:val="001C2B50"/>
    <w:rsid w:val="001C2C11"/>
    <w:rsid w:val="001C2CA8"/>
    <w:rsid w:val="001C3030"/>
    <w:rsid w:val="001C30E5"/>
    <w:rsid w:val="001C3178"/>
    <w:rsid w:val="001C3325"/>
    <w:rsid w:val="001C339C"/>
    <w:rsid w:val="001C3749"/>
    <w:rsid w:val="001C3971"/>
    <w:rsid w:val="001C3F07"/>
    <w:rsid w:val="001C4322"/>
    <w:rsid w:val="001C4369"/>
    <w:rsid w:val="001C4633"/>
    <w:rsid w:val="001C46C9"/>
    <w:rsid w:val="001C46D3"/>
    <w:rsid w:val="001C48E0"/>
    <w:rsid w:val="001C49FB"/>
    <w:rsid w:val="001C4A30"/>
    <w:rsid w:val="001C4A94"/>
    <w:rsid w:val="001C4FD2"/>
    <w:rsid w:val="001C505F"/>
    <w:rsid w:val="001C51B4"/>
    <w:rsid w:val="001C5BF5"/>
    <w:rsid w:val="001C5C17"/>
    <w:rsid w:val="001C5E6B"/>
    <w:rsid w:val="001C5F02"/>
    <w:rsid w:val="001C60D8"/>
    <w:rsid w:val="001C65DD"/>
    <w:rsid w:val="001C68C7"/>
    <w:rsid w:val="001C6C8B"/>
    <w:rsid w:val="001C6F09"/>
    <w:rsid w:val="001C6F56"/>
    <w:rsid w:val="001C74F1"/>
    <w:rsid w:val="001D0219"/>
    <w:rsid w:val="001D080B"/>
    <w:rsid w:val="001D0CA7"/>
    <w:rsid w:val="001D0ED1"/>
    <w:rsid w:val="001D1188"/>
    <w:rsid w:val="001D12A1"/>
    <w:rsid w:val="001D144B"/>
    <w:rsid w:val="001D153E"/>
    <w:rsid w:val="001D1750"/>
    <w:rsid w:val="001D197D"/>
    <w:rsid w:val="001D1AD1"/>
    <w:rsid w:val="001D1B97"/>
    <w:rsid w:val="001D2072"/>
    <w:rsid w:val="001D20B6"/>
    <w:rsid w:val="001D21D3"/>
    <w:rsid w:val="001D2279"/>
    <w:rsid w:val="001D249D"/>
    <w:rsid w:val="001D24FF"/>
    <w:rsid w:val="001D2526"/>
    <w:rsid w:val="001D268E"/>
    <w:rsid w:val="001D2DA1"/>
    <w:rsid w:val="001D31B8"/>
    <w:rsid w:val="001D31E6"/>
    <w:rsid w:val="001D38EB"/>
    <w:rsid w:val="001D3C5E"/>
    <w:rsid w:val="001D3E09"/>
    <w:rsid w:val="001D3E1D"/>
    <w:rsid w:val="001D3F0F"/>
    <w:rsid w:val="001D3F1B"/>
    <w:rsid w:val="001D403E"/>
    <w:rsid w:val="001D42EF"/>
    <w:rsid w:val="001D42FA"/>
    <w:rsid w:val="001D4864"/>
    <w:rsid w:val="001D4E42"/>
    <w:rsid w:val="001D4F58"/>
    <w:rsid w:val="001D52F7"/>
    <w:rsid w:val="001D55FD"/>
    <w:rsid w:val="001D5601"/>
    <w:rsid w:val="001D56AC"/>
    <w:rsid w:val="001D5A1A"/>
    <w:rsid w:val="001D5FC5"/>
    <w:rsid w:val="001D620A"/>
    <w:rsid w:val="001D622C"/>
    <w:rsid w:val="001D62A4"/>
    <w:rsid w:val="001D67E5"/>
    <w:rsid w:val="001D6B1A"/>
    <w:rsid w:val="001D7024"/>
    <w:rsid w:val="001D726B"/>
    <w:rsid w:val="001D75B1"/>
    <w:rsid w:val="001D76D5"/>
    <w:rsid w:val="001D79F6"/>
    <w:rsid w:val="001D7C0B"/>
    <w:rsid w:val="001D7D9E"/>
    <w:rsid w:val="001E0751"/>
    <w:rsid w:val="001E0838"/>
    <w:rsid w:val="001E0B2D"/>
    <w:rsid w:val="001E0DBF"/>
    <w:rsid w:val="001E109E"/>
    <w:rsid w:val="001E168F"/>
    <w:rsid w:val="001E1713"/>
    <w:rsid w:val="001E175F"/>
    <w:rsid w:val="001E18A0"/>
    <w:rsid w:val="001E1C9C"/>
    <w:rsid w:val="001E1CCA"/>
    <w:rsid w:val="001E1E2F"/>
    <w:rsid w:val="001E2140"/>
    <w:rsid w:val="001E22F4"/>
    <w:rsid w:val="001E2622"/>
    <w:rsid w:val="001E263A"/>
    <w:rsid w:val="001E2792"/>
    <w:rsid w:val="001E28EA"/>
    <w:rsid w:val="001E2FA4"/>
    <w:rsid w:val="001E3199"/>
    <w:rsid w:val="001E3243"/>
    <w:rsid w:val="001E339F"/>
    <w:rsid w:val="001E344D"/>
    <w:rsid w:val="001E35D3"/>
    <w:rsid w:val="001E3B35"/>
    <w:rsid w:val="001E416D"/>
    <w:rsid w:val="001E4218"/>
    <w:rsid w:val="001E4B7B"/>
    <w:rsid w:val="001E4C06"/>
    <w:rsid w:val="001E4C9F"/>
    <w:rsid w:val="001E4D93"/>
    <w:rsid w:val="001E4FF3"/>
    <w:rsid w:val="001E513A"/>
    <w:rsid w:val="001E5162"/>
    <w:rsid w:val="001E5344"/>
    <w:rsid w:val="001E5989"/>
    <w:rsid w:val="001E5ACA"/>
    <w:rsid w:val="001E5D0E"/>
    <w:rsid w:val="001E5D9D"/>
    <w:rsid w:val="001E5F04"/>
    <w:rsid w:val="001E611F"/>
    <w:rsid w:val="001E6563"/>
    <w:rsid w:val="001E674E"/>
    <w:rsid w:val="001E6D66"/>
    <w:rsid w:val="001E70DB"/>
    <w:rsid w:val="001E753D"/>
    <w:rsid w:val="001E76BB"/>
    <w:rsid w:val="001E77E7"/>
    <w:rsid w:val="001E7855"/>
    <w:rsid w:val="001E7882"/>
    <w:rsid w:val="001E7AE7"/>
    <w:rsid w:val="001E7E2F"/>
    <w:rsid w:val="001F0181"/>
    <w:rsid w:val="001F0258"/>
    <w:rsid w:val="001F028B"/>
    <w:rsid w:val="001F053F"/>
    <w:rsid w:val="001F09CE"/>
    <w:rsid w:val="001F0DE3"/>
    <w:rsid w:val="001F0E56"/>
    <w:rsid w:val="001F1000"/>
    <w:rsid w:val="001F10E4"/>
    <w:rsid w:val="001F140A"/>
    <w:rsid w:val="001F1DB8"/>
    <w:rsid w:val="001F1F6A"/>
    <w:rsid w:val="001F1FA8"/>
    <w:rsid w:val="001F211A"/>
    <w:rsid w:val="001F2ACE"/>
    <w:rsid w:val="001F3609"/>
    <w:rsid w:val="001F36EA"/>
    <w:rsid w:val="001F394C"/>
    <w:rsid w:val="001F3C7C"/>
    <w:rsid w:val="001F3E02"/>
    <w:rsid w:val="001F475A"/>
    <w:rsid w:val="001F4915"/>
    <w:rsid w:val="001F4D18"/>
    <w:rsid w:val="001F4F62"/>
    <w:rsid w:val="001F5134"/>
    <w:rsid w:val="001F51F3"/>
    <w:rsid w:val="001F5493"/>
    <w:rsid w:val="001F57E3"/>
    <w:rsid w:val="001F594C"/>
    <w:rsid w:val="001F5BD6"/>
    <w:rsid w:val="001F5D84"/>
    <w:rsid w:val="001F5ECF"/>
    <w:rsid w:val="001F6447"/>
    <w:rsid w:val="001F69D9"/>
    <w:rsid w:val="001F6E4F"/>
    <w:rsid w:val="001F7143"/>
    <w:rsid w:val="001F7490"/>
    <w:rsid w:val="001F74AB"/>
    <w:rsid w:val="001F7521"/>
    <w:rsid w:val="001F768D"/>
    <w:rsid w:val="001F7742"/>
    <w:rsid w:val="001F7851"/>
    <w:rsid w:val="001F7E3E"/>
    <w:rsid w:val="00200288"/>
    <w:rsid w:val="00200351"/>
    <w:rsid w:val="00200644"/>
    <w:rsid w:val="00200719"/>
    <w:rsid w:val="002008CC"/>
    <w:rsid w:val="00200CE0"/>
    <w:rsid w:val="0020115D"/>
    <w:rsid w:val="002013C7"/>
    <w:rsid w:val="0020151F"/>
    <w:rsid w:val="002015E7"/>
    <w:rsid w:val="0020173E"/>
    <w:rsid w:val="00201B70"/>
    <w:rsid w:val="00201D27"/>
    <w:rsid w:val="00201EC7"/>
    <w:rsid w:val="00201FA9"/>
    <w:rsid w:val="002020B4"/>
    <w:rsid w:val="002028EE"/>
    <w:rsid w:val="0020292E"/>
    <w:rsid w:val="00202DDE"/>
    <w:rsid w:val="00202E2B"/>
    <w:rsid w:val="00202F50"/>
    <w:rsid w:val="002033C6"/>
    <w:rsid w:val="002036F0"/>
    <w:rsid w:val="00203BF3"/>
    <w:rsid w:val="00203C0C"/>
    <w:rsid w:val="00203C2F"/>
    <w:rsid w:val="002043AC"/>
    <w:rsid w:val="0020453C"/>
    <w:rsid w:val="00204560"/>
    <w:rsid w:val="00204B94"/>
    <w:rsid w:val="00204F2B"/>
    <w:rsid w:val="00204F55"/>
    <w:rsid w:val="00204F5B"/>
    <w:rsid w:val="00204F66"/>
    <w:rsid w:val="00204FF7"/>
    <w:rsid w:val="00205191"/>
    <w:rsid w:val="0020535D"/>
    <w:rsid w:val="00205447"/>
    <w:rsid w:val="00205486"/>
    <w:rsid w:val="0020555A"/>
    <w:rsid w:val="00205565"/>
    <w:rsid w:val="00205855"/>
    <w:rsid w:val="002058DD"/>
    <w:rsid w:val="00205B4C"/>
    <w:rsid w:val="00205CFF"/>
    <w:rsid w:val="002061FC"/>
    <w:rsid w:val="002063BE"/>
    <w:rsid w:val="002063D6"/>
    <w:rsid w:val="002064FB"/>
    <w:rsid w:val="00206834"/>
    <w:rsid w:val="00206917"/>
    <w:rsid w:val="00206A06"/>
    <w:rsid w:val="00206AE9"/>
    <w:rsid w:val="00206CE1"/>
    <w:rsid w:val="00206DCA"/>
    <w:rsid w:val="00206FBF"/>
    <w:rsid w:val="00207243"/>
    <w:rsid w:val="00207247"/>
    <w:rsid w:val="00207947"/>
    <w:rsid w:val="00207A76"/>
    <w:rsid w:val="00207CA6"/>
    <w:rsid w:val="00207E07"/>
    <w:rsid w:val="00207EEB"/>
    <w:rsid w:val="00210379"/>
    <w:rsid w:val="002107E4"/>
    <w:rsid w:val="0021094E"/>
    <w:rsid w:val="002109A8"/>
    <w:rsid w:val="00210DCE"/>
    <w:rsid w:val="00210DF6"/>
    <w:rsid w:val="00210FF8"/>
    <w:rsid w:val="00211327"/>
    <w:rsid w:val="002114A7"/>
    <w:rsid w:val="0021155E"/>
    <w:rsid w:val="0021162E"/>
    <w:rsid w:val="00211CC3"/>
    <w:rsid w:val="00211F95"/>
    <w:rsid w:val="0021200F"/>
    <w:rsid w:val="0021211A"/>
    <w:rsid w:val="0021214E"/>
    <w:rsid w:val="002121E6"/>
    <w:rsid w:val="0021231F"/>
    <w:rsid w:val="00212624"/>
    <w:rsid w:val="00212B73"/>
    <w:rsid w:val="00212C79"/>
    <w:rsid w:val="00212D8D"/>
    <w:rsid w:val="00212FC9"/>
    <w:rsid w:val="0021309A"/>
    <w:rsid w:val="002132CA"/>
    <w:rsid w:val="002133FA"/>
    <w:rsid w:val="0021341C"/>
    <w:rsid w:val="0021348D"/>
    <w:rsid w:val="002134B4"/>
    <w:rsid w:val="002135A5"/>
    <w:rsid w:val="00213E65"/>
    <w:rsid w:val="00213EAA"/>
    <w:rsid w:val="00213EEF"/>
    <w:rsid w:val="00213F33"/>
    <w:rsid w:val="00213F88"/>
    <w:rsid w:val="00213FD4"/>
    <w:rsid w:val="0021424D"/>
    <w:rsid w:val="00214275"/>
    <w:rsid w:val="00214284"/>
    <w:rsid w:val="002145A0"/>
    <w:rsid w:val="00214718"/>
    <w:rsid w:val="00214BDD"/>
    <w:rsid w:val="00214C5B"/>
    <w:rsid w:val="00214F9B"/>
    <w:rsid w:val="0021509C"/>
    <w:rsid w:val="0021509E"/>
    <w:rsid w:val="00215979"/>
    <w:rsid w:val="00215B14"/>
    <w:rsid w:val="00215ED1"/>
    <w:rsid w:val="00215F24"/>
    <w:rsid w:val="00215FA2"/>
    <w:rsid w:val="002160A9"/>
    <w:rsid w:val="002164C3"/>
    <w:rsid w:val="0021671A"/>
    <w:rsid w:val="00216F47"/>
    <w:rsid w:val="002171FB"/>
    <w:rsid w:val="00217519"/>
    <w:rsid w:val="00217797"/>
    <w:rsid w:val="002178DD"/>
    <w:rsid w:val="00220093"/>
    <w:rsid w:val="002200D4"/>
    <w:rsid w:val="00220236"/>
    <w:rsid w:val="00220320"/>
    <w:rsid w:val="002203BD"/>
    <w:rsid w:val="002209A6"/>
    <w:rsid w:val="00220C5F"/>
    <w:rsid w:val="00221276"/>
    <w:rsid w:val="00221EFB"/>
    <w:rsid w:val="002222B1"/>
    <w:rsid w:val="0022240D"/>
    <w:rsid w:val="00222601"/>
    <w:rsid w:val="002226C1"/>
    <w:rsid w:val="00222ACD"/>
    <w:rsid w:val="00222BAD"/>
    <w:rsid w:val="0022315C"/>
    <w:rsid w:val="0022322F"/>
    <w:rsid w:val="002237CB"/>
    <w:rsid w:val="0022394F"/>
    <w:rsid w:val="002239B1"/>
    <w:rsid w:val="00223B06"/>
    <w:rsid w:val="00223F1E"/>
    <w:rsid w:val="002243C9"/>
    <w:rsid w:val="00224565"/>
    <w:rsid w:val="00224820"/>
    <w:rsid w:val="0022492D"/>
    <w:rsid w:val="00224A49"/>
    <w:rsid w:val="00224A88"/>
    <w:rsid w:val="00225067"/>
    <w:rsid w:val="00225099"/>
    <w:rsid w:val="002252A9"/>
    <w:rsid w:val="002253A7"/>
    <w:rsid w:val="00225510"/>
    <w:rsid w:val="00225671"/>
    <w:rsid w:val="00225757"/>
    <w:rsid w:val="0022583D"/>
    <w:rsid w:val="0022585C"/>
    <w:rsid w:val="00225AF4"/>
    <w:rsid w:val="00225D12"/>
    <w:rsid w:val="0022634B"/>
    <w:rsid w:val="0022639D"/>
    <w:rsid w:val="0022646E"/>
    <w:rsid w:val="00226A68"/>
    <w:rsid w:val="0022724D"/>
    <w:rsid w:val="002277A3"/>
    <w:rsid w:val="002279A7"/>
    <w:rsid w:val="00227B97"/>
    <w:rsid w:val="00227CC9"/>
    <w:rsid w:val="002301B3"/>
    <w:rsid w:val="00230A74"/>
    <w:rsid w:val="00230B3C"/>
    <w:rsid w:val="00230C7A"/>
    <w:rsid w:val="00230EBE"/>
    <w:rsid w:val="00231340"/>
    <w:rsid w:val="002313B0"/>
    <w:rsid w:val="00231630"/>
    <w:rsid w:val="00231644"/>
    <w:rsid w:val="00231AA3"/>
    <w:rsid w:val="00231E2B"/>
    <w:rsid w:val="00231E8A"/>
    <w:rsid w:val="00231EF3"/>
    <w:rsid w:val="002320FD"/>
    <w:rsid w:val="00232206"/>
    <w:rsid w:val="002322A0"/>
    <w:rsid w:val="0023263C"/>
    <w:rsid w:val="00232760"/>
    <w:rsid w:val="00232ACE"/>
    <w:rsid w:val="00232CD9"/>
    <w:rsid w:val="00232D92"/>
    <w:rsid w:val="00233025"/>
    <w:rsid w:val="00233330"/>
    <w:rsid w:val="002333DE"/>
    <w:rsid w:val="0023346B"/>
    <w:rsid w:val="0023376F"/>
    <w:rsid w:val="002337E4"/>
    <w:rsid w:val="00233BD1"/>
    <w:rsid w:val="00233C10"/>
    <w:rsid w:val="00233D57"/>
    <w:rsid w:val="00233F27"/>
    <w:rsid w:val="0023422D"/>
    <w:rsid w:val="0023443B"/>
    <w:rsid w:val="002344A4"/>
    <w:rsid w:val="0023456F"/>
    <w:rsid w:val="0023498B"/>
    <w:rsid w:val="00234C63"/>
    <w:rsid w:val="00234E64"/>
    <w:rsid w:val="00234F7B"/>
    <w:rsid w:val="00235143"/>
    <w:rsid w:val="0023522C"/>
    <w:rsid w:val="002352B8"/>
    <w:rsid w:val="00235431"/>
    <w:rsid w:val="0023599E"/>
    <w:rsid w:val="00235D5B"/>
    <w:rsid w:val="00235D69"/>
    <w:rsid w:val="00235E56"/>
    <w:rsid w:val="00235EBF"/>
    <w:rsid w:val="00236124"/>
    <w:rsid w:val="00236149"/>
    <w:rsid w:val="002362D4"/>
    <w:rsid w:val="0023664B"/>
    <w:rsid w:val="00236D9D"/>
    <w:rsid w:val="00236DB7"/>
    <w:rsid w:val="00236E36"/>
    <w:rsid w:val="002370A6"/>
    <w:rsid w:val="00237432"/>
    <w:rsid w:val="002375EF"/>
    <w:rsid w:val="002377CC"/>
    <w:rsid w:val="00237876"/>
    <w:rsid w:val="00237D19"/>
    <w:rsid w:val="00237DC7"/>
    <w:rsid w:val="00237FF4"/>
    <w:rsid w:val="0024017F"/>
    <w:rsid w:val="002401DF"/>
    <w:rsid w:val="0024037E"/>
    <w:rsid w:val="00240512"/>
    <w:rsid w:val="00240980"/>
    <w:rsid w:val="00240B31"/>
    <w:rsid w:val="00240C15"/>
    <w:rsid w:val="00240ECD"/>
    <w:rsid w:val="002412C5"/>
    <w:rsid w:val="00241561"/>
    <w:rsid w:val="00241596"/>
    <w:rsid w:val="00241623"/>
    <w:rsid w:val="0024173C"/>
    <w:rsid w:val="002421C3"/>
    <w:rsid w:val="00242295"/>
    <w:rsid w:val="002422FD"/>
    <w:rsid w:val="00242356"/>
    <w:rsid w:val="002424C0"/>
    <w:rsid w:val="0024259B"/>
    <w:rsid w:val="00242674"/>
    <w:rsid w:val="00242862"/>
    <w:rsid w:val="0024286C"/>
    <w:rsid w:val="002429E4"/>
    <w:rsid w:val="00242BBD"/>
    <w:rsid w:val="00242CE7"/>
    <w:rsid w:val="00242DF0"/>
    <w:rsid w:val="002432A9"/>
    <w:rsid w:val="0024344D"/>
    <w:rsid w:val="00243F6D"/>
    <w:rsid w:val="002440B2"/>
    <w:rsid w:val="0024416D"/>
    <w:rsid w:val="00244890"/>
    <w:rsid w:val="00244D70"/>
    <w:rsid w:val="00245082"/>
    <w:rsid w:val="002452C8"/>
    <w:rsid w:val="00245501"/>
    <w:rsid w:val="002455F7"/>
    <w:rsid w:val="002459D8"/>
    <w:rsid w:val="00245FFA"/>
    <w:rsid w:val="00246B5F"/>
    <w:rsid w:val="00246C99"/>
    <w:rsid w:val="00246D1F"/>
    <w:rsid w:val="00247274"/>
    <w:rsid w:val="0024756C"/>
    <w:rsid w:val="002475B3"/>
    <w:rsid w:val="0024788E"/>
    <w:rsid w:val="00247FD9"/>
    <w:rsid w:val="00250A8B"/>
    <w:rsid w:val="00250D1E"/>
    <w:rsid w:val="00250EED"/>
    <w:rsid w:val="00250F26"/>
    <w:rsid w:val="002511CE"/>
    <w:rsid w:val="0025124A"/>
    <w:rsid w:val="002513AB"/>
    <w:rsid w:val="002514F4"/>
    <w:rsid w:val="0025178B"/>
    <w:rsid w:val="002523BA"/>
    <w:rsid w:val="002523E7"/>
    <w:rsid w:val="0025258C"/>
    <w:rsid w:val="002527F8"/>
    <w:rsid w:val="00252AB5"/>
    <w:rsid w:val="00252CC9"/>
    <w:rsid w:val="00253105"/>
    <w:rsid w:val="0025314E"/>
    <w:rsid w:val="002536CF"/>
    <w:rsid w:val="00253C3E"/>
    <w:rsid w:val="00253DBD"/>
    <w:rsid w:val="002541FD"/>
    <w:rsid w:val="00254223"/>
    <w:rsid w:val="00254390"/>
    <w:rsid w:val="00254949"/>
    <w:rsid w:val="00254D25"/>
    <w:rsid w:val="00254D70"/>
    <w:rsid w:val="0025506C"/>
    <w:rsid w:val="00255300"/>
    <w:rsid w:val="00255561"/>
    <w:rsid w:val="0025561E"/>
    <w:rsid w:val="00255783"/>
    <w:rsid w:val="002557F6"/>
    <w:rsid w:val="00255840"/>
    <w:rsid w:val="00255EA0"/>
    <w:rsid w:val="00255EB3"/>
    <w:rsid w:val="00255F0B"/>
    <w:rsid w:val="00256474"/>
    <w:rsid w:val="002564AB"/>
    <w:rsid w:val="00256CF3"/>
    <w:rsid w:val="00256FD7"/>
    <w:rsid w:val="00257381"/>
    <w:rsid w:val="00257C44"/>
    <w:rsid w:val="00260145"/>
    <w:rsid w:val="002606B0"/>
    <w:rsid w:val="002607DB"/>
    <w:rsid w:val="00260989"/>
    <w:rsid w:val="00260ACE"/>
    <w:rsid w:val="00260C12"/>
    <w:rsid w:val="00260CEF"/>
    <w:rsid w:val="00260CF6"/>
    <w:rsid w:val="00260D27"/>
    <w:rsid w:val="00260F06"/>
    <w:rsid w:val="0026117D"/>
    <w:rsid w:val="00261626"/>
    <w:rsid w:val="00261839"/>
    <w:rsid w:val="00261EE5"/>
    <w:rsid w:val="00262050"/>
    <w:rsid w:val="002620A4"/>
    <w:rsid w:val="002622C3"/>
    <w:rsid w:val="0026240F"/>
    <w:rsid w:val="0026254F"/>
    <w:rsid w:val="002625CE"/>
    <w:rsid w:val="00262919"/>
    <w:rsid w:val="00262AFC"/>
    <w:rsid w:val="00262B3C"/>
    <w:rsid w:val="00263523"/>
    <w:rsid w:val="002636A9"/>
    <w:rsid w:val="0026372F"/>
    <w:rsid w:val="00263A51"/>
    <w:rsid w:val="00263C3B"/>
    <w:rsid w:val="00263C42"/>
    <w:rsid w:val="00263CC8"/>
    <w:rsid w:val="00263CE6"/>
    <w:rsid w:val="00263E5A"/>
    <w:rsid w:val="002642FE"/>
    <w:rsid w:val="00264887"/>
    <w:rsid w:val="002648E2"/>
    <w:rsid w:val="00264AA3"/>
    <w:rsid w:val="00264C3D"/>
    <w:rsid w:val="00264C78"/>
    <w:rsid w:val="00264D8C"/>
    <w:rsid w:val="002651A5"/>
    <w:rsid w:val="002655E1"/>
    <w:rsid w:val="002661D1"/>
    <w:rsid w:val="002661EF"/>
    <w:rsid w:val="002666CC"/>
    <w:rsid w:val="0026677F"/>
    <w:rsid w:val="002667E5"/>
    <w:rsid w:val="00266CB7"/>
    <w:rsid w:val="00266D08"/>
    <w:rsid w:val="00266E18"/>
    <w:rsid w:val="00266E29"/>
    <w:rsid w:val="002673AA"/>
    <w:rsid w:val="0026756E"/>
    <w:rsid w:val="00267849"/>
    <w:rsid w:val="00267B5A"/>
    <w:rsid w:val="00267C6F"/>
    <w:rsid w:val="00270CA9"/>
    <w:rsid w:val="00270D16"/>
    <w:rsid w:val="00270D72"/>
    <w:rsid w:val="00270DD5"/>
    <w:rsid w:val="0027126D"/>
    <w:rsid w:val="00271466"/>
    <w:rsid w:val="00271472"/>
    <w:rsid w:val="00271875"/>
    <w:rsid w:val="00271965"/>
    <w:rsid w:val="00271C1F"/>
    <w:rsid w:val="00271CC9"/>
    <w:rsid w:val="00271DBD"/>
    <w:rsid w:val="002722FD"/>
    <w:rsid w:val="00272339"/>
    <w:rsid w:val="00272541"/>
    <w:rsid w:val="00272850"/>
    <w:rsid w:val="0027285A"/>
    <w:rsid w:val="00272AD3"/>
    <w:rsid w:val="00272B8C"/>
    <w:rsid w:val="00272D00"/>
    <w:rsid w:val="00272ED1"/>
    <w:rsid w:val="00273101"/>
    <w:rsid w:val="002732CA"/>
    <w:rsid w:val="0027331B"/>
    <w:rsid w:val="0027354D"/>
    <w:rsid w:val="00273740"/>
    <w:rsid w:val="00274054"/>
    <w:rsid w:val="00274127"/>
    <w:rsid w:val="002742DA"/>
    <w:rsid w:val="0027471E"/>
    <w:rsid w:val="0027480E"/>
    <w:rsid w:val="00274A66"/>
    <w:rsid w:val="00274C28"/>
    <w:rsid w:val="00274C97"/>
    <w:rsid w:val="00275191"/>
    <w:rsid w:val="002755B9"/>
    <w:rsid w:val="00275876"/>
    <w:rsid w:val="00275B66"/>
    <w:rsid w:val="00275C5F"/>
    <w:rsid w:val="00275DF2"/>
    <w:rsid w:val="0027620F"/>
    <w:rsid w:val="00276223"/>
    <w:rsid w:val="00276287"/>
    <w:rsid w:val="002769F3"/>
    <w:rsid w:val="00276B5E"/>
    <w:rsid w:val="00276D18"/>
    <w:rsid w:val="00276EF6"/>
    <w:rsid w:val="0027714A"/>
    <w:rsid w:val="0027780F"/>
    <w:rsid w:val="00277863"/>
    <w:rsid w:val="00277E64"/>
    <w:rsid w:val="002801D8"/>
    <w:rsid w:val="002803AB"/>
    <w:rsid w:val="0028060B"/>
    <w:rsid w:val="00280709"/>
    <w:rsid w:val="00280813"/>
    <w:rsid w:val="002808FA"/>
    <w:rsid w:val="00280971"/>
    <w:rsid w:val="002809AE"/>
    <w:rsid w:val="00280A57"/>
    <w:rsid w:val="00280F72"/>
    <w:rsid w:val="00281179"/>
    <w:rsid w:val="00281953"/>
    <w:rsid w:val="00281B2E"/>
    <w:rsid w:val="00281C1A"/>
    <w:rsid w:val="002821D9"/>
    <w:rsid w:val="00282494"/>
    <w:rsid w:val="002825D7"/>
    <w:rsid w:val="0028269C"/>
    <w:rsid w:val="002828CD"/>
    <w:rsid w:val="00282A43"/>
    <w:rsid w:val="00282B80"/>
    <w:rsid w:val="00282C36"/>
    <w:rsid w:val="00282CAD"/>
    <w:rsid w:val="00282EBC"/>
    <w:rsid w:val="00282EEE"/>
    <w:rsid w:val="00283118"/>
    <w:rsid w:val="002834BF"/>
    <w:rsid w:val="002839C5"/>
    <w:rsid w:val="00283A24"/>
    <w:rsid w:val="00283AE2"/>
    <w:rsid w:val="00283B33"/>
    <w:rsid w:val="00283CAA"/>
    <w:rsid w:val="00284064"/>
    <w:rsid w:val="00284392"/>
    <w:rsid w:val="00284402"/>
    <w:rsid w:val="0028443C"/>
    <w:rsid w:val="00284515"/>
    <w:rsid w:val="002849E8"/>
    <w:rsid w:val="00284C62"/>
    <w:rsid w:val="00284D15"/>
    <w:rsid w:val="00285089"/>
    <w:rsid w:val="002853B1"/>
    <w:rsid w:val="002855C0"/>
    <w:rsid w:val="00285ACC"/>
    <w:rsid w:val="00285BCF"/>
    <w:rsid w:val="00285C59"/>
    <w:rsid w:val="00285D23"/>
    <w:rsid w:val="0028601E"/>
    <w:rsid w:val="00286079"/>
    <w:rsid w:val="0028607D"/>
    <w:rsid w:val="00286371"/>
    <w:rsid w:val="0028678D"/>
    <w:rsid w:val="002867C2"/>
    <w:rsid w:val="0028685C"/>
    <w:rsid w:val="00286C4C"/>
    <w:rsid w:val="00286EA1"/>
    <w:rsid w:val="00286F14"/>
    <w:rsid w:val="00286F6F"/>
    <w:rsid w:val="002871AB"/>
    <w:rsid w:val="0028734E"/>
    <w:rsid w:val="002875B0"/>
    <w:rsid w:val="002878EB"/>
    <w:rsid w:val="00287951"/>
    <w:rsid w:val="00287A54"/>
    <w:rsid w:val="00287CE5"/>
    <w:rsid w:val="00287D5F"/>
    <w:rsid w:val="00287DC4"/>
    <w:rsid w:val="00287EB8"/>
    <w:rsid w:val="00287F29"/>
    <w:rsid w:val="0029018A"/>
    <w:rsid w:val="0029083E"/>
    <w:rsid w:val="0029097A"/>
    <w:rsid w:val="002909F6"/>
    <w:rsid w:val="00290D27"/>
    <w:rsid w:val="00290E30"/>
    <w:rsid w:val="002910D3"/>
    <w:rsid w:val="002910D5"/>
    <w:rsid w:val="0029131F"/>
    <w:rsid w:val="0029136C"/>
    <w:rsid w:val="00291396"/>
    <w:rsid w:val="002913BC"/>
    <w:rsid w:val="002915D1"/>
    <w:rsid w:val="0029176B"/>
    <w:rsid w:val="00291812"/>
    <w:rsid w:val="00291942"/>
    <w:rsid w:val="00291B47"/>
    <w:rsid w:val="002923CB"/>
    <w:rsid w:val="002923E3"/>
    <w:rsid w:val="00292583"/>
    <w:rsid w:val="00292772"/>
    <w:rsid w:val="00292AA2"/>
    <w:rsid w:val="00292EA3"/>
    <w:rsid w:val="002931D6"/>
    <w:rsid w:val="00293553"/>
    <w:rsid w:val="0029379C"/>
    <w:rsid w:val="002938CE"/>
    <w:rsid w:val="00293AFA"/>
    <w:rsid w:val="00293B47"/>
    <w:rsid w:val="00293C44"/>
    <w:rsid w:val="00293C76"/>
    <w:rsid w:val="00293C7B"/>
    <w:rsid w:val="00294067"/>
    <w:rsid w:val="00294156"/>
    <w:rsid w:val="0029451A"/>
    <w:rsid w:val="0029462D"/>
    <w:rsid w:val="002946CC"/>
    <w:rsid w:val="00294DD4"/>
    <w:rsid w:val="002952A2"/>
    <w:rsid w:val="002954BD"/>
    <w:rsid w:val="00295A08"/>
    <w:rsid w:val="00295D3F"/>
    <w:rsid w:val="00295D53"/>
    <w:rsid w:val="00295D6D"/>
    <w:rsid w:val="00295F26"/>
    <w:rsid w:val="0029605D"/>
    <w:rsid w:val="002964A4"/>
    <w:rsid w:val="002965A7"/>
    <w:rsid w:val="002966CF"/>
    <w:rsid w:val="002969CF"/>
    <w:rsid w:val="00296A9A"/>
    <w:rsid w:val="00296AE1"/>
    <w:rsid w:val="00296B24"/>
    <w:rsid w:val="00296D37"/>
    <w:rsid w:val="00296DBA"/>
    <w:rsid w:val="00296F68"/>
    <w:rsid w:val="00296FF7"/>
    <w:rsid w:val="0029722E"/>
    <w:rsid w:val="00297419"/>
    <w:rsid w:val="00297BEC"/>
    <w:rsid w:val="00297CA0"/>
    <w:rsid w:val="00297DE9"/>
    <w:rsid w:val="002A016A"/>
    <w:rsid w:val="002A02F1"/>
    <w:rsid w:val="002A0514"/>
    <w:rsid w:val="002A060F"/>
    <w:rsid w:val="002A06F5"/>
    <w:rsid w:val="002A07F6"/>
    <w:rsid w:val="002A0EC8"/>
    <w:rsid w:val="002A11F0"/>
    <w:rsid w:val="002A125E"/>
    <w:rsid w:val="002A1292"/>
    <w:rsid w:val="002A178A"/>
    <w:rsid w:val="002A1911"/>
    <w:rsid w:val="002A1A4E"/>
    <w:rsid w:val="002A22B7"/>
    <w:rsid w:val="002A2793"/>
    <w:rsid w:val="002A2FBE"/>
    <w:rsid w:val="002A323C"/>
    <w:rsid w:val="002A3366"/>
    <w:rsid w:val="002A3868"/>
    <w:rsid w:val="002A39B9"/>
    <w:rsid w:val="002A3C3E"/>
    <w:rsid w:val="002A3DBA"/>
    <w:rsid w:val="002A3FAB"/>
    <w:rsid w:val="002A417A"/>
    <w:rsid w:val="002A4610"/>
    <w:rsid w:val="002A48C7"/>
    <w:rsid w:val="002A4980"/>
    <w:rsid w:val="002A4BDF"/>
    <w:rsid w:val="002A4E19"/>
    <w:rsid w:val="002A58CF"/>
    <w:rsid w:val="002A5971"/>
    <w:rsid w:val="002A5D6C"/>
    <w:rsid w:val="002A5DD8"/>
    <w:rsid w:val="002A62A9"/>
    <w:rsid w:val="002A678E"/>
    <w:rsid w:val="002A67AD"/>
    <w:rsid w:val="002A6AF1"/>
    <w:rsid w:val="002A73E1"/>
    <w:rsid w:val="002A7476"/>
    <w:rsid w:val="002A788A"/>
    <w:rsid w:val="002B0091"/>
    <w:rsid w:val="002B014A"/>
    <w:rsid w:val="002B029A"/>
    <w:rsid w:val="002B04D5"/>
    <w:rsid w:val="002B0658"/>
    <w:rsid w:val="002B06C5"/>
    <w:rsid w:val="002B070E"/>
    <w:rsid w:val="002B07A5"/>
    <w:rsid w:val="002B09BE"/>
    <w:rsid w:val="002B0B5F"/>
    <w:rsid w:val="002B13D8"/>
    <w:rsid w:val="002B1551"/>
    <w:rsid w:val="002B16BB"/>
    <w:rsid w:val="002B1CD5"/>
    <w:rsid w:val="002B1D45"/>
    <w:rsid w:val="002B2228"/>
    <w:rsid w:val="002B2266"/>
    <w:rsid w:val="002B267A"/>
    <w:rsid w:val="002B28EF"/>
    <w:rsid w:val="002B3028"/>
    <w:rsid w:val="002B31B1"/>
    <w:rsid w:val="002B3230"/>
    <w:rsid w:val="002B360B"/>
    <w:rsid w:val="002B367D"/>
    <w:rsid w:val="002B39CB"/>
    <w:rsid w:val="002B3DCA"/>
    <w:rsid w:val="002B3ECD"/>
    <w:rsid w:val="002B41AA"/>
    <w:rsid w:val="002B4284"/>
    <w:rsid w:val="002B42D5"/>
    <w:rsid w:val="002B453F"/>
    <w:rsid w:val="002B48FE"/>
    <w:rsid w:val="002B4AD6"/>
    <w:rsid w:val="002B4B5E"/>
    <w:rsid w:val="002B4BAD"/>
    <w:rsid w:val="002B4D6D"/>
    <w:rsid w:val="002B4DA9"/>
    <w:rsid w:val="002B54B9"/>
    <w:rsid w:val="002B5A42"/>
    <w:rsid w:val="002B5B6A"/>
    <w:rsid w:val="002B5BAD"/>
    <w:rsid w:val="002B605C"/>
    <w:rsid w:val="002B6179"/>
    <w:rsid w:val="002B61E2"/>
    <w:rsid w:val="002B62F4"/>
    <w:rsid w:val="002B662A"/>
    <w:rsid w:val="002B66DF"/>
    <w:rsid w:val="002B69D5"/>
    <w:rsid w:val="002B6E44"/>
    <w:rsid w:val="002B7131"/>
    <w:rsid w:val="002B716B"/>
    <w:rsid w:val="002B749A"/>
    <w:rsid w:val="002B76DF"/>
    <w:rsid w:val="002B7773"/>
    <w:rsid w:val="002B78DC"/>
    <w:rsid w:val="002C01D1"/>
    <w:rsid w:val="002C041B"/>
    <w:rsid w:val="002C0813"/>
    <w:rsid w:val="002C0952"/>
    <w:rsid w:val="002C0C89"/>
    <w:rsid w:val="002C0C8F"/>
    <w:rsid w:val="002C1738"/>
    <w:rsid w:val="002C1803"/>
    <w:rsid w:val="002C1B05"/>
    <w:rsid w:val="002C1BEE"/>
    <w:rsid w:val="002C1F99"/>
    <w:rsid w:val="002C22D8"/>
    <w:rsid w:val="002C285A"/>
    <w:rsid w:val="002C2860"/>
    <w:rsid w:val="002C2AF3"/>
    <w:rsid w:val="002C323E"/>
    <w:rsid w:val="002C35AB"/>
    <w:rsid w:val="002C37BC"/>
    <w:rsid w:val="002C3CCA"/>
    <w:rsid w:val="002C3CFA"/>
    <w:rsid w:val="002C3CFF"/>
    <w:rsid w:val="002C3FFA"/>
    <w:rsid w:val="002C4291"/>
    <w:rsid w:val="002C4343"/>
    <w:rsid w:val="002C43C6"/>
    <w:rsid w:val="002C4586"/>
    <w:rsid w:val="002C45F2"/>
    <w:rsid w:val="002C5790"/>
    <w:rsid w:val="002C5D2D"/>
    <w:rsid w:val="002C5D3B"/>
    <w:rsid w:val="002C5DD9"/>
    <w:rsid w:val="002C6379"/>
    <w:rsid w:val="002C63F6"/>
    <w:rsid w:val="002C6464"/>
    <w:rsid w:val="002C655D"/>
    <w:rsid w:val="002C6876"/>
    <w:rsid w:val="002C6A8A"/>
    <w:rsid w:val="002C6CCF"/>
    <w:rsid w:val="002C6FA3"/>
    <w:rsid w:val="002C7C31"/>
    <w:rsid w:val="002C7D41"/>
    <w:rsid w:val="002C7E78"/>
    <w:rsid w:val="002D0168"/>
    <w:rsid w:val="002D050E"/>
    <w:rsid w:val="002D0536"/>
    <w:rsid w:val="002D05DE"/>
    <w:rsid w:val="002D07FC"/>
    <w:rsid w:val="002D0D4D"/>
    <w:rsid w:val="002D0E05"/>
    <w:rsid w:val="002D0E6C"/>
    <w:rsid w:val="002D0F27"/>
    <w:rsid w:val="002D0FD9"/>
    <w:rsid w:val="002D15AB"/>
    <w:rsid w:val="002D1629"/>
    <w:rsid w:val="002D1973"/>
    <w:rsid w:val="002D19A5"/>
    <w:rsid w:val="002D1AC6"/>
    <w:rsid w:val="002D1DC4"/>
    <w:rsid w:val="002D28D5"/>
    <w:rsid w:val="002D2C42"/>
    <w:rsid w:val="002D2FB9"/>
    <w:rsid w:val="002D3085"/>
    <w:rsid w:val="002D30CE"/>
    <w:rsid w:val="002D3110"/>
    <w:rsid w:val="002D3569"/>
    <w:rsid w:val="002D366D"/>
    <w:rsid w:val="002D37D6"/>
    <w:rsid w:val="002D39DF"/>
    <w:rsid w:val="002D3CAA"/>
    <w:rsid w:val="002D4347"/>
    <w:rsid w:val="002D435F"/>
    <w:rsid w:val="002D439F"/>
    <w:rsid w:val="002D4444"/>
    <w:rsid w:val="002D449D"/>
    <w:rsid w:val="002D477D"/>
    <w:rsid w:val="002D4FFC"/>
    <w:rsid w:val="002D514B"/>
    <w:rsid w:val="002D58B4"/>
    <w:rsid w:val="002D59F2"/>
    <w:rsid w:val="002D5B4C"/>
    <w:rsid w:val="002D5F15"/>
    <w:rsid w:val="002D6483"/>
    <w:rsid w:val="002D69B9"/>
    <w:rsid w:val="002D6A31"/>
    <w:rsid w:val="002D6B0D"/>
    <w:rsid w:val="002D6C82"/>
    <w:rsid w:val="002D6EA4"/>
    <w:rsid w:val="002D7146"/>
    <w:rsid w:val="002D72D9"/>
    <w:rsid w:val="002D736A"/>
    <w:rsid w:val="002D743A"/>
    <w:rsid w:val="002D75F8"/>
    <w:rsid w:val="002D7904"/>
    <w:rsid w:val="002D7974"/>
    <w:rsid w:val="002D7A48"/>
    <w:rsid w:val="002D7C20"/>
    <w:rsid w:val="002D7DF4"/>
    <w:rsid w:val="002D7EE8"/>
    <w:rsid w:val="002E0291"/>
    <w:rsid w:val="002E0818"/>
    <w:rsid w:val="002E088C"/>
    <w:rsid w:val="002E0B8F"/>
    <w:rsid w:val="002E0B91"/>
    <w:rsid w:val="002E0F7D"/>
    <w:rsid w:val="002E107D"/>
    <w:rsid w:val="002E1247"/>
    <w:rsid w:val="002E1273"/>
    <w:rsid w:val="002E12DC"/>
    <w:rsid w:val="002E13AD"/>
    <w:rsid w:val="002E1406"/>
    <w:rsid w:val="002E16FE"/>
    <w:rsid w:val="002E1711"/>
    <w:rsid w:val="002E1716"/>
    <w:rsid w:val="002E1B46"/>
    <w:rsid w:val="002E1CA2"/>
    <w:rsid w:val="002E267C"/>
    <w:rsid w:val="002E275E"/>
    <w:rsid w:val="002E276D"/>
    <w:rsid w:val="002E2869"/>
    <w:rsid w:val="002E3119"/>
    <w:rsid w:val="002E3360"/>
    <w:rsid w:val="002E3E05"/>
    <w:rsid w:val="002E43ED"/>
    <w:rsid w:val="002E4715"/>
    <w:rsid w:val="002E4869"/>
    <w:rsid w:val="002E4A8A"/>
    <w:rsid w:val="002E517C"/>
    <w:rsid w:val="002E5588"/>
    <w:rsid w:val="002E5DEB"/>
    <w:rsid w:val="002E602D"/>
    <w:rsid w:val="002E63EB"/>
    <w:rsid w:val="002E6646"/>
    <w:rsid w:val="002E6CC5"/>
    <w:rsid w:val="002E7050"/>
    <w:rsid w:val="002E71E1"/>
    <w:rsid w:val="002E7348"/>
    <w:rsid w:val="002E74A4"/>
    <w:rsid w:val="002E76B5"/>
    <w:rsid w:val="002E777C"/>
    <w:rsid w:val="002E77FA"/>
    <w:rsid w:val="002E7AA3"/>
    <w:rsid w:val="002E7B5D"/>
    <w:rsid w:val="002E7B61"/>
    <w:rsid w:val="002E7C97"/>
    <w:rsid w:val="002E7FCA"/>
    <w:rsid w:val="002F025B"/>
    <w:rsid w:val="002F03B0"/>
    <w:rsid w:val="002F05A9"/>
    <w:rsid w:val="002F08D1"/>
    <w:rsid w:val="002F093A"/>
    <w:rsid w:val="002F0B1C"/>
    <w:rsid w:val="002F10BF"/>
    <w:rsid w:val="002F12C3"/>
    <w:rsid w:val="002F12E1"/>
    <w:rsid w:val="002F15D5"/>
    <w:rsid w:val="002F17A8"/>
    <w:rsid w:val="002F1823"/>
    <w:rsid w:val="002F1C48"/>
    <w:rsid w:val="002F1CA4"/>
    <w:rsid w:val="002F1F78"/>
    <w:rsid w:val="002F20A3"/>
    <w:rsid w:val="002F243A"/>
    <w:rsid w:val="002F24C1"/>
    <w:rsid w:val="002F255E"/>
    <w:rsid w:val="002F2759"/>
    <w:rsid w:val="002F2C0E"/>
    <w:rsid w:val="002F2CEB"/>
    <w:rsid w:val="002F3288"/>
    <w:rsid w:val="002F334B"/>
    <w:rsid w:val="002F33E4"/>
    <w:rsid w:val="002F349B"/>
    <w:rsid w:val="002F34EF"/>
    <w:rsid w:val="002F37C3"/>
    <w:rsid w:val="002F37C6"/>
    <w:rsid w:val="002F3F8B"/>
    <w:rsid w:val="002F4151"/>
    <w:rsid w:val="002F430F"/>
    <w:rsid w:val="002F452D"/>
    <w:rsid w:val="002F4786"/>
    <w:rsid w:val="002F495B"/>
    <w:rsid w:val="002F4C28"/>
    <w:rsid w:val="002F4C4F"/>
    <w:rsid w:val="002F5241"/>
    <w:rsid w:val="002F58FB"/>
    <w:rsid w:val="002F598D"/>
    <w:rsid w:val="002F5E35"/>
    <w:rsid w:val="002F5E5C"/>
    <w:rsid w:val="002F5EB7"/>
    <w:rsid w:val="002F602B"/>
    <w:rsid w:val="002F612D"/>
    <w:rsid w:val="002F668F"/>
    <w:rsid w:val="002F67D2"/>
    <w:rsid w:val="002F6961"/>
    <w:rsid w:val="002F6C9C"/>
    <w:rsid w:val="002F740E"/>
    <w:rsid w:val="002F745C"/>
    <w:rsid w:val="002F74F9"/>
    <w:rsid w:val="002F7722"/>
    <w:rsid w:val="002F7732"/>
    <w:rsid w:val="002F7784"/>
    <w:rsid w:val="002F7851"/>
    <w:rsid w:val="002F7922"/>
    <w:rsid w:val="002F7EAC"/>
    <w:rsid w:val="002F7F91"/>
    <w:rsid w:val="0030012F"/>
    <w:rsid w:val="00300226"/>
    <w:rsid w:val="00300238"/>
    <w:rsid w:val="003002C2"/>
    <w:rsid w:val="0030076D"/>
    <w:rsid w:val="00300B3B"/>
    <w:rsid w:val="00300B57"/>
    <w:rsid w:val="00300FAD"/>
    <w:rsid w:val="00300FC8"/>
    <w:rsid w:val="003012E8"/>
    <w:rsid w:val="00301319"/>
    <w:rsid w:val="00301A64"/>
    <w:rsid w:val="0030207F"/>
    <w:rsid w:val="003020E9"/>
    <w:rsid w:val="0030249B"/>
    <w:rsid w:val="003024CA"/>
    <w:rsid w:val="003025B6"/>
    <w:rsid w:val="003025D2"/>
    <w:rsid w:val="0030272C"/>
    <w:rsid w:val="003027FF"/>
    <w:rsid w:val="00302C7D"/>
    <w:rsid w:val="003030A3"/>
    <w:rsid w:val="00303350"/>
    <w:rsid w:val="00303705"/>
    <w:rsid w:val="00303953"/>
    <w:rsid w:val="00303BE3"/>
    <w:rsid w:val="00303F7C"/>
    <w:rsid w:val="0030404D"/>
    <w:rsid w:val="003041D9"/>
    <w:rsid w:val="0030495F"/>
    <w:rsid w:val="00304977"/>
    <w:rsid w:val="00304A41"/>
    <w:rsid w:val="00304BE4"/>
    <w:rsid w:val="00304CF8"/>
    <w:rsid w:val="00304D1C"/>
    <w:rsid w:val="00304DB3"/>
    <w:rsid w:val="00304E7B"/>
    <w:rsid w:val="00304E84"/>
    <w:rsid w:val="0030500E"/>
    <w:rsid w:val="0030515E"/>
    <w:rsid w:val="003054BF"/>
    <w:rsid w:val="00305529"/>
    <w:rsid w:val="0030555D"/>
    <w:rsid w:val="0030571E"/>
    <w:rsid w:val="00305A19"/>
    <w:rsid w:val="00305DAB"/>
    <w:rsid w:val="00305FBE"/>
    <w:rsid w:val="003064E9"/>
    <w:rsid w:val="003067C5"/>
    <w:rsid w:val="00306979"/>
    <w:rsid w:val="00306A0F"/>
    <w:rsid w:val="00306AFB"/>
    <w:rsid w:val="00306C6D"/>
    <w:rsid w:val="00306DB1"/>
    <w:rsid w:val="00306DF7"/>
    <w:rsid w:val="0030722F"/>
    <w:rsid w:val="003074E2"/>
    <w:rsid w:val="00307922"/>
    <w:rsid w:val="00307A86"/>
    <w:rsid w:val="00307E50"/>
    <w:rsid w:val="00307F37"/>
    <w:rsid w:val="00307F50"/>
    <w:rsid w:val="00307FAF"/>
    <w:rsid w:val="00310514"/>
    <w:rsid w:val="00310560"/>
    <w:rsid w:val="0031089C"/>
    <w:rsid w:val="00310B44"/>
    <w:rsid w:val="00310D76"/>
    <w:rsid w:val="00310E46"/>
    <w:rsid w:val="003113A8"/>
    <w:rsid w:val="00311413"/>
    <w:rsid w:val="003114BF"/>
    <w:rsid w:val="00311530"/>
    <w:rsid w:val="00311689"/>
    <w:rsid w:val="00311A4D"/>
    <w:rsid w:val="00311A4E"/>
    <w:rsid w:val="00311BED"/>
    <w:rsid w:val="00311DDD"/>
    <w:rsid w:val="00311FAC"/>
    <w:rsid w:val="003126D3"/>
    <w:rsid w:val="00312E08"/>
    <w:rsid w:val="00312FCB"/>
    <w:rsid w:val="003132A5"/>
    <w:rsid w:val="00313B99"/>
    <w:rsid w:val="00313D9B"/>
    <w:rsid w:val="00313F54"/>
    <w:rsid w:val="00313FA5"/>
    <w:rsid w:val="003145DF"/>
    <w:rsid w:val="00314662"/>
    <w:rsid w:val="00314940"/>
    <w:rsid w:val="00314D2E"/>
    <w:rsid w:val="00314DDE"/>
    <w:rsid w:val="00315049"/>
    <w:rsid w:val="003150E3"/>
    <w:rsid w:val="0031515A"/>
    <w:rsid w:val="00315386"/>
    <w:rsid w:val="003153A9"/>
    <w:rsid w:val="00315BF7"/>
    <w:rsid w:val="00315D11"/>
    <w:rsid w:val="00315D70"/>
    <w:rsid w:val="00315E0B"/>
    <w:rsid w:val="00315E92"/>
    <w:rsid w:val="00315FD2"/>
    <w:rsid w:val="003162DE"/>
    <w:rsid w:val="003163D6"/>
    <w:rsid w:val="0031667B"/>
    <w:rsid w:val="00316804"/>
    <w:rsid w:val="0031688D"/>
    <w:rsid w:val="0031689F"/>
    <w:rsid w:val="00316A39"/>
    <w:rsid w:val="00316B0B"/>
    <w:rsid w:val="00316C03"/>
    <w:rsid w:val="00316EA2"/>
    <w:rsid w:val="00317005"/>
    <w:rsid w:val="00317167"/>
    <w:rsid w:val="00317203"/>
    <w:rsid w:val="003173A2"/>
    <w:rsid w:val="003175F6"/>
    <w:rsid w:val="00317787"/>
    <w:rsid w:val="00317B06"/>
    <w:rsid w:val="00317CD9"/>
    <w:rsid w:val="00317D0A"/>
    <w:rsid w:val="00320448"/>
    <w:rsid w:val="00320980"/>
    <w:rsid w:val="003209A8"/>
    <w:rsid w:val="00320A7F"/>
    <w:rsid w:val="00320AB0"/>
    <w:rsid w:val="00320D05"/>
    <w:rsid w:val="00320D8A"/>
    <w:rsid w:val="00320E4E"/>
    <w:rsid w:val="00320F7E"/>
    <w:rsid w:val="0032104E"/>
    <w:rsid w:val="003213A9"/>
    <w:rsid w:val="00321680"/>
    <w:rsid w:val="0032181C"/>
    <w:rsid w:val="00321A7F"/>
    <w:rsid w:val="003221FF"/>
    <w:rsid w:val="00322309"/>
    <w:rsid w:val="00322616"/>
    <w:rsid w:val="00322680"/>
    <w:rsid w:val="0032295C"/>
    <w:rsid w:val="00322B87"/>
    <w:rsid w:val="00322EA2"/>
    <w:rsid w:val="003230F2"/>
    <w:rsid w:val="0032315F"/>
    <w:rsid w:val="003233DD"/>
    <w:rsid w:val="003237C9"/>
    <w:rsid w:val="00323CAA"/>
    <w:rsid w:val="00323DFD"/>
    <w:rsid w:val="003240AD"/>
    <w:rsid w:val="003246FD"/>
    <w:rsid w:val="00324935"/>
    <w:rsid w:val="00324968"/>
    <w:rsid w:val="00324EB4"/>
    <w:rsid w:val="003252E8"/>
    <w:rsid w:val="003253C2"/>
    <w:rsid w:val="0032550D"/>
    <w:rsid w:val="0032564C"/>
    <w:rsid w:val="003260DB"/>
    <w:rsid w:val="003260F1"/>
    <w:rsid w:val="003261DD"/>
    <w:rsid w:val="00326270"/>
    <w:rsid w:val="003262D4"/>
    <w:rsid w:val="00326374"/>
    <w:rsid w:val="00326755"/>
    <w:rsid w:val="0032696B"/>
    <w:rsid w:val="003270FC"/>
    <w:rsid w:val="00327110"/>
    <w:rsid w:val="003272C0"/>
    <w:rsid w:val="00327467"/>
    <w:rsid w:val="00327602"/>
    <w:rsid w:val="00327776"/>
    <w:rsid w:val="003279A1"/>
    <w:rsid w:val="00327D1D"/>
    <w:rsid w:val="00327E85"/>
    <w:rsid w:val="0033014B"/>
    <w:rsid w:val="003302A9"/>
    <w:rsid w:val="00330438"/>
    <w:rsid w:val="00330663"/>
    <w:rsid w:val="003306D0"/>
    <w:rsid w:val="00330B7D"/>
    <w:rsid w:val="00330DD4"/>
    <w:rsid w:val="00330FCE"/>
    <w:rsid w:val="003313FE"/>
    <w:rsid w:val="00331714"/>
    <w:rsid w:val="00331738"/>
    <w:rsid w:val="00331765"/>
    <w:rsid w:val="0033191A"/>
    <w:rsid w:val="00331B12"/>
    <w:rsid w:val="00331C50"/>
    <w:rsid w:val="00331D99"/>
    <w:rsid w:val="003321AF"/>
    <w:rsid w:val="0033233C"/>
    <w:rsid w:val="0033268C"/>
    <w:rsid w:val="003328FC"/>
    <w:rsid w:val="00332970"/>
    <w:rsid w:val="00332BBB"/>
    <w:rsid w:val="003334A8"/>
    <w:rsid w:val="003334FE"/>
    <w:rsid w:val="003336FF"/>
    <w:rsid w:val="00333766"/>
    <w:rsid w:val="00333973"/>
    <w:rsid w:val="00333C76"/>
    <w:rsid w:val="00333F7E"/>
    <w:rsid w:val="003340D3"/>
    <w:rsid w:val="003341E1"/>
    <w:rsid w:val="003343A0"/>
    <w:rsid w:val="0033453B"/>
    <w:rsid w:val="00334939"/>
    <w:rsid w:val="00334A6F"/>
    <w:rsid w:val="00334ED0"/>
    <w:rsid w:val="00335050"/>
    <w:rsid w:val="0033530F"/>
    <w:rsid w:val="0033542D"/>
    <w:rsid w:val="003354D0"/>
    <w:rsid w:val="0033560F"/>
    <w:rsid w:val="00335D5A"/>
    <w:rsid w:val="00335FDB"/>
    <w:rsid w:val="003364E1"/>
    <w:rsid w:val="003365CF"/>
    <w:rsid w:val="00336796"/>
    <w:rsid w:val="00336A6B"/>
    <w:rsid w:val="00336ADF"/>
    <w:rsid w:val="00336AE6"/>
    <w:rsid w:val="00336DBD"/>
    <w:rsid w:val="0033703B"/>
    <w:rsid w:val="00337172"/>
    <w:rsid w:val="00337183"/>
    <w:rsid w:val="00337259"/>
    <w:rsid w:val="003374DE"/>
    <w:rsid w:val="003379AB"/>
    <w:rsid w:val="00337B27"/>
    <w:rsid w:val="00337E5D"/>
    <w:rsid w:val="00337FEA"/>
    <w:rsid w:val="003404F2"/>
    <w:rsid w:val="00340783"/>
    <w:rsid w:val="0034094E"/>
    <w:rsid w:val="00340D2B"/>
    <w:rsid w:val="003413F5"/>
    <w:rsid w:val="003414CA"/>
    <w:rsid w:val="00341C2A"/>
    <w:rsid w:val="00341C5C"/>
    <w:rsid w:val="0034240B"/>
    <w:rsid w:val="0034266F"/>
    <w:rsid w:val="0034293A"/>
    <w:rsid w:val="00342D92"/>
    <w:rsid w:val="00343266"/>
    <w:rsid w:val="0034335B"/>
    <w:rsid w:val="00343AEC"/>
    <w:rsid w:val="00343C18"/>
    <w:rsid w:val="00343F45"/>
    <w:rsid w:val="0034406D"/>
    <w:rsid w:val="0034407B"/>
    <w:rsid w:val="00344414"/>
    <w:rsid w:val="0034458D"/>
    <w:rsid w:val="00344786"/>
    <w:rsid w:val="00344809"/>
    <w:rsid w:val="00344ED5"/>
    <w:rsid w:val="00344FDB"/>
    <w:rsid w:val="003451B3"/>
    <w:rsid w:val="003453C8"/>
    <w:rsid w:val="003453EF"/>
    <w:rsid w:val="0034549B"/>
    <w:rsid w:val="003456EC"/>
    <w:rsid w:val="0034593C"/>
    <w:rsid w:val="00345CA9"/>
    <w:rsid w:val="00345D82"/>
    <w:rsid w:val="00345FDF"/>
    <w:rsid w:val="00346057"/>
    <w:rsid w:val="00346170"/>
    <w:rsid w:val="003462BE"/>
    <w:rsid w:val="00346A21"/>
    <w:rsid w:val="00346BB2"/>
    <w:rsid w:val="00346BC5"/>
    <w:rsid w:val="00346C36"/>
    <w:rsid w:val="00346D3B"/>
    <w:rsid w:val="00346D3E"/>
    <w:rsid w:val="00346EF6"/>
    <w:rsid w:val="0034749D"/>
    <w:rsid w:val="0034751F"/>
    <w:rsid w:val="003477EC"/>
    <w:rsid w:val="003479F9"/>
    <w:rsid w:val="00347A4B"/>
    <w:rsid w:val="00347A9F"/>
    <w:rsid w:val="00347C43"/>
    <w:rsid w:val="00350238"/>
    <w:rsid w:val="003503BE"/>
    <w:rsid w:val="0035059F"/>
    <w:rsid w:val="00350887"/>
    <w:rsid w:val="00350C68"/>
    <w:rsid w:val="00350D06"/>
    <w:rsid w:val="00350DBD"/>
    <w:rsid w:val="00350FC9"/>
    <w:rsid w:val="00351229"/>
    <w:rsid w:val="003512E5"/>
    <w:rsid w:val="003513F4"/>
    <w:rsid w:val="003514E4"/>
    <w:rsid w:val="003515A3"/>
    <w:rsid w:val="00351A3E"/>
    <w:rsid w:val="00351A74"/>
    <w:rsid w:val="00351B9C"/>
    <w:rsid w:val="00351BC7"/>
    <w:rsid w:val="00351BDA"/>
    <w:rsid w:val="00351C06"/>
    <w:rsid w:val="00351D54"/>
    <w:rsid w:val="00352043"/>
    <w:rsid w:val="00352683"/>
    <w:rsid w:val="0035291B"/>
    <w:rsid w:val="00352A33"/>
    <w:rsid w:val="00352D1D"/>
    <w:rsid w:val="00352FFA"/>
    <w:rsid w:val="003531B6"/>
    <w:rsid w:val="0035383B"/>
    <w:rsid w:val="003538EB"/>
    <w:rsid w:val="00353D1A"/>
    <w:rsid w:val="00353EE4"/>
    <w:rsid w:val="00354232"/>
    <w:rsid w:val="0035427E"/>
    <w:rsid w:val="00354D03"/>
    <w:rsid w:val="003551C9"/>
    <w:rsid w:val="00355300"/>
    <w:rsid w:val="0035558D"/>
    <w:rsid w:val="00355C4C"/>
    <w:rsid w:val="00355E10"/>
    <w:rsid w:val="00355F3D"/>
    <w:rsid w:val="003561DE"/>
    <w:rsid w:val="003563CB"/>
    <w:rsid w:val="00356507"/>
    <w:rsid w:val="00356ADA"/>
    <w:rsid w:val="0035700D"/>
    <w:rsid w:val="003575CE"/>
    <w:rsid w:val="00357888"/>
    <w:rsid w:val="00357ADA"/>
    <w:rsid w:val="00357B90"/>
    <w:rsid w:val="00357BAB"/>
    <w:rsid w:val="00357E25"/>
    <w:rsid w:val="00357F01"/>
    <w:rsid w:val="00360146"/>
    <w:rsid w:val="00360B53"/>
    <w:rsid w:val="00360DAF"/>
    <w:rsid w:val="00360DB0"/>
    <w:rsid w:val="00361237"/>
    <w:rsid w:val="003616CF"/>
    <w:rsid w:val="003617B2"/>
    <w:rsid w:val="00361939"/>
    <w:rsid w:val="00361B19"/>
    <w:rsid w:val="00361BB6"/>
    <w:rsid w:val="00361E74"/>
    <w:rsid w:val="0036203B"/>
    <w:rsid w:val="00362140"/>
    <w:rsid w:val="003622F9"/>
    <w:rsid w:val="00362309"/>
    <w:rsid w:val="003625C3"/>
    <w:rsid w:val="0036287D"/>
    <w:rsid w:val="0036289A"/>
    <w:rsid w:val="003629FC"/>
    <w:rsid w:val="00362D38"/>
    <w:rsid w:val="003635E7"/>
    <w:rsid w:val="0036378F"/>
    <w:rsid w:val="00363AD9"/>
    <w:rsid w:val="00363B5F"/>
    <w:rsid w:val="00363B6A"/>
    <w:rsid w:val="00363B6B"/>
    <w:rsid w:val="00363D46"/>
    <w:rsid w:val="00363E69"/>
    <w:rsid w:val="00363F9E"/>
    <w:rsid w:val="0036402C"/>
    <w:rsid w:val="003640D7"/>
    <w:rsid w:val="0036416A"/>
    <w:rsid w:val="0036419E"/>
    <w:rsid w:val="0036429B"/>
    <w:rsid w:val="003644C2"/>
    <w:rsid w:val="0036452C"/>
    <w:rsid w:val="00364972"/>
    <w:rsid w:val="003649B0"/>
    <w:rsid w:val="00364B20"/>
    <w:rsid w:val="0036525A"/>
    <w:rsid w:val="00365453"/>
    <w:rsid w:val="0036546A"/>
    <w:rsid w:val="00365830"/>
    <w:rsid w:val="00365987"/>
    <w:rsid w:val="003660AB"/>
    <w:rsid w:val="00366694"/>
    <w:rsid w:val="00366B20"/>
    <w:rsid w:val="00366C3B"/>
    <w:rsid w:val="003671B5"/>
    <w:rsid w:val="003671BF"/>
    <w:rsid w:val="003671F1"/>
    <w:rsid w:val="00367252"/>
    <w:rsid w:val="003674A4"/>
    <w:rsid w:val="00367501"/>
    <w:rsid w:val="0036795E"/>
    <w:rsid w:val="00367C63"/>
    <w:rsid w:val="00367CF9"/>
    <w:rsid w:val="00367D73"/>
    <w:rsid w:val="00367E78"/>
    <w:rsid w:val="00370559"/>
    <w:rsid w:val="003705C7"/>
    <w:rsid w:val="00370661"/>
    <w:rsid w:val="00370B24"/>
    <w:rsid w:val="00370BC9"/>
    <w:rsid w:val="00370D13"/>
    <w:rsid w:val="00370EF8"/>
    <w:rsid w:val="00370F09"/>
    <w:rsid w:val="00370FA6"/>
    <w:rsid w:val="003712D7"/>
    <w:rsid w:val="00371532"/>
    <w:rsid w:val="00371626"/>
    <w:rsid w:val="003716B4"/>
    <w:rsid w:val="003716F5"/>
    <w:rsid w:val="00371A62"/>
    <w:rsid w:val="00371BBB"/>
    <w:rsid w:val="003721FB"/>
    <w:rsid w:val="00372385"/>
    <w:rsid w:val="00372589"/>
    <w:rsid w:val="00372994"/>
    <w:rsid w:val="00372CFD"/>
    <w:rsid w:val="003732BC"/>
    <w:rsid w:val="003733DF"/>
    <w:rsid w:val="00373401"/>
    <w:rsid w:val="003735BB"/>
    <w:rsid w:val="0037364C"/>
    <w:rsid w:val="00373837"/>
    <w:rsid w:val="00373AE1"/>
    <w:rsid w:val="00373B61"/>
    <w:rsid w:val="00373C79"/>
    <w:rsid w:val="0037406A"/>
    <w:rsid w:val="00374238"/>
    <w:rsid w:val="00374529"/>
    <w:rsid w:val="00374C32"/>
    <w:rsid w:val="00374D79"/>
    <w:rsid w:val="00374F72"/>
    <w:rsid w:val="00375175"/>
    <w:rsid w:val="0037519E"/>
    <w:rsid w:val="003752DB"/>
    <w:rsid w:val="0037533B"/>
    <w:rsid w:val="003753D1"/>
    <w:rsid w:val="003760D2"/>
    <w:rsid w:val="003761FA"/>
    <w:rsid w:val="00376232"/>
    <w:rsid w:val="0037674F"/>
    <w:rsid w:val="00376C02"/>
    <w:rsid w:val="00376C9B"/>
    <w:rsid w:val="00376CE8"/>
    <w:rsid w:val="00376D7D"/>
    <w:rsid w:val="00376E98"/>
    <w:rsid w:val="00377083"/>
    <w:rsid w:val="003777DB"/>
    <w:rsid w:val="00377CD3"/>
    <w:rsid w:val="00377EB1"/>
    <w:rsid w:val="00380280"/>
    <w:rsid w:val="0038033B"/>
    <w:rsid w:val="003803AF"/>
    <w:rsid w:val="00380978"/>
    <w:rsid w:val="00380AD3"/>
    <w:rsid w:val="00380B98"/>
    <w:rsid w:val="00380D4B"/>
    <w:rsid w:val="00380DC1"/>
    <w:rsid w:val="003814C5"/>
    <w:rsid w:val="003815CE"/>
    <w:rsid w:val="003815DA"/>
    <w:rsid w:val="00381701"/>
    <w:rsid w:val="00381AD3"/>
    <w:rsid w:val="00381B6A"/>
    <w:rsid w:val="00381C58"/>
    <w:rsid w:val="00381F1B"/>
    <w:rsid w:val="00382286"/>
    <w:rsid w:val="00382484"/>
    <w:rsid w:val="003825AF"/>
    <w:rsid w:val="00382CCE"/>
    <w:rsid w:val="00382E47"/>
    <w:rsid w:val="00382EF7"/>
    <w:rsid w:val="00382F69"/>
    <w:rsid w:val="003830FE"/>
    <w:rsid w:val="00383175"/>
    <w:rsid w:val="0038348B"/>
    <w:rsid w:val="0038357F"/>
    <w:rsid w:val="00383A27"/>
    <w:rsid w:val="00383AE3"/>
    <w:rsid w:val="00383B43"/>
    <w:rsid w:val="00383FC5"/>
    <w:rsid w:val="003840DE"/>
    <w:rsid w:val="00384802"/>
    <w:rsid w:val="003849D5"/>
    <w:rsid w:val="003856B6"/>
    <w:rsid w:val="003856D9"/>
    <w:rsid w:val="00385985"/>
    <w:rsid w:val="00385B5D"/>
    <w:rsid w:val="00385DCF"/>
    <w:rsid w:val="00386134"/>
    <w:rsid w:val="00386348"/>
    <w:rsid w:val="00386356"/>
    <w:rsid w:val="00386622"/>
    <w:rsid w:val="00386788"/>
    <w:rsid w:val="00386A1F"/>
    <w:rsid w:val="00386D28"/>
    <w:rsid w:val="00386D8F"/>
    <w:rsid w:val="00386E4D"/>
    <w:rsid w:val="0038701C"/>
    <w:rsid w:val="003870CA"/>
    <w:rsid w:val="003873E3"/>
    <w:rsid w:val="00387888"/>
    <w:rsid w:val="00387A85"/>
    <w:rsid w:val="00387CC6"/>
    <w:rsid w:val="00387CEC"/>
    <w:rsid w:val="0039039C"/>
    <w:rsid w:val="00390A71"/>
    <w:rsid w:val="00390DFF"/>
    <w:rsid w:val="00390E53"/>
    <w:rsid w:val="003913CA"/>
    <w:rsid w:val="003919CC"/>
    <w:rsid w:val="00391A62"/>
    <w:rsid w:val="00392083"/>
    <w:rsid w:val="00392268"/>
    <w:rsid w:val="003922AF"/>
    <w:rsid w:val="00392543"/>
    <w:rsid w:val="00392851"/>
    <w:rsid w:val="00392890"/>
    <w:rsid w:val="00392A7A"/>
    <w:rsid w:val="00392B65"/>
    <w:rsid w:val="00392C70"/>
    <w:rsid w:val="00392F94"/>
    <w:rsid w:val="00393323"/>
    <w:rsid w:val="003934AC"/>
    <w:rsid w:val="0039350F"/>
    <w:rsid w:val="00393515"/>
    <w:rsid w:val="00393561"/>
    <w:rsid w:val="00393730"/>
    <w:rsid w:val="00393DE8"/>
    <w:rsid w:val="00393E9F"/>
    <w:rsid w:val="003940EC"/>
    <w:rsid w:val="00394551"/>
    <w:rsid w:val="00394678"/>
    <w:rsid w:val="00394816"/>
    <w:rsid w:val="00394B03"/>
    <w:rsid w:val="00394F30"/>
    <w:rsid w:val="00394FAA"/>
    <w:rsid w:val="00394FB5"/>
    <w:rsid w:val="0039511B"/>
    <w:rsid w:val="00395215"/>
    <w:rsid w:val="003956E4"/>
    <w:rsid w:val="003957BF"/>
    <w:rsid w:val="0039581A"/>
    <w:rsid w:val="00395980"/>
    <w:rsid w:val="00395B9F"/>
    <w:rsid w:val="00396004"/>
    <w:rsid w:val="00396053"/>
    <w:rsid w:val="003963D9"/>
    <w:rsid w:val="0039682F"/>
    <w:rsid w:val="00396AEA"/>
    <w:rsid w:val="00396D6A"/>
    <w:rsid w:val="00396E1E"/>
    <w:rsid w:val="00396EEB"/>
    <w:rsid w:val="0039700D"/>
    <w:rsid w:val="0039710C"/>
    <w:rsid w:val="0039756F"/>
    <w:rsid w:val="003976FE"/>
    <w:rsid w:val="0039789C"/>
    <w:rsid w:val="00397E49"/>
    <w:rsid w:val="003A0050"/>
    <w:rsid w:val="003A015E"/>
    <w:rsid w:val="003A028A"/>
    <w:rsid w:val="003A030E"/>
    <w:rsid w:val="003A03B0"/>
    <w:rsid w:val="003A05A4"/>
    <w:rsid w:val="003A0607"/>
    <w:rsid w:val="003A06D5"/>
    <w:rsid w:val="003A08E1"/>
    <w:rsid w:val="003A09F7"/>
    <w:rsid w:val="003A0C5A"/>
    <w:rsid w:val="003A0EAD"/>
    <w:rsid w:val="003A0F00"/>
    <w:rsid w:val="003A0F6B"/>
    <w:rsid w:val="003A1277"/>
    <w:rsid w:val="003A1461"/>
    <w:rsid w:val="003A1518"/>
    <w:rsid w:val="003A15FF"/>
    <w:rsid w:val="003A1960"/>
    <w:rsid w:val="003A1C04"/>
    <w:rsid w:val="003A1C13"/>
    <w:rsid w:val="003A1DA3"/>
    <w:rsid w:val="003A1E07"/>
    <w:rsid w:val="003A22EB"/>
    <w:rsid w:val="003A247A"/>
    <w:rsid w:val="003A261F"/>
    <w:rsid w:val="003A27A2"/>
    <w:rsid w:val="003A27F9"/>
    <w:rsid w:val="003A2849"/>
    <w:rsid w:val="003A287A"/>
    <w:rsid w:val="003A2961"/>
    <w:rsid w:val="003A2B08"/>
    <w:rsid w:val="003A2D5F"/>
    <w:rsid w:val="003A2E27"/>
    <w:rsid w:val="003A2EB8"/>
    <w:rsid w:val="003A30FC"/>
    <w:rsid w:val="003A31F0"/>
    <w:rsid w:val="003A324C"/>
    <w:rsid w:val="003A3320"/>
    <w:rsid w:val="003A3330"/>
    <w:rsid w:val="003A3529"/>
    <w:rsid w:val="003A356E"/>
    <w:rsid w:val="003A362F"/>
    <w:rsid w:val="003A379E"/>
    <w:rsid w:val="003A384F"/>
    <w:rsid w:val="003A3BCC"/>
    <w:rsid w:val="003A4089"/>
    <w:rsid w:val="003A4637"/>
    <w:rsid w:val="003A468B"/>
    <w:rsid w:val="003A47B3"/>
    <w:rsid w:val="003A4918"/>
    <w:rsid w:val="003A4A09"/>
    <w:rsid w:val="003A4A3B"/>
    <w:rsid w:val="003A4D34"/>
    <w:rsid w:val="003A5330"/>
    <w:rsid w:val="003A54CF"/>
    <w:rsid w:val="003A58E4"/>
    <w:rsid w:val="003A5EAF"/>
    <w:rsid w:val="003A5F34"/>
    <w:rsid w:val="003A6259"/>
    <w:rsid w:val="003A6992"/>
    <w:rsid w:val="003A6B38"/>
    <w:rsid w:val="003A6CDA"/>
    <w:rsid w:val="003A6DF9"/>
    <w:rsid w:val="003A6F37"/>
    <w:rsid w:val="003A76F3"/>
    <w:rsid w:val="003A783E"/>
    <w:rsid w:val="003A79E4"/>
    <w:rsid w:val="003A7CE6"/>
    <w:rsid w:val="003B004B"/>
    <w:rsid w:val="003B0053"/>
    <w:rsid w:val="003B0070"/>
    <w:rsid w:val="003B0345"/>
    <w:rsid w:val="003B03ED"/>
    <w:rsid w:val="003B0425"/>
    <w:rsid w:val="003B05E2"/>
    <w:rsid w:val="003B07C7"/>
    <w:rsid w:val="003B0EFA"/>
    <w:rsid w:val="003B166B"/>
    <w:rsid w:val="003B16FF"/>
    <w:rsid w:val="003B199B"/>
    <w:rsid w:val="003B1FB5"/>
    <w:rsid w:val="003B1FCC"/>
    <w:rsid w:val="003B22B4"/>
    <w:rsid w:val="003B22C9"/>
    <w:rsid w:val="003B22FB"/>
    <w:rsid w:val="003B24FF"/>
    <w:rsid w:val="003B268C"/>
    <w:rsid w:val="003B29CD"/>
    <w:rsid w:val="003B2FCF"/>
    <w:rsid w:val="003B307E"/>
    <w:rsid w:val="003B35B0"/>
    <w:rsid w:val="003B3623"/>
    <w:rsid w:val="003B41FD"/>
    <w:rsid w:val="003B42E0"/>
    <w:rsid w:val="003B43C8"/>
    <w:rsid w:val="003B47F8"/>
    <w:rsid w:val="003B48F9"/>
    <w:rsid w:val="003B4945"/>
    <w:rsid w:val="003B4B31"/>
    <w:rsid w:val="003B5214"/>
    <w:rsid w:val="003B52B6"/>
    <w:rsid w:val="003B5597"/>
    <w:rsid w:val="003B5BA8"/>
    <w:rsid w:val="003B5CE4"/>
    <w:rsid w:val="003B60D5"/>
    <w:rsid w:val="003B6471"/>
    <w:rsid w:val="003B6C0D"/>
    <w:rsid w:val="003B6E09"/>
    <w:rsid w:val="003B7190"/>
    <w:rsid w:val="003B72E2"/>
    <w:rsid w:val="003B7330"/>
    <w:rsid w:val="003B7409"/>
    <w:rsid w:val="003B7A97"/>
    <w:rsid w:val="003B7AA3"/>
    <w:rsid w:val="003B7F5E"/>
    <w:rsid w:val="003C01C6"/>
    <w:rsid w:val="003C01DC"/>
    <w:rsid w:val="003C01F3"/>
    <w:rsid w:val="003C04E6"/>
    <w:rsid w:val="003C056A"/>
    <w:rsid w:val="003C071D"/>
    <w:rsid w:val="003C07F0"/>
    <w:rsid w:val="003C0E4D"/>
    <w:rsid w:val="003C0EE6"/>
    <w:rsid w:val="003C1180"/>
    <w:rsid w:val="003C1260"/>
    <w:rsid w:val="003C1B42"/>
    <w:rsid w:val="003C1BCF"/>
    <w:rsid w:val="003C219C"/>
    <w:rsid w:val="003C2204"/>
    <w:rsid w:val="003C25A2"/>
    <w:rsid w:val="003C2719"/>
    <w:rsid w:val="003C27E1"/>
    <w:rsid w:val="003C294D"/>
    <w:rsid w:val="003C2C39"/>
    <w:rsid w:val="003C2C70"/>
    <w:rsid w:val="003C2D93"/>
    <w:rsid w:val="003C2E46"/>
    <w:rsid w:val="003C2E9B"/>
    <w:rsid w:val="003C2F5E"/>
    <w:rsid w:val="003C35C7"/>
    <w:rsid w:val="003C369E"/>
    <w:rsid w:val="003C37DB"/>
    <w:rsid w:val="003C3ECE"/>
    <w:rsid w:val="003C410A"/>
    <w:rsid w:val="003C421D"/>
    <w:rsid w:val="003C46AD"/>
    <w:rsid w:val="003C4771"/>
    <w:rsid w:val="003C4A4D"/>
    <w:rsid w:val="003C5244"/>
    <w:rsid w:val="003C55EB"/>
    <w:rsid w:val="003C56DA"/>
    <w:rsid w:val="003C5765"/>
    <w:rsid w:val="003C5916"/>
    <w:rsid w:val="003C5985"/>
    <w:rsid w:val="003C5B38"/>
    <w:rsid w:val="003C5FD9"/>
    <w:rsid w:val="003C60F1"/>
    <w:rsid w:val="003C611D"/>
    <w:rsid w:val="003C65E8"/>
    <w:rsid w:val="003C6788"/>
    <w:rsid w:val="003C6963"/>
    <w:rsid w:val="003C6B01"/>
    <w:rsid w:val="003C6D0C"/>
    <w:rsid w:val="003C6E81"/>
    <w:rsid w:val="003C7979"/>
    <w:rsid w:val="003C7BE0"/>
    <w:rsid w:val="003C7D52"/>
    <w:rsid w:val="003D0200"/>
    <w:rsid w:val="003D06B3"/>
    <w:rsid w:val="003D07B1"/>
    <w:rsid w:val="003D07DF"/>
    <w:rsid w:val="003D0B2F"/>
    <w:rsid w:val="003D0C5B"/>
    <w:rsid w:val="003D0F9D"/>
    <w:rsid w:val="003D10E2"/>
    <w:rsid w:val="003D1420"/>
    <w:rsid w:val="003D1469"/>
    <w:rsid w:val="003D1726"/>
    <w:rsid w:val="003D1739"/>
    <w:rsid w:val="003D18F5"/>
    <w:rsid w:val="003D1971"/>
    <w:rsid w:val="003D1ADE"/>
    <w:rsid w:val="003D1C1B"/>
    <w:rsid w:val="003D1D2D"/>
    <w:rsid w:val="003D1DA1"/>
    <w:rsid w:val="003D1E72"/>
    <w:rsid w:val="003D1EC7"/>
    <w:rsid w:val="003D21E5"/>
    <w:rsid w:val="003D26F8"/>
    <w:rsid w:val="003D2824"/>
    <w:rsid w:val="003D2BAE"/>
    <w:rsid w:val="003D2BEC"/>
    <w:rsid w:val="003D2C14"/>
    <w:rsid w:val="003D2E25"/>
    <w:rsid w:val="003D2F94"/>
    <w:rsid w:val="003D3144"/>
    <w:rsid w:val="003D34A1"/>
    <w:rsid w:val="003D36FA"/>
    <w:rsid w:val="003D3997"/>
    <w:rsid w:val="003D3D27"/>
    <w:rsid w:val="003D3E38"/>
    <w:rsid w:val="003D3F0D"/>
    <w:rsid w:val="003D4666"/>
    <w:rsid w:val="003D4843"/>
    <w:rsid w:val="003D485F"/>
    <w:rsid w:val="003D4B35"/>
    <w:rsid w:val="003D4D5E"/>
    <w:rsid w:val="003D4D9D"/>
    <w:rsid w:val="003D4E8F"/>
    <w:rsid w:val="003D5085"/>
    <w:rsid w:val="003D5129"/>
    <w:rsid w:val="003D51DF"/>
    <w:rsid w:val="003D524B"/>
    <w:rsid w:val="003D5402"/>
    <w:rsid w:val="003D5508"/>
    <w:rsid w:val="003D569A"/>
    <w:rsid w:val="003D57E0"/>
    <w:rsid w:val="003D5D54"/>
    <w:rsid w:val="003D5F47"/>
    <w:rsid w:val="003D61FE"/>
    <w:rsid w:val="003D6A65"/>
    <w:rsid w:val="003D6F96"/>
    <w:rsid w:val="003D7235"/>
    <w:rsid w:val="003D7264"/>
    <w:rsid w:val="003D755E"/>
    <w:rsid w:val="003D759D"/>
    <w:rsid w:val="003D7877"/>
    <w:rsid w:val="003D7BED"/>
    <w:rsid w:val="003D7DEC"/>
    <w:rsid w:val="003E0023"/>
    <w:rsid w:val="003E03F5"/>
    <w:rsid w:val="003E069C"/>
    <w:rsid w:val="003E091E"/>
    <w:rsid w:val="003E09FB"/>
    <w:rsid w:val="003E0D10"/>
    <w:rsid w:val="003E0D27"/>
    <w:rsid w:val="003E0D38"/>
    <w:rsid w:val="003E0E5C"/>
    <w:rsid w:val="003E11FA"/>
    <w:rsid w:val="003E13BD"/>
    <w:rsid w:val="003E17D2"/>
    <w:rsid w:val="003E1BBF"/>
    <w:rsid w:val="003E1CCF"/>
    <w:rsid w:val="003E1E81"/>
    <w:rsid w:val="003E2082"/>
    <w:rsid w:val="003E2732"/>
    <w:rsid w:val="003E2C54"/>
    <w:rsid w:val="003E2C84"/>
    <w:rsid w:val="003E2CB0"/>
    <w:rsid w:val="003E3393"/>
    <w:rsid w:val="003E33C8"/>
    <w:rsid w:val="003E3561"/>
    <w:rsid w:val="003E35C4"/>
    <w:rsid w:val="003E38B6"/>
    <w:rsid w:val="003E40F9"/>
    <w:rsid w:val="003E4205"/>
    <w:rsid w:val="003E444E"/>
    <w:rsid w:val="003E4946"/>
    <w:rsid w:val="003E4E63"/>
    <w:rsid w:val="003E50E6"/>
    <w:rsid w:val="003E50F7"/>
    <w:rsid w:val="003E5166"/>
    <w:rsid w:val="003E5558"/>
    <w:rsid w:val="003E565F"/>
    <w:rsid w:val="003E5BBC"/>
    <w:rsid w:val="003E5CA6"/>
    <w:rsid w:val="003E5D6F"/>
    <w:rsid w:val="003E6039"/>
    <w:rsid w:val="003E6BA8"/>
    <w:rsid w:val="003E6BE3"/>
    <w:rsid w:val="003E6CAF"/>
    <w:rsid w:val="003E7043"/>
    <w:rsid w:val="003E7234"/>
    <w:rsid w:val="003E73F7"/>
    <w:rsid w:val="003E749B"/>
    <w:rsid w:val="003E753C"/>
    <w:rsid w:val="003E796A"/>
    <w:rsid w:val="003F0185"/>
    <w:rsid w:val="003F044B"/>
    <w:rsid w:val="003F06E9"/>
    <w:rsid w:val="003F08C1"/>
    <w:rsid w:val="003F091B"/>
    <w:rsid w:val="003F0A62"/>
    <w:rsid w:val="003F0BDE"/>
    <w:rsid w:val="003F0FA8"/>
    <w:rsid w:val="003F1067"/>
    <w:rsid w:val="003F1070"/>
    <w:rsid w:val="003F1508"/>
    <w:rsid w:val="003F1B63"/>
    <w:rsid w:val="003F1BA8"/>
    <w:rsid w:val="003F1C83"/>
    <w:rsid w:val="003F1E32"/>
    <w:rsid w:val="003F22F6"/>
    <w:rsid w:val="003F2499"/>
    <w:rsid w:val="003F24A9"/>
    <w:rsid w:val="003F252F"/>
    <w:rsid w:val="003F274B"/>
    <w:rsid w:val="003F2C20"/>
    <w:rsid w:val="003F2D3D"/>
    <w:rsid w:val="003F2FA3"/>
    <w:rsid w:val="003F3182"/>
    <w:rsid w:val="003F3260"/>
    <w:rsid w:val="003F358F"/>
    <w:rsid w:val="003F415B"/>
    <w:rsid w:val="003F43F9"/>
    <w:rsid w:val="003F47B5"/>
    <w:rsid w:val="003F4C5A"/>
    <w:rsid w:val="003F4C9E"/>
    <w:rsid w:val="003F4D78"/>
    <w:rsid w:val="003F4EEA"/>
    <w:rsid w:val="003F509D"/>
    <w:rsid w:val="003F50C6"/>
    <w:rsid w:val="003F5297"/>
    <w:rsid w:val="003F547B"/>
    <w:rsid w:val="003F5563"/>
    <w:rsid w:val="003F5964"/>
    <w:rsid w:val="003F5B0D"/>
    <w:rsid w:val="003F6101"/>
    <w:rsid w:val="003F645B"/>
    <w:rsid w:val="003F66A9"/>
    <w:rsid w:val="003F6E24"/>
    <w:rsid w:val="003F7332"/>
    <w:rsid w:val="003F73B7"/>
    <w:rsid w:val="003F7647"/>
    <w:rsid w:val="003F775A"/>
    <w:rsid w:val="003F77DD"/>
    <w:rsid w:val="003F7A76"/>
    <w:rsid w:val="003F7B74"/>
    <w:rsid w:val="003F7BDC"/>
    <w:rsid w:val="003F7C86"/>
    <w:rsid w:val="003F7D81"/>
    <w:rsid w:val="003F7FC4"/>
    <w:rsid w:val="00400076"/>
    <w:rsid w:val="0040017C"/>
    <w:rsid w:val="00400348"/>
    <w:rsid w:val="004003BC"/>
    <w:rsid w:val="00400456"/>
    <w:rsid w:val="004004B6"/>
    <w:rsid w:val="00400574"/>
    <w:rsid w:val="00400599"/>
    <w:rsid w:val="0040085B"/>
    <w:rsid w:val="004008C3"/>
    <w:rsid w:val="00400D49"/>
    <w:rsid w:val="00401182"/>
    <w:rsid w:val="0040134F"/>
    <w:rsid w:val="004015D0"/>
    <w:rsid w:val="004016C9"/>
    <w:rsid w:val="004017E2"/>
    <w:rsid w:val="0040187A"/>
    <w:rsid w:val="004018DC"/>
    <w:rsid w:val="00401AF5"/>
    <w:rsid w:val="00401BA4"/>
    <w:rsid w:val="0040202D"/>
    <w:rsid w:val="0040231F"/>
    <w:rsid w:val="00402340"/>
    <w:rsid w:val="00402611"/>
    <w:rsid w:val="0040297A"/>
    <w:rsid w:val="00402AA8"/>
    <w:rsid w:val="00402AD6"/>
    <w:rsid w:val="00402FF1"/>
    <w:rsid w:val="004030C4"/>
    <w:rsid w:val="004031E0"/>
    <w:rsid w:val="00403330"/>
    <w:rsid w:val="0040334C"/>
    <w:rsid w:val="004033CD"/>
    <w:rsid w:val="00404633"/>
    <w:rsid w:val="004047D6"/>
    <w:rsid w:val="004048A5"/>
    <w:rsid w:val="00404965"/>
    <w:rsid w:val="00404BA2"/>
    <w:rsid w:val="00404BFD"/>
    <w:rsid w:val="00404E2D"/>
    <w:rsid w:val="00404F43"/>
    <w:rsid w:val="00404F7F"/>
    <w:rsid w:val="00405460"/>
    <w:rsid w:val="00405657"/>
    <w:rsid w:val="004056F8"/>
    <w:rsid w:val="004057B6"/>
    <w:rsid w:val="00405B65"/>
    <w:rsid w:val="00405ECF"/>
    <w:rsid w:val="00405F0F"/>
    <w:rsid w:val="00406583"/>
    <w:rsid w:val="004065AA"/>
    <w:rsid w:val="00406678"/>
    <w:rsid w:val="0040688E"/>
    <w:rsid w:val="00406A86"/>
    <w:rsid w:val="00406AA7"/>
    <w:rsid w:val="00406C71"/>
    <w:rsid w:val="00406E6A"/>
    <w:rsid w:val="00406EA7"/>
    <w:rsid w:val="00406FB6"/>
    <w:rsid w:val="004075E2"/>
    <w:rsid w:val="00407835"/>
    <w:rsid w:val="00407861"/>
    <w:rsid w:val="00407920"/>
    <w:rsid w:val="00407977"/>
    <w:rsid w:val="00407F36"/>
    <w:rsid w:val="00410105"/>
    <w:rsid w:val="0041014B"/>
    <w:rsid w:val="004103B8"/>
    <w:rsid w:val="004104EC"/>
    <w:rsid w:val="00410B28"/>
    <w:rsid w:val="00410BFB"/>
    <w:rsid w:val="00410DC7"/>
    <w:rsid w:val="00410E71"/>
    <w:rsid w:val="00410E8D"/>
    <w:rsid w:val="00410F5B"/>
    <w:rsid w:val="0041114F"/>
    <w:rsid w:val="00411336"/>
    <w:rsid w:val="00411441"/>
    <w:rsid w:val="004114A4"/>
    <w:rsid w:val="004119B0"/>
    <w:rsid w:val="00411D48"/>
    <w:rsid w:val="00411F94"/>
    <w:rsid w:val="00412DAB"/>
    <w:rsid w:val="00412E6F"/>
    <w:rsid w:val="004133AA"/>
    <w:rsid w:val="004133D3"/>
    <w:rsid w:val="0041354B"/>
    <w:rsid w:val="00413697"/>
    <w:rsid w:val="004136E0"/>
    <w:rsid w:val="00413B50"/>
    <w:rsid w:val="00413DB0"/>
    <w:rsid w:val="0041409F"/>
    <w:rsid w:val="004142E3"/>
    <w:rsid w:val="00414308"/>
    <w:rsid w:val="00414828"/>
    <w:rsid w:val="00414CCF"/>
    <w:rsid w:val="004153DF"/>
    <w:rsid w:val="00415587"/>
    <w:rsid w:val="00415A26"/>
    <w:rsid w:val="00415AE4"/>
    <w:rsid w:val="00415B9A"/>
    <w:rsid w:val="00415D81"/>
    <w:rsid w:val="0041623E"/>
    <w:rsid w:val="0041627B"/>
    <w:rsid w:val="004164C6"/>
    <w:rsid w:val="004165A1"/>
    <w:rsid w:val="00416792"/>
    <w:rsid w:val="00417170"/>
    <w:rsid w:val="00417216"/>
    <w:rsid w:val="0041745C"/>
    <w:rsid w:val="00417492"/>
    <w:rsid w:val="0041750E"/>
    <w:rsid w:val="00417571"/>
    <w:rsid w:val="004175A0"/>
    <w:rsid w:val="004176B2"/>
    <w:rsid w:val="0041788F"/>
    <w:rsid w:val="00417AFE"/>
    <w:rsid w:val="00417C07"/>
    <w:rsid w:val="00417CAA"/>
    <w:rsid w:val="00417D22"/>
    <w:rsid w:val="00417F07"/>
    <w:rsid w:val="00420515"/>
    <w:rsid w:val="00420835"/>
    <w:rsid w:val="00420A3E"/>
    <w:rsid w:val="00420B17"/>
    <w:rsid w:val="00420C26"/>
    <w:rsid w:val="00420FA2"/>
    <w:rsid w:val="00420FCD"/>
    <w:rsid w:val="0042118D"/>
    <w:rsid w:val="00421711"/>
    <w:rsid w:val="0042178C"/>
    <w:rsid w:val="004218D3"/>
    <w:rsid w:val="00421E2C"/>
    <w:rsid w:val="00421F06"/>
    <w:rsid w:val="0042206E"/>
    <w:rsid w:val="0042239B"/>
    <w:rsid w:val="004223B0"/>
    <w:rsid w:val="00422487"/>
    <w:rsid w:val="004226F1"/>
    <w:rsid w:val="00422713"/>
    <w:rsid w:val="00422945"/>
    <w:rsid w:val="00422C13"/>
    <w:rsid w:val="00422F98"/>
    <w:rsid w:val="004232BB"/>
    <w:rsid w:val="004235A7"/>
    <w:rsid w:val="0042386A"/>
    <w:rsid w:val="00423899"/>
    <w:rsid w:val="0042397A"/>
    <w:rsid w:val="00423B87"/>
    <w:rsid w:val="00423BDA"/>
    <w:rsid w:val="00423DD6"/>
    <w:rsid w:val="004242EA"/>
    <w:rsid w:val="00424474"/>
    <w:rsid w:val="00424709"/>
    <w:rsid w:val="00424F58"/>
    <w:rsid w:val="0042505F"/>
    <w:rsid w:val="0042515E"/>
    <w:rsid w:val="0042526A"/>
    <w:rsid w:val="0042539E"/>
    <w:rsid w:val="004253F6"/>
    <w:rsid w:val="0042540F"/>
    <w:rsid w:val="004254FD"/>
    <w:rsid w:val="00425838"/>
    <w:rsid w:val="004259D3"/>
    <w:rsid w:val="00425EE4"/>
    <w:rsid w:val="00426019"/>
    <w:rsid w:val="00426049"/>
    <w:rsid w:val="0042608F"/>
    <w:rsid w:val="004260F9"/>
    <w:rsid w:val="00426145"/>
    <w:rsid w:val="004261FC"/>
    <w:rsid w:val="004267F7"/>
    <w:rsid w:val="004268A7"/>
    <w:rsid w:val="00426B1D"/>
    <w:rsid w:val="00426BC2"/>
    <w:rsid w:val="00426CF2"/>
    <w:rsid w:val="00427011"/>
    <w:rsid w:val="0042701C"/>
    <w:rsid w:val="004272E5"/>
    <w:rsid w:val="00427406"/>
    <w:rsid w:val="00427B02"/>
    <w:rsid w:val="00427D36"/>
    <w:rsid w:val="00427F17"/>
    <w:rsid w:val="00427F20"/>
    <w:rsid w:val="00430045"/>
    <w:rsid w:val="00430208"/>
    <w:rsid w:val="00430228"/>
    <w:rsid w:val="004305FD"/>
    <w:rsid w:val="00430B80"/>
    <w:rsid w:val="00430C85"/>
    <w:rsid w:val="00431506"/>
    <w:rsid w:val="00431970"/>
    <w:rsid w:val="00431AF7"/>
    <w:rsid w:val="00431D60"/>
    <w:rsid w:val="00431FCB"/>
    <w:rsid w:val="0043216F"/>
    <w:rsid w:val="00432253"/>
    <w:rsid w:val="0043232D"/>
    <w:rsid w:val="004323CA"/>
    <w:rsid w:val="004328E4"/>
    <w:rsid w:val="00432934"/>
    <w:rsid w:val="00432A5F"/>
    <w:rsid w:val="00432A7C"/>
    <w:rsid w:val="00432A95"/>
    <w:rsid w:val="00432FC8"/>
    <w:rsid w:val="004330C7"/>
    <w:rsid w:val="004336D7"/>
    <w:rsid w:val="00433FFD"/>
    <w:rsid w:val="004343D3"/>
    <w:rsid w:val="004348ED"/>
    <w:rsid w:val="00434946"/>
    <w:rsid w:val="004349BC"/>
    <w:rsid w:val="00434AB2"/>
    <w:rsid w:val="00434BDA"/>
    <w:rsid w:val="00434F00"/>
    <w:rsid w:val="00435017"/>
    <w:rsid w:val="00435149"/>
    <w:rsid w:val="00435155"/>
    <w:rsid w:val="004351F7"/>
    <w:rsid w:val="004352C2"/>
    <w:rsid w:val="004353A0"/>
    <w:rsid w:val="0043554A"/>
    <w:rsid w:val="00435D9E"/>
    <w:rsid w:val="00435E79"/>
    <w:rsid w:val="00435F98"/>
    <w:rsid w:val="00436069"/>
    <w:rsid w:val="004361DA"/>
    <w:rsid w:val="0043625F"/>
    <w:rsid w:val="00436797"/>
    <w:rsid w:val="00436978"/>
    <w:rsid w:val="00436DBA"/>
    <w:rsid w:val="00436DFC"/>
    <w:rsid w:val="00437C57"/>
    <w:rsid w:val="00440058"/>
    <w:rsid w:val="004402DF"/>
    <w:rsid w:val="0044096B"/>
    <w:rsid w:val="00440C02"/>
    <w:rsid w:val="00441118"/>
    <w:rsid w:val="004414EA"/>
    <w:rsid w:val="00441830"/>
    <w:rsid w:val="00441921"/>
    <w:rsid w:val="00441A78"/>
    <w:rsid w:val="00441A85"/>
    <w:rsid w:val="00441AD1"/>
    <w:rsid w:val="00441BB0"/>
    <w:rsid w:val="00441DEC"/>
    <w:rsid w:val="0044278B"/>
    <w:rsid w:val="004427C1"/>
    <w:rsid w:val="0044294D"/>
    <w:rsid w:val="0044296A"/>
    <w:rsid w:val="0044297E"/>
    <w:rsid w:val="00442AB1"/>
    <w:rsid w:val="00442E85"/>
    <w:rsid w:val="0044315F"/>
    <w:rsid w:val="00443324"/>
    <w:rsid w:val="00443864"/>
    <w:rsid w:val="004438D4"/>
    <w:rsid w:val="004443DE"/>
    <w:rsid w:val="00444576"/>
    <w:rsid w:val="00444619"/>
    <w:rsid w:val="00444655"/>
    <w:rsid w:val="00444C5B"/>
    <w:rsid w:val="00444D38"/>
    <w:rsid w:val="00444D72"/>
    <w:rsid w:val="00444E9F"/>
    <w:rsid w:val="00444F2F"/>
    <w:rsid w:val="004450AD"/>
    <w:rsid w:val="004452D0"/>
    <w:rsid w:val="00445B90"/>
    <w:rsid w:val="00446227"/>
    <w:rsid w:val="00446EE4"/>
    <w:rsid w:val="00446F07"/>
    <w:rsid w:val="00447120"/>
    <w:rsid w:val="00447274"/>
    <w:rsid w:val="0044732F"/>
    <w:rsid w:val="004475DC"/>
    <w:rsid w:val="004477D6"/>
    <w:rsid w:val="00447942"/>
    <w:rsid w:val="00447C54"/>
    <w:rsid w:val="00447C6A"/>
    <w:rsid w:val="00450015"/>
    <w:rsid w:val="0045002D"/>
    <w:rsid w:val="004505D3"/>
    <w:rsid w:val="00450661"/>
    <w:rsid w:val="0045076D"/>
    <w:rsid w:val="004508A3"/>
    <w:rsid w:val="00450ACA"/>
    <w:rsid w:val="00450D0E"/>
    <w:rsid w:val="0045110D"/>
    <w:rsid w:val="00451348"/>
    <w:rsid w:val="004513A7"/>
    <w:rsid w:val="004514B6"/>
    <w:rsid w:val="00451FFA"/>
    <w:rsid w:val="004521D9"/>
    <w:rsid w:val="00452277"/>
    <w:rsid w:val="004523E9"/>
    <w:rsid w:val="004524C5"/>
    <w:rsid w:val="00452B61"/>
    <w:rsid w:val="00452C9B"/>
    <w:rsid w:val="00452F1A"/>
    <w:rsid w:val="004530EF"/>
    <w:rsid w:val="0045342C"/>
    <w:rsid w:val="0045394C"/>
    <w:rsid w:val="0045396C"/>
    <w:rsid w:val="00453AE6"/>
    <w:rsid w:val="00453D1C"/>
    <w:rsid w:val="00454096"/>
    <w:rsid w:val="004541F2"/>
    <w:rsid w:val="00454365"/>
    <w:rsid w:val="00454485"/>
    <w:rsid w:val="004545A5"/>
    <w:rsid w:val="004546F1"/>
    <w:rsid w:val="0045472E"/>
    <w:rsid w:val="004547FD"/>
    <w:rsid w:val="00454865"/>
    <w:rsid w:val="00454AD9"/>
    <w:rsid w:val="00454BFC"/>
    <w:rsid w:val="00454C20"/>
    <w:rsid w:val="00454D48"/>
    <w:rsid w:val="00454E2B"/>
    <w:rsid w:val="0045514B"/>
    <w:rsid w:val="004552E6"/>
    <w:rsid w:val="0045575F"/>
    <w:rsid w:val="00455C98"/>
    <w:rsid w:val="00456445"/>
    <w:rsid w:val="00456542"/>
    <w:rsid w:val="004566E6"/>
    <w:rsid w:val="00456DEA"/>
    <w:rsid w:val="00456EC6"/>
    <w:rsid w:val="0045702F"/>
    <w:rsid w:val="0045724D"/>
    <w:rsid w:val="004575BB"/>
    <w:rsid w:val="004577F6"/>
    <w:rsid w:val="00457821"/>
    <w:rsid w:val="00457838"/>
    <w:rsid w:val="00457BCF"/>
    <w:rsid w:val="00457C54"/>
    <w:rsid w:val="00457D49"/>
    <w:rsid w:val="00457F0F"/>
    <w:rsid w:val="004605EB"/>
    <w:rsid w:val="004606AC"/>
    <w:rsid w:val="004606B2"/>
    <w:rsid w:val="00460894"/>
    <w:rsid w:val="00460E74"/>
    <w:rsid w:val="00460FDF"/>
    <w:rsid w:val="004611F6"/>
    <w:rsid w:val="0046153F"/>
    <w:rsid w:val="00461577"/>
    <w:rsid w:val="00461778"/>
    <w:rsid w:val="004618A7"/>
    <w:rsid w:val="0046197C"/>
    <w:rsid w:val="00461DAA"/>
    <w:rsid w:val="00461EBA"/>
    <w:rsid w:val="00462168"/>
    <w:rsid w:val="0046234C"/>
    <w:rsid w:val="004626C1"/>
    <w:rsid w:val="004626DA"/>
    <w:rsid w:val="00462722"/>
    <w:rsid w:val="0046288D"/>
    <w:rsid w:val="00462931"/>
    <w:rsid w:val="00462AC6"/>
    <w:rsid w:val="00462B9B"/>
    <w:rsid w:val="00462E95"/>
    <w:rsid w:val="00462FBB"/>
    <w:rsid w:val="0046314C"/>
    <w:rsid w:val="00463276"/>
    <w:rsid w:val="00463757"/>
    <w:rsid w:val="00463922"/>
    <w:rsid w:val="00463F1E"/>
    <w:rsid w:val="00464912"/>
    <w:rsid w:val="00464C23"/>
    <w:rsid w:val="00464D48"/>
    <w:rsid w:val="00464E0F"/>
    <w:rsid w:val="00464EE6"/>
    <w:rsid w:val="004651D2"/>
    <w:rsid w:val="00465474"/>
    <w:rsid w:val="00465565"/>
    <w:rsid w:val="0046591C"/>
    <w:rsid w:val="00465B70"/>
    <w:rsid w:val="00465C8D"/>
    <w:rsid w:val="00465E41"/>
    <w:rsid w:val="004660B6"/>
    <w:rsid w:val="00466160"/>
    <w:rsid w:val="0046654A"/>
    <w:rsid w:val="00466745"/>
    <w:rsid w:val="00466821"/>
    <w:rsid w:val="0046684A"/>
    <w:rsid w:val="00466B73"/>
    <w:rsid w:val="004670EB"/>
    <w:rsid w:val="004670F1"/>
    <w:rsid w:val="00467239"/>
    <w:rsid w:val="00467410"/>
    <w:rsid w:val="004674CE"/>
    <w:rsid w:val="004676DE"/>
    <w:rsid w:val="004679EE"/>
    <w:rsid w:val="004679F9"/>
    <w:rsid w:val="00467CF5"/>
    <w:rsid w:val="00467FC6"/>
    <w:rsid w:val="004700A9"/>
    <w:rsid w:val="004703AB"/>
    <w:rsid w:val="0047053B"/>
    <w:rsid w:val="00470562"/>
    <w:rsid w:val="004707FA"/>
    <w:rsid w:val="00470A8E"/>
    <w:rsid w:val="00470D4B"/>
    <w:rsid w:val="00470D68"/>
    <w:rsid w:val="00470F97"/>
    <w:rsid w:val="00471432"/>
    <w:rsid w:val="0047184F"/>
    <w:rsid w:val="00471CE7"/>
    <w:rsid w:val="00472303"/>
    <w:rsid w:val="00472393"/>
    <w:rsid w:val="0047244B"/>
    <w:rsid w:val="0047266C"/>
    <w:rsid w:val="00472D13"/>
    <w:rsid w:val="00472DE0"/>
    <w:rsid w:val="00473AB9"/>
    <w:rsid w:val="00473B20"/>
    <w:rsid w:val="00473BFE"/>
    <w:rsid w:val="00473E16"/>
    <w:rsid w:val="00474412"/>
    <w:rsid w:val="00474466"/>
    <w:rsid w:val="00474592"/>
    <w:rsid w:val="00474745"/>
    <w:rsid w:val="004748F2"/>
    <w:rsid w:val="00474956"/>
    <w:rsid w:val="0047499B"/>
    <w:rsid w:val="00474A2C"/>
    <w:rsid w:val="00474AA1"/>
    <w:rsid w:val="00474E2C"/>
    <w:rsid w:val="00474E9B"/>
    <w:rsid w:val="00475A14"/>
    <w:rsid w:val="00475AAE"/>
    <w:rsid w:val="00475B63"/>
    <w:rsid w:val="00475F64"/>
    <w:rsid w:val="00476122"/>
    <w:rsid w:val="0047628A"/>
    <w:rsid w:val="00476795"/>
    <w:rsid w:val="00476A1E"/>
    <w:rsid w:val="00476AF0"/>
    <w:rsid w:val="00476B5D"/>
    <w:rsid w:val="00476CC8"/>
    <w:rsid w:val="0047753D"/>
    <w:rsid w:val="00477629"/>
    <w:rsid w:val="004776A1"/>
    <w:rsid w:val="00477ABE"/>
    <w:rsid w:val="00477C3D"/>
    <w:rsid w:val="00477D30"/>
    <w:rsid w:val="00477DD7"/>
    <w:rsid w:val="004805B7"/>
    <w:rsid w:val="004805B8"/>
    <w:rsid w:val="004808AC"/>
    <w:rsid w:val="00480B4A"/>
    <w:rsid w:val="00480B81"/>
    <w:rsid w:val="00480FF1"/>
    <w:rsid w:val="00480FFD"/>
    <w:rsid w:val="00481167"/>
    <w:rsid w:val="00481231"/>
    <w:rsid w:val="004814F4"/>
    <w:rsid w:val="00481566"/>
    <w:rsid w:val="00481713"/>
    <w:rsid w:val="00481D94"/>
    <w:rsid w:val="0048203E"/>
    <w:rsid w:val="00482704"/>
    <w:rsid w:val="00482862"/>
    <w:rsid w:val="00482C27"/>
    <w:rsid w:val="00482CE6"/>
    <w:rsid w:val="00482E71"/>
    <w:rsid w:val="00483200"/>
    <w:rsid w:val="0048332C"/>
    <w:rsid w:val="00483387"/>
    <w:rsid w:val="00483390"/>
    <w:rsid w:val="00483699"/>
    <w:rsid w:val="004836A8"/>
    <w:rsid w:val="004836E3"/>
    <w:rsid w:val="00483728"/>
    <w:rsid w:val="00483A82"/>
    <w:rsid w:val="0048405D"/>
    <w:rsid w:val="004840F3"/>
    <w:rsid w:val="0048411A"/>
    <w:rsid w:val="0048441F"/>
    <w:rsid w:val="00484513"/>
    <w:rsid w:val="00484595"/>
    <w:rsid w:val="00484B9B"/>
    <w:rsid w:val="00484C9F"/>
    <w:rsid w:val="00484ECE"/>
    <w:rsid w:val="00484EF0"/>
    <w:rsid w:val="00484F52"/>
    <w:rsid w:val="004850D9"/>
    <w:rsid w:val="004852AF"/>
    <w:rsid w:val="004856CD"/>
    <w:rsid w:val="00485D4A"/>
    <w:rsid w:val="00485E38"/>
    <w:rsid w:val="0048601D"/>
    <w:rsid w:val="0048608D"/>
    <w:rsid w:val="0048647B"/>
    <w:rsid w:val="004869AD"/>
    <w:rsid w:val="00486DC3"/>
    <w:rsid w:val="00486DD4"/>
    <w:rsid w:val="00486F4E"/>
    <w:rsid w:val="0048705A"/>
    <w:rsid w:val="004870BB"/>
    <w:rsid w:val="004872FE"/>
    <w:rsid w:val="00487325"/>
    <w:rsid w:val="0048736B"/>
    <w:rsid w:val="00487538"/>
    <w:rsid w:val="00487648"/>
    <w:rsid w:val="004878BA"/>
    <w:rsid w:val="00487981"/>
    <w:rsid w:val="004879A8"/>
    <w:rsid w:val="004879E3"/>
    <w:rsid w:val="00487A60"/>
    <w:rsid w:val="00487DF7"/>
    <w:rsid w:val="00490583"/>
    <w:rsid w:val="0049066D"/>
    <w:rsid w:val="0049096B"/>
    <w:rsid w:val="00490B6B"/>
    <w:rsid w:val="00490BEA"/>
    <w:rsid w:val="00490E18"/>
    <w:rsid w:val="00491200"/>
    <w:rsid w:val="004912D2"/>
    <w:rsid w:val="00491391"/>
    <w:rsid w:val="00491680"/>
    <w:rsid w:val="00491A83"/>
    <w:rsid w:val="00491A85"/>
    <w:rsid w:val="00491BDF"/>
    <w:rsid w:val="00491CE6"/>
    <w:rsid w:val="00491E8C"/>
    <w:rsid w:val="0049217A"/>
    <w:rsid w:val="00492322"/>
    <w:rsid w:val="00492505"/>
    <w:rsid w:val="00492646"/>
    <w:rsid w:val="0049268B"/>
    <w:rsid w:val="004928AB"/>
    <w:rsid w:val="00492C91"/>
    <w:rsid w:val="00493112"/>
    <w:rsid w:val="0049356B"/>
    <w:rsid w:val="00493F40"/>
    <w:rsid w:val="00493F45"/>
    <w:rsid w:val="00493F4A"/>
    <w:rsid w:val="004941A4"/>
    <w:rsid w:val="004941D8"/>
    <w:rsid w:val="004941FE"/>
    <w:rsid w:val="0049443D"/>
    <w:rsid w:val="004948BC"/>
    <w:rsid w:val="004952EC"/>
    <w:rsid w:val="0049531A"/>
    <w:rsid w:val="00495397"/>
    <w:rsid w:val="00495B28"/>
    <w:rsid w:val="00495D05"/>
    <w:rsid w:val="00495FE3"/>
    <w:rsid w:val="00496571"/>
    <w:rsid w:val="00497403"/>
    <w:rsid w:val="00497490"/>
    <w:rsid w:val="004977BF"/>
    <w:rsid w:val="004977F4"/>
    <w:rsid w:val="0049783D"/>
    <w:rsid w:val="00497ECC"/>
    <w:rsid w:val="004A0133"/>
    <w:rsid w:val="004A03A2"/>
    <w:rsid w:val="004A046B"/>
    <w:rsid w:val="004A0749"/>
    <w:rsid w:val="004A086D"/>
    <w:rsid w:val="004A0888"/>
    <w:rsid w:val="004A0B71"/>
    <w:rsid w:val="004A0CB0"/>
    <w:rsid w:val="004A0CC1"/>
    <w:rsid w:val="004A0EBF"/>
    <w:rsid w:val="004A1111"/>
    <w:rsid w:val="004A11C8"/>
    <w:rsid w:val="004A1526"/>
    <w:rsid w:val="004A15D7"/>
    <w:rsid w:val="004A167B"/>
    <w:rsid w:val="004A16F2"/>
    <w:rsid w:val="004A1A3C"/>
    <w:rsid w:val="004A1E89"/>
    <w:rsid w:val="004A2283"/>
    <w:rsid w:val="004A2567"/>
    <w:rsid w:val="004A3670"/>
    <w:rsid w:val="004A377A"/>
    <w:rsid w:val="004A3848"/>
    <w:rsid w:val="004A3964"/>
    <w:rsid w:val="004A398A"/>
    <w:rsid w:val="004A3E90"/>
    <w:rsid w:val="004A4189"/>
    <w:rsid w:val="004A420E"/>
    <w:rsid w:val="004A4268"/>
    <w:rsid w:val="004A437C"/>
    <w:rsid w:val="004A440D"/>
    <w:rsid w:val="004A4551"/>
    <w:rsid w:val="004A45D5"/>
    <w:rsid w:val="004A4759"/>
    <w:rsid w:val="004A48B5"/>
    <w:rsid w:val="004A4972"/>
    <w:rsid w:val="004A4B16"/>
    <w:rsid w:val="004A4E7F"/>
    <w:rsid w:val="004A4EBB"/>
    <w:rsid w:val="004A5007"/>
    <w:rsid w:val="004A529C"/>
    <w:rsid w:val="004A5352"/>
    <w:rsid w:val="004A608F"/>
    <w:rsid w:val="004A637B"/>
    <w:rsid w:val="004A65F2"/>
    <w:rsid w:val="004A66EB"/>
    <w:rsid w:val="004A67B4"/>
    <w:rsid w:val="004A67DB"/>
    <w:rsid w:val="004A6910"/>
    <w:rsid w:val="004A6A08"/>
    <w:rsid w:val="004A75C8"/>
    <w:rsid w:val="004A763F"/>
    <w:rsid w:val="004A791F"/>
    <w:rsid w:val="004A7AB2"/>
    <w:rsid w:val="004A7B3B"/>
    <w:rsid w:val="004A7CE6"/>
    <w:rsid w:val="004A7E65"/>
    <w:rsid w:val="004A7EAF"/>
    <w:rsid w:val="004B0375"/>
    <w:rsid w:val="004B039F"/>
    <w:rsid w:val="004B07E8"/>
    <w:rsid w:val="004B0997"/>
    <w:rsid w:val="004B0E82"/>
    <w:rsid w:val="004B0F64"/>
    <w:rsid w:val="004B14EF"/>
    <w:rsid w:val="004B1994"/>
    <w:rsid w:val="004B1A78"/>
    <w:rsid w:val="004B2075"/>
    <w:rsid w:val="004B23EE"/>
    <w:rsid w:val="004B2585"/>
    <w:rsid w:val="004B2A39"/>
    <w:rsid w:val="004B31C4"/>
    <w:rsid w:val="004B320A"/>
    <w:rsid w:val="004B3589"/>
    <w:rsid w:val="004B35B8"/>
    <w:rsid w:val="004B3932"/>
    <w:rsid w:val="004B3E51"/>
    <w:rsid w:val="004B40F8"/>
    <w:rsid w:val="004B41A5"/>
    <w:rsid w:val="004B43DA"/>
    <w:rsid w:val="004B4681"/>
    <w:rsid w:val="004B480E"/>
    <w:rsid w:val="004B4C80"/>
    <w:rsid w:val="004B4D2A"/>
    <w:rsid w:val="004B512D"/>
    <w:rsid w:val="004B537B"/>
    <w:rsid w:val="004B5710"/>
    <w:rsid w:val="004B57B8"/>
    <w:rsid w:val="004B59F6"/>
    <w:rsid w:val="004B5CB9"/>
    <w:rsid w:val="004B6010"/>
    <w:rsid w:val="004B60FE"/>
    <w:rsid w:val="004B62B1"/>
    <w:rsid w:val="004B6375"/>
    <w:rsid w:val="004B63D0"/>
    <w:rsid w:val="004B6503"/>
    <w:rsid w:val="004B6A49"/>
    <w:rsid w:val="004B6A75"/>
    <w:rsid w:val="004B6B3A"/>
    <w:rsid w:val="004B6C1D"/>
    <w:rsid w:val="004B6C66"/>
    <w:rsid w:val="004B6D8B"/>
    <w:rsid w:val="004B6F5D"/>
    <w:rsid w:val="004B6F6A"/>
    <w:rsid w:val="004B71C0"/>
    <w:rsid w:val="004B723D"/>
    <w:rsid w:val="004B7288"/>
    <w:rsid w:val="004B72A7"/>
    <w:rsid w:val="004B7365"/>
    <w:rsid w:val="004B7450"/>
    <w:rsid w:val="004B7773"/>
    <w:rsid w:val="004B797E"/>
    <w:rsid w:val="004B79A3"/>
    <w:rsid w:val="004B7AD4"/>
    <w:rsid w:val="004C0131"/>
    <w:rsid w:val="004C019C"/>
    <w:rsid w:val="004C01B2"/>
    <w:rsid w:val="004C0772"/>
    <w:rsid w:val="004C084B"/>
    <w:rsid w:val="004C0F1D"/>
    <w:rsid w:val="004C173C"/>
    <w:rsid w:val="004C17FE"/>
    <w:rsid w:val="004C19CC"/>
    <w:rsid w:val="004C1C44"/>
    <w:rsid w:val="004C1F20"/>
    <w:rsid w:val="004C1FED"/>
    <w:rsid w:val="004C2338"/>
    <w:rsid w:val="004C24A7"/>
    <w:rsid w:val="004C25C6"/>
    <w:rsid w:val="004C271A"/>
    <w:rsid w:val="004C2AFF"/>
    <w:rsid w:val="004C2C52"/>
    <w:rsid w:val="004C2E35"/>
    <w:rsid w:val="004C3218"/>
    <w:rsid w:val="004C330B"/>
    <w:rsid w:val="004C34E7"/>
    <w:rsid w:val="004C3A3E"/>
    <w:rsid w:val="004C3B1B"/>
    <w:rsid w:val="004C3E99"/>
    <w:rsid w:val="004C4168"/>
    <w:rsid w:val="004C4355"/>
    <w:rsid w:val="004C44CC"/>
    <w:rsid w:val="004C4597"/>
    <w:rsid w:val="004C4939"/>
    <w:rsid w:val="004C494F"/>
    <w:rsid w:val="004C498A"/>
    <w:rsid w:val="004C4ADC"/>
    <w:rsid w:val="004C4DA8"/>
    <w:rsid w:val="004C4FE7"/>
    <w:rsid w:val="004C51A8"/>
    <w:rsid w:val="004C54CE"/>
    <w:rsid w:val="004C55EF"/>
    <w:rsid w:val="004C5AC8"/>
    <w:rsid w:val="004C5AD8"/>
    <w:rsid w:val="004C5EA5"/>
    <w:rsid w:val="004C5FC2"/>
    <w:rsid w:val="004C5FDA"/>
    <w:rsid w:val="004C608F"/>
    <w:rsid w:val="004C6300"/>
    <w:rsid w:val="004C6845"/>
    <w:rsid w:val="004C6EA1"/>
    <w:rsid w:val="004C6FE0"/>
    <w:rsid w:val="004C7053"/>
    <w:rsid w:val="004C7540"/>
    <w:rsid w:val="004C7569"/>
    <w:rsid w:val="004C756E"/>
    <w:rsid w:val="004C75B9"/>
    <w:rsid w:val="004C7ABE"/>
    <w:rsid w:val="004C7C6F"/>
    <w:rsid w:val="004C7F07"/>
    <w:rsid w:val="004D0380"/>
    <w:rsid w:val="004D0646"/>
    <w:rsid w:val="004D0A07"/>
    <w:rsid w:val="004D0DC4"/>
    <w:rsid w:val="004D0F15"/>
    <w:rsid w:val="004D138C"/>
    <w:rsid w:val="004D14B1"/>
    <w:rsid w:val="004D184D"/>
    <w:rsid w:val="004D18F1"/>
    <w:rsid w:val="004D1CB0"/>
    <w:rsid w:val="004D2012"/>
    <w:rsid w:val="004D217F"/>
    <w:rsid w:val="004D21F0"/>
    <w:rsid w:val="004D23EC"/>
    <w:rsid w:val="004D263A"/>
    <w:rsid w:val="004D267B"/>
    <w:rsid w:val="004D2A60"/>
    <w:rsid w:val="004D3638"/>
    <w:rsid w:val="004D3813"/>
    <w:rsid w:val="004D38A9"/>
    <w:rsid w:val="004D3A7E"/>
    <w:rsid w:val="004D3C9D"/>
    <w:rsid w:val="004D3E31"/>
    <w:rsid w:val="004D4204"/>
    <w:rsid w:val="004D424B"/>
    <w:rsid w:val="004D4322"/>
    <w:rsid w:val="004D458A"/>
    <w:rsid w:val="004D4600"/>
    <w:rsid w:val="004D46CA"/>
    <w:rsid w:val="004D4B4E"/>
    <w:rsid w:val="004D4E96"/>
    <w:rsid w:val="004D523E"/>
    <w:rsid w:val="004D5364"/>
    <w:rsid w:val="004D5633"/>
    <w:rsid w:val="004D6506"/>
    <w:rsid w:val="004D6B86"/>
    <w:rsid w:val="004D6CE3"/>
    <w:rsid w:val="004D7197"/>
    <w:rsid w:val="004D74B7"/>
    <w:rsid w:val="004D7871"/>
    <w:rsid w:val="004D7996"/>
    <w:rsid w:val="004D7B1C"/>
    <w:rsid w:val="004D7B7C"/>
    <w:rsid w:val="004D7D97"/>
    <w:rsid w:val="004D7D9E"/>
    <w:rsid w:val="004D7E25"/>
    <w:rsid w:val="004D7F74"/>
    <w:rsid w:val="004E007A"/>
    <w:rsid w:val="004E04DA"/>
    <w:rsid w:val="004E04FC"/>
    <w:rsid w:val="004E050D"/>
    <w:rsid w:val="004E07D9"/>
    <w:rsid w:val="004E10B2"/>
    <w:rsid w:val="004E15DB"/>
    <w:rsid w:val="004E1872"/>
    <w:rsid w:val="004E18C9"/>
    <w:rsid w:val="004E1CB0"/>
    <w:rsid w:val="004E1CE5"/>
    <w:rsid w:val="004E1D29"/>
    <w:rsid w:val="004E1F1D"/>
    <w:rsid w:val="004E21FC"/>
    <w:rsid w:val="004E2358"/>
    <w:rsid w:val="004E2373"/>
    <w:rsid w:val="004E2427"/>
    <w:rsid w:val="004E2466"/>
    <w:rsid w:val="004E2ACF"/>
    <w:rsid w:val="004E2DE0"/>
    <w:rsid w:val="004E2FBF"/>
    <w:rsid w:val="004E319C"/>
    <w:rsid w:val="004E31FA"/>
    <w:rsid w:val="004E3245"/>
    <w:rsid w:val="004E33CB"/>
    <w:rsid w:val="004E3897"/>
    <w:rsid w:val="004E3907"/>
    <w:rsid w:val="004E3950"/>
    <w:rsid w:val="004E3D57"/>
    <w:rsid w:val="004E3E67"/>
    <w:rsid w:val="004E3EC9"/>
    <w:rsid w:val="004E456C"/>
    <w:rsid w:val="004E456E"/>
    <w:rsid w:val="004E47DF"/>
    <w:rsid w:val="004E48E6"/>
    <w:rsid w:val="004E4BDC"/>
    <w:rsid w:val="004E4DB8"/>
    <w:rsid w:val="004E4F22"/>
    <w:rsid w:val="004E59CB"/>
    <w:rsid w:val="004E5B24"/>
    <w:rsid w:val="004E5BC0"/>
    <w:rsid w:val="004E5CD0"/>
    <w:rsid w:val="004E5EFD"/>
    <w:rsid w:val="004E5FA3"/>
    <w:rsid w:val="004E6010"/>
    <w:rsid w:val="004E64D8"/>
    <w:rsid w:val="004E658A"/>
    <w:rsid w:val="004E65C6"/>
    <w:rsid w:val="004E66ED"/>
    <w:rsid w:val="004E712D"/>
    <w:rsid w:val="004E78CA"/>
    <w:rsid w:val="004E7C15"/>
    <w:rsid w:val="004E7FDA"/>
    <w:rsid w:val="004F0132"/>
    <w:rsid w:val="004F019E"/>
    <w:rsid w:val="004F04FD"/>
    <w:rsid w:val="004F0686"/>
    <w:rsid w:val="004F0C25"/>
    <w:rsid w:val="004F0D13"/>
    <w:rsid w:val="004F0F6E"/>
    <w:rsid w:val="004F0FF4"/>
    <w:rsid w:val="004F111E"/>
    <w:rsid w:val="004F1172"/>
    <w:rsid w:val="004F1300"/>
    <w:rsid w:val="004F13E6"/>
    <w:rsid w:val="004F15BB"/>
    <w:rsid w:val="004F1ABE"/>
    <w:rsid w:val="004F1C36"/>
    <w:rsid w:val="004F2076"/>
    <w:rsid w:val="004F20F7"/>
    <w:rsid w:val="004F21D8"/>
    <w:rsid w:val="004F24FA"/>
    <w:rsid w:val="004F2649"/>
    <w:rsid w:val="004F2A6C"/>
    <w:rsid w:val="004F2BFE"/>
    <w:rsid w:val="004F2CBE"/>
    <w:rsid w:val="004F2D21"/>
    <w:rsid w:val="004F2FA1"/>
    <w:rsid w:val="004F3033"/>
    <w:rsid w:val="004F314D"/>
    <w:rsid w:val="004F35CE"/>
    <w:rsid w:val="004F3666"/>
    <w:rsid w:val="004F39BF"/>
    <w:rsid w:val="004F3E0A"/>
    <w:rsid w:val="004F3ECC"/>
    <w:rsid w:val="004F4174"/>
    <w:rsid w:val="004F47FC"/>
    <w:rsid w:val="004F4807"/>
    <w:rsid w:val="004F4F64"/>
    <w:rsid w:val="004F4FFD"/>
    <w:rsid w:val="004F50A5"/>
    <w:rsid w:val="004F53AC"/>
    <w:rsid w:val="004F586D"/>
    <w:rsid w:val="004F5CFB"/>
    <w:rsid w:val="004F6174"/>
    <w:rsid w:val="004F61FB"/>
    <w:rsid w:val="004F6632"/>
    <w:rsid w:val="004F703D"/>
    <w:rsid w:val="004F71D4"/>
    <w:rsid w:val="004F7854"/>
    <w:rsid w:val="004F7CCA"/>
    <w:rsid w:val="00500029"/>
    <w:rsid w:val="00500259"/>
    <w:rsid w:val="0050026A"/>
    <w:rsid w:val="0050034A"/>
    <w:rsid w:val="0050043C"/>
    <w:rsid w:val="00500697"/>
    <w:rsid w:val="00500A32"/>
    <w:rsid w:val="00500CFA"/>
    <w:rsid w:val="00500D7F"/>
    <w:rsid w:val="00500E50"/>
    <w:rsid w:val="00500F20"/>
    <w:rsid w:val="005013E5"/>
    <w:rsid w:val="00501603"/>
    <w:rsid w:val="0050166E"/>
    <w:rsid w:val="00501991"/>
    <w:rsid w:val="005019D6"/>
    <w:rsid w:val="005019E3"/>
    <w:rsid w:val="00501B6A"/>
    <w:rsid w:val="00501C41"/>
    <w:rsid w:val="00502164"/>
    <w:rsid w:val="0050227E"/>
    <w:rsid w:val="005022E9"/>
    <w:rsid w:val="0050230A"/>
    <w:rsid w:val="005024A0"/>
    <w:rsid w:val="00502B57"/>
    <w:rsid w:val="00502BAF"/>
    <w:rsid w:val="00502C8F"/>
    <w:rsid w:val="00502D5B"/>
    <w:rsid w:val="00502E37"/>
    <w:rsid w:val="00502EA8"/>
    <w:rsid w:val="005032BA"/>
    <w:rsid w:val="00503442"/>
    <w:rsid w:val="0050350B"/>
    <w:rsid w:val="00503978"/>
    <w:rsid w:val="00503AE3"/>
    <w:rsid w:val="005040FF"/>
    <w:rsid w:val="00504389"/>
    <w:rsid w:val="00504593"/>
    <w:rsid w:val="00504637"/>
    <w:rsid w:val="00504983"/>
    <w:rsid w:val="00504AC3"/>
    <w:rsid w:val="005052AE"/>
    <w:rsid w:val="005053E7"/>
    <w:rsid w:val="005056EF"/>
    <w:rsid w:val="00505951"/>
    <w:rsid w:val="00505B20"/>
    <w:rsid w:val="00506406"/>
    <w:rsid w:val="00506755"/>
    <w:rsid w:val="00506D53"/>
    <w:rsid w:val="00506DB1"/>
    <w:rsid w:val="00507207"/>
    <w:rsid w:val="005074CB"/>
    <w:rsid w:val="00507A44"/>
    <w:rsid w:val="00507DBC"/>
    <w:rsid w:val="00507E9C"/>
    <w:rsid w:val="0051022D"/>
    <w:rsid w:val="00510A9D"/>
    <w:rsid w:val="00510CD2"/>
    <w:rsid w:val="00510CED"/>
    <w:rsid w:val="00510EB5"/>
    <w:rsid w:val="005111D3"/>
    <w:rsid w:val="0051131D"/>
    <w:rsid w:val="005119E6"/>
    <w:rsid w:val="00511A43"/>
    <w:rsid w:val="00511EF7"/>
    <w:rsid w:val="005121EC"/>
    <w:rsid w:val="005126AB"/>
    <w:rsid w:val="005127A6"/>
    <w:rsid w:val="00512942"/>
    <w:rsid w:val="00513222"/>
    <w:rsid w:val="005132D4"/>
    <w:rsid w:val="0051350A"/>
    <w:rsid w:val="005135D5"/>
    <w:rsid w:val="005136D1"/>
    <w:rsid w:val="00513D48"/>
    <w:rsid w:val="00513FFC"/>
    <w:rsid w:val="0051402B"/>
    <w:rsid w:val="00514637"/>
    <w:rsid w:val="00514675"/>
    <w:rsid w:val="0051467F"/>
    <w:rsid w:val="00514BDA"/>
    <w:rsid w:val="00514BE4"/>
    <w:rsid w:val="00514D41"/>
    <w:rsid w:val="005150E0"/>
    <w:rsid w:val="00515870"/>
    <w:rsid w:val="005159CF"/>
    <w:rsid w:val="00515A08"/>
    <w:rsid w:val="00515CAF"/>
    <w:rsid w:val="00515D71"/>
    <w:rsid w:val="00515E09"/>
    <w:rsid w:val="00515E5B"/>
    <w:rsid w:val="00515F99"/>
    <w:rsid w:val="00515FE3"/>
    <w:rsid w:val="005160DF"/>
    <w:rsid w:val="00516142"/>
    <w:rsid w:val="005161AD"/>
    <w:rsid w:val="005162C7"/>
    <w:rsid w:val="00516C58"/>
    <w:rsid w:val="005170A6"/>
    <w:rsid w:val="005171E2"/>
    <w:rsid w:val="00517356"/>
    <w:rsid w:val="00517548"/>
    <w:rsid w:val="0051765C"/>
    <w:rsid w:val="005177F9"/>
    <w:rsid w:val="005178C1"/>
    <w:rsid w:val="00517A98"/>
    <w:rsid w:val="00517F51"/>
    <w:rsid w:val="0052021F"/>
    <w:rsid w:val="005204BB"/>
    <w:rsid w:val="005206E5"/>
    <w:rsid w:val="005207B2"/>
    <w:rsid w:val="005209B4"/>
    <w:rsid w:val="00520BF7"/>
    <w:rsid w:val="00520CBD"/>
    <w:rsid w:val="00520FB5"/>
    <w:rsid w:val="00521021"/>
    <w:rsid w:val="0052113B"/>
    <w:rsid w:val="00521579"/>
    <w:rsid w:val="005219C4"/>
    <w:rsid w:val="005219DC"/>
    <w:rsid w:val="00521A3D"/>
    <w:rsid w:val="00521DB7"/>
    <w:rsid w:val="00521DBE"/>
    <w:rsid w:val="005225C7"/>
    <w:rsid w:val="00522730"/>
    <w:rsid w:val="005227EA"/>
    <w:rsid w:val="005229A5"/>
    <w:rsid w:val="00522A6F"/>
    <w:rsid w:val="00522D9D"/>
    <w:rsid w:val="00523756"/>
    <w:rsid w:val="00523766"/>
    <w:rsid w:val="005237D7"/>
    <w:rsid w:val="005237E1"/>
    <w:rsid w:val="00523D02"/>
    <w:rsid w:val="00523DC3"/>
    <w:rsid w:val="005243F3"/>
    <w:rsid w:val="0052447F"/>
    <w:rsid w:val="005248AC"/>
    <w:rsid w:val="00524F26"/>
    <w:rsid w:val="0052566D"/>
    <w:rsid w:val="005259B7"/>
    <w:rsid w:val="00525A4F"/>
    <w:rsid w:val="00525C41"/>
    <w:rsid w:val="00525FE2"/>
    <w:rsid w:val="0052601C"/>
    <w:rsid w:val="005260C3"/>
    <w:rsid w:val="005262A9"/>
    <w:rsid w:val="00526751"/>
    <w:rsid w:val="005269B6"/>
    <w:rsid w:val="00526BBA"/>
    <w:rsid w:val="00527015"/>
    <w:rsid w:val="005271C9"/>
    <w:rsid w:val="005271F8"/>
    <w:rsid w:val="005274B9"/>
    <w:rsid w:val="0052765A"/>
    <w:rsid w:val="00527915"/>
    <w:rsid w:val="00527BD1"/>
    <w:rsid w:val="00527C4C"/>
    <w:rsid w:val="00527FF6"/>
    <w:rsid w:val="005300CB"/>
    <w:rsid w:val="00530439"/>
    <w:rsid w:val="005304B1"/>
    <w:rsid w:val="005304F9"/>
    <w:rsid w:val="0053055A"/>
    <w:rsid w:val="00530B4A"/>
    <w:rsid w:val="00530EC7"/>
    <w:rsid w:val="0053107B"/>
    <w:rsid w:val="005311AC"/>
    <w:rsid w:val="005316E7"/>
    <w:rsid w:val="00531709"/>
    <w:rsid w:val="00531740"/>
    <w:rsid w:val="005319A0"/>
    <w:rsid w:val="00531E5C"/>
    <w:rsid w:val="005323B7"/>
    <w:rsid w:val="005326FA"/>
    <w:rsid w:val="005329E7"/>
    <w:rsid w:val="00532AD3"/>
    <w:rsid w:val="00532EFD"/>
    <w:rsid w:val="00532F9B"/>
    <w:rsid w:val="00533628"/>
    <w:rsid w:val="00533801"/>
    <w:rsid w:val="00533C06"/>
    <w:rsid w:val="00533DFB"/>
    <w:rsid w:val="0053411F"/>
    <w:rsid w:val="005344AA"/>
    <w:rsid w:val="005349CF"/>
    <w:rsid w:val="00534A96"/>
    <w:rsid w:val="00534C1C"/>
    <w:rsid w:val="00534D7B"/>
    <w:rsid w:val="00534E06"/>
    <w:rsid w:val="00534F68"/>
    <w:rsid w:val="005350C1"/>
    <w:rsid w:val="005350D9"/>
    <w:rsid w:val="00535B5A"/>
    <w:rsid w:val="00535CC4"/>
    <w:rsid w:val="00535D2C"/>
    <w:rsid w:val="00535D99"/>
    <w:rsid w:val="00536398"/>
    <w:rsid w:val="0053661A"/>
    <w:rsid w:val="00536744"/>
    <w:rsid w:val="0053677A"/>
    <w:rsid w:val="00536A49"/>
    <w:rsid w:val="00536A7A"/>
    <w:rsid w:val="00536B46"/>
    <w:rsid w:val="00536CC7"/>
    <w:rsid w:val="00536CEB"/>
    <w:rsid w:val="00536DC0"/>
    <w:rsid w:val="005371D9"/>
    <w:rsid w:val="00537259"/>
    <w:rsid w:val="00537490"/>
    <w:rsid w:val="005378C4"/>
    <w:rsid w:val="00537A01"/>
    <w:rsid w:val="00537A4C"/>
    <w:rsid w:val="00537A59"/>
    <w:rsid w:val="00537A67"/>
    <w:rsid w:val="00540494"/>
    <w:rsid w:val="00540686"/>
    <w:rsid w:val="00540E6C"/>
    <w:rsid w:val="00540E71"/>
    <w:rsid w:val="0054109E"/>
    <w:rsid w:val="005411C8"/>
    <w:rsid w:val="005414F4"/>
    <w:rsid w:val="0054176F"/>
    <w:rsid w:val="0054185A"/>
    <w:rsid w:val="00541CBA"/>
    <w:rsid w:val="00541CFC"/>
    <w:rsid w:val="00541F4D"/>
    <w:rsid w:val="005420CE"/>
    <w:rsid w:val="0054212B"/>
    <w:rsid w:val="0054250D"/>
    <w:rsid w:val="005425B3"/>
    <w:rsid w:val="005426CF"/>
    <w:rsid w:val="0054293D"/>
    <w:rsid w:val="00542991"/>
    <w:rsid w:val="00542B6A"/>
    <w:rsid w:val="00543095"/>
    <w:rsid w:val="0054320C"/>
    <w:rsid w:val="0054322F"/>
    <w:rsid w:val="005436D6"/>
    <w:rsid w:val="00543867"/>
    <w:rsid w:val="00543871"/>
    <w:rsid w:val="0054389A"/>
    <w:rsid w:val="00543E8D"/>
    <w:rsid w:val="00543F0B"/>
    <w:rsid w:val="005446FF"/>
    <w:rsid w:val="005449BB"/>
    <w:rsid w:val="00544F6C"/>
    <w:rsid w:val="00544FAC"/>
    <w:rsid w:val="005457EC"/>
    <w:rsid w:val="00545BFB"/>
    <w:rsid w:val="00545C68"/>
    <w:rsid w:val="00545E58"/>
    <w:rsid w:val="00546301"/>
    <w:rsid w:val="005464ED"/>
    <w:rsid w:val="005466A9"/>
    <w:rsid w:val="00546779"/>
    <w:rsid w:val="00546804"/>
    <w:rsid w:val="00546C82"/>
    <w:rsid w:val="00546E7D"/>
    <w:rsid w:val="00546EA2"/>
    <w:rsid w:val="005473BF"/>
    <w:rsid w:val="00547582"/>
    <w:rsid w:val="005479B8"/>
    <w:rsid w:val="00547B5D"/>
    <w:rsid w:val="00547EF8"/>
    <w:rsid w:val="005503BD"/>
    <w:rsid w:val="005507A1"/>
    <w:rsid w:val="005508BF"/>
    <w:rsid w:val="00550BF5"/>
    <w:rsid w:val="00550CA8"/>
    <w:rsid w:val="00550EF3"/>
    <w:rsid w:val="00551592"/>
    <w:rsid w:val="00551657"/>
    <w:rsid w:val="00551688"/>
    <w:rsid w:val="00551B36"/>
    <w:rsid w:val="00551C1E"/>
    <w:rsid w:val="00551C90"/>
    <w:rsid w:val="00551FC0"/>
    <w:rsid w:val="00552012"/>
    <w:rsid w:val="00552517"/>
    <w:rsid w:val="00552611"/>
    <w:rsid w:val="005529CA"/>
    <w:rsid w:val="00552A0E"/>
    <w:rsid w:val="00552A75"/>
    <w:rsid w:val="00552F8A"/>
    <w:rsid w:val="00552F9E"/>
    <w:rsid w:val="00553078"/>
    <w:rsid w:val="005532B8"/>
    <w:rsid w:val="00553602"/>
    <w:rsid w:val="00553683"/>
    <w:rsid w:val="00553780"/>
    <w:rsid w:val="005539A2"/>
    <w:rsid w:val="00553BD9"/>
    <w:rsid w:val="00553C6E"/>
    <w:rsid w:val="00554205"/>
    <w:rsid w:val="00554227"/>
    <w:rsid w:val="0055452C"/>
    <w:rsid w:val="0055490E"/>
    <w:rsid w:val="00554AF0"/>
    <w:rsid w:val="00554B05"/>
    <w:rsid w:val="00554E89"/>
    <w:rsid w:val="00554F25"/>
    <w:rsid w:val="005551CC"/>
    <w:rsid w:val="00555509"/>
    <w:rsid w:val="00555579"/>
    <w:rsid w:val="005556C8"/>
    <w:rsid w:val="0055570F"/>
    <w:rsid w:val="005557B4"/>
    <w:rsid w:val="00555916"/>
    <w:rsid w:val="005562D7"/>
    <w:rsid w:val="00556503"/>
    <w:rsid w:val="00556509"/>
    <w:rsid w:val="00556535"/>
    <w:rsid w:val="00556E81"/>
    <w:rsid w:val="0055703F"/>
    <w:rsid w:val="0055725C"/>
    <w:rsid w:val="00557400"/>
    <w:rsid w:val="00557979"/>
    <w:rsid w:val="00557AA8"/>
    <w:rsid w:val="00557B5F"/>
    <w:rsid w:val="00557B80"/>
    <w:rsid w:val="00557BA5"/>
    <w:rsid w:val="00557CD4"/>
    <w:rsid w:val="00557DA2"/>
    <w:rsid w:val="005600A2"/>
    <w:rsid w:val="0056038F"/>
    <w:rsid w:val="00560875"/>
    <w:rsid w:val="00560C04"/>
    <w:rsid w:val="005613B7"/>
    <w:rsid w:val="0056143A"/>
    <w:rsid w:val="00561593"/>
    <w:rsid w:val="00561854"/>
    <w:rsid w:val="00561A30"/>
    <w:rsid w:val="00562239"/>
    <w:rsid w:val="00562770"/>
    <w:rsid w:val="00562771"/>
    <w:rsid w:val="0056286D"/>
    <w:rsid w:val="00562ADB"/>
    <w:rsid w:val="00562B37"/>
    <w:rsid w:val="00562C63"/>
    <w:rsid w:val="00562CAD"/>
    <w:rsid w:val="005630DA"/>
    <w:rsid w:val="005634A1"/>
    <w:rsid w:val="00563665"/>
    <w:rsid w:val="00563B8C"/>
    <w:rsid w:val="0056422A"/>
    <w:rsid w:val="00564313"/>
    <w:rsid w:val="0056437A"/>
    <w:rsid w:val="0056472F"/>
    <w:rsid w:val="005647CE"/>
    <w:rsid w:val="00564B66"/>
    <w:rsid w:val="00564BEC"/>
    <w:rsid w:val="00565004"/>
    <w:rsid w:val="00565218"/>
    <w:rsid w:val="0056532E"/>
    <w:rsid w:val="00565404"/>
    <w:rsid w:val="00565CDA"/>
    <w:rsid w:val="00566039"/>
    <w:rsid w:val="00566099"/>
    <w:rsid w:val="0056615F"/>
    <w:rsid w:val="00566228"/>
    <w:rsid w:val="00566515"/>
    <w:rsid w:val="005667D8"/>
    <w:rsid w:val="0056687C"/>
    <w:rsid w:val="0056687D"/>
    <w:rsid w:val="00566BE6"/>
    <w:rsid w:val="0056710E"/>
    <w:rsid w:val="005671E7"/>
    <w:rsid w:val="00567397"/>
    <w:rsid w:val="005673BE"/>
    <w:rsid w:val="005676A4"/>
    <w:rsid w:val="00567899"/>
    <w:rsid w:val="00567927"/>
    <w:rsid w:val="00567AC4"/>
    <w:rsid w:val="00567D94"/>
    <w:rsid w:val="00567E76"/>
    <w:rsid w:val="00567F58"/>
    <w:rsid w:val="0057001C"/>
    <w:rsid w:val="0057017F"/>
    <w:rsid w:val="005701A3"/>
    <w:rsid w:val="0057027A"/>
    <w:rsid w:val="00570505"/>
    <w:rsid w:val="005705CE"/>
    <w:rsid w:val="005708E9"/>
    <w:rsid w:val="005709E6"/>
    <w:rsid w:val="00571441"/>
    <w:rsid w:val="005719D9"/>
    <w:rsid w:val="00571BC0"/>
    <w:rsid w:val="00571CF4"/>
    <w:rsid w:val="00571DE0"/>
    <w:rsid w:val="00571E8A"/>
    <w:rsid w:val="0057201A"/>
    <w:rsid w:val="005728B2"/>
    <w:rsid w:val="00572DE5"/>
    <w:rsid w:val="00572E5F"/>
    <w:rsid w:val="0057304D"/>
    <w:rsid w:val="00573312"/>
    <w:rsid w:val="005733F0"/>
    <w:rsid w:val="00573906"/>
    <w:rsid w:val="00573BAC"/>
    <w:rsid w:val="005741C9"/>
    <w:rsid w:val="005744EE"/>
    <w:rsid w:val="005744F4"/>
    <w:rsid w:val="005745CA"/>
    <w:rsid w:val="00574622"/>
    <w:rsid w:val="00574768"/>
    <w:rsid w:val="00574AAC"/>
    <w:rsid w:val="00574B0D"/>
    <w:rsid w:val="00574DED"/>
    <w:rsid w:val="00574E25"/>
    <w:rsid w:val="005750D6"/>
    <w:rsid w:val="0057517D"/>
    <w:rsid w:val="005752E6"/>
    <w:rsid w:val="005754DC"/>
    <w:rsid w:val="005754EA"/>
    <w:rsid w:val="00575C90"/>
    <w:rsid w:val="00575E8F"/>
    <w:rsid w:val="00576537"/>
    <w:rsid w:val="00576710"/>
    <w:rsid w:val="005769F9"/>
    <w:rsid w:val="00576D69"/>
    <w:rsid w:val="00576F25"/>
    <w:rsid w:val="005773B5"/>
    <w:rsid w:val="005774DE"/>
    <w:rsid w:val="00577982"/>
    <w:rsid w:val="00577B6B"/>
    <w:rsid w:val="00577D7A"/>
    <w:rsid w:val="00577F2E"/>
    <w:rsid w:val="005800B3"/>
    <w:rsid w:val="005800C3"/>
    <w:rsid w:val="00580152"/>
    <w:rsid w:val="00580203"/>
    <w:rsid w:val="005805DB"/>
    <w:rsid w:val="0058075D"/>
    <w:rsid w:val="00580961"/>
    <w:rsid w:val="00580F96"/>
    <w:rsid w:val="00581065"/>
    <w:rsid w:val="005813AB"/>
    <w:rsid w:val="0058173D"/>
    <w:rsid w:val="00581A1A"/>
    <w:rsid w:val="00581E4F"/>
    <w:rsid w:val="005824C8"/>
    <w:rsid w:val="00582698"/>
    <w:rsid w:val="0058270F"/>
    <w:rsid w:val="005827E6"/>
    <w:rsid w:val="00582D1D"/>
    <w:rsid w:val="00582D60"/>
    <w:rsid w:val="00582DD7"/>
    <w:rsid w:val="0058313C"/>
    <w:rsid w:val="005837E9"/>
    <w:rsid w:val="00583C76"/>
    <w:rsid w:val="00583D13"/>
    <w:rsid w:val="00583F8C"/>
    <w:rsid w:val="00584159"/>
    <w:rsid w:val="0058417A"/>
    <w:rsid w:val="005842F1"/>
    <w:rsid w:val="005845C7"/>
    <w:rsid w:val="0058460D"/>
    <w:rsid w:val="00584A09"/>
    <w:rsid w:val="00584A32"/>
    <w:rsid w:val="00584AEC"/>
    <w:rsid w:val="00584CF8"/>
    <w:rsid w:val="00584E3A"/>
    <w:rsid w:val="00584EB3"/>
    <w:rsid w:val="0058500F"/>
    <w:rsid w:val="00585025"/>
    <w:rsid w:val="00585043"/>
    <w:rsid w:val="00585362"/>
    <w:rsid w:val="0058547B"/>
    <w:rsid w:val="00585492"/>
    <w:rsid w:val="00585B50"/>
    <w:rsid w:val="00585BFA"/>
    <w:rsid w:val="00585D0D"/>
    <w:rsid w:val="00586238"/>
    <w:rsid w:val="005862B4"/>
    <w:rsid w:val="00586588"/>
    <w:rsid w:val="00586854"/>
    <w:rsid w:val="00586DFA"/>
    <w:rsid w:val="0058769E"/>
    <w:rsid w:val="005876C2"/>
    <w:rsid w:val="005876EF"/>
    <w:rsid w:val="00587883"/>
    <w:rsid w:val="00587EEA"/>
    <w:rsid w:val="0059037B"/>
    <w:rsid w:val="00590715"/>
    <w:rsid w:val="00590827"/>
    <w:rsid w:val="00590A1A"/>
    <w:rsid w:val="00590F0D"/>
    <w:rsid w:val="0059188F"/>
    <w:rsid w:val="0059191E"/>
    <w:rsid w:val="00591A16"/>
    <w:rsid w:val="00591ACB"/>
    <w:rsid w:val="00591C02"/>
    <w:rsid w:val="00591C37"/>
    <w:rsid w:val="00591E3D"/>
    <w:rsid w:val="00591E80"/>
    <w:rsid w:val="0059204E"/>
    <w:rsid w:val="005920ED"/>
    <w:rsid w:val="00592218"/>
    <w:rsid w:val="005924AD"/>
    <w:rsid w:val="0059286B"/>
    <w:rsid w:val="00592BF7"/>
    <w:rsid w:val="00592DC7"/>
    <w:rsid w:val="00592FAA"/>
    <w:rsid w:val="00593261"/>
    <w:rsid w:val="0059336B"/>
    <w:rsid w:val="00593440"/>
    <w:rsid w:val="00593546"/>
    <w:rsid w:val="00593647"/>
    <w:rsid w:val="00593920"/>
    <w:rsid w:val="00593A6C"/>
    <w:rsid w:val="00593D73"/>
    <w:rsid w:val="0059418B"/>
    <w:rsid w:val="005942FC"/>
    <w:rsid w:val="00594821"/>
    <w:rsid w:val="005948B8"/>
    <w:rsid w:val="00594D80"/>
    <w:rsid w:val="00595276"/>
    <w:rsid w:val="005953DD"/>
    <w:rsid w:val="0059544F"/>
    <w:rsid w:val="005955A9"/>
    <w:rsid w:val="005956BC"/>
    <w:rsid w:val="00595AFF"/>
    <w:rsid w:val="00595BFF"/>
    <w:rsid w:val="00596271"/>
    <w:rsid w:val="005962B0"/>
    <w:rsid w:val="00596604"/>
    <w:rsid w:val="0059674D"/>
    <w:rsid w:val="00596784"/>
    <w:rsid w:val="00596C26"/>
    <w:rsid w:val="00596C9C"/>
    <w:rsid w:val="00596D36"/>
    <w:rsid w:val="00597022"/>
    <w:rsid w:val="0059735C"/>
    <w:rsid w:val="005974B1"/>
    <w:rsid w:val="005974D4"/>
    <w:rsid w:val="00597741"/>
    <w:rsid w:val="00597886"/>
    <w:rsid w:val="00597CE9"/>
    <w:rsid w:val="00597E9E"/>
    <w:rsid w:val="00597F23"/>
    <w:rsid w:val="005A0327"/>
    <w:rsid w:val="005A03BD"/>
    <w:rsid w:val="005A049B"/>
    <w:rsid w:val="005A0660"/>
    <w:rsid w:val="005A09E9"/>
    <w:rsid w:val="005A0C0C"/>
    <w:rsid w:val="005A0F93"/>
    <w:rsid w:val="005A140E"/>
    <w:rsid w:val="005A15CA"/>
    <w:rsid w:val="005A19FD"/>
    <w:rsid w:val="005A1A62"/>
    <w:rsid w:val="005A1F2C"/>
    <w:rsid w:val="005A21FA"/>
    <w:rsid w:val="005A2680"/>
    <w:rsid w:val="005A28D4"/>
    <w:rsid w:val="005A2AA8"/>
    <w:rsid w:val="005A2F92"/>
    <w:rsid w:val="005A3001"/>
    <w:rsid w:val="005A300D"/>
    <w:rsid w:val="005A306F"/>
    <w:rsid w:val="005A3149"/>
    <w:rsid w:val="005A3158"/>
    <w:rsid w:val="005A3529"/>
    <w:rsid w:val="005A364A"/>
    <w:rsid w:val="005A3E12"/>
    <w:rsid w:val="005A44FD"/>
    <w:rsid w:val="005A47C3"/>
    <w:rsid w:val="005A48CF"/>
    <w:rsid w:val="005A4D84"/>
    <w:rsid w:val="005A4E7E"/>
    <w:rsid w:val="005A4F5A"/>
    <w:rsid w:val="005A5006"/>
    <w:rsid w:val="005A50CA"/>
    <w:rsid w:val="005A525C"/>
    <w:rsid w:val="005A5663"/>
    <w:rsid w:val="005A578C"/>
    <w:rsid w:val="005A5832"/>
    <w:rsid w:val="005A5D3A"/>
    <w:rsid w:val="005A643D"/>
    <w:rsid w:val="005A65ED"/>
    <w:rsid w:val="005A66C3"/>
    <w:rsid w:val="005A66F2"/>
    <w:rsid w:val="005A698F"/>
    <w:rsid w:val="005A7402"/>
    <w:rsid w:val="005A7463"/>
    <w:rsid w:val="005A754B"/>
    <w:rsid w:val="005A7856"/>
    <w:rsid w:val="005A7A1C"/>
    <w:rsid w:val="005A7B84"/>
    <w:rsid w:val="005B0328"/>
    <w:rsid w:val="005B03D2"/>
    <w:rsid w:val="005B03E2"/>
    <w:rsid w:val="005B0C64"/>
    <w:rsid w:val="005B0C80"/>
    <w:rsid w:val="005B0EBE"/>
    <w:rsid w:val="005B0EE9"/>
    <w:rsid w:val="005B0FFA"/>
    <w:rsid w:val="005B1150"/>
    <w:rsid w:val="005B12CE"/>
    <w:rsid w:val="005B1415"/>
    <w:rsid w:val="005B1786"/>
    <w:rsid w:val="005B1888"/>
    <w:rsid w:val="005B1903"/>
    <w:rsid w:val="005B1962"/>
    <w:rsid w:val="005B1E7D"/>
    <w:rsid w:val="005B2BBB"/>
    <w:rsid w:val="005B2CCE"/>
    <w:rsid w:val="005B3348"/>
    <w:rsid w:val="005B3654"/>
    <w:rsid w:val="005B3737"/>
    <w:rsid w:val="005B3998"/>
    <w:rsid w:val="005B39E2"/>
    <w:rsid w:val="005B3B2E"/>
    <w:rsid w:val="005B4035"/>
    <w:rsid w:val="005B4D3E"/>
    <w:rsid w:val="005B4F57"/>
    <w:rsid w:val="005B5112"/>
    <w:rsid w:val="005B52B6"/>
    <w:rsid w:val="005B546E"/>
    <w:rsid w:val="005B55B6"/>
    <w:rsid w:val="005B5AB6"/>
    <w:rsid w:val="005B5D1C"/>
    <w:rsid w:val="005B5F08"/>
    <w:rsid w:val="005B61C5"/>
    <w:rsid w:val="005B623B"/>
    <w:rsid w:val="005B6397"/>
    <w:rsid w:val="005B6B29"/>
    <w:rsid w:val="005B74F5"/>
    <w:rsid w:val="005B7A1D"/>
    <w:rsid w:val="005B7A69"/>
    <w:rsid w:val="005B7E03"/>
    <w:rsid w:val="005C010C"/>
    <w:rsid w:val="005C0398"/>
    <w:rsid w:val="005C08CF"/>
    <w:rsid w:val="005C097A"/>
    <w:rsid w:val="005C0E1A"/>
    <w:rsid w:val="005C1164"/>
    <w:rsid w:val="005C1408"/>
    <w:rsid w:val="005C1478"/>
    <w:rsid w:val="005C1B6D"/>
    <w:rsid w:val="005C2349"/>
    <w:rsid w:val="005C260E"/>
    <w:rsid w:val="005C2678"/>
    <w:rsid w:val="005C2B33"/>
    <w:rsid w:val="005C2CE7"/>
    <w:rsid w:val="005C2DA9"/>
    <w:rsid w:val="005C30C9"/>
    <w:rsid w:val="005C3113"/>
    <w:rsid w:val="005C3471"/>
    <w:rsid w:val="005C36A6"/>
    <w:rsid w:val="005C382E"/>
    <w:rsid w:val="005C3A61"/>
    <w:rsid w:val="005C3B4C"/>
    <w:rsid w:val="005C3D22"/>
    <w:rsid w:val="005C402F"/>
    <w:rsid w:val="005C4091"/>
    <w:rsid w:val="005C40D6"/>
    <w:rsid w:val="005C413A"/>
    <w:rsid w:val="005C41AA"/>
    <w:rsid w:val="005C41BD"/>
    <w:rsid w:val="005C41E0"/>
    <w:rsid w:val="005C421C"/>
    <w:rsid w:val="005C4461"/>
    <w:rsid w:val="005C45BF"/>
    <w:rsid w:val="005C49F5"/>
    <w:rsid w:val="005C4DD2"/>
    <w:rsid w:val="005C4FA0"/>
    <w:rsid w:val="005C50CA"/>
    <w:rsid w:val="005C5151"/>
    <w:rsid w:val="005C5269"/>
    <w:rsid w:val="005C52CE"/>
    <w:rsid w:val="005C5AE6"/>
    <w:rsid w:val="005C5B27"/>
    <w:rsid w:val="005C5BAC"/>
    <w:rsid w:val="005C5C44"/>
    <w:rsid w:val="005C5DC6"/>
    <w:rsid w:val="005C5E25"/>
    <w:rsid w:val="005C5F21"/>
    <w:rsid w:val="005C60D5"/>
    <w:rsid w:val="005C61F9"/>
    <w:rsid w:val="005C6485"/>
    <w:rsid w:val="005C64B2"/>
    <w:rsid w:val="005C651B"/>
    <w:rsid w:val="005C6CFB"/>
    <w:rsid w:val="005C6E1E"/>
    <w:rsid w:val="005C6EBC"/>
    <w:rsid w:val="005C7022"/>
    <w:rsid w:val="005C7491"/>
    <w:rsid w:val="005C75D7"/>
    <w:rsid w:val="005C7619"/>
    <w:rsid w:val="005C796B"/>
    <w:rsid w:val="005C7BAB"/>
    <w:rsid w:val="005C7E97"/>
    <w:rsid w:val="005D02E0"/>
    <w:rsid w:val="005D06C2"/>
    <w:rsid w:val="005D083A"/>
    <w:rsid w:val="005D0B1B"/>
    <w:rsid w:val="005D0C5D"/>
    <w:rsid w:val="005D0D83"/>
    <w:rsid w:val="005D12D2"/>
    <w:rsid w:val="005D132E"/>
    <w:rsid w:val="005D1588"/>
    <w:rsid w:val="005D1BBD"/>
    <w:rsid w:val="005D2034"/>
    <w:rsid w:val="005D229A"/>
    <w:rsid w:val="005D2432"/>
    <w:rsid w:val="005D2448"/>
    <w:rsid w:val="005D2541"/>
    <w:rsid w:val="005D2927"/>
    <w:rsid w:val="005D2A73"/>
    <w:rsid w:val="005D2AC1"/>
    <w:rsid w:val="005D2BDA"/>
    <w:rsid w:val="005D2C9D"/>
    <w:rsid w:val="005D2D59"/>
    <w:rsid w:val="005D2FA7"/>
    <w:rsid w:val="005D3070"/>
    <w:rsid w:val="005D3099"/>
    <w:rsid w:val="005D33DE"/>
    <w:rsid w:val="005D356A"/>
    <w:rsid w:val="005D36BB"/>
    <w:rsid w:val="005D37A3"/>
    <w:rsid w:val="005D39A3"/>
    <w:rsid w:val="005D3A02"/>
    <w:rsid w:val="005D3AC9"/>
    <w:rsid w:val="005D3DC5"/>
    <w:rsid w:val="005D3E49"/>
    <w:rsid w:val="005D3F05"/>
    <w:rsid w:val="005D42A6"/>
    <w:rsid w:val="005D4585"/>
    <w:rsid w:val="005D49A2"/>
    <w:rsid w:val="005D53B1"/>
    <w:rsid w:val="005D5949"/>
    <w:rsid w:val="005D59B5"/>
    <w:rsid w:val="005D5BFC"/>
    <w:rsid w:val="005D650B"/>
    <w:rsid w:val="005D66F8"/>
    <w:rsid w:val="005D67BD"/>
    <w:rsid w:val="005D687B"/>
    <w:rsid w:val="005D6A62"/>
    <w:rsid w:val="005D6ADD"/>
    <w:rsid w:val="005D6BC6"/>
    <w:rsid w:val="005D735E"/>
    <w:rsid w:val="005D744A"/>
    <w:rsid w:val="005D755A"/>
    <w:rsid w:val="005D7AA2"/>
    <w:rsid w:val="005D7B22"/>
    <w:rsid w:val="005E0231"/>
    <w:rsid w:val="005E0265"/>
    <w:rsid w:val="005E0284"/>
    <w:rsid w:val="005E04A3"/>
    <w:rsid w:val="005E0598"/>
    <w:rsid w:val="005E0A23"/>
    <w:rsid w:val="005E0C8B"/>
    <w:rsid w:val="005E0FF5"/>
    <w:rsid w:val="005E1570"/>
    <w:rsid w:val="005E160D"/>
    <w:rsid w:val="005E16C6"/>
    <w:rsid w:val="005E1830"/>
    <w:rsid w:val="005E19EF"/>
    <w:rsid w:val="005E1E4D"/>
    <w:rsid w:val="005E26E7"/>
    <w:rsid w:val="005E27DA"/>
    <w:rsid w:val="005E2962"/>
    <w:rsid w:val="005E2AEB"/>
    <w:rsid w:val="005E2EE0"/>
    <w:rsid w:val="005E3258"/>
    <w:rsid w:val="005E32EE"/>
    <w:rsid w:val="005E3310"/>
    <w:rsid w:val="005E3590"/>
    <w:rsid w:val="005E3A6C"/>
    <w:rsid w:val="005E3EFA"/>
    <w:rsid w:val="005E4112"/>
    <w:rsid w:val="005E47F1"/>
    <w:rsid w:val="005E48EC"/>
    <w:rsid w:val="005E4A8A"/>
    <w:rsid w:val="005E4B15"/>
    <w:rsid w:val="005E4B6B"/>
    <w:rsid w:val="005E5051"/>
    <w:rsid w:val="005E5090"/>
    <w:rsid w:val="005E5102"/>
    <w:rsid w:val="005E5202"/>
    <w:rsid w:val="005E52B0"/>
    <w:rsid w:val="005E572C"/>
    <w:rsid w:val="005E57AB"/>
    <w:rsid w:val="005E585B"/>
    <w:rsid w:val="005E585C"/>
    <w:rsid w:val="005E58DA"/>
    <w:rsid w:val="005E5BB6"/>
    <w:rsid w:val="005E5C3C"/>
    <w:rsid w:val="005E5D81"/>
    <w:rsid w:val="005E605A"/>
    <w:rsid w:val="005E63C9"/>
    <w:rsid w:val="005E68E7"/>
    <w:rsid w:val="005E6BA5"/>
    <w:rsid w:val="005E6F28"/>
    <w:rsid w:val="005E7393"/>
    <w:rsid w:val="005E75A8"/>
    <w:rsid w:val="005E7D1E"/>
    <w:rsid w:val="005E7DAE"/>
    <w:rsid w:val="005E7E9F"/>
    <w:rsid w:val="005F01F6"/>
    <w:rsid w:val="005F0351"/>
    <w:rsid w:val="005F0BC5"/>
    <w:rsid w:val="005F0BC7"/>
    <w:rsid w:val="005F1177"/>
    <w:rsid w:val="005F13DB"/>
    <w:rsid w:val="005F1533"/>
    <w:rsid w:val="005F1580"/>
    <w:rsid w:val="005F15CC"/>
    <w:rsid w:val="005F16A8"/>
    <w:rsid w:val="005F17DB"/>
    <w:rsid w:val="005F1825"/>
    <w:rsid w:val="005F1A24"/>
    <w:rsid w:val="005F1A78"/>
    <w:rsid w:val="005F1BB2"/>
    <w:rsid w:val="005F1E02"/>
    <w:rsid w:val="005F1E29"/>
    <w:rsid w:val="005F1F9B"/>
    <w:rsid w:val="005F2307"/>
    <w:rsid w:val="005F248E"/>
    <w:rsid w:val="005F26C6"/>
    <w:rsid w:val="005F280A"/>
    <w:rsid w:val="005F282B"/>
    <w:rsid w:val="005F2D6D"/>
    <w:rsid w:val="005F32B4"/>
    <w:rsid w:val="005F32F0"/>
    <w:rsid w:val="005F339D"/>
    <w:rsid w:val="005F3699"/>
    <w:rsid w:val="005F3A4A"/>
    <w:rsid w:val="005F3B40"/>
    <w:rsid w:val="005F43D3"/>
    <w:rsid w:val="005F4A81"/>
    <w:rsid w:val="005F4AC7"/>
    <w:rsid w:val="005F59CB"/>
    <w:rsid w:val="005F5B09"/>
    <w:rsid w:val="005F5E26"/>
    <w:rsid w:val="005F5EA9"/>
    <w:rsid w:val="005F65DF"/>
    <w:rsid w:val="005F67C9"/>
    <w:rsid w:val="005F681D"/>
    <w:rsid w:val="005F6865"/>
    <w:rsid w:val="005F6C93"/>
    <w:rsid w:val="005F7078"/>
    <w:rsid w:val="005F7104"/>
    <w:rsid w:val="005F710D"/>
    <w:rsid w:val="005F7284"/>
    <w:rsid w:val="005F73B8"/>
    <w:rsid w:val="005F7469"/>
    <w:rsid w:val="005F74B2"/>
    <w:rsid w:val="005F763B"/>
    <w:rsid w:val="005F7B7F"/>
    <w:rsid w:val="005F7D01"/>
    <w:rsid w:val="006003A4"/>
    <w:rsid w:val="0060046A"/>
    <w:rsid w:val="006004F5"/>
    <w:rsid w:val="006006E0"/>
    <w:rsid w:val="00600834"/>
    <w:rsid w:val="0060090E"/>
    <w:rsid w:val="006009FA"/>
    <w:rsid w:val="00600A14"/>
    <w:rsid w:val="00600BEE"/>
    <w:rsid w:val="00600D1C"/>
    <w:rsid w:val="00600D9B"/>
    <w:rsid w:val="0060147F"/>
    <w:rsid w:val="006015C0"/>
    <w:rsid w:val="00601654"/>
    <w:rsid w:val="0060168E"/>
    <w:rsid w:val="00601C1F"/>
    <w:rsid w:val="00601D75"/>
    <w:rsid w:val="00601E30"/>
    <w:rsid w:val="00601F95"/>
    <w:rsid w:val="006020EA"/>
    <w:rsid w:val="006022C2"/>
    <w:rsid w:val="006025B5"/>
    <w:rsid w:val="0060267C"/>
    <w:rsid w:val="006027E7"/>
    <w:rsid w:val="00602868"/>
    <w:rsid w:val="00602D3A"/>
    <w:rsid w:val="00602E20"/>
    <w:rsid w:val="00602E5D"/>
    <w:rsid w:val="00603257"/>
    <w:rsid w:val="006032ED"/>
    <w:rsid w:val="00603556"/>
    <w:rsid w:val="00603883"/>
    <w:rsid w:val="00603E09"/>
    <w:rsid w:val="00603EA1"/>
    <w:rsid w:val="00604546"/>
    <w:rsid w:val="0060468E"/>
    <w:rsid w:val="006046D7"/>
    <w:rsid w:val="00604A57"/>
    <w:rsid w:val="00604AE6"/>
    <w:rsid w:val="00604C18"/>
    <w:rsid w:val="00604C90"/>
    <w:rsid w:val="00604DA6"/>
    <w:rsid w:val="006050AD"/>
    <w:rsid w:val="006050C3"/>
    <w:rsid w:val="0060557B"/>
    <w:rsid w:val="0060560E"/>
    <w:rsid w:val="00605ACB"/>
    <w:rsid w:val="00605B34"/>
    <w:rsid w:val="00605CDF"/>
    <w:rsid w:val="00605ED8"/>
    <w:rsid w:val="006061FF"/>
    <w:rsid w:val="00606234"/>
    <w:rsid w:val="006065A3"/>
    <w:rsid w:val="00606670"/>
    <w:rsid w:val="006068CD"/>
    <w:rsid w:val="00606B20"/>
    <w:rsid w:val="00606DE4"/>
    <w:rsid w:val="00606E76"/>
    <w:rsid w:val="00606F0E"/>
    <w:rsid w:val="006072D8"/>
    <w:rsid w:val="006074BA"/>
    <w:rsid w:val="006078CA"/>
    <w:rsid w:val="006079E4"/>
    <w:rsid w:val="00607D9E"/>
    <w:rsid w:val="00607DF0"/>
    <w:rsid w:val="006101D1"/>
    <w:rsid w:val="00610242"/>
    <w:rsid w:val="00610717"/>
    <w:rsid w:val="006108E1"/>
    <w:rsid w:val="00610A2D"/>
    <w:rsid w:val="00610AD7"/>
    <w:rsid w:val="00610E49"/>
    <w:rsid w:val="0061113D"/>
    <w:rsid w:val="006112D1"/>
    <w:rsid w:val="00611331"/>
    <w:rsid w:val="00611380"/>
    <w:rsid w:val="006117EF"/>
    <w:rsid w:val="0061183F"/>
    <w:rsid w:val="006118DD"/>
    <w:rsid w:val="00611A08"/>
    <w:rsid w:val="00611DAC"/>
    <w:rsid w:val="00611E0F"/>
    <w:rsid w:val="00611F2A"/>
    <w:rsid w:val="006120EE"/>
    <w:rsid w:val="00612105"/>
    <w:rsid w:val="006123DB"/>
    <w:rsid w:val="006124B2"/>
    <w:rsid w:val="00612795"/>
    <w:rsid w:val="0061290B"/>
    <w:rsid w:val="0061293D"/>
    <w:rsid w:val="00612C62"/>
    <w:rsid w:val="00612FE9"/>
    <w:rsid w:val="006137EE"/>
    <w:rsid w:val="0061399E"/>
    <w:rsid w:val="00613C82"/>
    <w:rsid w:val="006141A4"/>
    <w:rsid w:val="00614448"/>
    <w:rsid w:val="00614493"/>
    <w:rsid w:val="0061453F"/>
    <w:rsid w:val="00614700"/>
    <w:rsid w:val="00614C23"/>
    <w:rsid w:val="00614F00"/>
    <w:rsid w:val="00614FCF"/>
    <w:rsid w:val="006151B5"/>
    <w:rsid w:val="0061574E"/>
    <w:rsid w:val="00615A33"/>
    <w:rsid w:val="00615AE4"/>
    <w:rsid w:val="00615B39"/>
    <w:rsid w:val="00615EE7"/>
    <w:rsid w:val="00615F98"/>
    <w:rsid w:val="006162D9"/>
    <w:rsid w:val="0061650D"/>
    <w:rsid w:val="006168E0"/>
    <w:rsid w:val="00616D30"/>
    <w:rsid w:val="00616D84"/>
    <w:rsid w:val="00616E7D"/>
    <w:rsid w:val="00616F2E"/>
    <w:rsid w:val="006170CB"/>
    <w:rsid w:val="006171E3"/>
    <w:rsid w:val="0061741B"/>
    <w:rsid w:val="0061746D"/>
    <w:rsid w:val="00617490"/>
    <w:rsid w:val="00620144"/>
    <w:rsid w:val="0062024F"/>
    <w:rsid w:val="00620308"/>
    <w:rsid w:val="006203A4"/>
    <w:rsid w:val="0062041D"/>
    <w:rsid w:val="0062055C"/>
    <w:rsid w:val="00620618"/>
    <w:rsid w:val="006209E5"/>
    <w:rsid w:val="00620E13"/>
    <w:rsid w:val="00621612"/>
    <w:rsid w:val="006217EB"/>
    <w:rsid w:val="00621983"/>
    <w:rsid w:val="00621B3B"/>
    <w:rsid w:val="00621D54"/>
    <w:rsid w:val="00621EB8"/>
    <w:rsid w:val="006228D4"/>
    <w:rsid w:val="00622A4B"/>
    <w:rsid w:val="00622AC9"/>
    <w:rsid w:val="00622EDA"/>
    <w:rsid w:val="0062341A"/>
    <w:rsid w:val="0062345E"/>
    <w:rsid w:val="00623590"/>
    <w:rsid w:val="006238E7"/>
    <w:rsid w:val="00623DF1"/>
    <w:rsid w:val="00623E62"/>
    <w:rsid w:val="00623FB3"/>
    <w:rsid w:val="0062428E"/>
    <w:rsid w:val="00624464"/>
    <w:rsid w:val="0062450F"/>
    <w:rsid w:val="00624578"/>
    <w:rsid w:val="00624787"/>
    <w:rsid w:val="00624BFE"/>
    <w:rsid w:val="00624C9D"/>
    <w:rsid w:val="00624D1D"/>
    <w:rsid w:val="006250EF"/>
    <w:rsid w:val="00625127"/>
    <w:rsid w:val="0062529E"/>
    <w:rsid w:val="006252BD"/>
    <w:rsid w:val="006252D7"/>
    <w:rsid w:val="00625750"/>
    <w:rsid w:val="00625CBF"/>
    <w:rsid w:val="00625E4F"/>
    <w:rsid w:val="00625F09"/>
    <w:rsid w:val="0062614F"/>
    <w:rsid w:val="006265C5"/>
    <w:rsid w:val="006266D6"/>
    <w:rsid w:val="0062682B"/>
    <w:rsid w:val="00626A38"/>
    <w:rsid w:val="00626A94"/>
    <w:rsid w:val="00626CD7"/>
    <w:rsid w:val="00626E82"/>
    <w:rsid w:val="00627753"/>
    <w:rsid w:val="00627E93"/>
    <w:rsid w:val="00630508"/>
    <w:rsid w:val="0063068A"/>
    <w:rsid w:val="00630727"/>
    <w:rsid w:val="00630A21"/>
    <w:rsid w:val="00630A25"/>
    <w:rsid w:val="00630A9A"/>
    <w:rsid w:val="00630AE4"/>
    <w:rsid w:val="00630CC4"/>
    <w:rsid w:val="00630CDF"/>
    <w:rsid w:val="00630CF8"/>
    <w:rsid w:val="00630FAA"/>
    <w:rsid w:val="00631056"/>
    <w:rsid w:val="006310B3"/>
    <w:rsid w:val="00631592"/>
    <w:rsid w:val="00631ABD"/>
    <w:rsid w:val="00631BF2"/>
    <w:rsid w:val="00631FE5"/>
    <w:rsid w:val="00631FFA"/>
    <w:rsid w:val="0063214B"/>
    <w:rsid w:val="0063251C"/>
    <w:rsid w:val="00632775"/>
    <w:rsid w:val="00632AE9"/>
    <w:rsid w:val="00633552"/>
    <w:rsid w:val="006336EF"/>
    <w:rsid w:val="00633B66"/>
    <w:rsid w:val="00633C66"/>
    <w:rsid w:val="0063413E"/>
    <w:rsid w:val="006341BD"/>
    <w:rsid w:val="00634390"/>
    <w:rsid w:val="006344E8"/>
    <w:rsid w:val="006348E4"/>
    <w:rsid w:val="00634DC2"/>
    <w:rsid w:val="00634ED8"/>
    <w:rsid w:val="00634F09"/>
    <w:rsid w:val="00634F6C"/>
    <w:rsid w:val="0063530D"/>
    <w:rsid w:val="00635446"/>
    <w:rsid w:val="00635699"/>
    <w:rsid w:val="006358BD"/>
    <w:rsid w:val="00635963"/>
    <w:rsid w:val="00635E91"/>
    <w:rsid w:val="006364E8"/>
    <w:rsid w:val="00636536"/>
    <w:rsid w:val="00636941"/>
    <w:rsid w:val="0063699B"/>
    <w:rsid w:val="00636B70"/>
    <w:rsid w:val="00636D2B"/>
    <w:rsid w:val="00637508"/>
    <w:rsid w:val="0063755D"/>
    <w:rsid w:val="006376C1"/>
    <w:rsid w:val="00637945"/>
    <w:rsid w:val="00637AF8"/>
    <w:rsid w:val="00637B87"/>
    <w:rsid w:val="00637C76"/>
    <w:rsid w:val="006400BF"/>
    <w:rsid w:val="006402EF"/>
    <w:rsid w:val="0064047C"/>
    <w:rsid w:val="00640600"/>
    <w:rsid w:val="00640603"/>
    <w:rsid w:val="00640675"/>
    <w:rsid w:val="006408C6"/>
    <w:rsid w:val="00640A25"/>
    <w:rsid w:val="00640AAE"/>
    <w:rsid w:val="00640D6E"/>
    <w:rsid w:val="00640D92"/>
    <w:rsid w:val="006417BA"/>
    <w:rsid w:val="00641AD5"/>
    <w:rsid w:val="00641B55"/>
    <w:rsid w:val="00641D7D"/>
    <w:rsid w:val="00641E8E"/>
    <w:rsid w:val="00641EC9"/>
    <w:rsid w:val="0064208E"/>
    <w:rsid w:val="006420FF"/>
    <w:rsid w:val="0064210A"/>
    <w:rsid w:val="00642128"/>
    <w:rsid w:val="00642423"/>
    <w:rsid w:val="006424EE"/>
    <w:rsid w:val="006425F9"/>
    <w:rsid w:val="006428EE"/>
    <w:rsid w:val="00642B43"/>
    <w:rsid w:val="00642DD2"/>
    <w:rsid w:val="00642F2B"/>
    <w:rsid w:val="00643196"/>
    <w:rsid w:val="006436FD"/>
    <w:rsid w:val="00643812"/>
    <w:rsid w:val="006439FD"/>
    <w:rsid w:val="00644038"/>
    <w:rsid w:val="00644039"/>
    <w:rsid w:val="00644062"/>
    <w:rsid w:val="006440F4"/>
    <w:rsid w:val="006441EE"/>
    <w:rsid w:val="006444DD"/>
    <w:rsid w:val="00644811"/>
    <w:rsid w:val="006448C6"/>
    <w:rsid w:val="006448F4"/>
    <w:rsid w:val="00644ACA"/>
    <w:rsid w:val="00644D05"/>
    <w:rsid w:val="00644DD3"/>
    <w:rsid w:val="00644F30"/>
    <w:rsid w:val="00645043"/>
    <w:rsid w:val="006450B5"/>
    <w:rsid w:val="00645216"/>
    <w:rsid w:val="00645923"/>
    <w:rsid w:val="00645C9E"/>
    <w:rsid w:val="00645F46"/>
    <w:rsid w:val="00646112"/>
    <w:rsid w:val="00646295"/>
    <w:rsid w:val="006462F8"/>
    <w:rsid w:val="006464AB"/>
    <w:rsid w:val="00646727"/>
    <w:rsid w:val="00646862"/>
    <w:rsid w:val="00646CB6"/>
    <w:rsid w:val="00646EB5"/>
    <w:rsid w:val="00646FCB"/>
    <w:rsid w:val="00647070"/>
    <w:rsid w:val="00647159"/>
    <w:rsid w:val="0064764E"/>
    <w:rsid w:val="006478B7"/>
    <w:rsid w:val="00647DFE"/>
    <w:rsid w:val="00647E84"/>
    <w:rsid w:val="00647FE7"/>
    <w:rsid w:val="0065050B"/>
    <w:rsid w:val="0065053E"/>
    <w:rsid w:val="00650B42"/>
    <w:rsid w:val="00650C46"/>
    <w:rsid w:val="006510FE"/>
    <w:rsid w:val="006511A9"/>
    <w:rsid w:val="006511FE"/>
    <w:rsid w:val="00651280"/>
    <w:rsid w:val="00651548"/>
    <w:rsid w:val="00651A33"/>
    <w:rsid w:val="00651AA3"/>
    <w:rsid w:val="00651E4A"/>
    <w:rsid w:val="0065205E"/>
    <w:rsid w:val="00652091"/>
    <w:rsid w:val="00652115"/>
    <w:rsid w:val="006521F5"/>
    <w:rsid w:val="0065233E"/>
    <w:rsid w:val="00652809"/>
    <w:rsid w:val="0065282B"/>
    <w:rsid w:val="00652840"/>
    <w:rsid w:val="00652954"/>
    <w:rsid w:val="006529E8"/>
    <w:rsid w:val="00652CF5"/>
    <w:rsid w:val="006530B4"/>
    <w:rsid w:val="00653875"/>
    <w:rsid w:val="00653A28"/>
    <w:rsid w:val="00653A86"/>
    <w:rsid w:val="00653E30"/>
    <w:rsid w:val="006540D1"/>
    <w:rsid w:val="006546DA"/>
    <w:rsid w:val="006547A7"/>
    <w:rsid w:val="006549C2"/>
    <w:rsid w:val="00654A8B"/>
    <w:rsid w:val="00654D4D"/>
    <w:rsid w:val="00654F6F"/>
    <w:rsid w:val="00654FF8"/>
    <w:rsid w:val="0065520A"/>
    <w:rsid w:val="006554EF"/>
    <w:rsid w:val="00655783"/>
    <w:rsid w:val="00655835"/>
    <w:rsid w:val="00655A19"/>
    <w:rsid w:val="00655B01"/>
    <w:rsid w:val="00655B49"/>
    <w:rsid w:val="00655C65"/>
    <w:rsid w:val="00656A9F"/>
    <w:rsid w:val="00656AC5"/>
    <w:rsid w:val="00656CBD"/>
    <w:rsid w:val="00656DB9"/>
    <w:rsid w:val="00656F4B"/>
    <w:rsid w:val="0065757C"/>
    <w:rsid w:val="006578A8"/>
    <w:rsid w:val="00657DBC"/>
    <w:rsid w:val="00657F14"/>
    <w:rsid w:val="00660345"/>
    <w:rsid w:val="006603F6"/>
    <w:rsid w:val="006605DF"/>
    <w:rsid w:val="00660625"/>
    <w:rsid w:val="00660681"/>
    <w:rsid w:val="00660913"/>
    <w:rsid w:val="00660C24"/>
    <w:rsid w:val="00660D94"/>
    <w:rsid w:val="00660E53"/>
    <w:rsid w:val="00661076"/>
    <w:rsid w:val="006616C2"/>
    <w:rsid w:val="00661FF2"/>
    <w:rsid w:val="006622C9"/>
    <w:rsid w:val="00662395"/>
    <w:rsid w:val="006624A9"/>
    <w:rsid w:val="0066265D"/>
    <w:rsid w:val="006626C9"/>
    <w:rsid w:val="0066330A"/>
    <w:rsid w:val="00663333"/>
    <w:rsid w:val="006635E4"/>
    <w:rsid w:val="00663645"/>
    <w:rsid w:val="0066367E"/>
    <w:rsid w:val="006636F4"/>
    <w:rsid w:val="00663879"/>
    <w:rsid w:val="00663A8F"/>
    <w:rsid w:val="00664901"/>
    <w:rsid w:val="00664CE3"/>
    <w:rsid w:val="00664F11"/>
    <w:rsid w:val="00664FC6"/>
    <w:rsid w:val="00665231"/>
    <w:rsid w:val="0066529B"/>
    <w:rsid w:val="006657D2"/>
    <w:rsid w:val="00665B97"/>
    <w:rsid w:val="00665BAB"/>
    <w:rsid w:val="00665D64"/>
    <w:rsid w:val="00666457"/>
    <w:rsid w:val="006665CC"/>
    <w:rsid w:val="00666A67"/>
    <w:rsid w:val="00666C5A"/>
    <w:rsid w:val="00667348"/>
    <w:rsid w:val="0066753C"/>
    <w:rsid w:val="00667C5E"/>
    <w:rsid w:val="0067001B"/>
    <w:rsid w:val="006701B6"/>
    <w:rsid w:val="006701F8"/>
    <w:rsid w:val="00670235"/>
    <w:rsid w:val="006703E0"/>
    <w:rsid w:val="00670633"/>
    <w:rsid w:val="00670762"/>
    <w:rsid w:val="00670764"/>
    <w:rsid w:val="006708F1"/>
    <w:rsid w:val="006709A1"/>
    <w:rsid w:val="00670CB3"/>
    <w:rsid w:val="006711A1"/>
    <w:rsid w:val="006712A7"/>
    <w:rsid w:val="0067149F"/>
    <w:rsid w:val="006715FA"/>
    <w:rsid w:val="00671607"/>
    <w:rsid w:val="006716C1"/>
    <w:rsid w:val="00671775"/>
    <w:rsid w:val="006717A3"/>
    <w:rsid w:val="00671CC2"/>
    <w:rsid w:val="00672196"/>
    <w:rsid w:val="006725CA"/>
    <w:rsid w:val="006728D1"/>
    <w:rsid w:val="00672DE9"/>
    <w:rsid w:val="0067324A"/>
    <w:rsid w:val="0067344B"/>
    <w:rsid w:val="00673477"/>
    <w:rsid w:val="00673569"/>
    <w:rsid w:val="00673811"/>
    <w:rsid w:val="00673C51"/>
    <w:rsid w:val="0067429C"/>
    <w:rsid w:val="006743F2"/>
    <w:rsid w:val="006748E2"/>
    <w:rsid w:val="00674B9E"/>
    <w:rsid w:val="00674C7D"/>
    <w:rsid w:val="00674F0C"/>
    <w:rsid w:val="006750A3"/>
    <w:rsid w:val="006750D2"/>
    <w:rsid w:val="00675226"/>
    <w:rsid w:val="0067533A"/>
    <w:rsid w:val="00675400"/>
    <w:rsid w:val="006758C3"/>
    <w:rsid w:val="00675998"/>
    <w:rsid w:val="00675CDF"/>
    <w:rsid w:val="00676001"/>
    <w:rsid w:val="006763BB"/>
    <w:rsid w:val="006763ED"/>
    <w:rsid w:val="006767BA"/>
    <w:rsid w:val="00676861"/>
    <w:rsid w:val="00676DBA"/>
    <w:rsid w:val="0067716F"/>
    <w:rsid w:val="006771BD"/>
    <w:rsid w:val="00677219"/>
    <w:rsid w:val="0067772E"/>
    <w:rsid w:val="0067779E"/>
    <w:rsid w:val="00677A82"/>
    <w:rsid w:val="00677B36"/>
    <w:rsid w:val="00677C58"/>
    <w:rsid w:val="00677DFC"/>
    <w:rsid w:val="00680102"/>
    <w:rsid w:val="00680236"/>
    <w:rsid w:val="00680767"/>
    <w:rsid w:val="006808AF"/>
    <w:rsid w:val="0068096D"/>
    <w:rsid w:val="00680C6D"/>
    <w:rsid w:val="00680D27"/>
    <w:rsid w:val="00680D5F"/>
    <w:rsid w:val="006810F6"/>
    <w:rsid w:val="006813DF"/>
    <w:rsid w:val="006816FB"/>
    <w:rsid w:val="00681B46"/>
    <w:rsid w:val="00681CAB"/>
    <w:rsid w:val="00681D83"/>
    <w:rsid w:val="00681EB2"/>
    <w:rsid w:val="006821C6"/>
    <w:rsid w:val="00682241"/>
    <w:rsid w:val="00682314"/>
    <w:rsid w:val="006824DB"/>
    <w:rsid w:val="00682838"/>
    <w:rsid w:val="006828A5"/>
    <w:rsid w:val="00682D6D"/>
    <w:rsid w:val="00683007"/>
    <w:rsid w:val="0068323B"/>
    <w:rsid w:val="0068367F"/>
    <w:rsid w:val="00683710"/>
    <w:rsid w:val="0068392A"/>
    <w:rsid w:val="00683A62"/>
    <w:rsid w:val="00683B3F"/>
    <w:rsid w:val="00683B97"/>
    <w:rsid w:val="00683C21"/>
    <w:rsid w:val="00683FF2"/>
    <w:rsid w:val="00683FFB"/>
    <w:rsid w:val="00684869"/>
    <w:rsid w:val="0068490A"/>
    <w:rsid w:val="00684927"/>
    <w:rsid w:val="00684A8C"/>
    <w:rsid w:val="00684C64"/>
    <w:rsid w:val="00684E2B"/>
    <w:rsid w:val="00685052"/>
    <w:rsid w:val="0068515C"/>
    <w:rsid w:val="00685848"/>
    <w:rsid w:val="006858A9"/>
    <w:rsid w:val="00685BDA"/>
    <w:rsid w:val="00685E64"/>
    <w:rsid w:val="006861CC"/>
    <w:rsid w:val="00686738"/>
    <w:rsid w:val="00686FCC"/>
    <w:rsid w:val="00686FDB"/>
    <w:rsid w:val="00687D26"/>
    <w:rsid w:val="00690360"/>
    <w:rsid w:val="006903B3"/>
    <w:rsid w:val="006903D4"/>
    <w:rsid w:val="006905A1"/>
    <w:rsid w:val="00690B04"/>
    <w:rsid w:val="006918CA"/>
    <w:rsid w:val="00691EE9"/>
    <w:rsid w:val="0069219D"/>
    <w:rsid w:val="006921E5"/>
    <w:rsid w:val="00692663"/>
    <w:rsid w:val="00693081"/>
    <w:rsid w:val="0069323E"/>
    <w:rsid w:val="0069324F"/>
    <w:rsid w:val="0069329E"/>
    <w:rsid w:val="006938C1"/>
    <w:rsid w:val="00693B27"/>
    <w:rsid w:val="00693E30"/>
    <w:rsid w:val="00694EE4"/>
    <w:rsid w:val="00695982"/>
    <w:rsid w:val="006959CA"/>
    <w:rsid w:val="00695AB3"/>
    <w:rsid w:val="00695EE1"/>
    <w:rsid w:val="006961D0"/>
    <w:rsid w:val="00696346"/>
    <w:rsid w:val="00696925"/>
    <w:rsid w:val="00696A1D"/>
    <w:rsid w:val="00696A3D"/>
    <w:rsid w:val="00696AD7"/>
    <w:rsid w:val="00696D8B"/>
    <w:rsid w:val="00696FBA"/>
    <w:rsid w:val="00697372"/>
    <w:rsid w:val="0069780A"/>
    <w:rsid w:val="00697A1F"/>
    <w:rsid w:val="006A0118"/>
    <w:rsid w:val="006A019F"/>
    <w:rsid w:val="006A04F2"/>
    <w:rsid w:val="006A0EDC"/>
    <w:rsid w:val="006A1A00"/>
    <w:rsid w:val="006A1A21"/>
    <w:rsid w:val="006A1BE8"/>
    <w:rsid w:val="006A1D4C"/>
    <w:rsid w:val="006A1DBF"/>
    <w:rsid w:val="006A1EDE"/>
    <w:rsid w:val="006A2239"/>
    <w:rsid w:val="006A2416"/>
    <w:rsid w:val="006A2452"/>
    <w:rsid w:val="006A25F0"/>
    <w:rsid w:val="006A2DD1"/>
    <w:rsid w:val="006A31C6"/>
    <w:rsid w:val="006A3283"/>
    <w:rsid w:val="006A3380"/>
    <w:rsid w:val="006A3556"/>
    <w:rsid w:val="006A37F2"/>
    <w:rsid w:val="006A389D"/>
    <w:rsid w:val="006A3926"/>
    <w:rsid w:val="006A39F3"/>
    <w:rsid w:val="006A3A99"/>
    <w:rsid w:val="006A3C51"/>
    <w:rsid w:val="006A3E45"/>
    <w:rsid w:val="006A4341"/>
    <w:rsid w:val="006A489A"/>
    <w:rsid w:val="006A4AB6"/>
    <w:rsid w:val="006A4BCD"/>
    <w:rsid w:val="006A51EA"/>
    <w:rsid w:val="006A5980"/>
    <w:rsid w:val="006A5D83"/>
    <w:rsid w:val="006A5DE9"/>
    <w:rsid w:val="006A5F92"/>
    <w:rsid w:val="006A618B"/>
    <w:rsid w:val="006A61A0"/>
    <w:rsid w:val="006A6493"/>
    <w:rsid w:val="006A671D"/>
    <w:rsid w:val="006A67A4"/>
    <w:rsid w:val="006A6AED"/>
    <w:rsid w:val="006A740B"/>
    <w:rsid w:val="006A743D"/>
    <w:rsid w:val="006A7B14"/>
    <w:rsid w:val="006A7EF6"/>
    <w:rsid w:val="006B00CF"/>
    <w:rsid w:val="006B025A"/>
    <w:rsid w:val="006B03CA"/>
    <w:rsid w:val="006B0476"/>
    <w:rsid w:val="006B0569"/>
    <w:rsid w:val="006B0608"/>
    <w:rsid w:val="006B090D"/>
    <w:rsid w:val="006B0944"/>
    <w:rsid w:val="006B0AC5"/>
    <w:rsid w:val="006B0D08"/>
    <w:rsid w:val="006B13CA"/>
    <w:rsid w:val="006B13D8"/>
    <w:rsid w:val="006B14B4"/>
    <w:rsid w:val="006B156D"/>
    <w:rsid w:val="006B1643"/>
    <w:rsid w:val="006B17FD"/>
    <w:rsid w:val="006B1915"/>
    <w:rsid w:val="006B1F8C"/>
    <w:rsid w:val="006B1FE9"/>
    <w:rsid w:val="006B22E4"/>
    <w:rsid w:val="006B2494"/>
    <w:rsid w:val="006B2571"/>
    <w:rsid w:val="006B257B"/>
    <w:rsid w:val="006B294B"/>
    <w:rsid w:val="006B2BA0"/>
    <w:rsid w:val="006B2C60"/>
    <w:rsid w:val="006B30A9"/>
    <w:rsid w:val="006B3254"/>
    <w:rsid w:val="006B3309"/>
    <w:rsid w:val="006B3445"/>
    <w:rsid w:val="006B3463"/>
    <w:rsid w:val="006B3525"/>
    <w:rsid w:val="006B36A7"/>
    <w:rsid w:val="006B3B7B"/>
    <w:rsid w:val="006B3BAB"/>
    <w:rsid w:val="006B3D3F"/>
    <w:rsid w:val="006B3D87"/>
    <w:rsid w:val="006B4102"/>
    <w:rsid w:val="006B41ED"/>
    <w:rsid w:val="006B43D7"/>
    <w:rsid w:val="006B4570"/>
    <w:rsid w:val="006B458E"/>
    <w:rsid w:val="006B479C"/>
    <w:rsid w:val="006B490E"/>
    <w:rsid w:val="006B4B18"/>
    <w:rsid w:val="006B4D35"/>
    <w:rsid w:val="006B4F24"/>
    <w:rsid w:val="006B504B"/>
    <w:rsid w:val="006B516B"/>
    <w:rsid w:val="006B53E0"/>
    <w:rsid w:val="006B5409"/>
    <w:rsid w:val="006B541C"/>
    <w:rsid w:val="006B56A4"/>
    <w:rsid w:val="006B5E11"/>
    <w:rsid w:val="006B6037"/>
    <w:rsid w:val="006B6573"/>
    <w:rsid w:val="006B6731"/>
    <w:rsid w:val="006B6A3B"/>
    <w:rsid w:val="006B6FCD"/>
    <w:rsid w:val="006B7300"/>
    <w:rsid w:val="006B7569"/>
    <w:rsid w:val="006B7769"/>
    <w:rsid w:val="006B785B"/>
    <w:rsid w:val="006B79AD"/>
    <w:rsid w:val="006B79DD"/>
    <w:rsid w:val="006B7C7F"/>
    <w:rsid w:val="006B7D05"/>
    <w:rsid w:val="006B7EE4"/>
    <w:rsid w:val="006C05C0"/>
    <w:rsid w:val="006C0906"/>
    <w:rsid w:val="006C15F8"/>
    <w:rsid w:val="006C183C"/>
    <w:rsid w:val="006C1857"/>
    <w:rsid w:val="006C1A93"/>
    <w:rsid w:val="006C1AC8"/>
    <w:rsid w:val="006C2274"/>
    <w:rsid w:val="006C245F"/>
    <w:rsid w:val="006C2511"/>
    <w:rsid w:val="006C2637"/>
    <w:rsid w:val="006C2A23"/>
    <w:rsid w:val="006C2F48"/>
    <w:rsid w:val="006C32E2"/>
    <w:rsid w:val="006C337F"/>
    <w:rsid w:val="006C34A1"/>
    <w:rsid w:val="006C3891"/>
    <w:rsid w:val="006C38B0"/>
    <w:rsid w:val="006C3A77"/>
    <w:rsid w:val="006C4295"/>
    <w:rsid w:val="006C477D"/>
    <w:rsid w:val="006C47C5"/>
    <w:rsid w:val="006C4BDE"/>
    <w:rsid w:val="006C4D64"/>
    <w:rsid w:val="006C4E2B"/>
    <w:rsid w:val="006C56C9"/>
    <w:rsid w:val="006C598E"/>
    <w:rsid w:val="006C5A42"/>
    <w:rsid w:val="006C5EA3"/>
    <w:rsid w:val="006C616B"/>
    <w:rsid w:val="006C645D"/>
    <w:rsid w:val="006C64B1"/>
    <w:rsid w:val="006C67A3"/>
    <w:rsid w:val="006C6929"/>
    <w:rsid w:val="006C69AD"/>
    <w:rsid w:val="006C6E56"/>
    <w:rsid w:val="006C73E0"/>
    <w:rsid w:val="006C7B5F"/>
    <w:rsid w:val="006C7B75"/>
    <w:rsid w:val="006C7D7B"/>
    <w:rsid w:val="006C7DF6"/>
    <w:rsid w:val="006C7F0A"/>
    <w:rsid w:val="006D027A"/>
    <w:rsid w:val="006D031B"/>
    <w:rsid w:val="006D034A"/>
    <w:rsid w:val="006D0CD4"/>
    <w:rsid w:val="006D110E"/>
    <w:rsid w:val="006D1570"/>
    <w:rsid w:val="006D1636"/>
    <w:rsid w:val="006D179D"/>
    <w:rsid w:val="006D1D56"/>
    <w:rsid w:val="006D1DF9"/>
    <w:rsid w:val="006D2428"/>
    <w:rsid w:val="006D293A"/>
    <w:rsid w:val="006D2B1B"/>
    <w:rsid w:val="006D2DAC"/>
    <w:rsid w:val="006D3068"/>
    <w:rsid w:val="006D3679"/>
    <w:rsid w:val="006D3B5E"/>
    <w:rsid w:val="006D3BC0"/>
    <w:rsid w:val="006D3D16"/>
    <w:rsid w:val="006D3E18"/>
    <w:rsid w:val="006D3E9C"/>
    <w:rsid w:val="006D3EB1"/>
    <w:rsid w:val="006D420F"/>
    <w:rsid w:val="006D465F"/>
    <w:rsid w:val="006D4869"/>
    <w:rsid w:val="006D4AEE"/>
    <w:rsid w:val="006D4CB1"/>
    <w:rsid w:val="006D4D8B"/>
    <w:rsid w:val="006D5063"/>
    <w:rsid w:val="006D50AF"/>
    <w:rsid w:val="006D514D"/>
    <w:rsid w:val="006D5519"/>
    <w:rsid w:val="006D5663"/>
    <w:rsid w:val="006D56F9"/>
    <w:rsid w:val="006D58EF"/>
    <w:rsid w:val="006D5949"/>
    <w:rsid w:val="006D5B2B"/>
    <w:rsid w:val="006D5CFC"/>
    <w:rsid w:val="006D5E42"/>
    <w:rsid w:val="006D604A"/>
    <w:rsid w:val="006D65F7"/>
    <w:rsid w:val="006D68EC"/>
    <w:rsid w:val="006D6B99"/>
    <w:rsid w:val="006D6DF4"/>
    <w:rsid w:val="006D6F68"/>
    <w:rsid w:val="006D72C9"/>
    <w:rsid w:val="006D75F7"/>
    <w:rsid w:val="006D77D8"/>
    <w:rsid w:val="006D792E"/>
    <w:rsid w:val="006D7F14"/>
    <w:rsid w:val="006E0332"/>
    <w:rsid w:val="006E045F"/>
    <w:rsid w:val="006E0496"/>
    <w:rsid w:val="006E0636"/>
    <w:rsid w:val="006E08C8"/>
    <w:rsid w:val="006E0950"/>
    <w:rsid w:val="006E0CEB"/>
    <w:rsid w:val="006E0E40"/>
    <w:rsid w:val="006E0EDA"/>
    <w:rsid w:val="006E1086"/>
    <w:rsid w:val="006E127E"/>
    <w:rsid w:val="006E1317"/>
    <w:rsid w:val="006E13E3"/>
    <w:rsid w:val="006E1A8E"/>
    <w:rsid w:val="006E2132"/>
    <w:rsid w:val="006E2422"/>
    <w:rsid w:val="006E279C"/>
    <w:rsid w:val="006E2A74"/>
    <w:rsid w:val="006E2D09"/>
    <w:rsid w:val="006E2EC6"/>
    <w:rsid w:val="006E2F6C"/>
    <w:rsid w:val="006E3479"/>
    <w:rsid w:val="006E38DF"/>
    <w:rsid w:val="006E392E"/>
    <w:rsid w:val="006E3CD2"/>
    <w:rsid w:val="006E41DA"/>
    <w:rsid w:val="006E4297"/>
    <w:rsid w:val="006E45E6"/>
    <w:rsid w:val="006E4614"/>
    <w:rsid w:val="006E4AD2"/>
    <w:rsid w:val="006E4D4C"/>
    <w:rsid w:val="006E4D7D"/>
    <w:rsid w:val="006E4EE9"/>
    <w:rsid w:val="006E505B"/>
    <w:rsid w:val="006E5572"/>
    <w:rsid w:val="006E56C9"/>
    <w:rsid w:val="006E5751"/>
    <w:rsid w:val="006E577E"/>
    <w:rsid w:val="006E57A9"/>
    <w:rsid w:val="006E5830"/>
    <w:rsid w:val="006E5A40"/>
    <w:rsid w:val="006E5BA2"/>
    <w:rsid w:val="006E5E85"/>
    <w:rsid w:val="006E60A1"/>
    <w:rsid w:val="006E60F5"/>
    <w:rsid w:val="006E69B6"/>
    <w:rsid w:val="006E6C4A"/>
    <w:rsid w:val="006E6CB0"/>
    <w:rsid w:val="006E6ECE"/>
    <w:rsid w:val="006E715D"/>
    <w:rsid w:val="006E7312"/>
    <w:rsid w:val="006E7628"/>
    <w:rsid w:val="006E763B"/>
    <w:rsid w:val="006E7750"/>
    <w:rsid w:val="006E7B4D"/>
    <w:rsid w:val="006E7F93"/>
    <w:rsid w:val="006F0181"/>
    <w:rsid w:val="006F03BC"/>
    <w:rsid w:val="006F0D2B"/>
    <w:rsid w:val="006F0DEE"/>
    <w:rsid w:val="006F0FEA"/>
    <w:rsid w:val="006F122E"/>
    <w:rsid w:val="006F1240"/>
    <w:rsid w:val="006F14C2"/>
    <w:rsid w:val="006F154C"/>
    <w:rsid w:val="006F1E2D"/>
    <w:rsid w:val="006F1E66"/>
    <w:rsid w:val="006F2225"/>
    <w:rsid w:val="006F2901"/>
    <w:rsid w:val="006F29B7"/>
    <w:rsid w:val="006F29F6"/>
    <w:rsid w:val="006F2A74"/>
    <w:rsid w:val="006F2FD3"/>
    <w:rsid w:val="006F355A"/>
    <w:rsid w:val="006F3580"/>
    <w:rsid w:val="006F3B49"/>
    <w:rsid w:val="006F3BA0"/>
    <w:rsid w:val="006F3C17"/>
    <w:rsid w:val="006F3EE7"/>
    <w:rsid w:val="006F40CA"/>
    <w:rsid w:val="006F4240"/>
    <w:rsid w:val="006F43FE"/>
    <w:rsid w:val="006F455B"/>
    <w:rsid w:val="006F5073"/>
    <w:rsid w:val="006F5245"/>
    <w:rsid w:val="006F52AA"/>
    <w:rsid w:val="006F5F49"/>
    <w:rsid w:val="006F5F89"/>
    <w:rsid w:val="006F650B"/>
    <w:rsid w:val="006F6794"/>
    <w:rsid w:val="006F6A0A"/>
    <w:rsid w:val="006F6F9C"/>
    <w:rsid w:val="006F72F2"/>
    <w:rsid w:val="006F7354"/>
    <w:rsid w:val="006F753F"/>
    <w:rsid w:val="006F76F9"/>
    <w:rsid w:val="006F7FDD"/>
    <w:rsid w:val="00700267"/>
    <w:rsid w:val="007002D2"/>
    <w:rsid w:val="0070034F"/>
    <w:rsid w:val="0070053C"/>
    <w:rsid w:val="007006F6"/>
    <w:rsid w:val="00700916"/>
    <w:rsid w:val="00700BBC"/>
    <w:rsid w:val="00700EA5"/>
    <w:rsid w:val="00700ECE"/>
    <w:rsid w:val="00701504"/>
    <w:rsid w:val="00701943"/>
    <w:rsid w:val="00701B26"/>
    <w:rsid w:val="00701BC7"/>
    <w:rsid w:val="00701CC1"/>
    <w:rsid w:val="00702224"/>
    <w:rsid w:val="00702254"/>
    <w:rsid w:val="007024BF"/>
    <w:rsid w:val="0070267E"/>
    <w:rsid w:val="00702724"/>
    <w:rsid w:val="00702820"/>
    <w:rsid w:val="00702828"/>
    <w:rsid w:val="00702A79"/>
    <w:rsid w:val="00702C7E"/>
    <w:rsid w:val="00702D9B"/>
    <w:rsid w:val="00702FEB"/>
    <w:rsid w:val="00702FF3"/>
    <w:rsid w:val="00703339"/>
    <w:rsid w:val="007038DF"/>
    <w:rsid w:val="00703A0C"/>
    <w:rsid w:val="00703B26"/>
    <w:rsid w:val="00703E58"/>
    <w:rsid w:val="00703E6F"/>
    <w:rsid w:val="00704169"/>
    <w:rsid w:val="00704341"/>
    <w:rsid w:val="0070485C"/>
    <w:rsid w:val="00704887"/>
    <w:rsid w:val="00704898"/>
    <w:rsid w:val="0070495F"/>
    <w:rsid w:val="00704ADA"/>
    <w:rsid w:val="00704C1A"/>
    <w:rsid w:val="00704CAB"/>
    <w:rsid w:val="00704E07"/>
    <w:rsid w:val="00704E22"/>
    <w:rsid w:val="007050A5"/>
    <w:rsid w:val="00705126"/>
    <w:rsid w:val="0070546C"/>
    <w:rsid w:val="00705ABB"/>
    <w:rsid w:val="00705B0A"/>
    <w:rsid w:val="00706421"/>
    <w:rsid w:val="0070656D"/>
    <w:rsid w:val="007066D0"/>
    <w:rsid w:val="00706C79"/>
    <w:rsid w:val="00706CEF"/>
    <w:rsid w:val="00706EE3"/>
    <w:rsid w:val="0070752F"/>
    <w:rsid w:val="007075FD"/>
    <w:rsid w:val="0070763E"/>
    <w:rsid w:val="00707753"/>
    <w:rsid w:val="007077D2"/>
    <w:rsid w:val="007078FA"/>
    <w:rsid w:val="00707C51"/>
    <w:rsid w:val="007103F8"/>
    <w:rsid w:val="0071067A"/>
    <w:rsid w:val="007109BD"/>
    <w:rsid w:val="00710B39"/>
    <w:rsid w:val="00710C75"/>
    <w:rsid w:val="00711266"/>
    <w:rsid w:val="00711A76"/>
    <w:rsid w:val="00711B98"/>
    <w:rsid w:val="00711C2A"/>
    <w:rsid w:val="00711CA3"/>
    <w:rsid w:val="007129C8"/>
    <w:rsid w:val="007129D6"/>
    <w:rsid w:val="00712E17"/>
    <w:rsid w:val="00712E18"/>
    <w:rsid w:val="00712FF0"/>
    <w:rsid w:val="00713597"/>
    <w:rsid w:val="00713B08"/>
    <w:rsid w:val="00713B2D"/>
    <w:rsid w:val="00713BD6"/>
    <w:rsid w:val="00713C87"/>
    <w:rsid w:val="00713FF5"/>
    <w:rsid w:val="00714423"/>
    <w:rsid w:val="007146D4"/>
    <w:rsid w:val="00714800"/>
    <w:rsid w:val="00714BA8"/>
    <w:rsid w:val="00714C22"/>
    <w:rsid w:val="00714D73"/>
    <w:rsid w:val="00714E7C"/>
    <w:rsid w:val="007150DF"/>
    <w:rsid w:val="00715101"/>
    <w:rsid w:val="0071513C"/>
    <w:rsid w:val="0071514C"/>
    <w:rsid w:val="00715510"/>
    <w:rsid w:val="00715BBA"/>
    <w:rsid w:val="00715E48"/>
    <w:rsid w:val="00715EFA"/>
    <w:rsid w:val="00716199"/>
    <w:rsid w:val="00716633"/>
    <w:rsid w:val="00716791"/>
    <w:rsid w:val="007167D4"/>
    <w:rsid w:val="0071694E"/>
    <w:rsid w:val="00716B18"/>
    <w:rsid w:val="00716B48"/>
    <w:rsid w:val="00716BB5"/>
    <w:rsid w:val="00717048"/>
    <w:rsid w:val="007171B5"/>
    <w:rsid w:val="00717431"/>
    <w:rsid w:val="00717437"/>
    <w:rsid w:val="00717671"/>
    <w:rsid w:val="007177B0"/>
    <w:rsid w:val="007177C4"/>
    <w:rsid w:val="00717A54"/>
    <w:rsid w:val="00717AC5"/>
    <w:rsid w:val="00717C64"/>
    <w:rsid w:val="00717CF3"/>
    <w:rsid w:val="00717D3C"/>
    <w:rsid w:val="00717DE4"/>
    <w:rsid w:val="00717DFC"/>
    <w:rsid w:val="007200D5"/>
    <w:rsid w:val="007207A7"/>
    <w:rsid w:val="00720944"/>
    <w:rsid w:val="00720B05"/>
    <w:rsid w:val="00720EBE"/>
    <w:rsid w:val="00720F81"/>
    <w:rsid w:val="007213A3"/>
    <w:rsid w:val="0072141F"/>
    <w:rsid w:val="007218B7"/>
    <w:rsid w:val="00721C87"/>
    <w:rsid w:val="00721D5B"/>
    <w:rsid w:val="00721E48"/>
    <w:rsid w:val="007221CB"/>
    <w:rsid w:val="0072232E"/>
    <w:rsid w:val="007223F1"/>
    <w:rsid w:val="00722706"/>
    <w:rsid w:val="00722B3F"/>
    <w:rsid w:val="00722BE0"/>
    <w:rsid w:val="0072315E"/>
    <w:rsid w:val="0072343B"/>
    <w:rsid w:val="0072353E"/>
    <w:rsid w:val="007236A2"/>
    <w:rsid w:val="00723C99"/>
    <w:rsid w:val="00723D0A"/>
    <w:rsid w:val="00723FA0"/>
    <w:rsid w:val="00724259"/>
    <w:rsid w:val="00724315"/>
    <w:rsid w:val="007245C7"/>
    <w:rsid w:val="0072466D"/>
    <w:rsid w:val="0072494C"/>
    <w:rsid w:val="007250AF"/>
    <w:rsid w:val="00725124"/>
    <w:rsid w:val="00725376"/>
    <w:rsid w:val="0072557C"/>
    <w:rsid w:val="007255FD"/>
    <w:rsid w:val="007258F8"/>
    <w:rsid w:val="00725BA0"/>
    <w:rsid w:val="00725CB5"/>
    <w:rsid w:val="007264BE"/>
    <w:rsid w:val="0072685E"/>
    <w:rsid w:val="00726862"/>
    <w:rsid w:val="00726D47"/>
    <w:rsid w:val="00726F01"/>
    <w:rsid w:val="00726F1D"/>
    <w:rsid w:val="00726F90"/>
    <w:rsid w:val="0072740E"/>
    <w:rsid w:val="007275E6"/>
    <w:rsid w:val="00727859"/>
    <w:rsid w:val="00727C99"/>
    <w:rsid w:val="00727E99"/>
    <w:rsid w:val="00727F71"/>
    <w:rsid w:val="00727F83"/>
    <w:rsid w:val="007302B4"/>
    <w:rsid w:val="0073046D"/>
    <w:rsid w:val="007309B1"/>
    <w:rsid w:val="00730CBC"/>
    <w:rsid w:val="00730EEE"/>
    <w:rsid w:val="007310F0"/>
    <w:rsid w:val="007311EC"/>
    <w:rsid w:val="007313DE"/>
    <w:rsid w:val="007314B3"/>
    <w:rsid w:val="007316BB"/>
    <w:rsid w:val="00731885"/>
    <w:rsid w:val="00731958"/>
    <w:rsid w:val="00731AAF"/>
    <w:rsid w:val="00731BD0"/>
    <w:rsid w:val="00731EB4"/>
    <w:rsid w:val="00732371"/>
    <w:rsid w:val="00732599"/>
    <w:rsid w:val="0073265E"/>
    <w:rsid w:val="0073271C"/>
    <w:rsid w:val="0073280D"/>
    <w:rsid w:val="007328A6"/>
    <w:rsid w:val="00732A03"/>
    <w:rsid w:val="00732B97"/>
    <w:rsid w:val="00732BA4"/>
    <w:rsid w:val="00732BF0"/>
    <w:rsid w:val="00732C31"/>
    <w:rsid w:val="00732D3F"/>
    <w:rsid w:val="00732F57"/>
    <w:rsid w:val="00732F9C"/>
    <w:rsid w:val="00733481"/>
    <w:rsid w:val="00733644"/>
    <w:rsid w:val="00733709"/>
    <w:rsid w:val="00733930"/>
    <w:rsid w:val="00733AE3"/>
    <w:rsid w:val="00733D82"/>
    <w:rsid w:val="007346D2"/>
    <w:rsid w:val="0073490E"/>
    <w:rsid w:val="00734D48"/>
    <w:rsid w:val="00735165"/>
    <w:rsid w:val="00735178"/>
    <w:rsid w:val="007352EF"/>
    <w:rsid w:val="007356BB"/>
    <w:rsid w:val="00735775"/>
    <w:rsid w:val="00735820"/>
    <w:rsid w:val="00735CD6"/>
    <w:rsid w:val="00735FAA"/>
    <w:rsid w:val="00736296"/>
    <w:rsid w:val="007362E4"/>
    <w:rsid w:val="007363E0"/>
    <w:rsid w:val="0073645A"/>
    <w:rsid w:val="00736567"/>
    <w:rsid w:val="007365E1"/>
    <w:rsid w:val="00736AA0"/>
    <w:rsid w:val="00736AEB"/>
    <w:rsid w:val="00736BEA"/>
    <w:rsid w:val="00736C48"/>
    <w:rsid w:val="00736E1A"/>
    <w:rsid w:val="00736E4F"/>
    <w:rsid w:val="00737083"/>
    <w:rsid w:val="00737123"/>
    <w:rsid w:val="00737342"/>
    <w:rsid w:val="00737664"/>
    <w:rsid w:val="00737B75"/>
    <w:rsid w:val="00737D15"/>
    <w:rsid w:val="007400EB"/>
    <w:rsid w:val="00740392"/>
    <w:rsid w:val="00740687"/>
    <w:rsid w:val="007407FC"/>
    <w:rsid w:val="00740821"/>
    <w:rsid w:val="00740A96"/>
    <w:rsid w:val="00740B38"/>
    <w:rsid w:val="007411BD"/>
    <w:rsid w:val="007412FE"/>
    <w:rsid w:val="00741399"/>
    <w:rsid w:val="007417C3"/>
    <w:rsid w:val="00741800"/>
    <w:rsid w:val="007418F4"/>
    <w:rsid w:val="0074195B"/>
    <w:rsid w:val="00741AAF"/>
    <w:rsid w:val="00741B13"/>
    <w:rsid w:val="00741C57"/>
    <w:rsid w:val="0074207E"/>
    <w:rsid w:val="007421AE"/>
    <w:rsid w:val="007421E5"/>
    <w:rsid w:val="00742269"/>
    <w:rsid w:val="007423DA"/>
    <w:rsid w:val="007425CC"/>
    <w:rsid w:val="0074260F"/>
    <w:rsid w:val="0074282F"/>
    <w:rsid w:val="00742B99"/>
    <w:rsid w:val="00742C2E"/>
    <w:rsid w:val="00742DDB"/>
    <w:rsid w:val="00742DF8"/>
    <w:rsid w:val="00743629"/>
    <w:rsid w:val="00743785"/>
    <w:rsid w:val="00743DCC"/>
    <w:rsid w:val="00743EBC"/>
    <w:rsid w:val="00743EEB"/>
    <w:rsid w:val="00744179"/>
    <w:rsid w:val="00744664"/>
    <w:rsid w:val="00744674"/>
    <w:rsid w:val="0074477A"/>
    <w:rsid w:val="00744A07"/>
    <w:rsid w:val="00744AC4"/>
    <w:rsid w:val="00744B77"/>
    <w:rsid w:val="00744D55"/>
    <w:rsid w:val="0074519D"/>
    <w:rsid w:val="00745517"/>
    <w:rsid w:val="007458B9"/>
    <w:rsid w:val="00745BED"/>
    <w:rsid w:val="00745CC9"/>
    <w:rsid w:val="00745F76"/>
    <w:rsid w:val="007461BD"/>
    <w:rsid w:val="00746841"/>
    <w:rsid w:val="00746A41"/>
    <w:rsid w:val="00746B26"/>
    <w:rsid w:val="00746CFC"/>
    <w:rsid w:val="00746D76"/>
    <w:rsid w:val="00747006"/>
    <w:rsid w:val="00747356"/>
    <w:rsid w:val="007474D0"/>
    <w:rsid w:val="0074768F"/>
    <w:rsid w:val="007478D4"/>
    <w:rsid w:val="00747F35"/>
    <w:rsid w:val="00750104"/>
    <w:rsid w:val="0075055D"/>
    <w:rsid w:val="00750625"/>
    <w:rsid w:val="00750977"/>
    <w:rsid w:val="007511D8"/>
    <w:rsid w:val="00751249"/>
    <w:rsid w:val="0075132A"/>
    <w:rsid w:val="0075135B"/>
    <w:rsid w:val="0075138D"/>
    <w:rsid w:val="00751AF6"/>
    <w:rsid w:val="00751DF5"/>
    <w:rsid w:val="00751E21"/>
    <w:rsid w:val="007524A7"/>
    <w:rsid w:val="00752653"/>
    <w:rsid w:val="00752AF0"/>
    <w:rsid w:val="00752F28"/>
    <w:rsid w:val="00753818"/>
    <w:rsid w:val="00753DD5"/>
    <w:rsid w:val="00753FC6"/>
    <w:rsid w:val="007542E5"/>
    <w:rsid w:val="00754511"/>
    <w:rsid w:val="007546AF"/>
    <w:rsid w:val="007546DB"/>
    <w:rsid w:val="00754860"/>
    <w:rsid w:val="00754B22"/>
    <w:rsid w:val="00754B29"/>
    <w:rsid w:val="007550FE"/>
    <w:rsid w:val="0075511F"/>
    <w:rsid w:val="007552C7"/>
    <w:rsid w:val="007552E8"/>
    <w:rsid w:val="007552ED"/>
    <w:rsid w:val="0075576E"/>
    <w:rsid w:val="0075585F"/>
    <w:rsid w:val="00755986"/>
    <w:rsid w:val="00755D19"/>
    <w:rsid w:val="00755EEC"/>
    <w:rsid w:val="00755FEF"/>
    <w:rsid w:val="00756215"/>
    <w:rsid w:val="00756223"/>
    <w:rsid w:val="007562D8"/>
    <w:rsid w:val="0075641E"/>
    <w:rsid w:val="00756499"/>
    <w:rsid w:val="007565F0"/>
    <w:rsid w:val="00757181"/>
    <w:rsid w:val="00757748"/>
    <w:rsid w:val="0075778C"/>
    <w:rsid w:val="00757B2B"/>
    <w:rsid w:val="00757C72"/>
    <w:rsid w:val="00757DE7"/>
    <w:rsid w:val="00757FDD"/>
    <w:rsid w:val="007602D2"/>
    <w:rsid w:val="00760564"/>
    <w:rsid w:val="00760814"/>
    <w:rsid w:val="00761087"/>
    <w:rsid w:val="0076112B"/>
    <w:rsid w:val="00761246"/>
    <w:rsid w:val="0076164B"/>
    <w:rsid w:val="0076166C"/>
    <w:rsid w:val="007618CF"/>
    <w:rsid w:val="00761C0E"/>
    <w:rsid w:val="00761C7B"/>
    <w:rsid w:val="00761CED"/>
    <w:rsid w:val="00761F3F"/>
    <w:rsid w:val="007621E5"/>
    <w:rsid w:val="007629FA"/>
    <w:rsid w:val="00762B1A"/>
    <w:rsid w:val="00762CD6"/>
    <w:rsid w:val="00762F57"/>
    <w:rsid w:val="00763093"/>
    <w:rsid w:val="00763220"/>
    <w:rsid w:val="00763224"/>
    <w:rsid w:val="007633B0"/>
    <w:rsid w:val="00763416"/>
    <w:rsid w:val="0076363D"/>
    <w:rsid w:val="00763A4F"/>
    <w:rsid w:val="00763B38"/>
    <w:rsid w:val="00763DF1"/>
    <w:rsid w:val="007640EB"/>
    <w:rsid w:val="00764405"/>
    <w:rsid w:val="007646B5"/>
    <w:rsid w:val="00764737"/>
    <w:rsid w:val="00764A22"/>
    <w:rsid w:val="00764D03"/>
    <w:rsid w:val="00764E49"/>
    <w:rsid w:val="00765213"/>
    <w:rsid w:val="00765469"/>
    <w:rsid w:val="007654A0"/>
    <w:rsid w:val="007655EA"/>
    <w:rsid w:val="00765750"/>
    <w:rsid w:val="007657CA"/>
    <w:rsid w:val="00765934"/>
    <w:rsid w:val="00765AD9"/>
    <w:rsid w:val="00765BCF"/>
    <w:rsid w:val="00765C00"/>
    <w:rsid w:val="00765C96"/>
    <w:rsid w:val="00765DEC"/>
    <w:rsid w:val="007660F9"/>
    <w:rsid w:val="00766166"/>
    <w:rsid w:val="007665C8"/>
    <w:rsid w:val="007666AB"/>
    <w:rsid w:val="007668B0"/>
    <w:rsid w:val="00766A45"/>
    <w:rsid w:val="00766D90"/>
    <w:rsid w:val="00766E32"/>
    <w:rsid w:val="007671F0"/>
    <w:rsid w:val="00767348"/>
    <w:rsid w:val="00767483"/>
    <w:rsid w:val="007674A0"/>
    <w:rsid w:val="00767BED"/>
    <w:rsid w:val="007700CD"/>
    <w:rsid w:val="007701D1"/>
    <w:rsid w:val="00770398"/>
    <w:rsid w:val="007705C8"/>
    <w:rsid w:val="0077066B"/>
    <w:rsid w:val="007706C7"/>
    <w:rsid w:val="0077075B"/>
    <w:rsid w:val="00770816"/>
    <w:rsid w:val="00770843"/>
    <w:rsid w:val="007709AF"/>
    <w:rsid w:val="00770D10"/>
    <w:rsid w:val="007712F4"/>
    <w:rsid w:val="007715A8"/>
    <w:rsid w:val="00771A97"/>
    <w:rsid w:val="00771E1C"/>
    <w:rsid w:val="00772345"/>
    <w:rsid w:val="0077242F"/>
    <w:rsid w:val="0077270D"/>
    <w:rsid w:val="00772858"/>
    <w:rsid w:val="00772985"/>
    <w:rsid w:val="00773341"/>
    <w:rsid w:val="00773F2A"/>
    <w:rsid w:val="00773FA6"/>
    <w:rsid w:val="007741A7"/>
    <w:rsid w:val="007744B6"/>
    <w:rsid w:val="00774886"/>
    <w:rsid w:val="007748AD"/>
    <w:rsid w:val="00774C25"/>
    <w:rsid w:val="0077526A"/>
    <w:rsid w:val="0077544F"/>
    <w:rsid w:val="00775483"/>
    <w:rsid w:val="00775A29"/>
    <w:rsid w:val="00775D5F"/>
    <w:rsid w:val="0077612F"/>
    <w:rsid w:val="00776161"/>
    <w:rsid w:val="007766A0"/>
    <w:rsid w:val="00776B8B"/>
    <w:rsid w:val="0077710F"/>
    <w:rsid w:val="00777155"/>
    <w:rsid w:val="007771A8"/>
    <w:rsid w:val="007772C9"/>
    <w:rsid w:val="007773AC"/>
    <w:rsid w:val="007773EC"/>
    <w:rsid w:val="007773FE"/>
    <w:rsid w:val="007774D1"/>
    <w:rsid w:val="00777528"/>
    <w:rsid w:val="0077760D"/>
    <w:rsid w:val="00777872"/>
    <w:rsid w:val="00777A29"/>
    <w:rsid w:val="00777A5D"/>
    <w:rsid w:val="00777D8F"/>
    <w:rsid w:val="00777E03"/>
    <w:rsid w:val="0078028D"/>
    <w:rsid w:val="00780518"/>
    <w:rsid w:val="0078058C"/>
    <w:rsid w:val="007806DC"/>
    <w:rsid w:val="00780FFF"/>
    <w:rsid w:val="00781742"/>
    <w:rsid w:val="00781BFD"/>
    <w:rsid w:val="00781E0E"/>
    <w:rsid w:val="00781E9D"/>
    <w:rsid w:val="00781F04"/>
    <w:rsid w:val="00782108"/>
    <w:rsid w:val="007825C5"/>
    <w:rsid w:val="0078289E"/>
    <w:rsid w:val="00782984"/>
    <w:rsid w:val="00782C90"/>
    <w:rsid w:val="007831AC"/>
    <w:rsid w:val="0078327D"/>
    <w:rsid w:val="007832B2"/>
    <w:rsid w:val="00783380"/>
    <w:rsid w:val="007834C0"/>
    <w:rsid w:val="00783513"/>
    <w:rsid w:val="00783E97"/>
    <w:rsid w:val="00783EA1"/>
    <w:rsid w:val="00784F89"/>
    <w:rsid w:val="00785095"/>
    <w:rsid w:val="00785307"/>
    <w:rsid w:val="00785388"/>
    <w:rsid w:val="007853E6"/>
    <w:rsid w:val="0078565C"/>
    <w:rsid w:val="00785DB1"/>
    <w:rsid w:val="007866CA"/>
    <w:rsid w:val="0078698D"/>
    <w:rsid w:val="00786ABC"/>
    <w:rsid w:val="00786AD3"/>
    <w:rsid w:val="00786D7A"/>
    <w:rsid w:val="00786F6C"/>
    <w:rsid w:val="00786FF6"/>
    <w:rsid w:val="00787078"/>
    <w:rsid w:val="007873C4"/>
    <w:rsid w:val="0078767C"/>
    <w:rsid w:val="00787B42"/>
    <w:rsid w:val="00787EE0"/>
    <w:rsid w:val="00787F36"/>
    <w:rsid w:val="007902C7"/>
    <w:rsid w:val="007904A8"/>
    <w:rsid w:val="00790B53"/>
    <w:rsid w:val="00790BEA"/>
    <w:rsid w:val="00790D3A"/>
    <w:rsid w:val="00790EB2"/>
    <w:rsid w:val="00790F27"/>
    <w:rsid w:val="007911A2"/>
    <w:rsid w:val="007911B2"/>
    <w:rsid w:val="0079189A"/>
    <w:rsid w:val="007918BC"/>
    <w:rsid w:val="00791B20"/>
    <w:rsid w:val="00791B56"/>
    <w:rsid w:val="00791BD1"/>
    <w:rsid w:val="007921C0"/>
    <w:rsid w:val="007925CA"/>
    <w:rsid w:val="00792724"/>
    <w:rsid w:val="00792861"/>
    <w:rsid w:val="00792B3B"/>
    <w:rsid w:val="00792BFB"/>
    <w:rsid w:val="00792C1A"/>
    <w:rsid w:val="00792D25"/>
    <w:rsid w:val="0079332E"/>
    <w:rsid w:val="0079350F"/>
    <w:rsid w:val="00793587"/>
    <w:rsid w:val="00793820"/>
    <w:rsid w:val="007945E3"/>
    <w:rsid w:val="00794776"/>
    <w:rsid w:val="00794D5E"/>
    <w:rsid w:val="00794EE4"/>
    <w:rsid w:val="00794F55"/>
    <w:rsid w:val="00795170"/>
    <w:rsid w:val="007951A5"/>
    <w:rsid w:val="0079531D"/>
    <w:rsid w:val="00795443"/>
    <w:rsid w:val="007954B5"/>
    <w:rsid w:val="007956AA"/>
    <w:rsid w:val="00795983"/>
    <w:rsid w:val="00795E41"/>
    <w:rsid w:val="007962B0"/>
    <w:rsid w:val="00796472"/>
    <w:rsid w:val="007964A9"/>
    <w:rsid w:val="007965BE"/>
    <w:rsid w:val="00796677"/>
    <w:rsid w:val="00796A06"/>
    <w:rsid w:val="00796B87"/>
    <w:rsid w:val="00796EC1"/>
    <w:rsid w:val="00796FDD"/>
    <w:rsid w:val="0079718E"/>
    <w:rsid w:val="00797238"/>
    <w:rsid w:val="007978A2"/>
    <w:rsid w:val="007978CF"/>
    <w:rsid w:val="00797D04"/>
    <w:rsid w:val="00797EE8"/>
    <w:rsid w:val="007A02C0"/>
    <w:rsid w:val="007A02D9"/>
    <w:rsid w:val="007A04EC"/>
    <w:rsid w:val="007A0994"/>
    <w:rsid w:val="007A0B4D"/>
    <w:rsid w:val="007A0B8D"/>
    <w:rsid w:val="007A0BB1"/>
    <w:rsid w:val="007A0EB9"/>
    <w:rsid w:val="007A1412"/>
    <w:rsid w:val="007A148F"/>
    <w:rsid w:val="007A14BF"/>
    <w:rsid w:val="007A16E0"/>
    <w:rsid w:val="007A1B92"/>
    <w:rsid w:val="007A1E92"/>
    <w:rsid w:val="007A1E9B"/>
    <w:rsid w:val="007A20AA"/>
    <w:rsid w:val="007A20BB"/>
    <w:rsid w:val="007A25F8"/>
    <w:rsid w:val="007A2FD0"/>
    <w:rsid w:val="007A335C"/>
    <w:rsid w:val="007A336A"/>
    <w:rsid w:val="007A3B65"/>
    <w:rsid w:val="007A3B99"/>
    <w:rsid w:val="007A3F60"/>
    <w:rsid w:val="007A3FF3"/>
    <w:rsid w:val="007A422E"/>
    <w:rsid w:val="007A465E"/>
    <w:rsid w:val="007A4690"/>
    <w:rsid w:val="007A4937"/>
    <w:rsid w:val="007A4AB0"/>
    <w:rsid w:val="007A4C07"/>
    <w:rsid w:val="007A4D14"/>
    <w:rsid w:val="007A4EC4"/>
    <w:rsid w:val="007A5741"/>
    <w:rsid w:val="007A5A59"/>
    <w:rsid w:val="007A5EB1"/>
    <w:rsid w:val="007A6059"/>
    <w:rsid w:val="007A6143"/>
    <w:rsid w:val="007A622C"/>
    <w:rsid w:val="007A62FC"/>
    <w:rsid w:val="007A650D"/>
    <w:rsid w:val="007A66BB"/>
    <w:rsid w:val="007A6943"/>
    <w:rsid w:val="007A6A0E"/>
    <w:rsid w:val="007A6BEE"/>
    <w:rsid w:val="007A6CDF"/>
    <w:rsid w:val="007A6DD8"/>
    <w:rsid w:val="007A6F26"/>
    <w:rsid w:val="007A7049"/>
    <w:rsid w:val="007A7702"/>
    <w:rsid w:val="007A7BEF"/>
    <w:rsid w:val="007A7E46"/>
    <w:rsid w:val="007A7EDA"/>
    <w:rsid w:val="007B02F7"/>
    <w:rsid w:val="007B047D"/>
    <w:rsid w:val="007B085D"/>
    <w:rsid w:val="007B0A10"/>
    <w:rsid w:val="007B0B96"/>
    <w:rsid w:val="007B0D44"/>
    <w:rsid w:val="007B0DCC"/>
    <w:rsid w:val="007B0FE6"/>
    <w:rsid w:val="007B14E4"/>
    <w:rsid w:val="007B1585"/>
    <w:rsid w:val="007B1608"/>
    <w:rsid w:val="007B16C5"/>
    <w:rsid w:val="007B16F9"/>
    <w:rsid w:val="007B1BD0"/>
    <w:rsid w:val="007B2585"/>
    <w:rsid w:val="007B2977"/>
    <w:rsid w:val="007B2C13"/>
    <w:rsid w:val="007B2DF6"/>
    <w:rsid w:val="007B2F8F"/>
    <w:rsid w:val="007B30DE"/>
    <w:rsid w:val="007B30E5"/>
    <w:rsid w:val="007B3474"/>
    <w:rsid w:val="007B355B"/>
    <w:rsid w:val="007B3969"/>
    <w:rsid w:val="007B3E69"/>
    <w:rsid w:val="007B44F1"/>
    <w:rsid w:val="007B46DD"/>
    <w:rsid w:val="007B47E1"/>
    <w:rsid w:val="007B4C7A"/>
    <w:rsid w:val="007B4E7E"/>
    <w:rsid w:val="007B4F8A"/>
    <w:rsid w:val="007B4FE5"/>
    <w:rsid w:val="007B5536"/>
    <w:rsid w:val="007B559E"/>
    <w:rsid w:val="007B563E"/>
    <w:rsid w:val="007B590B"/>
    <w:rsid w:val="007B59B2"/>
    <w:rsid w:val="007B5E18"/>
    <w:rsid w:val="007B5F85"/>
    <w:rsid w:val="007B61F3"/>
    <w:rsid w:val="007B699E"/>
    <w:rsid w:val="007B6E10"/>
    <w:rsid w:val="007B6E86"/>
    <w:rsid w:val="007B6EAC"/>
    <w:rsid w:val="007B6F41"/>
    <w:rsid w:val="007B703E"/>
    <w:rsid w:val="007B7107"/>
    <w:rsid w:val="007B75D9"/>
    <w:rsid w:val="007B777E"/>
    <w:rsid w:val="007B7B13"/>
    <w:rsid w:val="007B7B69"/>
    <w:rsid w:val="007B7EBF"/>
    <w:rsid w:val="007C0255"/>
    <w:rsid w:val="007C0792"/>
    <w:rsid w:val="007C08E4"/>
    <w:rsid w:val="007C0F17"/>
    <w:rsid w:val="007C0FC3"/>
    <w:rsid w:val="007C1139"/>
    <w:rsid w:val="007C11ED"/>
    <w:rsid w:val="007C1E38"/>
    <w:rsid w:val="007C1F63"/>
    <w:rsid w:val="007C2666"/>
    <w:rsid w:val="007C269D"/>
    <w:rsid w:val="007C2C18"/>
    <w:rsid w:val="007C2E09"/>
    <w:rsid w:val="007C3A18"/>
    <w:rsid w:val="007C3A6D"/>
    <w:rsid w:val="007C3AAF"/>
    <w:rsid w:val="007C3C6A"/>
    <w:rsid w:val="007C3CFC"/>
    <w:rsid w:val="007C3D76"/>
    <w:rsid w:val="007C4070"/>
    <w:rsid w:val="007C420D"/>
    <w:rsid w:val="007C4799"/>
    <w:rsid w:val="007C48DC"/>
    <w:rsid w:val="007C48E1"/>
    <w:rsid w:val="007C49D9"/>
    <w:rsid w:val="007C4B50"/>
    <w:rsid w:val="007C4BB5"/>
    <w:rsid w:val="007C4C9D"/>
    <w:rsid w:val="007C516E"/>
    <w:rsid w:val="007C571F"/>
    <w:rsid w:val="007C5829"/>
    <w:rsid w:val="007C5B0B"/>
    <w:rsid w:val="007C5B5F"/>
    <w:rsid w:val="007C603E"/>
    <w:rsid w:val="007C60C3"/>
    <w:rsid w:val="007C60D8"/>
    <w:rsid w:val="007C60DB"/>
    <w:rsid w:val="007C6198"/>
    <w:rsid w:val="007C67E9"/>
    <w:rsid w:val="007C6859"/>
    <w:rsid w:val="007C693D"/>
    <w:rsid w:val="007C697E"/>
    <w:rsid w:val="007C6A9C"/>
    <w:rsid w:val="007C6BA4"/>
    <w:rsid w:val="007C7005"/>
    <w:rsid w:val="007C7297"/>
    <w:rsid w:val="007C7460"/>
    <w:rsid w:val="007C75EB"/>
    <w:rsid w:val="007C7C25"/>
    <w:rsid w:val="007C7D43"/>
    <w:rsid w:val="007D0030"/>
    <w:rsid w:val="007D00BB"/>
    <w:rsid w:val="007D010D"/>
    <w:rsid w:val="007D0381"/>
    <w:rsid w:val="007D039D"/>
    <w:rsid w:val="007D03D7"/>
    <w:rsid w:val="007D0499"/>
    <w:rsid w:val="007D062B"/>
    <w:rsid w:val="007D0BA5"/>
    <w:rsid w:val="007D0BEB"/>
    <w:rsid w:val="007D0D35"/>
    <w:rsid w:val="007D0D77"/>
    <w:rsid w:val="007D12D3"/>
    <w:rsid w:val="007D13A5"/>
    <w:rsid w:val="007D14EA"/>
    <w:rsid w:val="007D15CD"/>
    <w:rsid w:val="007D1682"/>
    <w:rsid w:val="007D18F4"/>
    <w:rsid w:val="007D1C59"/>
    <w:rsid w:val="007D1E06"/>
    <w:rsid w:val="007D20A0"/>
    <w:rsid w:val="007D20F3"/>
    <w:rsid w:val="007D26E4"/>
    <w:rsid w:val="007D2751"/>
    <w:rsid w:val="007D2A9A"/>
    <w:rsid w:val="007D2B8C"/>
    <w:rsid w:val="007D2D8C"/>
    <w:rsid w:val="007D30B5"/>
    <w:rsid w:val="007D347E"/>
    <w:rsid w:val="007D34BA"/>
    <w:rsid w:val="007D36F7"/>
    <w:rsid w:val="007D3DE6"/>
    <w:rsid w:val="007D3F44"/>
    <w:rsid w:val="007D4295"/>
    <w:rsid w:val="007D431B"/>
    <w:rsid w:val="007D43DB"/>
    <w:rsid w:val="007D4463"/>
    <w:rsid w:val="007D4758"/>
    <w:rsid w:val="007D48B3"/>
    <w:rsid w:val="007D4EB1"/>
    <w:rsid w:val="007D5069"/>
    <w:rsid w:val="007D5086"/>
    <w:rsid w:val="007D51D6"/>
    <w:rsid w:val="007D51FA"/>
    <w:rsid w:val="007D5420"/>
    <w:rsid w:val="007D5D0A"/>
    <w:rsid w:val="007D5D21"/>
    <w:rsid w:val="007D5D5B"/>
    <w:rsid w:val="007D6193"/>
    <w:rsid w:val="007D6228"/>
    <w:rsid w:val="007D63DD"/>
    <w:rsid w:val="007D6403"/>
    <w:rsid w:val="007D65A3"/>
    <w:rsid w:val="007D65D4"/>
    <w:rsid w:val="007D664D"/>
    <w:rsid w:val="007D66DB"/>
    <w:rsid w:val="007D6BA3"/>
    <w:rsid w:val="007D6F6B"/>
    <w:rsid w:val="007D75F2"/>
    <w:rsid w:val="007D7629"/>
    <w:rsid w:val="007D77EA"/>
    <w:rsid w:val="007D7C30"/>
    <w:rsid w:val="007D7C5D"/>
    <w:rsid w:val="007D7CCE"/>
    <w:rsid w:val="007E02AA"/>
    <w:rsid w:val="007E02CE"/>
    <w:rsid w:val="007E070C"/>
    <w:rsid w:val="007E07E2"/>
    <w:rsid w:val="007E0931"/>
    <w:rsid w:val="007E09A0"/>
    <w:rsid w:val="007E1104"/>
    <w:rsid w:val="007E12C5"/>
    <w:rsid w:val="007E1369"/>
    <w:rsid w:val="007E1508"/>
    <w:rsid w:val="007E1607"/>
    <w:rsid w:val="007E17D6"/>
    <w:rsid w:val="007E192A"/>
    <w:rsid w:val="007E1B81"/>
    <w:rsid w:val="007E1C1A"/>
    <w:rsid w:val="007E1DF2"/>
    <w:rsid w:val="007E2599"/>
    <w:rsid w:val="007E283F"/>
    <w:rsid w:val="007E2971"/>
    <w:rsid w:val="007E29F0"/>
    <w:rsid w:val="007E2E32"/>
    <w:rsid w:val="007E2F5F"/>
    <w:rsid w:val="007E3303"/>
    <w:rsid w:val="007E3623"/>
    <w:rsid w:val="007E362A"/>
    <w:rsid w:val="007E373C"/>
    <w:rsid w:val="007E39D1"/>
    <w:rsid w:val="007E3A3D"/>
    <w:rsid w:val="007E4001"/>
    <w:rsid w:val="007E410B"/>
    <w:rsid w:val="007E43DF"/>
    <w:rsid w:val="007E4973"/>
    <w:rsid w:val="007E4A48"/>
    <w:rsid w:val="007E4C1C"/>
    <w:rsid w:val="007E4C81"/>
    <w:rsid w:val="007E4CB4"/>
    <w:rsid w:val="007E4F93"/>
    <w:rsid w:val="007E5042"/>
    <w:rsid w:val="007E5180"/>
    <w:rsid w:val="007E5696"/>
    <w:rsid w:val="007E5BE9"/>
    <w:rsid w:val="007E5C40"/>
    <w:rsid w:val="007E5CDE"/>
    <w:rsid w:val="007E5D6F"/>
    <w:rsid w:val="007E5F11"/>
    <w:rsid w:val="007E5FCC"/>
    <w:rsid w:val="007E68F3"/>
    <w:rsid w:val="007E6B20"/>
    <w:rsid w:val="007E6F18"/>
    <w:rsid w:val="007E7084"/>
    <w:rsid w:val="007E7288"/>
    <w:rsid w:val="007E764A"/>
    <w:rsid w:val="007E786F"/>
    <w:rsid w:val="007E79B1"/>
    <w:rsid w:val="007E7C7A"/>
    <w:rsid w:val="007E7F3E"/>
    <w:rsid w:val="007F0063"/>
    <w:rsid w:val="007F01FA"/>
    <w:rsid w:val="007F0309"/>
    <w:rsid w:val="007F0314"/>
    <w:rsid w:val="007F03EE"/>
    <w:rsid w:val="007F054D"/>
    <w:rsid w:val="007F0655"/>
    <w:rsid w:val="007F09B1"/>
    <w:rsid w:val="007F0AAC"/>
    <w:rsid w:val="007F0B37"/>
    <w:rsid w:val="007F0C90"/>
    <w:rsid w:val="007F0E18"/>
    <w:rsid w:val="007F0F8F"/>
    <w:rsid w:val="007F10AE"/>
    <w:rsid w:val="007F1287"/>
    <w:rsid w:val="007F182F"/>
    <w:rsid w:val="007F1970"/>
    <w:rsid w:val="007F1A3C"/>
    <w:rsid w:val="007F1A8B"/>
    <w:rsid w:val="007F1DBF"/>
    <w:rsid w:val="007F2003"/>
    <w:rsid w:val="007F207F"/>
    <w:rsid w:val="007F257C"/>
    <w:rsid w:val="007F26D1"/>
    <w:rsid w:val="007F2886"/>
    <w:rsid w:val="007F2926"/>
    <w:rsid w:val="007F2ABF"/>
    <w:rsid w:val="007F2D60"/>
    <w:rsid w:val="007F3074"/>
    <w:rsid w:val="007F333A"/>
    <w:rsid w:val="007F35F8"/>
    <w:rsid w:val="007F38E2"/>
    <w:rsid w:val="007F39B3"/>
    <w:rsid w:val="007F3A41"/>
    <w:rsid w:val="007F4249"/>
    <w:rsid w:val="007F428B"/>
    <w:rsid w:val="007F4644"/>
    <w:rsid w:val="007F4925"/>
    <w:rsid w:val="007F4B32"/>
    <w:rsid w:val="007F4CCC"/>
    <w:rsid w:val="007F4E41"/>
    <w:rsid w:val="007F4EB1"/>
    <w:rsid w:val="007F5457"/>
    <w:rsid w:val="007F54F8"/>
    <w:rsid w:val="007F5660"/>
    <w:rsid w:val="007F5894"/>
    <w:rsid w:val="007F5D58"/>
    <w:rsid w:val="007F5DE0"/>
    <w:rsid w:val="007F5FF5"/>
    <w:rsid w:val="007F6656"/>
    <w:rsid w:val="007F66CE"/>
    <w:rsid w:val="007F66E0"/>
    <w:rsid w:val="007F6A0B"/>
    <w:rsid w:val="007F6C77"/>
    <w:rsid w:val="007F6CD0"/>
    <w:rsid w:val="007F6CE2"/>
    <w:rsid w:val="007F6E7A"/>
    <w:rsid w:val="007F6FBF"/>
    <w:rsid w:val="007F7072"/>
    <w:rsid w:val="007F7397"/>
    <w:rsid w:val="007F7559"/>
    <w:rsid w:val="007F7925"/>
    <w:rsid w:val="007F79AA"/>
    <w:rsid w:val="007F7D45"/>
    <w:rsid w:val="007F7D68"/>
    <w:rsid w:val="00800038"/>
    <w:rsid w:val="00800055"/>
    <w:rsid w:val="00800AE6"/>
    <w:rsid w:val="00800E5A"/>
    <w:rsid w:val="00800EA4"/>
    <w:rsid w:val="00800FE1"/>
    <w:rsid w:val="00801328"/>
    <w:rsid w:val="008019D7"/>
    <w:rsid w:val="00801AE3"/>
    <w:rsid w:val="00801BD3"/>
    <w:rsid w:val="00801FDC"/>
    <w:rsid w:val="00801FE0"/>
    <w:rsid w:val="0080204D"/>
    <w:rsid w:val="008020C8"/>
    <w:rsid w:val="008022D3"/>
    <w:rsid w:val="008024E5"/>
    <w:rsid w:val="008025AD"/>
    <w:rsid w:val="0080287F"/>
    <w:rsid w:val="008028EE"/>
    <w:rsid w:val="00803377"/>
    <w:rsid w:val="00803644"/>
    <w:rsid w:val="00803A21"/>
    <w:rsid w:val="00803AB0"/>
    <w:rsid w:val="00803CF3"/>
    <w:rsid w:val="00803FFD"/>
    <w:rsid w:val="0080401E"/>
    <w:rsid w:val="008040DE"/>
    <w:rsid w:val="0080483F"/>
    <w:rsid w:val="00804924"/>
    <w:rsid w:val="00804EC6"/>
    <w:rsid w:val="0080540B"/>
    <w:rsid w:val="0080573F"/>
    <w:rsid w:val="00805EF7"/>
    <w:rsid w:val="00806039"/>
    <w:rsid w:val="0080611D"/>
    <w:rsid w:val="008062D2"/>
    <w:rsid w:val="00806518"/>
    <w:rsid w:val="00806733"/>
    <w:rsid w:val="008068A8"/>
    <w:rsid w:val="008073EC"/>
    <w:rsid w:val="008077CF"/>
    <w:rsid w:val="00807903"/>
    <w:rsid w:val="008079B5"/>
    <w:rsid w:val="00807B99"/>
    <w:rsid w:val="00807FD2"/>
    <w:rsid w:val="008101D4"/>
    <w:rsid w:val="0081040E"/>
    <w:rsid w:val="008108E6"/>
    <w:rsid w:val="00810911"/>
    <w:rsid w:val="00810D1D"/>
    <w:rsid w:val="00810F7A"/>
    <w:rsid w:val="00811125"/>
    <w:rsid w:val="0081178E"/>
    <w:rsid w:val="00812244"/>
    <w:rsid w:val="00812923"/>
    <w:rsid w:val="00812E1E"/>
    <w:rsid w:val="00812EF2"/>
    <w:rsid w:val="0081327E"/>
    <w:rsid w:val="00813522"/>
    <w:rsid w:val="0081409D"/>
    <w:rsid w:val="008140D7"/>
    <w:rsid w:val="0081412C"/>
    <w:rsid w:val="00814772"/>
    <w:rsid w:val="008148A7"/>
    <w:rsid w:val="00815484"/>
    <w:rsid w:val="008154B4"/>
    <w:rsid w:val="008154E2"/>
    <w:rsid w:val="008157C0"/>
    <w:rsid w:val="00815CE7"/>
    <w:rsid w:val="00816204"/>
    <w:rsid w:val="008167DF"/>
    <w:rsid w:val="008169E2"/>
    <w:rsid w:val="00816B84"/>
    <w:rsid w:val="00816B99"/>
    <w:rsid w:val="00816BDE"/>
    <w:rsid w:val="00816C42"/>
    <w:rsid w:val="008172B3"/>
    <w:rsid w:val="008173EE"/>
    <w:rsid w:val="008174EA"/>
    <w:rsid w:val="0081750F"/>
    <w:rsid w:val="00817539"/>
    <w:rsid w:val="008177B0"/>
    <w:rsid w:val="008178FB"/>
    <w:rsid w:val="00817A76"/>
    <w:rsid w:val="00817B57"/>
    <w:rsid w:val="00817B78"/>
    <w:rsid w:val="008200CB"/>
    <w:rsid w:val="0082020D"/>
    <w:rsid w:val="008207E0"/>
    <w:rsid w:val="00820811"/>
    <w:rsid w:val="00820915"/>
    <w:rsid w:val="008209DF"/>
    <w:rsid w:val="00820A4C"/>
    <w:rsid w:val="00820A4D"/>
    <w:rsid w:val="00820BF1"/>
    <w:rsid w:val="00820DBF"/>
    <w:rsid w:val="00820F11"/>
    <w:rsid w:val="00821602"/>
    <w:rsid w:val="008218F0"/>
    <w:rsid w:val="00821A9F"/>
    <w:rsid w:val="00821AAF"/>
    <w:rsid w:val="00821D52"/>
    <w:rsid w:val="0082202B"/>
    <w:rsid w:val="0082224F"/>
    <w:rsid w:val="0082249C"/>
    <w:rsid w:val="00822552"/>
    <w:rsid w:val="00822561"/>
    <w:rsid w:val="00822566"/>
    <w:rsid w:val="0082266A"/>
    <w:rsid w:val="008228DC"/>
    <w:rsid w:val="00822AA1"/>
    <w:rsid w:val="00822F60"/>
    <w:rsid w:val="00823034"/>
    <w:rsid w:val="00823292"/>
    <w:rsid w:val="008237AB"/>
    <w:rsid w:val="00823AA6"/>
    <w:rsid w:val="0082400B"/>
    <w:rsid w:val="0082476B"/>
    <w:rsid w:val="00824864"/>
    <w:rsid w:val="00824E7D"/>
    <w:rsid w:val="008251BC"/>
    <w:rsid w:val="00825663"/>
    <w:rsid w:val="008257DA"/>
    <w:rsid w:val="00825DB9"/>
    <w:rsid w:val="00825F2E"/>
    <w:rsid w:val="008261A7"/>
    <w:rsid w:val="0082665D"/>
    <w:rsid w:val="00826B43"/>
    <w:rsid w:val="00826D9C"/>
    <w:rsid w:val="00826EB5"/>
    <w:rsid w:val="0082700D"/>
    <w:rsid w:val="00827137"/>
    <w:rsid w:val="0082742B"/>
    <w:rsid w:val="0082790F"/>
    <w:rsid w:val="00827A46"/>
    <w:rsid w:val="00827B37"/>
    <w:rsid w:val="00830277"/>
    <w:rsid w:val="00830676"/>
    <w:rsid w:val="008308F1"/>
    <w:rsid w:val="00830964"/>
    <w:rsid w:val="008309F3"/>
    <w:rsid w:val="00830AFA"/>
    <w:rsid w:val="00830C9F"/>
    <w:rsid w:val="00830D27"/>
    <w:rsid w:val="00830DBD"/>
    <w:rsid w:val="00830F80"/>
    <w:rsid w:val="00830FCC"/>
    <w:rsid w:val="00831063"/>
    <w:rsid w:val="0083129A"/>
    <w:rsid w:val="00831412"/>
    <w:rsid w:val="00831436"/>
    <w:rsid w:val="008314BE"/>
    <w:rsid w:val="00831658"/>
    <w:rsid w:val="008316E5"/>
    <w:rsid w:val="00831BB9"/>
    <w:rsid w:val="00831BCB"/>
    <w:rsid w:val="00831E4E"/>
    <w:rsid w:val="00831FAB"/>
    <w:rsid w:val="00832325"/>
    <w:rsid w:val="00832440"/>
    <w:rsid w:val="00832543"/>
    <w:rsid w:val="00832610"/>
    <w:rsid w:val="00832B5D"/>
    <w:rsid w:val="00832C34"/>
    <w:rsid w:val="00832C75"/>
    <w:rsid w:val="00832F68"/>
    <w:rsid w:val="00833076"/>
    <w:rsid w:val="00833207"/>
    <w:rsid w:val="00833582"/>
    <w:rsid w:val="00833608"/>
    <w:rsid w:val="00833626"/>
    <w:rsid w:val="00833850"/>
    <w:rsid w:val="0083394F"/>
    <w:rsid w:val="00833B92"/>
    <w:rsid w:val="00833D05"/>
    <w:rsid w:val="00833D17"/>
    <w:rsid w:val="00833E7A"/>
    <w:rsid w:val="00833E94"/>
    <w:rsid w:val="0083416E"/>
    <w:rsid w:val="00834226"/>
    <w:rsid w:val="00834550"/>
    <w:rsid w:val="00834651"/>
    <w:rsid w:val="00834D07"/>
    <w:rsid w:val="008356BB"/>
    <w:rsid w:val="00835790"/>
    <w:rsid w:val="008358B3"/>
    <w:rsid w:val="00835904"/>
    <w:rsid w:val="00835AEE"/>
    <w:rsid w:val="00835C43"/>
    <w:rsid w:val="00835CF1"/>
    <w:rsid w:val="00835F9B"/>
    <w:rsid w:val="0083667F"/>
    <w:rsid w:val="00836736"/>
    <w:rsid w:val="00836941"/>
    <w:rsid w:val="008369B1"/>
    <w:rsid w:val="0083734F"/>
    <w:rsid w:val="0083745F"/>
    <w:rsid w:val="00837760"/>
    <w:rsid w:val="008378AC"/>
    <w:rsid w:val="00837B5C"/>
    <w:rsid w:val="00837CBB"/>
    <w:rsid w:val="00837D4D"/>
    <w:rsid w:val="00837DBF"/>
    <w:rsid w:val="00837DD3"/>
    <w:rsid w:val="00837F4C"/>
    <w:rsid w:val="00837FAA"/>
    <w:rsid w:val="00840055"/>
    <w:rsid w:val="00840083"/>
    <w:rsid w:val="00840118"/>
    <w:rsid w:val="00840429"/>
    <w:rsid w:val="00840FD1"/>
    <w:rsid w:val="00841142"/>
    <w:rsid w:val="00841288"/>
    <w:rsid w:val="0084157B"/>
    <w:rsid w:val="00841B7D"/>
    <w:rsid w:val="0084216B"/>
    <w:rsid w:val="008421D7"/>
    <w:rsid w:val="0084223B"/>
    <w:rsid w:val="00842327"/>
    <w:rsid w:val="0084255C"/>
    <w:rsid w:val="0084264E"/>
    <w:rsid w:val="00842B6D"/>
    <w:rsid w:val="00842B72"/>
    <w:rsid w:val="00843160"/>
    <w:rsid w:val="008433A1"/>
    <w:rsid w:val="00843506"/>
    <w:rsid w:val="0084357B"/>
    <w:rsid w:val="00843ECC"/>
    <w:rsid w:val="00844072"/>
    <w:rsid w:val="0084439D"/>
    <w:rsid w:val="00844965"/>
    <w:rsid w:val="00844F75"/>
    <w:rsid w:val="008450F8"/>
    <w:rsid w:val="00845462"/>
    <w:rsid w:val="008454EB"/>
    <w:rsid w:val="008456EF"/>
    <w:rsid w:val="00845ADB"/>
    <w:rsid w:val="00846196"/>
    <w:rsid w:val="00846378"/>
    <w:rsid w:val="0084645B"/>
    <w:rsid w:val="008464F6"/>
    <w:rsid w:val="008465FE"/>
    <w:rsid w:val="00846790"/>
    <w:rsid w:val="008468CA"/>
    <w:rsid w:val="00846B38"/>
    <w:rsid w:val="00846BE3"/>
    <w:rsid w:val="00846C34"/>
    <w:rsid w:val="00846D51"/>
    <w:rsid w:val="00847C44"/>
    <w:rsid w:val="00847D58"/>
    <w:rsid w:val="00850026"/>
    <w:rsid w:val="008502E8"/>
    <w:rsid w:val="008504F0"/>
    <w:rsid w:val="0085053E"/>
    <w:rsid w:val="00850757"/>
    <w:rsid w:val="0085088F"/>
    <w:rsid w:val="008508D2"/>
    <w:rsid w:val="00850969"/>
    <w:rsid w:val="00850B2D"/>
    <w:rsid w:val="00850C64"/>
    <w:rsid w:val="00850E2C"/>
    <w:rsid w:val="00850EEF"/>
    <w:rsid w:val="00851176"/>
    <w:rsid w:val="008511A0"/>
    <w:rsid w:val="008512C3"/>
    <w:rsid w:val="008513AB"/>
    <w:rsid w:val="008513B4"/>
    <w:rsid w:val="00851462"/>
    <w:rsid w:val="00851708"/>
    <w:rsid w:val="0085172B"/>
    <w:rsid w:val="0085189C"/>
    <w:rsid w:val="00851EFD"/>
    <w:rsid w:val="008521B1"/>
    <w:rsid w:val="008524A6"/>
    <w:rsid w:val="00852602"/>
    <w:rsid w:val="008527B9"/>
    <w:rsid w:val="008528E6"/>
    <w:rsid w:val="00852A97"/>
    <w:rsid w:val="00852AFA"/>
    <w:rsid w:val="00852C21"/>
    <w:rsid w:val="00853063"/>
    <w:rsid w:val="008534CD"/>
    <w:rsid w:val="0085366E"/>
    <w:rsid w:val="00853A99"/>
    <w:rsid w:val="008540CD"/>
    <w:rsid w:val="00854137"/>
    <w:rsid w:val="00854348"/>
    <w:rsid w:val="00854386"/>
    <w:rsid w:val="008544F4"/>
    <w:rsid w:val="00854548"/>
    <w:rsid w:val="00854EA4"/>
    <w:rsid w:val="00854F5A"/>
    <w:rsid w:val="0085501A"/>
    <w:rsid w:val="0085537D"/>
    <w:rsid w:val="008559EA"/>
    <w:rsid w:val="00855B0F"/>
    <w:rsid w:val="00855EA7"/>
    <w:rsid w:val="00855EBC"/>
    <w:rsid w:val="0085639A"/>
    <w:rsid w:val="00856424"/>
    <w:rsid w:val="0085653B"/>
    <w:rsid w:val="00856910"/>
    <w:rsid w:val="00856ECB"/>
    <w:rsid w:val="00856F35"/>
    <w:rsid w:val="008573F1"/>
    <w:rsid w:val="00857559"/>
    <w:rsid w:val="008575F9"/>
    <w:rsid w:val="008578E6"/>
    <w:rsid w:val="00857ABD"/>
    <w:rsid w:val="00857DB9"/>
    <w:rsid w:val="00857E71"/>
    <w:rsid w:val="00857E81"/>
    <w:rsid w:val="00857FB7"/>
    <w:rsid w:val="00860146"/>
    <w:rsid w:val="00860158"/>
    <w:rsid w:val="008601CF"/>
    <w:rsid w:val="008603F2"/>
    <w:rsid w:val="00860E47"/>
    <w:rsid w:val="00860F11"/>
    <w:rsid w:val="008610C1"/>
    <w:rsid w:val="008613DC"/>
    <w:rsid w:val="0086190C"/>
    <w:rsid w:val="008619C6"/>
    <w:rsid w:val="008622BC"/>
    <w:rsid w:val="0086232B"/>
    <w:rsid w:val="0086254E"/>
    <w:rsid w:val="008626F0"/>
    <w:rsid w:val="0086270C"/>
    <w:rsid w:val="00862777"/>
    <w:rsid w:val="008627A7"/>
    <w:rsid w:val="00862890"/>
    <w:rsid w:val="00862A08"/>
    <w:rsid w:val="00862B73"/>
    <w:rsid w:val="00862B7B"/>
    <w:rsid w:val="00862BC9"/>
    <w:rsid w:val="00862C9E"/>
    <w:rsid w:val="00862CA8"/>
    <w:rsid w:val="00862E3F"/>
    <w:rsid w:val="00863187"/>
    <w:rsid w:val="008631D8"/>
    <w:rsid w:val="00863247"/>
    <w:rsid w:val="00863429"/>
    <w:rsid w:val="0086375F"/>
    <w:rsid w:val="00863BE3"/>
    <w:rsid w:val="00863BF6"/>
    <w:rsid w:val="0086420D"/>
    <w:rsid w:val="008646A3"/>
    <w:rsid w:val="0086470E"/>
    <w:rsid w:val="00864926"/>
    <w:rsid w:val="00864A54"/>
    <w:rsid w:val="00864BF8"/>
    <w:rsid w:val="00864C58"/>
    <w:rsid w:val="00864CCE"/>
    <w:rsid w:val="00864EEB"/>
    <w:rsid w:val="00864EF4"/>
    <w:rsid w:val="0086527E"/>
    <w:rsid w:val="008652B5"/>
    <w:rsid w:val="008654CB"/>
    <w:rsid w:val="0086576B"/>
    <w:rsid w:val="008659BF"/>
    <w:rsid w:val="00865C38"/>
    <w:rsid w:val="00865D4A"/>
    <w:rsid w:val="00865F1F"/>
    <w:rsid w:val="00865F3C"/>
    <w:rsid w:val="00865FD4"/>
    <w:rsid w:val="0086685A"/>
    <w:rsid w:val="00866B3D"/>
    <w:rsid w:val="00866B9B"/>
    <w:rsid w:val="00866BAE"/>
    <w:rsid w:val="00866BB5"/>
    <w:rsid w:val="00866FA7"/>
    <w:rsid w:val="00867093"/>
    <w:rsid w:val="0086711E"/>
    <w:rsid w:val="008671ED"/>
    <w:rsid w:val="008676D0"/>
    <w:rsid w:val="00867810"/>
    <w:rsid w:val="008678E3"/>
    <w:rsid w:val="00870026"/>
    <w:rsid w:val="00870488"/>
    <w:rsid w:val="008705B3"/>
    <w:rsid w:val="0087064F"/>
    <w:rsid w:val="00870662"/>
    <w:rsid w:val="00870868"/>
    <w:rsid w:val="00870882"/>
    <w:rsid w:val="008708FC"/>
    <w:rsid w:val="008709E5"/>
    <w:rsid w:val="00870B39"/>
    <w:rsid w:val="00870F65"/>
    <w:rsid w:val="00871189"/>
    <w:rsid w:val="008711F8"/>
    <w:rsid w:val="0087125A"/>
    <w:rsid w:val="0087125E"/>
    <w:rsid w:val="008713A8"/>
    <w:rsid w:val="0087165E"/>
    <w:rsid w:val="00871C27"/>
    <w:rsid w:val="00871DDC"/>
    <w:rsid w:val="008720A5"/>
    <w:rsid w:val="00872664"/>
    <w:rsid w:val="00873200"/>
    <w:rsid w:val="00873642"/>
    <w:rsid w:val="0087396F"/>
    <w:rsid w:val="00873B40"/>
    <w:rsid w:val="0087404E"/>
    <w:rsid w:val="00874366"/>
    <w:rsid w:val="008744E2"/>
    <w:rsid w:val="00874A30"/>
    <w:rsid w:val="00874A48"/>
    <w:rsid w:val="00874AB2"/>
    <w:rsid w:val="00874D64"/>
    <w:rsid w:val="00874EAA"/>
    <w:rsid w:val="00874F68"/>
    <w:rsid w:val="00875438"/>
    <w:rsid w:val="00875504"/>
    <w:rsid w:val="00875A4F"/>
    <w:rsid w:val="00875B2E"/>
    <w:rsid w:val="00875C31"/>
    <w:rsid w:val="008763F0"/>
    <w:rsid w:val="00876BA1"/>
    <w:rsid w:val="00876C3F"/>
    <w:rsid w:val="00877013"/>
    <w:rsid w:val="008773EE"/>
    <w:rsid w:val="008776FE"/>
    <w:rsid w:val="00880043"/>
    <w:rsid w:val="008803E1"/>
    <w:rsid w:val="008805D1"/>
    <w:rsid w:val="00880BA8"/>
    <w:rsid w:val="008810E3"/>
    <w:rsid w:val="00881211"/>
    <w:rsid w:val="00881288"/>
    <w:rsid w:val="00881381"/>
    <w:rsid w:val="008813F9"/>
    <w:rsid w:val="00881709"/>
    <w:rsid w:val="008817C0"/>
    <w:rsid w:val="00881802"/>
    <w:rsid w:val="00881D16"/>
    <w:rsid w:val="00881DB3"/>
    <w:rsid w:val="00881E77"/>
    <w:rsid w:val="00882196"/>
    <w:rsid w:val="008828E4"/>
    <w:rsid w:val="00882A52"/>
    <w:rsid w:val="00882DDF"/>
    <w:rsid w:val="0088307A"/>
    <w:rsid w:val="008831C6"/>
    <w:rsid w:val="008832C0"/>
    <w:rsid w:val="00883547"/>
    <w:rsid w:val="008836C2"/>
    <w:rsid w:val="008838E4"/>
    <w:rsid w:val="00883B3F"/>
    <w:rsid w:val="00883F09"/>
    <w:rsid w:val="00883F6C"/>
    <w:rsid w:val="008844D0"/>
    <w:rsid w:val="008844DF"/>
    <w:rsid w:val="00884515"/>
    <w:rsid w:val="008846FE"/>
    <w:rsid w:val="00884817"/>
    <w:rsid w:val="00884833"/>
    <w:rsid w:val="00884D21"/>
    <w:rsid w:val="008851B2"/>
    <w:rsid w:val="008853C0"/>
    <w:rsid w:val="008854D1"/>
    <w:rsid w:val="00885671"/>
    <w:rsid w:val="008857F6"/>
    <w:rsid w:val="00885949"/>
    <w:rsid w:val="008859FA"/>
    <w:rsid w:val="00885D27"/>
    <w:rsid w:val="00885D37"/>
    <w:rsid w:val="00885E16"/>
    <w:rsid w:val="00886420"/>
    <w:rsid w:val="008868D1"/>
    <w:rsid w:val="008869E1"/>
    <w:rsid w:val="00886A52"/>
    <w:rsid w:val="00886B75"/>
    <w:rsid w:val="00886ECD"/>
    <w:rsid w:val="00886EE0"/>
    <w:rsid w:val="00887070"/>
    <w:rsid w:val="008872EF"/>
    <w:rsid w:val="0088736E"/>
    <w:rsid w:val="008873D6"/>
    <w:rsid w:val="00887765"/>
    <w:rsid w:val="00887B5A"/>
    <w:rsid w:val="00887C50"/>
    <w:rsid w:val="00887DDE"/>
    <w:rsid w:val="00887E25"/>
    <w:rsid w:val="008900C0"/>
    <w:rsid w:val="00890247"/>
    <w:rsid w:val="008902BF"/>
    <w:rsid w:val="0089034F"/>
    <w:rsid w:val="0089048E"/>
    <w:rsid w:val="008904C8"/>
    <w:rsid w:val="0089095B"/>
    <w:rsid w:val="00890966"/>
    <w:rsid w:val="00890AD2"/>
    <w:rsid w:val="00890B14"/>
    <w:rsid w:val="00890DE9"/>
    <w:rsid w:val="00891526"/>
    <w:rsid w:val="00891703"/>
    <w:rsid w:val="00891849"/>
    <w:rsid w:val="0089189E"/>
    <w:rsid w:val="00891A1C"/>
    <w:rsid w:val="00891D4E"/>
    <w:rsid w:val="00892194"/>
    <w:rsid w:val="008923BD"/>
    <w:rsid w:val="0089248F"/>
    <w:rsid w:val="00892538"/>
    <w:rsid w:val="0089253A"/>
    <w:rsid w:val="00892B32"/>
    <w:rsid w:val="00892D08"/>
    <w:rsid w:val="00893055"/>
    <w:rsid w:val="008932A0"/>
    <w:rsid w:val="00893412"/>
    <w:rsid w:val="00893935"/>
    <w:rsid w:val="00893A63"/>
    <w:rsid w:val="00893D5C"/>
    <w:rsid w:val="00893D81"/>
    <w:rsid w:val="00893F7B"/>
    <w:rsid w:val="0089401F"/>
    <w:rsid w:val="00894104"/>
    <w:rsid w:val="00894470"/>
    <w:rsid w:val="00894880"/>
    <w:rsid w:val="00894CA5"/>
    <w:rsid w:val="008950A9"/>
    <w:rsid w:val="0089515E"/>
    <w:rsid w:val="00895361"/>
    <w:rsid w:val="0089542D"/>
    <w:rsid w:val="008955D6"/>
    <w:rsid w:val="00895774"/>
    <w:rsid w:val="00895825"/>
    <w:rsid w:val="00895930"/>
    <w:rsid w:val="00895A83"/>
    <w:rsid w:val="00895C2B"/>
    <w:rsid w:val="00895C7A"/>
    <w:rsid w:val="00895D39"/>
    <w:rsid w:val="00895F7F"/>
    <w:rsid w:val="008960F9"/>
    <w:rsid w:val="008961B5"/>
    <w:rsid w:val="00896788"/>
    <w:rsid w:val="00896968"/>
    <w:rsid w:val="008969B7"/>
    <w:rsid w:val="00896A84"/>
    <w:rsid w:val="00896A91"/>
    <w:rsid w:val="00896C19"/>
    <w:rsid w:val="008970BB"/>
    <w:rsid w:val="00897741"/>
    <w:rsid w:val="008977C0"/>
    <w:rsid w:val="00897970"/>
    <w:rsid w:val="00897A58"/>
    <w:rsid w:val="00897B49"/>
    <w:rsid w:val="00897D70"/>
    <w:rsid w:val="00897F1B"/>
    <w:rsid w:val="00897FCE"/>
    <w:rsid w:val="00897FD8"/>
    <w:rsid w:val="008A0243"/>
    <w:rsid w:val="008A073E"/>
    <w:rsid w:val="008A0AF9"/>
    <w:rsid w:val="008A0CE0"/>
    <w:rsid w:val="008A1092"/>
    <w:rsid w:val="008A153A"/>
    <w:rsid w:val="008A17B6"/>
    <w:rsid w:val="008A17E3"/>
    <w:rsid w:val="008A1834"/>
    <w:rsid w:val="008A1DE2"/>
    <w:rsid w:val="008A279A"/>
    <w:rsid w:val="008A27A5"/>
    <w:rsid w:val="008A2AB4"/>
    <w:rsid w:val="008A2BE8"/>
    <w:rsid w:val="008A2CD4"/>
    <w:rsid w:val="008A3031"/>
    <w:rsid w:val="008A372C"/>
    <w:rsid w:val="008A382F"/>
    <w:rsid w:val="008A3891"/>
    <w:rsid w:val="008A3F8E"/>
    <w:rsid w:val="008A412D"/>
    <w:rsid w:val="008A4184"/>
    <w:rsid w:val="008A43A2"/>
    <w:rsid w:val="008A4573"/>
    <w:rsid w:val="008A488A"/>
    <w:rsid w:val="008A4993"/>
    <w:rsid w:val="008A49CB"/>
    <w:rsid w:val="008A5050"/>
    <w:rsid w:val="008A5325"/>
    <w:rsid w:val="008A5599"/>
    <w:rsid w:val="008A5EAD"/>
    <w:rsid w:val="008A6630"/>
    <w:rsid w:val="008A6ADE"/>
    <w:rsid w:val="008A6AFF"/>
    <w:rsid w:val="008A6D9E"/>
    <w:rsid w:val="008A6E45"/>
    <w:rsid w:val="008A6EC3"/>
    <w:rsid w:val="008A6F7E"/>
    <w:rsid w:val="008A6F8D"/>
    <w:rsid w:val="008A703D"/>
    <w:rsid w:val="008A7191"/>
    <w:rsid w:val="008A73F9"/>
    <w:rsid w:val="008A762F"/>
    <w:rsid w:val="008A78A6"/>
    <w:rsid w:val="008A7A69"/>
    <w:rsid w:val="008A7AF1"/>
    <w:rsid w:val="008A7FA4"/>
    <w:rsid w:val="008B01DC"/>
    <w:rsid w:val="008B01E8"/>
    <w:rsid w:val="008B045F"/>
    <w:rsid w:val="008B0691"/>
    <w:rsid w:val="008B08A0"/>
    <w:rsid w:val="008B0AE4"/>
    <w:rsid w:val="008B0AFA"/>
    <w:rsid w:val="008B0BB1"/>
    <w:rsid w:val="008B0C02"/>
    <w:rsid w:val="008B0E23"/>
    <w:rsid w:val="008B0FF6"/>
    <w:rsid w:val="008B136D"/>
    <w:rsid w:val="008B136E"/>
    <w:rsid w:val="008B14CB"/>
    <w:rsid w:val="008B1859"/>
    <w:rsid w:val="008B1A52"/>
    <w:rsid w:val="008B1AAE"/>
    <w:rsid w:val="008B1F82"/>
    <w:rsid w:val="008B210F"/>
    <w:rsid w:val="008B21A1"/>
    <w:rsid w:val="008B232D"/>
    <w:rsid w:val="008B23A4"/>
    <w:rsid w:val="008B266B"/>
    <w:rsid w:val="008B3096"/>
    <w:rsid w:val="008B3331"/>
    <w:rsid w:val="008B3810"/>
    <w:rsid w:val="008B39BE"/>
    <w:rsid w:val="008B39C9"/>
    <w:rsid w:val="008B39F4"/>
    <w:rsid w:val="008B43A1"/>
    <w:rsid w:val="008B43C9"/>
    <w:rsid w:val="008B48CF"/>
    <w:rsid w:val="008B4B34"/>
    <w:rsid w:val="008B4DB2"/>
    <w:rsid w:val="008B4F64"/>
    <w:rsid w:val="008B5100"/>
    <w:rsid w:val="008B513D"/>
    <w:rsid w:val="008B513F"/>
    <w:rsid w:val="008B51DE"/>
    <w:rsid w:val="008B5406"/>
    <w:rsid w:val="008B56DF"/>
    <w:rsid w:val="008B5822"/>
    <w:rsid w:val="008B598A"/>
    <w:rsid w:val="008B6148"/>
    <w:rsid w:val="008B6298"/>
    <w:rsid w:val="008B6325"/>
    <w:rsid w:val="008B63E2"/>
    <w:rsid w:val="008B6513"/>
    <w:rsid w:val="008B656F"/>
    <w:rsid w:val="008B6EC9"/>
    <w:rsid w:val="008B70EA"/>
    <w:rsid w:val="008B72E6"/>
    <w:rsid w:val="008B74AF"/>
    <w:rsid w:val="008B7833"/>
    <w:rsid w:val="008B7840"/>
    <w:rsid w:val="008B7B0E"/>
    <w:rsid w:val="008B7D21"/>
    <w:rsid w:val="008B7F8B"/>
    <w:rsid w:val="008C02ED"/>
    <w:rsid w:val="008C03FB"/>
    <w:rsid w:val="008C049E"/>
    <w:rsid w:val="008C0716"/>
    <w:rsid w:val="008C0751"/>
    <w:rsid w:val="008C08FA"/>
    <w:rsid w:val="008C0AD0"/>
    <w:rsid w:val="008C0BEC"/>
    <w:rsid w:val="008C0C59"/>
    <w:rsid w:val="008C11F4"/>
    <w:rsid w:val="008C135A"/>
    <w:rsid w:val="008C13DA"/>
    <w:rsid w:val="008C209C"/>
    <w:rsid w:val="008C2100"/>
    <w:rsid w:val="008C261D"/>
    <w:rsid w:val="008C2C04"/>
    <w:rsid w:val="008C2DCE"/>
    <w:rsid w:val="008C2EF2"/>
    <w:rsid w:val="008C2FE6"/>
    <w:rsid w:val="008C33CC"/>
    <w:rsid w:val="008C3898"/>
    <w:rsid w:val="008C3EF3"/>
    <w:rsid w:val="008C3F3E"/>
    <w:rsid w:val="008C4181"/>
    <w:rsid w:val="008C42C2"/>
    <w:rsid w:val="008C43B1"/>
    <w:rsid w:val="008C4BBF"/>
    <w:rsid w:val="008C5725"/>
    <w:rsid w:val="008C5863"/>
    <w:rsid w:val="008C5890"/>
    <w:rsid w:val="008C58A1"/>
    <w:rsid w:val="008C5FA6"/>
    <w:rsid w:val="008C606D"/>
    <w:rsid w:val="008C64D3"/>
    <w:rsid w:val="008C696C"/>
    <w:rsid w:val="008C6B04"/>
    <w:rsid w:val="008C6D11"/>
    <w:rsid w:val="008C6D29"/>
    <w:rsid w:val="008C707A"/>
    <w:rsid w:val="008C710F"/>
    <w:rsid w:val="008C718B"/>
    <w:rsid w:val="008C7264"/>
    <w:rsid w:val="008C735A"/>
    <w:rsid w:val="008C7451"/>
    <w:rsid w:val="008C74B2"/>
    <w:rsid w:val="008C7B81"/>
    <w:rsid w:val="008C7D7E"/>
    <w:rsid w:val="008C7F06"/>
    <w:rsid w:val="008D0010"/>
    <w:rsid w:val="008D0127"/>
    <w:rsid w:val="008D08AC"/>
    <w:rsid w:val="008D0ADE"/>
    <w:rsid w:val="008D0C38"/>
    <w:rsid w:val="008D0CC9"/>
    <w:rsid w:val="008D0D0A"/>
    <w:rsid w:val="008D0FC1"/>
    <w:rsid w:val="008D1084"/>
    <w:rsid w:val="008D14B2"/>
    <w:rsid w:val="008D164F"/>
    <w:rsid w:val="008D1A55"/>
    <w:rsid w:val="008D1A7F"/>
    <w:rsid w:val="008D1AA5"/>
    <w:rsid w:val="008D1C11"/>
    <w:rsid w:val="008D1CEF"/>
    <w:rsid w:val="008D1D45"/>
    <w:rsid w:val="008D1E64"/>
    <w:rsid w:val="008D1EDA"/>
    <w:rsid w:val="008D1F16"/>
    <w:rsid w:val="008D1F2F"/>
    <w:rsid w:val="008D1FAF"/>
    <w:rsid w:val="008D2073"/>
    <w:rsid w:val="008D22B2"/>
    <w:rsid w:val="008D234A"/>
    <w:rsid w:val="008D2DAF"/>
    <w:rsid w:val="008D2EA5"/>
    <w:rsid w:val="008D30DA"/>
    <w:rsid w:val="008D3303"/>
    <w:rsid w:val="008D37A1"/>
    <w:rsid w:val="008D3897"/>
    <w:rsid w:val="008D393D"/>
    <w:rsid w:val="008D3C2B"/>
    <w:rsid w:val="008D3E22"/>
    <w:rsid w:val="008D3F56"/>
    <w:rsid w:val="008D4047"/>
    <w:rsid w:val="008D42F3"/>
    <w:rsid w:val="008D442E"/>
    <w:rsid w:val="008D4653"/>
    <w:rsid w:val="008D4C03"/>
    <w:rsid w:val="008D4E96"/>
    <w:rsid w:val="008D5675"/>
    <w:rsid w:val="008D5690"/>
    <w:rsid w:val="008D5A3A"/>
    <w:rsid w:val="008D5AF2"/>
    <w:rsid w:val="008D6007"/>
    <w:rsid w:val="008D61EB"/>
    <w:rsid w:val="008D623F"/>
    <w:rsid w:val="008D646B"/>
    <w:rsid w:val="008D680C"/>
    <w:rsid w:val="008D6B7E"/>
    <w:rsid w:val="008D6FDC"/>
    <w:rsid w:val="008D78F6"/>
    <w:rsid w:val="008D795C"/>
    <w:rsid w:val="008D7971"/>
    <w:rsid w:val="008D7A35"/>
    <w:rsid w:val="008D7DAE"/>
    <w:rsid w:val="008E020A"/>
    <w:rsid w:val="008E02D4"/>
    <w:rsid w:val="008E0575"/>
    <w:rsid w:val="008E05BE"/>
    <w:rsid w:val="008E06C0"/>
    <w:rsid w:val="008E07B3"/>
    <w:rsid w:val="008E07DE"/>
    <w:rsid w:val="008E0A2B"/>
    <w:rsid w:val="008E0A5C"/>
    <w:rsid w:val="008E0ADD"/>
    <w:rsid w:val="008E0C85"/>
    <w:rsid w:val="008E0EED"/>
    <w:rsid w:val="008E0FD7"/>
    <w:rsid w:val="008E108B"/>
    <w:rsid w:val="008E181F"/>
    <w:rsid w:val="008E186C"/>
    <w:rsid w:val="008E1A17"/>
    <w:rsid w:val="008E1A79"/>
    <w:rsid w:val="008E1ADE"/>
    <w:rsid w:val="008E1D34"/>
    <w:rsid w:val="008E2231"/>
    <w:rsid w:val="008E267C"/>
    <w:rsid w:val="008E26B2"/>
    <w:rsid w:val="008E2905"/>
    <w:rsid w:val="008E2FF5"/>
    <w:rsid w:val="008E3258"/>
    <w:rsid w:val="008E3430"/>
    <w:rsid w:val="008E3975"/>
    <w:rsid w:val="008E398B"/>
    <w:rsid w:val="008E3C22"/>
    <w:rsid w:val="008E3D3D"/>
    <w:rsid w:val="008E3F0D"/>
    <w:rsid w:val="008E3F28"/>
    <w:rsid w:val="008E44CA"/>
    <w:rsid w:val="008E4511"/>
    <w:rsid w:val="008E45FD"/>
    <w:rsid w:val="008E4936"/>
    <w:rsid w:val="008E4B3C"/>
    <w:rsid w:val="008E4BFA"/>
    <w:rsid w:val="008E4E58"/>
    <w:rsid w:val="008E5144"/>
    <w:rsid w:val="008E54B0"/>
    <w:rsid w:val="008E5A6D"/>
    <w:rsid w:val="008E5C56"/>
    <w:rsid w:val="008E5C66"/>
    <w:rsid w:val="008E5FE8"/>
    <w:rsid w:val="008E6298"/>
    <w:rsid w:val="008E65E8"/>
    <w:rsid w:val="008E6C9C"/>
    <w:rsid w:val="008E6D14"/>
    <w:rsid w:val="008E7178"/>
    <w:rsid w:val="008E74CD"/>
    <w:rsid w:val="008E75B5"/>
    <w:rsid w:val="008E75EB"/>
    <w:rsid w:val="008E7E0D"/>
    <w:rsid w:val="008E7F28"/>
    <w:rsid w:val="008F006E"/>
    <w:rsid w:val="008F06A4"/>
    <w:rsid w:val="008F09DF"/>
    <w:rsid w:val="008F0BC5"/>
    <w:rsid w:val="008F0D23"/>
    <w:rsid w:val="008F0E25"/>
    <w:rsid w:val="008F0F1D"/>
    <w:rsid w:val="008F0FB8"/>
    <w:rsid w:val="008F1067"/>
    <w:rsid w:val="008F1191"/>
    <w:rsid w:val="008F120C"/>
    <w:rsid w:val="008F131A"/>
    <w:rsid w:val="008F1B74"/>
    <w:rsid w:val="008F1CA8"/>
    <w:rsid w:val="008F1CED"/>
    <w:rsid w:val="008F2231"/>
    <w:rsid w:val="008F2250"/>
    <w:rsid w:val="008F2518"/>
    <w:rsid w:val="008F279C"/>
    <w:rsid w:val="008F2D48"/>
    <w:rsid w:val="008F2DD2"/>
    <w:rsid w:val="008F32DF"/>
    <w:rsid w:val="008F36A2"/>
    <w:rsid w:val="008F38D0"/>
    <w:rsid w:val="008F38FD"/>
    <w:rsid w:val="008F39CF"/>
    <w:rsid w:val="008F3A08"/>
    <w:rsid w:val="008F3A95"/>
    <w:rsid w:val="008F3C6F"/>
    <w:rsid w:val="008F3F72"/>
    <w:rsid w:val="008F41A7"/>
    <w:rsid w:val="008F41C6"/>
    <w:rsid w:val="008F4754"/>
    <w:rsid w:val="008F4793"/>
    <w:rsid w:val="008F4876"/>
    <w:rsid w:val="008F4D20"/>
    <w:rsid w:val="008F5174"/>
    <w:rsid w:val="008F52C0"/>
    <w:rsid w:val="008F58B4"/>
    <w:rsid w:val="008F59A8"/>
    <w:rsid w:val="008F5F97"/>
    <w:rsid w:val="008F6175"/>
    <w:rsid w:val="008F63E1"/>
    <w:rsid w:val="008F649A"/>
    <w:rsid w:val="008F6698"/>
    <w:rsid w:val="008F6700"/>
    <w:rsid w:val="008F6A53"/>
    <w:rsid w:val="008F6B3F"/>
    <w:rsid w:val="008F7245"/>
    <w:rsid w:val="008F7555"/>
    <w:rsid w:val="008F75F7"/>
    <w:rsid w:val="008F7612"/>
    <w:rsid w:val="008F7911"/>
    <w:rsid w:val="008F7A1D"/>
    <w:rsid w:val="008F7FDB"/>
    <w:rsid w:val="0090040A"/>
    <w:rsid w:val="00900BFD"/>
    <w:rsid w:val="00900EBB"/>
    <w:rsid w:val="00901014"/>
    <w:rsid w:val="009012F6"/>
    <w:rsid w:val="00901449"/>
    <w:rsid w:val="0090177C"/>
    <w:rsid w:val="0090187C"/>
    <w:rsid w:val="00901BD8"/>
    <w:rsid w:val="00901D15"/>
    <w:rsid w:val="00901D78"/>
    <w:rsid w:val="00902057"/>
    <w:rsid w:val="009024F0"/>
    <w:rsid w:val="00902D43"/>
    <w:rsid w:val="00902DB6"/>
    <w:rsid w:val="00902F2A"/>
    <w:rsid w:val="00902F2E"/>
    <w:rsid w:val="0090316F"/>
    <w:rsid w:val="00903188"/>
    <w:rsid w:val="009036DC"/>
    <w:rsid w:val="00903915"/>
    <w:rsid w:val="009039BD"/>
    <w:rsid w:val="00903C55"/>
    <w:rsid w:val="00903C58"/>
    <w:rsid w:val="0090405E"/>
    <w:rsid w:val="0090407D"/>
    <w:rsid w:val="0090421C"/>
    <w:rsid w:val="009042A8"/>
    <w:rsid w:val="009044D2"/>
    <w:rsid w:val="00904778"/>
    <w:rsid w:val="009047CE"/>
    <w:rsid w:val="009048EF"/>
    <w:rsid w:val="00904E09"/>
    <w:rsid w:val="009054D6"/>
    <w:rsid w:val="00905586"/>
    <w:rsid w:val="00905898"/>
    <w:rsid w:val="00905C7E"/>
    <w:rsid w:val="009063B6"/>
    <w:rsid w:val="009064A2"/>
    <w:rsid w:val="00906713"/>
    <w:rsid w:val="00906B01"/>
    <w:rsid w:val="00906C59"/>
    <w:rsid w:val="00906D97"/>
    <w:rsid w:val="00907A40"/>
    <w:rsid w:val="00907B0A"/>
    <w:rsid w:val="0091026D"/>
    <w:rsid w:val="00910319"/>
    <w:rsid w:val="0091042A"/>
    <w:rsid w:val="00910A44"/>
    <w:rsid w:val="00910B72"/>
    <w:rsid w:val="00910D70"/>
    <w:rsid w:val="00911279"/>
    <w:rsid w:val="00911917"/>
    <w:rsid w:val="00911A66"/>
    <w:rsid w:val="00911BC2"/>
    <w:rsid w:val="00911CFB"/>
    <w:rsid w:val="00911EAF"/>
    <w:rsid w:val="0091200A"/>
    <w:rsid w:val="00912125"/>
    <w:rsid w:val="0091245D"/>
    <w:rsid w:val="00912748"/>
    <w:rsid w:val="00912EF7"/>
    <w:rsid w:val="0091324C"/>
    <w:rsid w:val="0091372F"/>
    <w:rsid w:val="00913A5B"/>
    <w:rsid w:val="00913B7A"/>
    <w:rsid w:val="00913E09"/>
    <w:rsid w:val="0091436C"/>
    <w:rsid w:val="009147D1"/>
    <w:rsid w:val="009147DB"/>
    <w:rsid w:val="009147EB"/>
    <w:rsid w:val="00914867"/>
    <w:rsid w:val="00914B07"/>
    <w:rsid w:val="00914B4E"/>
    <w:rsid w:val="00914D28"/>
    <w:rsid w:val="00914DAB"/>
    <w:rsid w:val="0091554B"/>
    <w:rsid w:val="009156CF"/>
    <w:rsid w:val="00915807"/>
    <w:rsid w:val="00915AC8"/>
    <w:rsid w:val="00915BCD"/>
    <w:rsid w:val="00915D11"/>
    <w:rsid w:val="00916A1F"/>
    <w:rsid w:val="00916C7C"/>
    <w:rsid w:val="00916D3F"/>
    <w:rsid w:val="00916DEB"/>
    <w:rsid w:val="00916F7C"/>
    <w:rsid w:val="009172FA"/>
    <w:rsid w:val="0091759B"/>
    <w:rsid w:val="00917C3D"/>
    <w:rsid w:val="00917CE7"/>
    <w:rsid w:val="00917FE0"/>
    <w:rsid w:val="009205DD"/>
    <w:rsid w:val="00920672"/>
    <w:rsid w:val="00920C73"/>
    <w:rsid w:val="00920F41"/>
    <w:rsid w:val="00921016"/>
    <w:rsid w:val="00921034"/>
    <w:rsid w:val="0092198E"/>
    <w:rsid w:val="00921A7E"/>
    <w:rsid w:val="00921BA2"/>
    <w:rsid w:val="00921CCE"/>
    <w:rsid w:val="009220BD"/>
    <w:rsid w:val="0092255B"/>
    <w:rsid w:val="00922AF7"/>
    <w:rsid w:val="00922DDF"/>
    <w:rsid w:val="0092311A"/>
    <w:rsid w:val="0092331E"/>
    <w:rsid w:val="0092335B"/>
    <w:rsid w:val="00923791"/>
    <w:rsid w:val="009237CE"/>
    <w:rsid w:val="0092384C"/>
    <w:rsid w:val="009239C9"/>
    <w:rsid w:val="00923BEE"/>
    <w:rsid w:val="00923D91"/>
    <w:rsid w:val="00924042"/>
    <w:rsid w:val="00924070"/>
    <w:rsid w:val="0092422D"/>
    <w:rsid w:val="0092426B"/>
    <w:rsid w:val="0092428B"/>
    <w:rsid w:val="009246A5"/>
    <w:rsid w:val="00924744"/>
    <w:rsid w:val="009247F6"/>
    <w:rsid w:val="009248B3"/>
    <w:rsid w:val="00924C37"/>
    <w:rsid w:val="00924C86"/>
    <w:rsid w:val="00924D3D"/>
    <w:rsid w:val="00924D91"/>
    <w:rsid w:val="00924EB3"/>
    <w:rsid w:val="00925192"/>
    <w:rsid w:val="00925346"/>
    <w:rsid w:val="00925366"/>
    <w:rsid w:val="0092540E"/>
    <w:rsid w:val="00925460"/>
    <w:rsid w:val="0092566A"/>
    <w:rsid w:val="00925B31"/>
    <w:rsid w:val="00925B5A"/>
    <w:rsid w:val="00925B77"/>
    <w:rsid w:val="00925DA7"/>
    <w:rsid w:val="00925F78"/>
    <w:rsid w:val="00926103"/>
    <w:rsid w:val="00926233"/>
    <w:rsid w:val="00926664"/>
    <w:rsid w:val="00926843"/>
    <w:rsid w:val="00926AE9"/>
    <w:rsid w:val="00926D46"/>
    <w:rsid w:val="00926D4C"/>
    <w:rsid w:val="00926FBA"/>
    <w:rsid w:val="009272B1"/>
    <w:rsid w:val="00927537"/>
    <w:rsid w:val="00927646"/>
    <w:rsid w:val="0092789A"/>
    <w:rsid w:val="0092792A"/>
    <w:rsid w:val="00927A9F"/>
    <w:rsid w:val="00927BEE"/>
    <w:rsid w:val="00927CA7"/>
    <w:rsid w:val="00927D07"/>
    <w:rsid w:val="00927F89"/>
    <w:rsid w:val="0093004A"/>
    <w:rsid w:val="009300F1"/>
    <w:rsid w:val="00930174"/>
    <w:rsid w:val="009301FF"/>
    <w:rsid w:val="0093069F"/>
    <w:rsid w:val="00930780"/>
    <w:rsid w:val="00930883"/>
    <w:rsid w:val="00930C1E"/>
    <w:rsid w:val="0093144A"/>
    <w:rsid w:val="00931F37"/>
    <w:rsid w:val="009321A7"/>
    <w:rsid w:val="00932D85"/>
    <w:rsid w:val="00932E27"/>
    <w:rsid w:val="00932E60"/>
    <w:rsid w:val="009331A1"/>
    <w:rsid w:val="00933323"/>
    <w:rsid w:val="009335DB"/>
    <w:rsid w:val="0093363D"/>
    <w:rsid w:val="0093381F"/>
    <w:rsid w:val="00933B9A"/>
    <w:rsid w:val="00933C44"/>
    <w:rsid w:val="00933C59"/>
    <w:rsid w:val="00933C76"/>
    <w:rsid w:val="009340F4"/>
    <w:rsid w:val="0093416E"/>
    <w:rsid w:val="009344DD"/>
    <w:rsid w:val="009345E6"/>
    <w:rsid w:val="00934BE7"/>
    <w:rsid w:val="00934D22"/>
    <w:rsid w:val="00935089"/>
    <w:rsid w:val="009350DC"/>
    <w:rsid w:val="009355A3"/>
    <w:rsid w:val="009355C9"/>
    <w:rsid w:val="00935D62"/>
    <w:rsid w:val="009360A3"/>
    <w:rsid w:val="00936186"/>
    <w:rsid w:val="00936243"/>
    <w:rsid w:val="0093632F"/>
    <w:rsid w:val="009366C5"/>
    <w:rsid w:val="00936A43"/>
    <w:rsid w:val="00936C3B"/>
    <w:rsid w:val="00936DFB"/>
    <w:rsid w:val="00937038"/>
    <w:rsid w:val="00937311"/>
    <w:rsid w:val="00937494"/>
    <w:rsid w:val="00937543"/>
    <w:rsid w:val="009377EA"/>
    <w:rsid w:val="00937837"/>
    <w:rsid w:val="009378C6"/>
    <w:rsid w:val="00937919"/>
    <w:rsid w:val="009379F2"/>
    <w:rsid w:val="00937B84"/>
    <w:rsid w:val="00937CAE"/>
    <w:rsid w:val="0094084A"/>
    <w:rsid w:val="009408DA"/>
    <w:rsid w:val="00940973"/>
    <w:rsid w:val="00940B04"/>
    <w:rsid w:val="00940B83"/>
    <w:rsid w:val="00940C7F"/>
    <w:rsid w:val="00940DAD"/>
    <w:rsid w:val="00940E39"/>
    <w:rsid w:val="00940F23"/>
    <w:rsid w:val="00941012"/>
    <w:rsid w:val="009413AA"/>
    <w:rsid w:val="00941844"/>
    <w:rsid w:val="0094199E"/>
    <w:rsid w:val="00941A4E"/>
    <w:rsid w:val="00941B07"/>
    <w:rsid w:val="00941B45"/>
    <w:rsid w:val="00941F76"/>
    <w:rsid w:val="00942455"/>
    <w:rsid w:val="00942461"/>
    <w:rsid w:val="0094258F"/>
    <w:rsid w:val="009425C2"/>
    <w:rsid w:val="00942699"/>
    <w:rsid w:val="0094275F"/>
    <w:rsid w:val="00942A3C"/>
    <w:rsid w:val="00942F4F"/>
    <w:rsid w:val="00943D45"/>
    <w:rsid w:val="00943E44"/>
    <w:rsid w:val="009440F3"/>
    <w:rsid w:val="00944457"/>
    <w:rsid w:val="00944499"/>
    <w:rsid w:val="009444D1"/>
    <w:rsid w:val="00944C9A"/>
    <w:rsid w:val="00944DD0"/>
    <w:rsid w:val="00944E23"/>
    <w:rsid w:val="00945114"/>
    <w:rsid w:val="00945206"/>
    <w:rsid w:val="00945618"/>
    <w:rsid w:val="00945766"/>
    <w:rsid w:val="0094591E"/>
    <w:rsid w:val="00945CB4"/>
    <w:rsid w:val="00945D28"/>
    <w:rsid w:val="00946066"/>
    <w:rsid w:val="0094617D"/>
    <w:rsid w:val="009462B1"/>
    <w:rsid w:val="00946738"/>
    <w:rsid w:val="0094678D"/>
    <w:rsid w:val="00946A89"/>
    <w:rsid w:val="00946B10"/>
    <w:rsid w:val="00946C0A"/>
    <w:rsid w:val="00946D98"/>
    <w:rsid w:val="00946FCE"/>
    <w:rsid w:val="00947115"/>
    <w:rsid w:val="009477B5"/>
    <w:rsid w:val="00947C19"/>
    <w:rsid w:val="00947E50"/>
    <w:rsid w:val="009504D5"/>
    <w:rsid w:val="0095075D"/>
    <w:rsid w:val="00950A77"/>
    <w:rsid w:val="00950C09"/>
    <w:rsid w:val="00950C8B"/>
    <w:rsid w:val="00950D94"/>
    <w:rsid w:val="00950E0B"/>
    <w:rsid w:val="00950F01"/>
    <w:rsid w:val="00950F8B"/>
    <w:rsid w:val="00950F92"/>
    <w:rsid w:val="0095100A"/>
    <w:rsid w:val="00951A20"/>
    <w:rsid w:val="00951B04"/>
    <w:rsid w:val="009522BA"/>
    <w:rsid w:val="00952450"/>
    <w:rsid w:val="00952C6E"/>
    <w:rsid w:val="00952E1F"/>
    <w:rsid w:val="00952E5D"/>
    <w:rsid w:val="00952EAF"/>
    <w:rsid w:val="00952F35"/>
    <w:rsid w:val="0095344D"/>
    <w:rsid w:val="009534A8"/>
    <w:rsid w:val="009536F4"/>
    <w:rsid w:val="00953AFD"/>
    <w:rsid w:val="00954627"/>
    <w:rsid w:val="00954684"/>
    <w:rsid w:val="00954840"/>
    <w:rsid w:val="0095495E"/>
    <w:rsid w:val="00955121"/>
    <w:rsid w:val="0095538E"/>
    <w:rsid w:val="009556A2"/>
    <w:rsid w:val="00955837"/>
    <w:rsid w:val="009559A8"/>
    <w:rsid w:val="00955C9F"/>
    <w:rsid w:val="00956105"/>
    <w:rsid w:val="0095613A"/>
    <w:rsid w:val="0095622B"/>
    <w:rsid w:val="0095659E"/>
    <w:rsid w:val="00956E56"/>
    <w:rsid w:val="0095701B"/>
    <w:rsid w:val="009571D3"/>
    <w:rsid w:val="0095740F"/>
    <w:rsid w:val="00957748"/>
    <w:rsid w:val="009578AF"/>
    <w:rsid w:val="009579F8"/>
    <w:rsid w:val="00957BF3"/>
    <w:rsid w:val="0096054E"/>
    <w:rsid w:val="0096068C"/>
    <w:rsid w:val="00960967"/>
    <w:rsid w:val="00960AE4"/>
    <w:rsid w:val="00960BFC"/>
    <w:rsid w:val="00960CE3"/>
    <w:rsid w:val="00960CF0"/>
    <w:rsid w:val="00960D23"/>
    <w:rsid w:val="0096103D"/>
    <w:rsid w:val="0096105D"/>
    <w:rsid w:val="009610A0"/>
    <w:rsid w:val="0096136F"/>
    <w:rsid w:val="009613E5"/>
    <w:rsid w:val="0096142F"/>
    <w:rsid w:val="009615BA"/>
    <w:rsid w:val="00961701"/>
    <w:rsid w:val="0096197A"/>
    <w:rsid w:val="009620C4"/>
    <w:rsid w:val="00962290"/>
    <w:rsid w:val="00962747"/>
    <w:rsid w:val="00962B44"/>
    <w:rsid w:val="00962CBE"/>
    <w:rsid w:val="00962D6E"/>
    <w:rsid w:val="0096321E"/>
    <w:rsid w:val="009638DA"/>
    <w:rsid w:val="00963A8B"/>
    <w:rsid w:val="00963C5D"/>
    <w:rsid w:val="009646AA"/>
    <w:rsid w:val="0096496A"/>
    <w:rsid w:val="00964A55"/>
    <w:rsid w:val="00964D09"/>
    <w:rsid w:val="00964D5C"/>
    <w:rsid w:val="0096527D"/>
    <w:rsid w:val="00965387"/>
    <w:rsid w:val="009653B8"/>
    <w:rsid w:val="00965625"/>
    <w:rsid w:val="0096575C"/>
    <w:rsid w:val="009657AD"/>
    <w:rsid w:val="009657D0"/>
    <w:rsid w:val="00965B93"/>
    <w:rsid w:val="00965C10"/>
    <w:rsid w:val="00965C8D"/>
    <w:rsid w:val="00965E31"/>
    <w:rsid w:val="00965EB0"/>
    <w:rsid w:val="00966149"/>
    <w:rsid w:val="00966B62"/>
    <w:rsid w:val="00966C96"/>
    <w:rsid w:val="00966EEB"/>
    <w:rsid w:val="00966F51"/>
    <w:rsid w:val="00967036"/>
    <w:rsid w:val="009671A2"/>
    <w:rsid w:val="009671A6"/>
    <w:rsid w:val="0096756D"/>
    <w:rsid w:val="00967634"/>
    <w:rsid w:val="0096767A"/>
    <w:rsid w:val="00967682"/>
    <w:rsid w:val="0096768A"/>
    <w:rsid w:val="00967694"/>
    <w:rsid w:val="00967806"/>
    <w:rsid w:val="00967818"/>
    <w:rsid w:val="00967C81"/>
    <w:rsid w:val="00967DA5"/>
    <w:rsid w:val="00970115"/>
    <w:rsid w:val="00970280"/>
    <w:rsid w:val="0097032A"/>
    <w:rsid w:val="009705EF"/>
    <w:rsid w:val="00970DA5"/>
    <w:rsid w:val="00971325"/>
    <w:rsid w:val="0097142B"/>
    <w:rsid w:val="0097172E"/>
    <w:rsid w:val="009719BC"/>
    <w:rsid w:val="00971A17"/>
    <w:rsid w:val="00971B39"/>
    <w:rsid w:val="00971FE0"/>
    <w:rsid w:val="00972678"/>
    <w:rsid w:val="009727DE"/>
    <w:rsid w:val="00972A6F"/>
    <w:rsid w:val="00972BBA"/>
    <w:rsid w:val="00972CE7"/>
    <w:rsid w:val="00972D92"/>
    <w:rsid w:val="00972DE4"/>
    <w:rsid w:val="00972ED2"/>
    <w:rsid w:val="00972F94"/>
    <w:rsid w:val="00973176"/>
    <w:rsid w:val="00973564"/>
    <w:rsid w:val="009737DD"/>
    <w:rsid w:val="009738B0"/>
    <w:rsid w:val="009738C9"/>
    <w:rsid w:val="00973B23"/>
    <w:rsid w:val="00973E87"/>
    <w:rsid w:val="009742AF"/>
    <w:rsid w:val="009742BC"/>
    <w:rsid w:val="00974555"/>
    <w:rsid w:val="00974A88"/>
    <w:rsid w:val="00974AEF"/>
    <w:rsid w:val="00974BC7"/>
    <w:rsid w:val="00975552"/>
    <w:rsid w:val="00975573"/>
    <w:rsid w:val="0097573E"/>
    <w:rsid w:val="00975CC1"/>
    <w:rsid w:val="00975D11"/>
    <w:rsid w:val="00976052"/>
    <w:rsid w:val="00976157"/>
    <w:rsid w:val="00976173"/>
    <w:rsid w:val="0097645A"/>
    <w:rsid w:val="00976947"/>
    <w:rsid w:val="0097694D"/>
    <w:rsid w:val="00976D9E"/>
    <w:rsid w:val="00976F0B"/>
    <w:rsid w:val="009770EF"/>
    <w:rsid w:val="00977236"/>
    <w:rsid w:val="009772D4"/>
    <w:rsid w:val="009774E5"/>
    <w:rsid w:val="0097754A"/>
    <w:rsid w:val="009775E0"/>
    <w:rsid w:val="0097762F"/>
    <w:rsid w:val="009776BE"/>
    <w:rsid w:val="00977B11"/>
    <w:rsid w:val="00977CAE"/>
    <w:rsid w:val="00980220"/>
    <w:rsid w:val="0098036F"/>
    <w:rsid w:val="009807A1"/>
    <w:rsid w:val="009807AA"/>
    <w:rsid w:val="00980830"/>
    <w:rsid w:val="00980893"/>
    <w:rsid w:val="00980A81"/>
    <w:rsid w:val="00980A9F"/>
    <w:rsid w:val="00980EC3"/>
    <w:rsid w:val="00981208"/>
    <w:rsid w:val="009815CF"/>
    <w:rsid w:val="009817CE"/>
    <w:rsid w:val="0098190A"/>
    <w:rsid w:val="00981C01"/>
    <w:rsid w:val="00981C17"/>
    <w:rsid w:val="00981D6D"/>
    <w:rsid w:val="00981E55"/>
    <w:rsid w:val="00981ECE"/>
    <w:rsid w:val="00981FCC"/>
    <w:rsid w:val="0098269B"/>
    <w:rsid w:val="00982C93"/>
    <w:rsid w:val="00983317"/>
    <w:rsid w:val="009835DB"/>
    <w:rsid w:val="0098379F"/>
    <w:rsid w:val="009837E5"/>
    <w:rsid w:val="0098397B"/>
    <w:rsid w:val="00983BD5"/>
    <w:rsid w:val="00983C70"/>
    <w:rsid w:val="00983D78"/>
    <w:rsid w:val="009843B5"/>
    <w:rsid w:val="009844D0"/>
    <w:rsid w:val="0098455C"/>
    <w:rsid w:val="00984582"/>
    <w:rsid w:val="009847B6"/>
    <w:rsid w:val="00984895"/>
    <w:rsid w:val="00984B2E"/>
    <w:rsid w:val="00984D66"/>
    <w:rsid w:val="00985492"/>
    <w:rsid w:val="00985960"/>
    <w:rsid w:val="009859A1"/>
    <w:rsid w:val="00985E68"/>
    <w:rsid w:val="00986127"/>
    <w:rsid w:val="00986245"/>
    <w:rsid w:val="009867CE"/>
    <w:rsid w:val="00986EC7"/>
    <w:rsid w:val="009871F0"/>
    <w:rsid w:val="0098772E"/>
    <w:rsid w:val="00987D39"/>
    <w:rsid w:val="009900FC"/>
    <w:rsid w:val="00990266"/>
    <w:rsid w:val="0099038A"/>
    <w:rsid w:val="0099040B"/>
    <w:rsid w:val="009904F7"/>
    <w:rsid w:val="009908EE"/>
    <w:rsid w:val="00990972"/>
    <w:rsid w:val="00990BD4"/>
    <w:rsid w:val="00990FB2"/>
    <w:rsid w:val="00990FB7"/>
    <w:rsid w:val="00991301"/>
    <w:rsid w:val="0099137B"/>
    <w:rsid w:val="009916CA"/>
    <w:rsid w:val="009918C4"/>
    <w:rsid w:val="00991987"/>
    <w:rsid w:val="00991D8C"/>
    <w:rsid w:val="00991E3C"/>
    <w:rsid w:val="00992078"/>
    <w:rsid w:val="009922EE"/>
    <w:rsid w:val="009924B9"/>
    <w:rsid w:val="00992978"/>
    <w:rsid w:val="00992ABB"/>
    <w:rsid w:val="00992ADF"/>
    <w:rsid w:val="00992B50"/>
    <w:rsid w:val="00992E84"/>
    <w:rsid w:val="0099305C"/>
    <w:rsid w:val="009930DA"/>
    <w:rsid w:val="009930F5"/>
    <w:rsid w:val="0099318A"/>
    <w:rsid w:val="00993980"/>
    <w:rsid w:val="00993B5B"/>
    <w:rsid w:val="00994115"/>
    <w:rsid w:val="00994553"/>
    <w:rsid w:val="009945E9"/>
    <w:rsid w:val="0099461C"/>
    <w:rsid w:val="0099485F"/>
    <w:rsid w:val="00994A71"/>
    <w:rsid w:val="00994C68"/>
    <w:rsid w:val="0099525A"/>
    <w:rsid w:val="0099546C"/>
    <w:rsid w:val="00995509"/>
    <w:rsid w:val="00995641"/>
    <w:rsid w:val="00995682"/>
    <w:rsid w:val="00995D2A"/>
    <w:rsid w:val="0099618B"/>
    <w:rsid w:val="00996375"/>
    <w:rsid w:val="0099647F"/>
    <w:rsid w:val="00996727"/>
    <w:rsid w:val="00996997"/>
    <w:rsid w:val="00996A60"/>
    <w:rsid w:val="009970DA"/>
    <w:rsid w:val="009974FF"/>
    <w:rsid w:val="00997749"/>
    <w:rsid w:val="00997FA2"/>
    <w:rsid w:val="009A0095"/>
    <w:rsid w:val="009A00C7"/>
    <w:rsid w:val="009A025C"/>
    <w:rsid w:val="009A0422"/>
    <w:rsid w:val="009A0449"/>
    <w:rsid w:val="009A0877"/>
    <w:rsid w:val="009A08B7"/>
    <w:rsid w:val="009A0B48"/>
    <w:rsid w:val="009A1045"/>
    <w:rsid w:val="009A11DD"/>
    <w:rsid w:val="009A1F78"/>
    <w:rsid w:val="009A2756"/>
    <w:rsid w:val="009A2912"/>
    <w:rsid w:val="009A2914"/>
    <w:rsid w:val="009A2944"/>
    <w:rsid w:val="009A2B4C"/>
    <w:rsid w:val="009A3320"/>
    <w:rsid w:val="009A3506"/>
    <w:rsid w:val="009A352A"/>
    <w:rsid w:val="009A37FD"/>
    <w:rsid w:val="009A3DE5"/>
    <w:rsid w:val="009A40EE"/>
    <w:rsid w:val="009A4370"/>
    <w:rsid w:val="009A4723"/>
    <w:rsid w:val="009A48A1"/>
    <w:rsid w:val="009A49A2"/>
    <w:rsid w:val="009A4D8D"/>
    <w:rsid w:val="009A5525"/>
    <w:rsid w:val="009A57EE"/>
    <w:rsid w:val="009A5A9D"/>
    <w:rsid w:val="009A5F81"/>
    <w:rsid w:val="009A637D"/>
    <w:rsid w:val="009A694C"/>
    <w:rsid w:val="009A6C9C"/>
    <w:rsid w:val="009A6E61"/>
    <w:rsid w:val="009A705B"/>
    <w:rsid w:val="009A728E"/>
    <w:rsid w:val="009A74FA"/>
    <w:rsid w:val="009A7817"/>
    <w:rsid w:val="009A7895"/>
    <w:rsid w:val="009A78DB"/>
    <w:rsid w:val="009A78E5"/>
    <w:rsid w:val="009A7AAC"/>
    <w:rsid w:val="009A7C8C"/>
    <w:rsid w:val="009A7E8B"/>
    <w:rsid w:val="009A7EE6"/>
    <w:rsid w:val="009B045C"/>
    <w:rsid w:val="009B04E5"/>
    <w:rsid w:val="009B079B"/>
    <w:rsid w:val="009B0954"/>
    <w:rsid w:val="009B09E9"/>
    <w:rsid w:val="009B0D40"/>
    <w:rsid w:val="009B0F69"/>
    <w:rsid w:val="009B0F98"/>
    <w:rsid w:val="009B14BB"/>
    <w:rsid w:val="009B18E6"/>
    <w:rsid w:val="009B19FA"/>
    <w:rsid w:val="009B1BD9"/>
    <w:rsid w:val="009B1EA4"/>
    <w:rsid w:val="009B2709"/>
    <w:rsid w:val="009B28EA"/>
    <w:rsid w:val="009B2B3C"/>
    <w:rsid w:val="009B2E1F"/>
    <w:rsid w:val="009B30A4"/>
    <w:rsid w:val="009B352E"/>
    <w:rsid w:val="009B369E"/>
    <w:rsid w:val="009B36C8"/>
    <w:rsid w:val="009B36EF"/>
    <w:rsid w:val="009B3F11"/>
    <w:rsid w:val="009B3F16"/>
    <w:rsid w:val="009B4537"/>
    <w:rsid w:val="009B46B7"/>
    <w:rsid w:val="009B4AE0"/>
    <w:rsid w:val="009B4D3B"/>
    <w:rsid w:val="009B4E01"/>
    <w:rsid w:val="009B4E22"/>
    <w:rsid w:val="009B51D1"/>
    <w:rsid w:val="009B52E0"/>
    <w:rsid w:val="009B54CB"/>
    <w:rsid w:val="009B57D8"/>
    <w:rsid w:val="009B583B"/>
    <w:rsid w:val="009B5944"/>
    <w:rsid w:val="009B5BEC"/>
    <w:rsid w:val="009B5C77"/>
    <w:rsid w:val="009B5D54"/>
    <w:rsid w:val="009B5E0C"/>
    <w:rsid w:val="009B5F64"/>
    <w:rsid w:val="009B6132"/>
    <w:rsid w:val="009B6235"/>
    <w:rsid w:val="009B68C0"/>
    <w:rsid w:val="009B6A01"/>
    <w:rsid w:val="009B6AAD"/>
    <w:rsid w:val="009B6D7D"/>
    <w:rsid w:val="009B6DE8"/>
    <w:rsid w:val="009B6E53"/>
    <w:rsid w:val="009B6EA5"/>
    <w:rsid w:val="009B7A10"/>
    <w:rsid w:val="009B7A52"/>
    <w:rsid w:val="009B7C60"/>
    <w:rsid w:val="009B7EB5"/>
    <w:rsid w:val="009B7EE6"/>
    <w:rsid w:val="009B7F22"/>
    <w:rsid w:val="009B7FB7"/>
    <w:rsid w:val="009C03A8"/>
    <w:rsid w:val="009C03BD"/>
    <w:rsid w:val="009C0449"/>
    <w:rsid w:val="009C0459"/>
    <w:rsid w:val="009C06C0"/>
    <w:rsid w:val="009C08EA"/>
    <w:rsid w:val="009C09EC"/>
    <w:rsid w:val="009C0AE6"/>
    <w:rsid w:val="009C0B65"/>
    <w:rsid w:val="009C0BAE"/>
    <w:rsid w:val="009C0F25"/>
    <w:rsid w:val="009C109B"/>
    <w:rsid w:val="009C1BF1"/>
    <w:rsid w:val="009C1FC2"/>
    <w:rsid w:val="009C2471"/>
    <w:rsid w:val="009C257D"/>
    <w:rsid w:val="009C275B"/>
    <w:rsid w:val="009C2D5A"/>
    <w:rsid w:val="009C2FA7"/>
    <w:rsid w:val="009C3443"/>
    <w:rsid w:val="009C3493"/>
    <w:rsid w:val="009C3529"/>
    <w:rsid w:val="009C3669"/>
    <w:rsid w:val="009C39B7"/>
    <w:rsid w:val="009C3AD7"/>
    <w:rsid w:val="009C3C21"/>
    <w:rsid w:val="009C3C6E"/>
    <w:rsid w:val="009C4043"/>
    <w:rsid w:val="009C43C9"/>
    <w:rsid w:val="009C4575"/>
    <w:rsid w:val="009C468B"/>
    <w:rsid w:val="009C489D"/>
    <w:rsid w:val="009C4979"/>
    <w:rsid w:val="009C4A83"/>
    <w:rsid w:val="009C4DBB"/>
    <w:rsid w:val="009C522F"/>
    <w:rsid w:val="009C52C9"/>
    <w:rsid w:val="009C5450"/>
    <w:rsid w:val="009C57EA"/>
    <w:rsid w:val="009C5B36"/>
    <w:rsid w:val="009C5C21"/>
    <w:rsid w:val="009C5CC9"/>
    <w:rsid w:val="009C5DE3"/>
    <w:rsid w:val="009C5E3A"/>
    <w:rsid w:val="009C60DC"/>
    <w:rsid w:val="009C61F1"/>
    <w:rsid w:val="009C621C"/>
    <w:rsid w:val="009C631A"/>
    <w:rsid w:val="009C638A"/>
    <w:rsid w:val="009C66A5"/>
    <w:rsid w:val="009C6723"/>
    <w:rsid w:val="009C6AAF"/>
    <w:rsid w:val="009C6AB9"/>
    <w:rsid w:val="009C72D6"/>
    <w:rsid w:val="009C7349"/>
    <w:rsid w:val="009C734F"/>
    <w:rsid w:val="009C7493"/>
    <w:rsid w:val="009C7608"/>
    <w:rsid w:val="009C7AB1"/>
    <w:rsid w:val="009D008C"/>
    <w:rsid w:val="009D06E1"/>
    <w:rsid w:val="009D0746"/>
    <w:rsid w:val="009D1821"/>
    <w:rsid w:val="009D19B4"/>
    <w:rsid w:val="009D19E7"/>
    <w:rsid w:val="009D1E52"/>
    <w:rsid w:val="009D1F22"/>
    <w:rsid w:val="009D20BE"/>
    <w:rsid w:val="009D21EC"/>
    <w:rsid w:val="009D244B"/>
    <w:rsid w:val="009D2452"/>
    <w:rsid w:val="009D2675"/>
    <w:rsid w:val="009D2EBB"/>
    <w:rsid w:val="009D2EF8"/>
    <w:rsid w:val="009D32A7"/>
    <w:rsid w:val="009D360D"/>
    <w:rsid w:val="009D3663"/>
    <w:rsid w:val="009D37CC"/>
    <w:rsid w:val="009D3840"/>
    <w:rsid w:val="009D39F3"/>
    <w:rsid w:val="009D3D0E"/>
    <w:rsid w:val="009D3E3A"/>
    <w:rsid w:val="009D3EBE"/>
    <w:rsid w:val="009D42B7"/>
    <w:rsid w:val="009D441F"/>
    <w:rsid w:val="009D497D"/>
    <w:rsid w:val="009D49D9"/>
    <w:rsid w:val="009D4CBD"/>
    <w:rsid w:val="009D5006"/>
    <w:rsid w:val="009D5254"/>
    <w:rsid w:val="009D5482"/>
    <w:rsid w:val="009D5944"/>
    <w:rsid w:val="009D5BEA"/>
    <w:rsid w:val="009D5D75"/>
    <w:rsid w:val="009D6512"/>
    <w:rsid w:val="009D66D3"/>
    <w:rsid w:val="009D673C"/>
    <w:rsid w:val="009D68DE"/>
    <w:rsid w:val="009D6B39"/>
    <w:rsid w:val="009D6C42"/>
    <w:rsid w:val="009D6FD1"/>
    <w:rsid w:val="009D72F4"/>
    <w:rsid w:val="009D74DE"/>
    <w:rsid w:val="009D7558"/>
    <w:rsid w:val="009D79F9"/>
    <w:rsid w:val="009D7A24"/>
    <w:rsid w:val="009D7CF2"/>
    <w:rsid w:val="009D7FB0"/>
    <w:rsid w:val="009E0311"/>
    <w:rsid w:val="009E068D"/>
    <w:rsid w:val="009E0AEF"/>
    <w:rsid w:val="009E0AFB"/>
    <w:rsid w:val="009E0B45"/>
    <w:rsid w:val="009E109C"/>
    <w:rsid w:val="009E1671"/>
    <w:rsid w:val="009E16BF"/>
    <w:rsid w:val="009E19CA"/>
    <w:rsid w:val="009E1AAD"/>
    <w:rsid w:val="009E1CC0"/>
    <w:rsid w:val="009E2338"/>
    <w:rsid w:val="009E2489"/>
    <w:rsid w:val="009E2562"/>
    <w:rsid w:val="009E2654"/>
    <w:rsid w:val="009E2702"/>
    <w:rsid w:val="009E2929"/>
    <w:rsid w:val="009E2B3D"/>
    <w:rsid w:val="009E2B82"/>
    <w:rsid w:val="009E2BF5"/>
    <w:rsid w:val="009E2CD5"/>
    <w:rsid w:val="009E2CE1"/>
    <w:rsid w:val="009E2F17"/>
    <w:rsid w:val="009E2F26"/>
    <w:rsid w:val="009E347A"/>
    <w:rsid w:val="009E3622"/>
    <w:rsid w:val="009E38CD"/>
    <w:rsid w:val="009E3F21"/>
    <w:rsid w:val="009E3F95"/>
    <w:rsid w:val="009E419D"/>
    <w:rsid w:val="009E42F7"/>
    <w:rsid w:val="009E43AE"/>
    <w:rsid w:val="009E48B2"/>
    <w:rsid w:val="009E4B5B"/>
    <w:rsid w:val="009E4B94"/>
    <w:rsid w:val="009E4C02"/>
    <w:rsid w:val="009E4E72"/>
    <w:rsid w:val="009E5074"/>
    <w:rsid w:val="009E5962"/>
    <w:rsid w:val="009E59A1"/>
    <w:rsid w:val="009E5C0B"/>
    <w:rsid w:val="009E5ED8"/>
    <w:rsid w:val="009E5FAD"/>
    <w:rsid w:val="009E5FD7"/>
    <w:rsid w:val="009E635A"/>
    <w:rsid w:val="009E6366"/>
    <w:rsid w:val="009E64F4"/>
    <w:rsid w:val="009E6A4C"/>
    <w:rsid w:val="009E6A77"/>
    <w:rsid w:val="009E6B2D"/>
    <w:rsid w:val="009E6E0E"/>
    <w:rsid w:val="009E70C7"/>
    <w:rsid w:val="009E73F2"/>
    <w:rsid w:val="009E79C6"/>
    <w:rsid w:val="009E7A78"/>
    <w:rsid w:val="009E7B3F"/>
    <w:rsid w:val="009E7C71"/>
    <w:rsid w:val="009E7FBD"/>
    <w:rsid w:val="009F013D"/>
    <w:rsid w:val="009F040D"/>
    <w:rsid w:val="009F0723"/>
    <w:rsid w:val="009F073E"/>
    <w:rsid w:val="009F0938"/>
    <w:rsid w:val="009F0989"/>
    <w:rsid w:val="009F0A34"/>
    <w:rsid w:val="009F0C2C"/>
    <w:rsid w:val="009F0DE4"/>
    <w:rsid w:val="009F0FF0"/>
    <w:rsid w:val="009F102E"/>
    <w:rsid w:val="009F1213"/>
    <w:rsid w:val="009F1371"/>
    <w:rsid w:val="009F15D2"/>
    <w:rsid w:val="009F15FD"/>
    <w:rsid w:val="009F1814"/>
    <w:rsid w:val="009F1A09"/>
    <w:rsid w:val="009F1D0E"/>
    <w:rsid w:val="009F20B8"/>
    <w:rsid w:val="009F20C2"/>
    <w:rsid w:val="009F2215"/>
    <w:rsid w:val="009F25BB"/>
    <w:rsid w:val="009F25FD"/>
    <w:rsid w:val="009F2F99"/>
    <w:rsid w:val="009F3D8E"/>
    <w:rsid w:val="009F3FF5"/>
    <w:rsid w:val="009F4323"/>
    <w:rsid w:val="009F441A"/>
    <w:rsid w:val="009F47E7"/>
    <w:rsid w:val="009F485B"/>
    <w:rsid w:val="009F4888"/>
    <w:rsid w:val="009F4AED"/>
    <w:rsid w:val="009F4C79"/>
    <w:rsid w:val="009F520D"/>
    <w:rsid w:val="009F537C"/>
    <w:rsid w:val="009F58DC"/>
    <w:rsid w:val="009F5968"/>
    <w:rsid w:val="009F5BDC"/>
    <w:rsid w:val="009F603B"/>
    <w:rsid w:val="009F65CB"/>
    <w:rsid w:val="009F669C"/>
    <w:rsid w:val="009F69BB"/>
    <w:rsid w:val="009F6B87"/>
    <w:rsid w:val="009F6E4F"/>
    <w:rsid w:val="009F7069"/>
    <w:rsid w:val="009F7483"/>
    <w:rsid w:val="009F775B"/>
    <w:rsid w:val="009F788E"/>
    <w:rsid w:val="009F7C24"/>
    <w:rsid w:val="009F7DDB"/>
    <w:rsid w:val="009F7F8C"/>
    <w:rsid w:val="00A0007A"/>
    <w:rsid w:val="00A0023E"/>
    <w:rsid w:val="00A002C5"/>
    <w:rsid w:val="00A00A45"/>
    <w:rsid w:val="00A00AC2"/>
    <w:rsid w:val="00A00BE8"/>
    <w:rsid w:val="00A00D53"/>
    <w:rsid w:val="00A00E52"/>
    <w:rsid w:val="00A01038"/>
    <w:rsid w:val="00A01110"/>
    <w:rsid w:val="00A01744"/>
    <w:rsid w:val="00A01A6A"/>
    <w:rsid w:val="00A0266D"/>
    <w:rsid w:val="00A028E4"/>
    <w:rsid w:val="00A02A38"/>
    <w:rsid w:val="00A02DE4"/>
    <w:rsid w:val="00A02E47"/>
    <w:rsid w:val="00A03086"/>
    <w:rsid w:val="00A0348B"/>
    <w:rsid w:val="00A03C17"/>
    <w:rsid w:val="00A03C80"/>
    <w:rsid w:val="00A04002"/>
    <w:rsid w:val="00A04156"/>
    <w:rsid w:val="00A041DC"/>
    <w:rsid w:val="00A04631"/>
    <w:rsid w:val="00A046EB"/>
    <w:rsid w:val="00A0475E"/>
    <w:rsid w:val="00A048D6"/>
    <w:rsid w:val="00A04A21"/>
    <w:rsid w:val="00A04A67"/>
    <w:rsid w:val="00A04D0F"/>
    <w:rsid w:val="00A0500F"/>
    <w:rsid w:val="00A055EA"/>
    <w:rsid w:val="00A055FE"/>
    <w:rsid w:val="00A0563F"/>
    <w:rsid w:val="00A05743"/>
    <w:rsid w:val="00A058E3"/>
    <w:rsid w:val="00A058EE"/>
    <w:rsid w:val="00A05D47"/>
    <w:rsid w:val="00A05E36"/>
    <w:rsid w:val="00A05FCD"/>
    <w:rsid w:val="00A062B4"/>
    <w:rsid w:val="00A06419"/>
    <w:rsid w:val="00A06782"/>
    <w:rsid w:val="00A067EB"/>
    <w:rsid w:val="00A06F28"/>
    <w:rsid w:val="00A070AD"/>
    <w:rsid w:val="00A0718C"/>
    <w:rsid w:val="00A076A2"/>
    <w:rsid w:val="00A076C6"/>
    <w:rsid w:val="00A0774B"/>
    <w:rsid w:val="00A07AE5"/>
    <w:rsid w:val="00A07AFB"/>
    <w:rsid w:val="00A07BAE"/>
    <w:rsid w:val="00A07C4A"/>
    <w:rsid w:val="00A07D30"/>
    <w:rsid w:val="00A100DF"/>
    <w:rsid w:val="00A102DD"/>
    <w:rsid w:val="00A108F9"/>
    <w:rsid w:val="00A109A4"/>
    <w:rsid w:val="00A10F0A"/>
    <w:rsid w:val="00A112D8"/>
    <w:rsid w:val="00A1138F"/>
    <w:rsid w:val="00A11574"/>
    <w:rsid w:val="00A11654"/>
    <w:rsid w:val="00A117B2"/>
    <w:rsid w:val="00A118B6"/>
    <w:rsid w:val="00A11C73"/>
    <w:rsid w:val="00A11F29"/>
    <w:rsid w:val="00A124FD"/>
    <w:rsid w:val="00A126EB"/>
    <w:rsid w:val="00A129E6"/>
    <w:rsid w:val="00A12B23"/>
    <w:rsid w:val="00A12BEA"/>
    <w:rsid w:val="00A131E0"/>
    <w:rsid w:val="00A13273"/>
    <w:rsid w:val="00A13323"/>
    <w:rsid w:val="00A1336F"/>
    <w:rsid w:val="00A13A7B"/>
    <w:rsid w:val="00A13B53"/>
    <w:rsid w:val="00A145A8"/>
    <w:rsid w:val="00A14679"/>
    <w:rsid w:val="00A1467F"/>
    <w:rsid w:val="00A1485D"/>
    <w:rsid w:val="00A14D74"/>
    <w:rsid w:val="00A14F7D"/>
    <w:rsid w:val="00A14F9B"/>
    <w:rsid w:val="00A15045"/>
    <w:rsid w:val="00A150A7"/>
    <w:rsid w:val="00A150C1"/>
    <w:rsid w:val="00A152ED"/>
    <w:rsid w:val="00A15462"/>
    <w:rsid w:val="00A15691"/>
    <w:rsid w:val="00A1595F"/>
    <w:rsid w:val="00A15C5E"/>
    <w:rsid w:val="00A15CB2"/>
    <w:rsid w:val="00A160A5"/>
    <w:rsid w:val="00A161BD"/>
    <w:rsid w:val="00A16349"/>
    <w:rsid w:val="00A165C0"/>
    <w:rsid w:val="00A16776"/>
    <w:rsid w:val="00A16A16"/>
    <w:rsid w:val="00A16A1B"/>
    <w:rsid w:val="00A16B9B"/>
    <w:rsid w:val="00A1726A"/>
    <w:rsid w:val="00A17600"/>
    <w:rsid w:val="00A17790"/>
    <w:rsid w:val="00A177CB"/>
    <w:rsid w:val="00A17AAC"/>
    <w:rsid w:val="00A17B96"/>
    <w:rsid w:val="00A17FF9"/>
    <w:rsid w:val="00A202AD"/>
    <w:rsid w:val="00A2032A"/>
    <w:rsid w:val="00A2066C"/>
    <w:rsid w:val="00A206A9"/>
    <w:rsid w:val="00A2078A"/>
    <w:rsid w:val="00A20905"/>
    <w:rsid w:val="00A20953"/>
    <w:rsid w:val="00A20D5F"/>
    <w:rsid w:val="00A20D8E"/>
    <w:rsid w:val="00A20F8F"/>
    <w:rsid w:val="00A20FD4"/>
    <w:rsid w:val="00A21200"/>
    <w:rsid w:val="00A21CB9"/>
    <w:rsid w:val="00A21D5A"/>
    <w:rsid w:val="00A21DC2"/>
    <w:rsid w:val="00A21EEE"/>
    <w:rsid w:val="00A21F0A"/>
    <w:rsid w:val="00A21F38"/>
    <w:rsid w:val="00A2216D"/>
    <w:rsid w:val="00A22449"/>
    <w:rsid w:val="00A22563"/>
    <w:rsid w:val="00A22679"/>
    <w:rsid w:val="00A226C8"/>
    <w:rsid w:val="00A228D4"/>
    <w:rsid w:val="00A22A85"/>
    <w:rsid w:val="00A22AA2"/>
    <w:rsid w:val="00A22D3D"/>
    <w:rsid w:val="00A22E3C"/>
    <w:rsid w:val="00A23B05"/>
    <w:rsid w:val="00A23D5F"/>
    <w:rsid w:val="00A24134"/>
    <w:rsid w:val="00A245E4"/>
    <w:rsid w:val="00A2494A"/>
    <w:rsid w:val="00A24DE5"/>
    <w:rsid w:val="00A25393"/>
    <w:rsid w:val="00A25472"/>
    <w:rsid w:val="00A256C8"/>
    <w:rsid w:val="00A25A7C"/>
    <w:rsid w:val="00A25EC3"/>
    <w:rsid w:val="00A2606D"/>
    <w:rsid w:val="00A2641F"/>
    <w:rsid w:val="00A26E3F"/>
    <w:rsid w:val="00A27015"/>
    <w:rsid w:val="00A274D4"/>
    <w:rsid w:val="00A2768B"/>
    <w:rsid w:val="00A276F1"/>
    <w:rsid w:val="00A27DF7"/>
    <w:rsid w:val="00A3045C"/>
    <w:rsid w:val="00A308C3"/>
    <w:rsid w:val="00A30914"/>
    <w:rsid w:val="00A30A26"/>
    <w:rsid w:val="00A30A38"/>
    <w:rsid w:val="00A30AAD"/>
    <w:rsid w:val="00A30B8A"/>
    <w:rsid w:val="00A30B9E"/>
    <w:rsid w:val="00A30C2E"/>
    <w:rsid w:val="00A31898"/>
    <w:rsid w:val="00A319AC"/>
    <w:rsid w:val="00A31AD2"/>
    <w:rsid w:val="00A31B9D"/>
    <w:rsid w:val="00A31BA2"/>
    <w:rsid w:val="00A31BD8"/>
    <w:rsid w:val="00A31DA3"/>
    <w:rsid w:val="00A31F78"/>
    <w:rsid w:val="00A3213B"/>
    <w:rsid w:val="00A3233E"/>
    <w:rsid w:val="00A32468"/>
    <w:rsid w:val="00A32BAD"/>
    <w:rsid w:val="00A32C48"/>
    <w:rsid w:val="00A32D5F"/>
    <w:rsid w:val="00A33115"/>
    <w:rsid w:val="00A33B19"/>
    <w:rsid w:val="00A33CCA"/>
    <w:rsid w:val="00A3427A"/>
    <w:rsid w:val="00A3465B"/>
    <w:rsid w:val="00A346E7"/>
    <w:rsid w:val="00A3494E"/>
    <w:rsid w:val="00A34B63"/>
    <w:rsid w:val="00A34B90"/>
    <w:rsid w:val="00A34C0D"/>
    <w:rsid w:val="00A34E73"/>
    <w:rsid w:val="00A34E83"/>
    <w:rsid w:val="00A35043"/>
    <w:rsid w:val="00A3506A"/>
    <w:rsid w:val="00A3515A"/>
    <w:rsid w:val="00A3520D"/>
    <w:rsid w:val="00A352FB"/>
    <w:rsid w:val="00A35676"/>
    <w:rsid w:val="00A35B6F"/>
    <w:rsid w:val="00A35C91"/>
    <w:rsid w:val="00A35DFF"/>
    <w:rsid w:val="00A3600E"/>
    <w:rsid w:val="00A3649E"/>
    <w:rsid w:val="00A3652C"/>
    <w:rsid w:val="00A365F5"/>
    <w:rsid w:val="00A3679B"/>
    <w:rsid w:val="00A3690B"/>
    <w:rsid w:val="00A36B9A"/>
    <w:rsid w:val="00A36F9E"/>
    <w:rsid w:val="00A3741D"/>
    <w:rsid w:val="00A37473"/>
    <w:rsid w:val="00A37526"/>
    <w:rsid w:val="00A378B3"/>
    <w:rsid w:val="00A37F0F"/>
    <w:rsid w:val="00A4012D"/>
    <w:rsid w:val="00A40186"/>
    <w:rsid w:val="00A40369"/>
    <w:rsid w:val="00A40774"/>
    <w:rsid w:val="00A40960"/>
    <w:rsid w:val="00A409CC"/>
    <w:rsid w:val="00A40DEC"/>
    <w:rsid w:val="00A40F2E"/>
    <w:rsid w:val="00A40F42"/>
    <w:rsid w:val="00A4144C"/>
    <w:rsid w:val="00A4172C"/>
    <w:rsid w:val="00A418AE"/>
    <w:rsid w:val="00A42207"/>
    <w:rsid w:val="00A42291"/>
    <w:rsid w:val="00A423B3"/>
    <w:rsid w:val="00A42480"/>
    <w:rsid w:val="00A4254C"/>
    <w:rsid w:val="00A42675"/>
    <w:rsid w:val="00A42788"/>
    <w:rsid w:val="00A427CE"/>
    <w:rsid w:val="00A42E64"/>
    <w:rsid w:val="00A43122"/>
    <w:rsid w:val="00A43EE5"/>
    <w:rsid w:val="00A44414"/>
    <w:rsid w:val="00A448F2"/>
    <w:rsid w:val="00A449C8"/>
    <w:rsid w:val="00A44DAD"/>
    <w:rsid w:val="00A44FE1"/>
    <w:rsid w:val="00A45177"/>
    <w:rsid w:val="00A451E1"/>
    <w:rsid w:val="00A45458"/>
    <w:rsid w:val="00A4568E"/>
    <w:rsid w:val="00A45E75"/>
    <w:rsid w:val="00A46241"/>
    <w:rsid w:val="00A4648B"/>
    <w:rsid w:val="00A465A6"/>
    <w:rsid w:val="00A466B2"/>
    <w:rsid w:val="00A46C39"/>
    <w:rsid w:val="00A46E58"/>
    <w:rsid w:val="00A475D1"/>
    <w:rsid w:val="00A47A3D"/>
    <w:rsid w:val="00A500E2"/>
    <w:rsid w:val="00A500FF"/>
    <w:rsid w:val="00A5022D"/>
    <w:rsid w:val="00A50289"/>
    <w:rsid w:val="00A502C5"/>
    <w:rsid w:val="00A50980"/>
    <w:rsid w:val="00A50D52"/>
    <w:rsid w:val="00A5105B"/>
    <w:rsid w:val="00A510A8"/>
    <w:rsid w:val="00A5126C"/>
    <w:rsid w:val="00A512AE"/>
    <w:rsid w:val="00A51815"/>
    <w:rsid w:val="00A518BD"/>
    <w:rsid w:val="00A518F3"/>
    <w:rsid w:val="00A51946"/>
    <w:rsid w:val="00A51B3D"/>
    <w:rsid w:val="00A51B57"/>
    <w:rsid w:val="00A51E27"/>
    <w:rsid w:val="00A52169"/>
    <w:rsid w:val="00A522DA"/>
    <w:rsid w:val="00A524A1"/>
    <w:rsid w:val="00A52543"/>
    <w:rsid w:val="00A526DB"/>
    <w:rsid w:val="00A527BD"/>
    <w:rsid w:val="00A530B4"/>
    <w:rsid w:val="00A532CC"/>
    <w:rsid w:val="00A537DD"/>
    <w:rsid w:val="00A537F7"/>
    <w:rsid w:val="00A53943"/>
    <w:rsid w:val="00A53955"/>
    <w:rsid w:val="00A53B48"/>
    <w:rsid w:val="00A53BD6"/>
    <w:rsid w:val="00A53CFA"/>
    <w:rsid w:val="00A540E3"/>
    <w:rsid w:val="00A54179"/>
    <w:rsid w:val="00A54A09"/>
    <w:rsid w:val="00A55110"/>
    <w:rsid w:val="00A55186"/>
    <w:rsid w:val="00A552B5"/>
    <w:rsid w:val="00A55440"/>
    <w:rsid w:val="00A55447"/>
    <w:rsid w:val="00A556A8"/>
    <w:rsid w:val="00A5588A"/>
    <w:rsid w:val="00A55924"/>
    <w:rsid w:val="00A55AFA"/>
    <w:rsid w:val="00A55B3B"/>
    <w:rsid w:val="00A56170"/>
    <w:rsid w:val="00A565B4"/>
    <w:rsid w:val="00A56E77"/>
    <w:rsid w:val="00A56EE8"/>
    <w:rsid w:val="00A56F39"/>
    <w:rsid w:val="00A57078"/>
    <w:rsid w:val="00A57168"/>
    <w:rsid w:val="00A574D2"/>
    <w:rsid w:val="00A575FC"/>
    <w:rsid w:val="00A576A9"/>
    <w:rsid w:val="00A576BB"/>
    <w:rsid w:val="00A57772"/>
    <w:rsid w:val="00A57832"/>
    <w:rsid w:val="00A57B11"/>
    <w:rsid w:val="00A57BCE"/>
    <w:rsid w:val="00A57D3E"/>
    <w:rsid w:val="00A57F58"/>
    <w:rsid w:val="00A6006E"/>
    <w:rsid w:val="00A60210"/>
    <w:rsid w:val="00A6022B"/>
    <w:rsid w:val="00A604E7"/>
    <w:rsid w:val="00A60A3C"/>
    <w:rsid w:val="00A60A74"/>
    <w:rsid w:val="00A60BF0"/>
    <w:rsid w:val="00A60FDD"/>
    <w:rsid w:val="00A61330"/>
    <w:rsid w:val="00A6178E"/>
    <w:rsid w:val="00A61BD2"/>
    <w:rsid w:val="00A61E10"/>
    <w:rsid w:val="00A61E8B"/>
    <w:rsid w:val="00A621E1"/>
    <w:rsid w:val="00A62376"/>
    <w:rsid w:val="00A626C3"/>
    <w:rsid w:val="00A628FA"/>
    <w:rsid w:val="00A6293C"/>
    <w:rsid w:val="00A63543"/>
    <w:rsid w:val="00A63712"/>
    <w:rsid w:val="00A63807"/>
    <w:rsid w:val="00A638F8"/>
    <w:rsid w:val="00A642E7"/>
    <w:rsid w:val="00A643A9"/>
    <w:rsid w:val="00A644A6"/>
    <w:rsid w:val="00A64988"/>
    <w:rsid w:val="00A64CCE"/>
    <w:rsid w:val="00A64EDB"/>
    <w:rsid w:val="00A65029"/>
    <w:rsid w:val="00A65064"/>
    <w:rsid w:val="00A65670"/>
    <w:rsid w:val="00A65696"/>
    <w:rsid w:val="00A658C6"/>
    <w:rsid w:val="00A65A31"/>
    <w:rsid w:val="00A65B5F"/>
    <w:rsid w:val="00A65C00"/>
    <w:rsid w:val="00A65FE0"/>
    <w:rsid w:val="00A66023"/>
    <w:rsid w:val="00A66295"/>
    <w:rsid w:val="00A66357"/>
    <w:rsid w:val="00A66570"/>
    <w:rsid w:val="00A66666"/>
    <w:rsid w:val="00A667A4"/>
    <w:rsid w:val="00A66896"/>
    <w:rsid w:val="00A66B78"/>
    <w:rsid w:val="00A66DDF"/>
    <w:rsid w:val="00A66E05"/>
    <w:rsid w:val="00A66F16"/>
    <w:rsid w:val="00A66FDB"/>
    <w:rsid w:val="00A671D0"/>
    <w:rsid w:val="00A6721D"/>
    <w:rsid w:val="00A672D1"/>
    <w:rsid w:val="00A67440"/>
    <w:rsid w:val="00A676C5"/>
    <w:rsid w:val="00A6770F"/>
    <w:rsid w:val="00A677FA"/>
    <w:rsid w:val="00A67929"/>
    <w:rsid w:val="00A679E9"/>
    <w:rsid w:val="00A67A90"/>
    <w:rsid w:val="00A67B46"/>
    <w:rsid w:val="00A67C5D"/>
    <w:rsid w:val="00A67D25"/>
    <w:rsid w:val="00A67D88"/>
    <w:rsid w:val="00A67EA5"/>
    <w:rsid w:val="00A67EAD"/>
    <w:rsid w:val="00A70154"/>
    <w:rsid w:val="00A70282"/>
    <w:rsid w:val="00A70343"/>
    <w:rsid w:val="00A704CD"/>
    <w:rsid w:val="00A70836"/>
    <w:rsid w:val="00A70E12"/>
    <w:rsid w:val="00A70FD7"/>
    <w:rsid w:val="00A7139F"/>
    <w:rsid w:val="00A714D0"/>
    <w:rsid w:val="00A71717"/>
    <w:rsid w:val="00A71801"/>
    <w:rsid w:val="00A71B25"/>
    <w:rsid w:val="00A72098"/>
    <w:rsid w:val="00A72445"/>
    <w:rsid w:val="00A724E8"/>
    <w:rsid w:val="00A72712"/>
    <w:rsid w:val="00A72B7F"/>
    <w:rsid w:val="00A7303F"/>
    <w:rsid w:val="00A7304B"/>
    <w:rsid w:val="00A7389B"/>
    <w:rsid w:val="00A738CB"/>
    <w:rsid w:val="00A7395D"/>
    <w:rsid w:val="00A73EB0"/>
    <w:rsid w:val="00A74692"/>
    <w:rsid w:val="00A746D5"/>
    <w:rsid w:val="00A747BD"/>
    <w:rsid w:val="00A747C6"/>
    <w:rsid w:val="00A748B1"/>
    <w:rsid w:val="00A74957"/>
    <w:rsid w:val="00A74B24"/>
    <w:rsid w:val="00A74C6F"/>
    <w:rsid w:val="00A74C8A"/>
    <w:rsid w:val="00A74CC5"/>
    <w:rsid w:val="00A74DE7"/>
    <w:rsid w:val="00A752C7"/>
    <w:rsid w:val="00A7548D"/>
    <w:rsid w:val="00A7582A"/>
    <w:rsid w:val="00A75CA6"/>
    <w:rsid w:val="00A75CD6"/>
    <w:rsid w:val="00A75DF0"/>
    <w:rsid w:val="00A76108"/>
    <w:rsid w:val="00A765AC"/>
    <w:rsid w:val="00A7663E"/>
    <w:rsid w:val="00A76739"/>
    <w:rsid w:val="00A7691F"/>
    <w:rsid w:val="00A76AB8"/>
    <w:rsid w:val="00A76B86"/>
    <w:rsid w:val="00A76C63"/>
    <w:rsid w:val="00A76DC0"/>
    <w:rsid w:val="00A76EC8"/>
    <w:rsid w:val="00A771C8"/>
    <w:rsid w:val="00A77369"/>
    <w:rsid w:val="00A777F5"/>
    <w:rsid w:val="00A77A3C"/>
    <w:rsid w:val="00A77B7D"/>
    <w:rsid w:val="00A77D59"/>
    <w:rsid w:val="00A77E39"/>
    <w:rsid w:val="00A77E9A"/>
    <w:rsid w:val="00A77EBC"/>
    <w:rsid w:val="00A77F25"/>
    <w:rsid w:val="00A8003B"/>
    <w:rsid w:val="00A803D7"/>
    <w:rsid w:val="00A80C70"/>
    <w:rsid w:val="00A81355"/>
    <w:rsid w:val="00A81374"/>
    <w:rsid w:val="00A816F9"/>
    <w:rsid w:val="00A81B08"/>
    <w:rsid w:val="00A81B17"/>
    <w:rsid w:val="00A81BDB"/>
    <w:rsid w:val="00A8203E"/>
    <w:rsid w:val="00A822B2"/>
    <w:rsid w:val="00A825F9"/>
    <w:rsid w:val="00A8290F"/>
    <w:rsid w:val="00A829EB"/>
    <w:rsid w:val="00A82AE1"/>
    <w:rsid w:val="00A82AEE"/>
    <w:rsid w:val="00A82B0B"/>
    <w:rsid w:val="00A82D32"/>
    <w:rsid w:val="00A82EE8"/>
    <w:rsid w:val="00A83292"/>
    <w:rsid w:val="00A8342B"/>
    <w:rsid w:val="00A83A62"/>
    <w:rsid w:val="00A83AB7"/>
    <w:rsid w:val="00A83DB0"/>
    <w:rsid w:val="00A84018"/>
    <w:rsid w:val="00A841A1"/>
    <w:rsid w:val="00A842BF"/>
    <w:rsid w:val="00A844FA"/>
    <w:rsid w:val="00A84AFA"/>
    <w:rsid w:val="00A84FD4"/>
    <w:rsid w:val="00A85361"/>
    <w:rsid w:val="00A85B1A"/>
    <w:rsid w:val="00A85BE2"/>
    <w:rsid w:val="00A85DBF"/>
    <w:rsid w:val="00A862F4"/>
    <w:rsid w:val="00A8641B"/>
    <w:rsid w:val="00A865B1"/>
    <w:rsid w:val="00A86CFF"/>
    <w:rsid w:val="00A873D5"/>
    <w:rsid w:val="00A874E7"/>
    <w:rsid w:val="00A8783B"/>
    <w:rsid w:val="00A87923"/>
    <w:rsid w:val="00A87AE4"/>
    <w:rsid w:val="00A87BC9"/>
    <w:rsid w:val="00A90042"/>
    <w:rsid w:val="00A90336"/>
    <w:rsid w:val="00A90348"/>
    <w:rsid w:val="00A90447"/>
    <w:rsid w:val="00A90726"/>
    <w:rsid w:val="00A907A7"/>
    <w:rsid w:val="00A90806"/>
    <w:rsid w:val="00A908C2"/>
    <w:rsid w:val="00A90A26"/>
    <w:rsid w:val="00A90B87"/>
    <w:rsid w:val="00A90B9E"/>
    <w:rsid w:val="00A90BC8"/>
    <w:rsid w:val="00A90DDC"/>
    <w:rsid w:val="00A90E42"/>
    <w:rsid w:val="00A9104D"/>
    <w:rsid w:val="00A91192"/>
    <w:rsid w:val="00A91533"/>
    <w:rsid w:val="00A915CF"/>
    <w:rsid w:val="00A9184A"/>
    <w:rsid w:val="00A9235E"/>
    <w:rsid w:val="00A926C9"/>
    <w:rsid w:val="00A935A5"/>
    <w:rsid w:val="00A935CE"/>
    <w:rsid w:val="00A93C02"/>
    <w:rsid w:val="00A93D90"/>
    <w:rsid w:val="00A93DE7"/>
    <w:rsid w:val="00A944A8"/>
    <w:rsid w:val="00A947F1"/>
    <w:rsid w:val="00A948FE"/>
    <w:rsid w:val="00A949E1"/>
    <w:rsid w:val="00A949FD"/>
    <w:rsid w:val="00A94A48"/>
    <w:rsid w:val="00A94AB7"/>
    <w:rsid w:val="00A94F4A"/>
    <w:rsid w:val="00A94FDE"/>
    <w:rsid w:val="00A95122"/>
    <w:rsid w:val="00A952DA"/>
    <w:rsid w:val="00A95357"/>
    <w:rsid w:val="00A9545F"/>
    <w:rsid w:val="00A954C3"/>
    <w:rsid w:val="00A9567D"/>
    <w:rsid w:val="00A9587A"/>
    <w:rsid w:val="00A95A59"/>
    <w:rsid w:val="00A95B09"/>
    <w:rsid w:val="00A95FAD"/>
    <w:rsid w:val="00A964A5"/>
    <w:rsid w:val="00A9650E"/>
    <w:rsid w:val="00A96761"/>
    <w:rsid w:val="00A96D69"/>
    <w:rsid w:val="00A96ED8"/>
    <w:rsid w:val="00A96F4B"/>
    <w:rsid w:val="00A9706C"/>
    <w:rsid w:val="00A9743D"/>
    <w:rsid w:val="00A9746E"/>
    <w:rsid w:val="00A974AC"/>
    <w:rsid w:val="00A975E9"/>
    <w:rsid w:val="00A975F9"/>
    <w:rsid w:val="00A97721"/>
    <w:rsid w:val="00A97850"/>
    <w:rsid w:val="00A97A1C"/>
    <w:rsid w:val="00A97C98"/>
    <w:rsid w:val="00A97D9E"/>
    <w:rsid w:val="00A97DB6"/>
    <w:rsid w:val="00AA01D9"/>
    <w:rsid w:val="00AA04F0"/>
    <w:rsid w:val="00AA05F1"/>
    <w:rsid w:val="00AA0A15"/>
    <w:rsid w:val="00AA0C72"/>
    <w:rsid w:val="00AA1333"/>
    <w:rsid w:val="00AA157B"/>
    <w:rsid w:val="00AA1D77"/>
    <w:rsid w:val="00AA1DFD"/>
    <w:rsid w:val="00AA1E58"/>
    <w:rsid w:val="00AA1E6A"/>
    <w:rsid w:val="00AA1F78"/>
    <w:rsid w:val="00AA2408"/>
    <w:rsid w:val="00AA2551"/>
    <w:rsid w:val="00AA27B8"/>
    <w:rsid w:val="00AA28E3"/>
    <w:rsid w:val="00AA2A60"/>
    <w:rsid w:val="00AA3D0D"/>
    <w:rsid w:val="00AA3E91"/>
    <w:rsid w:val="00AA3F43"/>
    <w:rsid w:val="00AA3FFB"/>
    <w:rsid w:val="00AA42A9"/>
    <w:rsid w:val="00AA42C0"/>
    <w:rsid w:val="00AA4495"/>
    <w:rsid w:val="00AA44A2"/>
    <w:rsid w:val="00AA455F"/>
    <w:rsid w:val="00AA4ADD"/>
    <w:rsid w:val="00AA4BA2"/>
    <w:rsid w:val="00AA505C"/>
    <w:rsid w:val="00AA506A"/>
    <w:rsid w:val="00AA584A"/>
    <w:rsid w:val="00AA5A2E"/>
    <w:rsid w:val="00AA5E28"/>
    <w:rsid w:val="00AA5F85"/>
    <w:rsid w:val="00AA6128"/>
    <w:rsid w:val="00AA62B0"/>
    <w:rsid w:val="00AA63D2"/>
    <w:rsid w:val="00AA6555"/>
    <w:rsid w:val="00AA6899"/>
    <w:rsid w:val="00AA6B63"/>
    <w:rsid w:val="00AA6D9C"/>
    <w:rsid w:val="00AA6DA3"/>
    <w:rsid w:val="00AA6DA4"/>
    <w:rsid w:val="00AA70A4"/>
    <w:rsid w:val="00AA7473"/>
    <w:rsid w:val="00AA7544"/>
    <w:rsid w:val="00AA7C8D"/>
    <w:rsid w:val="00AA7D42"/>
    <w:rsid w:val="00AB0730"/>
    <w:rsid w:val="00AB0976"/>
    <w:rsid w:val="00AB0A80"/>
    <w:rsid w:val="00AB0C6E"/>
    <w:rsid w:val="00AB0E4D"/>
    <w:rsid w:val="00AB1715"/>
    <w:rsid w:val="00AB1834"/>
    <w:rsid w:val="00AB193F"/>
    <w:rsid w:val="00AB19A2"/>
    <w:rsid w:val="00AB1B0C"/>
    <w:rsid w:val="00AB21C7"/>
    <w:rsid w:val="00AB2257"/>
    <w:rsid w:val="00AB22CE"/>
    <w:rsid w:val="00AB275B"/>
    <w:rsid w:val="00AB2B88"/>
    <w:rsid w:val="00AB2C76"/>
    <w:rsid w:val="00AB2DC4"/>
    <w:rsid w:val="00AB2F73"/>
    <w:rsid w:val="00AB370D"/>
    <w:rsid w:val="00AB38FA"/>
    <w:rsid w:val="00AB3D86"/>
    <w:rsid w:val="00AB3E4D"/>
    <w:rsid w:val="00AB3EFD"/>
    <w:rsid w:val="00AB3FC9"/>
    <w:rsid w:val="00AB4569"/>
    <w:rsid w:val="00AB469F"/>
    <w:rsid w:val="00AB47D4"/>
    <w:rsid w:val="00AB4895"/>
    <w:rsid w:val="00AB4958"/>
    <w:rsid w:val="00AB4B72"/>
    <w:rsid w:val="00AB4DEA"/>
    <w:rsid w:val="00AB4EA2"/>
    <w:rsid w:val="00AB501C"/>
    <w:rsid w:val="00AB5186"/>
    <w:rsid w:val="00AB518D"/>
    <w:rsid w:val="00AB51A9"/>
    <w:rsid w:val="00AB5443"/>
    <w:rsid w:val="00AB5D59"/>
    <w:rsid w:val="00AB5E3D"/>
    <w:rsid w:val="00AB6C2D"/>
    <w:rsid w:val="00AB6C6A"/>
    <w:rsid w:val="00AB6FAB"/>
    <w:rsid w:val="00AB7721"/>
    <w:rsid w:val="00AB77EC"/>
    <w:rsid w:val="00AB79A3"/>
    <w:rsid w:val="00AB7B3A"/>
    <w:rsid w:val="00AB7BF2"/>
    <w:rsid w:val="00AC0006"/>
    <w:rsid w:val="00AC01FC"/>
    <w:rsid w:val="00AC102F"/>
    <w:rsid w:val="00AC10ED"/>
    <w:rsid w:val="00AC1111"/>
    <w:rsid w:val="00AC1154"/>
    <w:rsid w:val="00AC173D"/>
    <w:rsid w:val="00AC19FA"/>
    <w:rsid w:val="00AC1CAF"/>
    <w:rsid w:val="00AC1DC1"/>
    <w:rsid w:val="00AC1E05"/>
    <w:rsid w:val="00AC2270"/>
    <w:rsid w:val="00AC22F9"/>
    <w:rsid w:val="00AC2461"/>
    <w:rsid w:val="00AC25DC"/>
    <w:rsid w:val="00AC2837"/>
    <w:rsid w:val="00AC2B51"/>
    <w:rsid w:val="00AC2C1A"/>
    <w:rsid w:val="00AC2D74"/>
    <w:rsid w:val="00AC2DF1"/>
    <w:rsid w:val="00AC2F43"/>
    <w:rsid w:val="00AC30FF"/>
    <w:rsid w:val="00AC32B7"/>
    <w:rsid w:val="00AC3353"/>
    <w:rsid w:val="00AC3781"/>
    <w:rsid w:val="00AC381C"/>
    <w:rsid w:val="00AC3B76"/>
    <w:rsid w:val="00AC3C2D"/>
    <w:rsid w:val="00AC3D70"/>
    <w:rsid w:val="00AC3F61"/>
    <w:rsid w:val="00AC4764"/>
    <w:rsid w:val="00AC48B7"/>
    <w:rsid w:val="00AC4909"/>
    <w:rsid w:val="00AC49C9"/>
    <w:rsid w:val="00AC4A50"/>
    <w:rsid w:val="00AC4F02"/>
    <w:rsid w:val="00AC51D8"/>
    <w:rsid w:val="00AC54CD"/>
    <w:rsid w:val="00AC55DD"/>
    <w:rsid w:val="00AC5694"/>
    <w:rsid w:val="00AC5698"/>
    <w:rsid w:val="00AC5DDE"/>
    <w:rsid w:val="00AC5E03"/>
    <w:rsid w:val="00AC5E93"/>
    <w:rsid w:val="00AC5F6C"/>
    <w:rsid w:val="00AC634D"/>
    <w:rsid w:val="00AC646A"/>
    <w:rsid w:val="00AC65E1"/>
    <w:rsid w:val="00AC6648"/>
    <w:rsid w:val="00AC695A"/>
    <w:rsid w:val="00AC6EB4"/>
    <w:rsid w:val="00AC6F83"/>
    <w:rsid w:val="00AC6FCE"/>
    <w:rsid w:val="00AC71C0"/>
    <w:rsid w:val="00AC71EA"/>
    <w:rsid w:val="00AC7566"/>
    <w:rsid w:val="00AC799B"/>
    <w:rsid w:val="00AC79E2"/>
    <w:rsid w:val="00AC7A9C"/>
    <w:rsid w:val="00AC7D50"/>
    <w:rsid w:val="00AC7D7D"/>
    <w:rsid w:val="00AC7DBF"/>
    <w:rsid w:val="00AC7EA1"/>
    <w:rsid w:val="00AD003E"/>
    <w:rsid w:val="00AD00D5"/>
    <w:rsid w:val="00AD0179"/>
    <w:rsid w:val="00AD048B"/>
    <w:rsid w:val="00AD0766"/>
    <w:rsid w:val="00AD0881"/>
    <w:rsid w:val="00AD0893"/>
    <w:rsid w:val="00AD11AB"/>
    <w:rsid w:val="00AD1266"/>
    <w:rsid w:val="00AD12CA"/>
    <w:rsid w:val="00AD1947"/>
    <w:rsid w:val="00AD1BAA"/>
    <w:rsid w:val="00AD1E46"/>
    <w:rsid w:val="00AD1EC6"/>
    <w:rsid w:val="00AD1F3D"/>
    <w:rsid w:val="00AD1FAC"/>
    <w:rsid w:val="00AD1FD9"/>
    <w:rsid w:val="00AD2730"/>
    <w:rsid w:val="00AD2738"/>
    <w:rsid w:val="00AD28BC"/>
    <w:rsid w:val="00AD2A69"/>
    <w:rsid w:val="00AD2B65"/>
    <w:rsid w:val="00AD2B98"/>
    <w:rsid w:val="00AD2C4A"/>
    <w:rsid w:val="00AD2D47"/>
    <w:rsid w:val="00AD2F38"/>
    <w:rsid w:val="00AD3037"/>
    <w:rsid w:val="00AD3D2D"/>
    <w:rsid w:val="00AD3DFB"/>
    <w:rsid w:val="00AD3E95"/>
    <w:rsid w:val="00AD400F"/>
    <w:rsid w:val="00AD404E"/>
    <w:rsid w:val="00AD40A4"/>
    <w:rsid w:val="00AD40CD"/>
    <w:rsid w:val="00AD43DC"/>
    <w:rsid w:val="00AD4CC4"/>
    <w:rsid w:val="00AD4CF8"/>
    <w:rsid w:val="00AD4E26"/>
    <w:rsid w:val="00AD5452"/>
    <w:rsid w:val="00AD5A42"/>
    <w:rsid w:val="00AD5A7C"/>
    <w:rsid w:val="00AD5DA3"/>
    <w:rsid w:val="00AD5E57"/>
    <w:rsid w:val="00AD5E98"/>
    <w:rsid w:val="00AD5FFB"/>
    <w:rsid w:val="00AD6126"/>
    <w:rsid w:val="00AD65A0"/>
    <w:rsid w:val="00AD6BDD"/>
    <w:rsid w:val="00AD6E6D"/>
    <w:rsid w:val="00AD6EC0"/>
    <w:rsid w:val="00AD6F4B"/>
    <w:rsid w:val="00AD6FB7"/>
    <w:rsid w:val="00AD716F"/>
    <w:rsid w:val="00AD78A9"/>
    <w:rsid w:val="00AD790E"/>
    <w:rsid w:val="00AD7B41"/>
    <w:rsid w:val="00AD7B8F"/>
    <w:rsid w:val="00AD7CAC"/>
    <w:rsid w:val="00AE023A"/>
    <w:rsid w:val="00AE03F8"/>
    <w:rsid w:val="00AE04C6"/>
    <w:rsid w:val="00AE0926"/>
    <w:rsid w:val="00AE0D4A"/>
    <w:rsid w:val="00AE0DA0"/>
    <w:rsid w:val="00AE0DE8"/>
    <w:rsid w:val="00AE11C7"/>
    <w:rsid w:val="00AE143D"/>
    <w:rsid w:val="00AE17B1"/>
    <w:rsid w:val="00AE18DD"/>
    <w:rsid w:val="00AE1C6F"/>
    <w:rsid w:val="00AE1ED3"/>
    <w:rsid w:val="00AE201B"/>
    <w:rsid w:val="00AE21D1"/>
    <w:rsid w:val="00AE23B5"/>
    <w:rsid w:val="00AE2717"/>
    <w:rsid w:val="00AE2720"/>
    <w:rsid w:val="00AE2843"/>
    <w:rsid w:val="00AE287F"/>
    <w:rsid w:val="00AE2BFA"/>
    <w:rsid w:val="00AE3031"/>
    <w:rsid w:val="00AE3691"/>
    <w:rsid w:val="00AE3C2F"/>
    <w:rsid w:val="00AE3ED5"/>
    <w:rsid w:val="00AE3F6A"/>
    <w:rsid w:val="00AE4965"/>
    <w:rsid w:val="00AE4C14"/>
    <w:rsid w:val="00AE4DD2"/>
    <w:rsid w:val="00AE4F1D"/>
    <w:rsid w:val="00AE535E"/>
    <w:rsid w:val="00AE5B88"/>
    <w:rsid w:val="00AE5BA3"/>
    <w:rsid w:val="00AE5C7F"/>
    <w:rsid w:val="00AE5D21"/>
    <w:rsid w:val="00AE6158"/>
    <w:rsid w:val="00AE6919"/>
    <w:rsid w:val="00AE6CC4"/>
    <w:rsid w:val="00AE6DD8"/>
    <w:rsid w:val="00AE7358"/>
    <w:rsid w:val="00AE751F"/>
    <w:rsid w:val="00AE7583"/>
    <w:rsid w:val="00AE76B8"/>
    <w:rsid w:val="00AE76FF"/>
    <w:rsid w:val="00AE7797"/>
    <w:rsid w:val="00AE7BE0"/>
    <w:rsid w:val="00AE7C2F"/>
    <w:rsid w:val="00AE7CBF"/>
    <w:rsid w:val="00AE7F36"/>
    <w:rsid w:val="00AF00CF"/>
    <w:rsid w:val="00AF0102"/>
    <w:rsid w:val="00AF039D"/>
    <w:rsid w:val="00AF043B"/>
    <w:rsid w:val="00AF04BD"/>
    <w:rsid w:val="00AF04C1"/>
    <w:rsid w:val="00AF0710"/>
    <w:rsid w:val="00AF080D"/>
    <w:rsid w:val="00AF0B38"/>
    <w:rsid w:val="00AF0BB0"/>
    <w:rsid w:val="00AF0C45"/>
    <w:rsid w:val="00AF0D1F"/>
    <w:rsid w:val="00AF142B"/>
    <w:rsid w:val="00AF15B4"/>
    <w:rsid w:val="00AF15B9"/>
    <w:rsid w:val="00AF194B"/>
    <w:rsid w:val="00AF1A0C"/>
    <w:rsid w:val="00AF1AA3"/>
    <w:rsid w:val="00AF1C02"/>
    <w:rsid w:val="00AF1D02"/>
    <w:rsid w:val="00AF1E76"/>
    <w:rsid w:val="00AF252A"/>
    <w:rsid w:val="00AF2586"/>
    <w:rsid w:val="00AF2B55"/>
    <w:rsid w:val="00AF2CF7"/>
    <w:rsid w:val="00AF2CFF"/>
    <w:rsid w:val="00AF36B4"/>
    <w:rsid w:val="00AF3717"/>
    <w:rsid w:val="00AF3828"/>
    <w:rsid w:val="00AF38BC"/>
    <w:rsid w:val="00AF38D3"/>
    <w:rsid w:val="00AF3F03"/>
    <w:rsid w:val="00AF3F71"/>
    <w:rsid w:val="00AF3FB8"/>
    <w:rsid w:val="00AF449C"/>
    <w:rsid w:val="00AF44C1"/>
    <w:rsid w:val="00AF4502"/>
    <w:rsid w:val="00AF4B5D"/>
    <w:rsid w:val="00AF4D10"/>
    <w:rsid w:val="00AF5034"/>
    <w:rsid w:val="00AF531C"/>
    <w:rsid w:val="00AF5A5A"/>
    <w:rsid w:val="00AF5C4D"/>
    <w:rsid w:val="00AF6019"/>
    <w:rsid w:val="00AF6043"/>
    <w:rsid w:val="00AF62BB"/>
    <w:rsid w:val="00AF62E8"/>
    <w:rsid w:val="00AF6339"/>
    <w:rsid w:val="00AF64A9"/>
    <w:rsid w:val="00AF6847"/>
    <w:rsid w:val="00AF6A86"/>
    <w:rsid w:val="00AF7009"/>
    <w:rsid w:val="00AF70B4"/>
    <w:rsid w:val="00AF7161"/>
    <w:rsid w:val="00AF72F8"/>
    <w:rsid w:val="00AF7683"/>
    <w:rsid w:val="00AF7867"/>
    <w:rsid w:val="00AF7CE5"/>
    <w:rsid w:val="00AF7F06"/>
    <w:rsid w:val="00AF7F6B"/>
    <w:rsid w:val="00AF7FCF"/>
    <w:rsid w:val="00B0027A"/>
    <w:rsid w:val="00B006D5"/>
    <w:rsid w:val="00B006FE"/>
    <w:rsid w:val="00B00AC8"/>
    <w:rsid w:val="00B00BD2"/>
    <w:rsid w:val="00B00D92"/>
    <w:rsid w:val="00B00FBB"/>
    <w:rsid w:val="00B01163"/>
    <w:rsid w:val="00B0147D"/>
    <w:rsid w:val="00B01AD4"/>
    <w:rsid w:val="00B01F49"/>
    <w:rsid w:val="00B01F5F"/>
    <w:rsid w:val="00B020FE"/>
    <w:rsid w:val="00B0222C"/>
    <w:rsid w:val="00B02255"/>
    <w:rsid w:val="00B025C8"/>
    <w:rsid w:val="00B02787"/>
    <w:rsid w:val="00B02E16"/>
    <w:rsid w:val="00B0351C"/>
    <w:rsid w:val="00B03718"/>
    <w:rsid w:val="00B03A1E"/>
    <w:rsid w:val="00B04020"/>
    <w:rsid w:val="00B04043"/>
    <w:rsid w:val="00B04100"/>
    <w:rsid w:val="00B04159"/>
    <w:rsid w:val="00B043AA"/>
    <w:rsid w:val="00B04765"/>
    <w:rsid w:val="00B047D2"/>
    <w:rsid w:val="00B04968"/>
    <w:rsid w:val="00B0525A"/>
    <w:rsid w:val="00B052F4"/>
    <w:rsid w:val="00B054FE"/>
    <w:rsid w:val="00B0554E"/>
    <w:rsid w:val="00B05673"/>
    <w:rsid w:val="00B05A88"/>
    <w:rsid w:val="00B05BFB"/>
    <w:rsid w:val="00B05F10"/>
    <w:rsid w:val="00B06053"/>
    <w:rsid w:val="00B060FF"/>
    <w:rsid w:val="00B0615A"/>
    <w:rsid w:val="00B06317"/>
    <w:rsid w:val="00B064F9"/>
    <w:rsid w:val="00B06896"/>
    <w:rsid w:val="00B06D6E"/>
    <w:rsid w:val="00B06EEE"/>
    <w:rsid w:val="00B06F61"/>
    <w:rsid w:val="00B0758A"/>
    <w:rsid w:val="00B0763B"/>
    <w:rsid w:val="00B076D2"/>
    <w:rsid w:val="00B07A2F"/>
    <w:rsid w:val="00B07C5C"/>
    <w:rsid w:val="00B07E9B"/>
    <w:rsid w:val="00B07F03"/>
    <w:rsid w:val="00B0BB0B"/>
    <w:rsid w:val="00B107C6"/>
    <w:rsid w:val="00B10AAD"/>
    <w:rsid w:val="00B10AD1"/>
    <w:rsid w:val="00B111BE"/>
    <w:rsid w:val="00B111E2"/>
    <w:rsid w:val="00B113D1"/>
    <w:rsid w:val="00B11413"/>
    <w:rsid w:val="00B11458"/>
    <w:rsid w:val="00B11B90"/>
    <w:rsid w:val="00B11CA3"/>
    <w:rsid w:val="00B11E7D"/>
    <w:rsid w:val="00B124FE"/>
    <w:rsid w:val="00B12947"/>
    <w:rsid w:val="00B12ACB"/>
    <w:rsid w:val="00B1318B"/>
    <w:rsid w:val="00B131B9"/>
    <w:rsid w:val="00B13539"/>
    <w:rsid w:val="00B1359A"/>
    <w:rsid w:val="00B137EB"/>
    <w:rsid w:val="00B13B78"/>
    <w:rsid w:val="00B13FF4"/>
    <w:rsid w:val="00B140F7"/>
    <w:rsid w:val="00B141A8"/>
    <w:rsid w:val="00B143B8"/>
    <w:rsid w:val="00B147A0"/>
    <w:rsid w:val="00B147D9"/>
    <w:rsid w:val="00B148DE"/>
    <w:rsid w:val="00B14951"/>
    <w:rsid w:val="00B14C13"/>
    <w:rsid w:val="00B14D4B"/>
    <w:rsid w:val="00B14F44"/>
    <w:rsid w:val="00B15083"/>
    <w:rsid w:val="00B150C0"/>
    <w:rsid w:val="00B1513B"/>
    <w:rsid w:val="00B151AB"/>
    <w:rsid w:val="00B15785"/>
    <w:rsid w:val="00B1593C"/>
    <w:rsid w:val="00B15AE1"/>
    <w:rsid w:val="00B15B68"/>
    <w:rsid w:val="00B15CEE"/>
    <w:rsid w:val="00B1635E"/>
    <w:rsid w:val="00B164BE"/>
    <w:rsid w:val="00B164C4"/>
    <w:rsid w:val="00B165D9"/>
    <w:rsid w:val="00B1675B"/>
    <w:rsid w:val="00B1686A"/>
    <w:rsid w:val="00B16954"/>
    <w:rsid w:val="00B16984"/>
    <w:rsid w:val="00B169F1"/>
    <w:rsid w:val="00B16A9C"/>
    <w:rsid w:val="00B173B9"/>
    <w:rsid w:val="00B175B4"/>
    <w:rsid w:val="00B176DE"/>
    <w:rsid w:val="00B1778C"/>
    <w:rsid w:val="00B1779C"/>
    <w:rsid w:val="00B1786A"/>
    <w:rsid w:val="00B17893"/>
    <w:rsid w:val="00B1790E"/>
    <w:rsid w:val="00B17AD6"/>
    <w:rsid w:val="00B17CE1"/>
    <w:rsid w:val="00B17DCA"/>
    <w:rsid w:val="00B17EC9"/>
    <w:rsid w:val="00B20074"/>
    <w:rsid w:val="00B20292"/>
    <w:rsid w:val="00B202E5"/>
    <w:rsid w:val="00B205DF"/>
    <w:rsid w:val="00B206AF"/>
    <w:rsid w:val="00B20805"/>
    <w:rsid w:val="00B20A6D"/>
    <w:rsid w:val="00B20AAB"/>
    <w:rsid w:val="00B20BE1"/>
    <w:rsid w:val="00B20F24"/>
    <w:rsid w:val="00B20F5C"/>
    <w:rsid w:val="00B211F0"/>
    <w:rsid w:val="00B21686"/>
    <w:rsid w:val="00B22493"/>
    <w:rsid w:val="00B226E7"/>
    <w:rsid w:val="00B22761"/>
    <w:rsid w:val="00B2292B"/>
    <w:rsid w:val="00B22D09"/>
    <w:rsid w:val="00B22E70"/>
    <w:rsid w:val="00B2359C"/>
    <w:rsid w:val="00B23616"/>
    <w:rsid w:val="00B2469E"/>
    <w:rsid w:val="00B24EE6"/>
    <w:rsid w:val="00B24FF9"/>
    <w:rsid w:val="00B250CA"/>
    <w:rsid w:val="00B25324"/>
    <w:rsid w:val="00B25B32"/>
    <w:rsid w:val="00B25BD8"/>
    <w:rsid w:val="00B26222"/>
    <w:rsid w:val="00B26AF4"/>
    <w:rsid w:val="00B26F2D"/>
    <w:rsid w:val="00B278E7"/>
    <w:rsid w:val="00B27927"/>
    <w:rsid w:val="00B27952"/>
    <w:rsid w:val="00B27AFD"/>
    <w:rsid w:val="00B27BAC"/>
    <w:rsid w:val="00B30800"/>
    <w:rsid w:val="00B308EB"/>
    <w:rsid w:val="00B30ACC"/>
    <w:rsid w:val="00B30E1D"/>
    <w:rsid w:val="00B310D5"/>
    <w:rsid w:val="00B3165A"/>
    <w:rsid w:val="00B316A5"/>
    <w:rsid w:val="00B317C4"/>
    <w:rsid w:val="00B31DE5"/>
    <w:rsid w:val="00B31E22"/>
    <w:rsid w:val="00B31ED0"/>
    <w:rsid w:val="00B322E8"/>
    <w:rsid w:val="00B3258B"/>
    <w:rsid w:val="00B3262C"/>
    <w:rsid w:val="00B328E5"/>
    <w:rsid w:val="00B32D39"/>
    <w:rsid w:val="00B32FCE"/>
    <w:rsid w:val="00B32FD1"/>
    <w:rsid w:val="00B33367"/>
    <w:rsid w:val="00B33373"/>
    <w:rsid w:val="00B33756"/>
    <w:rsid w:val="00B33825"/>
    <w:rsid w:val="00B33A17"/>
    <w:rsid w:val="00B33A66"/>
    <w:rsid w:val="00B33DC2"/>
    <w:rsid w:val="00B33DC9"/>
    <w:rsid w:val="00B34140"/>
    <w:rsid w:val="00B34185"/>
    <w:rsid w:val="00B34209"/>
    <w:rsid w:val="00B34280"/>
    <w:rsid w:val="00B34535"/>
    <w:rsid w:val="00B34545"/>
    <w:rsid w:val="00B34572"/>
    <w:rsid w:val="00B34AEC"/>
    <w:rsid w:val="00B34B9F"/>
    <w:rsid w:val="00B34D19"/>
    <w:rsid w:val="00B34DA9"/>
    <w:rsid w:val="00B35051"/>
    <w:rsid w:val="00B35259"/>
    <w:rsid w:val="00B3545E"/>
    <w:rsid w:val="00B359E0"/>
    <w:rsid w:val="00B35C8E"/>
    <w:rsid w:val="00B35C8F"/>
    <w:rsid w:val="00B35DA4"/>
    <w:rsid w:val="00B36391"/>
    <w:rsid w:val="00B36490"/>
    <w:rsid w:val="00B36872"/>
    <w:rsid w:val="00B36AA0"/>
    <w:rsid w:val="00B36AA3"/>
    <w:rsid w:val="00B36D7D"/>
    <w:rsid w:val="00B36EF9"/>
    <w:rsid w:val="00B37624"/>
    <w:rsid w:val="00B37A15"/>
    <w:rsid w:val="00B37C08"/>
    <w:rsid w:val="00B404E5"/>
    <w:rsid w:val="00B4069B"/>
    <w:rsid w:val="00B406DE"/>
    <w:rsid w:val="00B40973"/>
    <w:rsid w:val="00B40A31"/>
    <w:rsid w:val="00B40A9D"/>
    <w:rsid w:val="00B40B0E"/>
    <w:rsid w:val="00B40C68"/>
    <w:rsid w:val="00B41139"/>
    <w:rsid w:val="00B411A2"/>
    <w:rsid w:val="00B41271"/>
    <w:rsid w:val="00B413F8"/>
    <w:rsid w:val="00B4146F"/>
    <w:rsid w:val="00B414C6"/>
    <w:rsid w:val="00B41526"/>
    <w:rsid w:val="00B415A1"/>
    <w:rsid w:val="00B418B1"/>
    <w:rsid w:val="00B41B78"/>
    <w:rsid w:val="00B41DCA"/>
    <w:rsid w:val="00B420B8"/>
    <w:rsid w:val="00B42330"/>
    <w:rsid w:val="00B42927"/>
    <w:rsid w:val="00B429C7"/>
    <w:rsid w:val="00B42E7E"/>
    <w:rsid w:val="00B43246"/>
    <w:rsid w:val="00B43371"/>
    <w:rsid w:val="00B434A1"/>
    <w:rsid w:val="00B4365C"/>
    <w:rsid w:val="00B436DA"/>
    <w:rsid w:val="00B438FF"/>
    <w:rsid w:val="00B43974"/>
    <w:rsid w:val="00B43CAD"/>
    <w:rsid w:val="00B43FB1"/>
    <w:rsid w:val="00B4412C"/>
    <w:rsid w:val="00B44281"/>
    <w:rsid w:val="00B4456B"/>
    <w:rsid w:val="00B44F3B"/>
    <w:rsid w:val="00B45072"/>
    <w:rsid w:val="00B4527A"/>
    <w:rsid w:val="00B45424"/>
    <w:rsid w:val="00B45672"/>
    <w:rsid w:val="00B458E3"/>
    <w:rsid w:val="00B45CDD"/>
    <w:rsid w:val="00B45D26"/>
    <w:rsid w:val="00B45DDD"/>
    <w:rsid w:val="00B45F4F"/>
    <w:rsid w:val="00B460E7"/>
    <w:rsid w:val="00B4672B"/>
    <w:rsid w:val="00B46912"/>
    <w:rsid w:val="00B46943"/>
    <w:rsid w:val="00B46A60"/>
    <w:rsid w:val="00B46D5E"/>
    <w:rsid w:val="00B46FBE"/>
    <w:rsid w:val="00B47026"/>
    <w:rsid w:val="00B4758E"/>
    <w:rsid w:val="00B478AC"/>
    <w:rsid w:val="00B47CC1"/>
    <w:rsid w:val="00B47E95"/>
    <w:rsid w:val="00B50054"/>
    <w:rsid w:val="00B5016B"/>
    <w:rsid w:val="00B505C8"/>
    <w:rsid w:val="00B5063A"/>
    <w:rsid w:val="00B507AF"/>
    <w:rsid w:val="00B507C2"/>
    <w:rsid w:val="00B50AC9"/>
    <w:rsid w:val="00B50B25"/>
    <w:rsid w:val="00B50ED6"/>
    <w:rsid w:val="00B50F80"/>
    <w:rsid w:val="00B50FC7"/>
    <w:rsid w:val="00B510F7"/>
    <w:rsid w:val="00B51762"/>
    <w:rsid w:val="00B51DFD"/>
    <w:rsid w:val="00B51FA4"/>
    <w:rsid w:val="00B526D0"/>
    <w:rsid w:val="00B52980"/>
    <w:rsid w:val="00B52AA9"/>
    <w:rsid w:val="00B52C55"/>
    <w:rsid w:val="00B52D7A"/>
    <w:rsid w:val="00B52E04"/>
    <w:rsid w:val="00B52F84"/>
    <w:rsid w:val="00B53047"/>
    <w:rsid w:val="00B53161"/>
    <w:rsid w:val="00B532B5"/>
    <w:rsid w:val="00B53327"/>
    <w:rsid w:val="00B5371D"/>
    <w:rsid w:val="00B53832"/>
    <w:rsid w:val="00B54368"/>
    <w:rsid w:val="00B54843"/>
    <w:rsid w:val="00B54957"/>
    <w:rsid w:val="00B54A2F"/>
    <w:rsid w:val="00B54A70"/>
    <w:rsid w:val="00B54F12"/>
    <w:rsid w:val="00B54F9B"/>
    <w:rsid w:val="00B55533"/>
    <w:rsid w:val="00B55798"/>
    <w:rsid w:val="00B55A11"/>
    <w:rsid w:val="00B55CCB"/>
    <w:rsid w:val="00B55E59"/>
    <w:rsid w:val="00B564CA"/>
    <w:rsid w:val="00B56C75"/>
    <w:rsid w:val="00B56EB5"/>
    <w:rsid w:val="00B56EC1"/>
    <w:rsid w:val="00B57450"/>
    <w:rsid w:val="00B5786C"/>
    <w:rsid w:val="00B57B12"/>
    <w:rsid w:val="00B57C8B"/>
    <w:rsid w:val="00B57FD4"/>
    <w:rsid w:val="00B60288"/>
    <w:rsid w:val="00B60367"/>
    <w:rsid w:val="00B60640"/>
    <w:rsid w:val="00B606A8"/>
    <w:rsid w:val="00B608FB"/>
    <w:rsid w:val="00B60C68"/>
    <w:rsid w:val="00B61461"/>
    <w:rsid w:val="00B61587"/>
    <w:rsid w:val="00B615BB"/>
    <w:rsid w:val="00B6193E"/>
    <w:rsid w:val="00B61A9E"/>
    <w:rsid w:val="00B61B15"/>
    <w:rsid w:val="00B61B5E"/>
    <w:rsid w:val="00B61C82"/>
    <w:rsid w:val="00B6228D"/>
    <w:rsid w:val="00B6252E"/>
    <w:rsid w:val="00B62725"/>
    <w:rsid w:val="00B629B8"/>
    <w:rsid w:val="00B62BFA"/>
    <w:rsid w:val="00B630AC"/>
    <w:rsid w:val="00B633F9"/>
    <w:rsid w:val="00B636EE"/>
    <w:rsid w:val="00B636F4"/>
    <w:rsid w:val="00B6390F"/>
    <w:rsid w:val="00B63CC2"/>
    <w:rsid w:val="00B63CF2"/>
    <w:rsid w:val="00B63E02"/>
    <w:rsid w:val="00B63E94"/>
    <w:rsid w:val="00B64181"/>
    <w:rsid w:val="00B64401"/>
    <w:rsid w:val="00B64542"/>
    <w:rsid w:val="00B6482D"/>
    <w:rsid w:val="00B6496C"/>
    <w:rsid w:val="00B64FB2"/>
    <w:rsid w:val="00B651A3"/>
    <w:rsid w:val="00B6558D"/>
    <w:rsid w:val="00B65A13"/>
    <w:rsid w:val="00B66060"/>
    <w:rsid w:val="00B662DC"/>
    <w:rsid w:val="00B666F9"/>
    <w:rsid w:val="00B66C9E"/>
    <w:rsid w:val="00B67079"/>
    <w:rsid w:val="00B67546"/>
    <w:rsid w:val="00B675FB"/>
    <w:rsid w:val="00B6761D"/>
    <w:rsid w:val="00B67696"/>
    <w:rsid w:val="00B6775F"/>
    <w:rsid w:val="00B67AAC"/>
    <w:rsid w:val="00B67F74"/>
    <w:rsid w:val="00B67FEE"/>
    <w:rsid w:val="00B701A7"/>
    <w:rsid w:val="00B7057A"/>
    <w:rsid w:val="00B705DF"/>
    <w:rsid w:val="00B70660"/>
    <w:rsid w:val="00B70999"/>
    <w:rsid w:val="00B70AAC"/>
    <w:rsid w:val="00B70BA1"/>
    <w:rsid w:val="00B70CD2"/>
    <w:rsid w:val="00B710A9"/>
    <w:rsid w:val="00B711BE"/>
    <w:rsid w:val="00B71526"/>
    <w:rsid w:val="00B718C6"/>
    <w:rsid w:val="00B71985"/>
    <w:rsid w:val="00B72045"/>
    <w:rsid w:val="00B728C2"/>
    <w:rsid w:val="00B72B59"/>
    <w:rsid w:val="00B72BCF"/>
    <w:rsid w:val="00B72C63"/>
    <w:rsid w:val="00B72F0A"/>
    <w:rsid w:val="00B7306D"/>
    <w:rsid w:val="00B73283"/>
    <w:rsid w:val="00B73342"/>
    <w:rsid w:val="00B73412"/>
    <w:rsid w:val="00B73639"/>
    <w:rsid w:val="00B73760"/>
    <w:rsid w:val="00B73838"/>
    <w:rsid w:val="00B73AA8"/>
    <w:rsid w:val="00B73AE1"/>
    <w:rsid w:val="00B73B53"/>
    <w:rsid w:val="00B74BF2"/>
    <w:rsid w:val="00B75104"/>
    <w:rsid w:val="00B754DC"/>
    <w:rsid w:val="00B756DA"/>
    <w:rsid w:val="00B756E3"/>
    <w:rsid w:val="00B75B78"/>
    <w:rsid w:val="00B75CB8"/>
    <w:rsid w:val="00B75D77"/>
    <w:rsid w:val="00B75DF8"/>
    <w:rsid w:val="00B76010"/>
    <w:rsid w:val="00B76045"/>
    <w:rsid w:val="00B76059"/>
    <w:rsid w:val="00B769B8"/>
    <w:rsid w:val="00B76C20"/>
    <w:rsid w:val="00B77191"/>
    <w:rsid w:val="00B77240"/>
    <w:rsid w:val="00B7735A"/>
    <w:rsid w:val="00B77489"/>
    <w:rsid w:val="00B777D3"/>
    <w:rsid w:val="00B77BCF"/>
    <w:rsid w:val="00B77C76"/>
    <w:rsid w:val="00B77F18"/>
    <w:rsid w:val="00B802F5"/>
    <w:rsid w:val="00B80611"/>
    <w:rsid w:val="00B8088E"/>
    <w:rsid w:val="00B80A68"/>
    <w:rsid w:val="00B80BD1"/>
    <w:rsid w:val="00B80DD6"/>
    <w:rsid w:val="00B80E6B"/>
    <w:rsid w:val="00B81488"/>
    <w:rsid w:val="00B81555"/>
    <w:rsid w:val="00B816A5"/>
    <w:rsid w:val="00B816D4"/>
    <w:rsid w:val="00B817CF"/>
    <w:rsid w:val="00B81B8B"/>
    <w:rsid w:val="00B81CEC"/>
    <w:rsid w:val="00B82125"/>
    <w:rsid w:val="00B8222B"/>
    <w:rsid w:val="00B8224B"/>
    <w:rsid w:val="00B826D8"/>
    <w:rsid w:val="00B82956"/>
    <w:rsid w:val="00B82AFF"/>
    <w:rsid w:val="00B82E1D"/>
    <w:rsid w:val="00B82EB2"/>
    <w:rsid w:val="00B83003"/>
    <w:rsid w:val="00B8316D"/>
    <w:rsid w:val="00B833D2"/>
    <w:rsid w:val="00B83509"/>
    <w:rsid w:val="00B8382A"/>
    <w:rsid w:val="00B83A1E"/>
    <w:rsid w:val="00B83D97"/>
    <w:rsid w:val="00B83DAC"/>
    <w:rsid w:val="00B83DEA"/>
    <w:rsid w:val="00B83F87"/>
    <w:rsid w:val="00B840D2"/>
    <w:rsid w:val="00B842E7"/>
    <w:rsid w:val="00B84BF0"/>
    <w:rsid w:val="00B84FD5"/>
    <w:rsid w:val="00B85647"/>
    <w:rsid w:val="00B857DB"/>
    <w:rsid w:val="00B85847"/>
    <w:rsid w:val="00B859F1"/>
    <w:rsid w:val="00B85A14"/>
    <w:rsid w:val="00B85B62"/>
    <w:rsid w:val="00B860FD"/>
    <w:rsid w:val="00B862AB"/>
    <w:rsid w:val="00B864BD"/>
    <w:rsid w:val="00B867B7"/>
    <w:rsid w:val="00B86DFA"/>
    <w:rsid w:val="00B86E0A"/>
    <w:rsid w:val="00B87505"/>
    <w:rsid w:val="00B878B9"/>
    <w:rsid w:val="00B87A02"/>
    <w:rsid w:val="00B87AA8"/>
    <w:rsid w:val="00B87B5C"/>
    <w:rsid w:val="00B87C8A"/>
    <w:rsid w:val="00B87DBE"/>
    <w:rsid w:val="00B90755"/>
    <w:rsid w:val="00B90FD4"/>
    <w:rsid w:val="00B91917"/>
    <w:rsid w:val="00B91922"/>
    <w:rsid w:val="00B91AE6"/>
    <w:rsid w:val="00B91DE4"/>
    <w:rsid w:val="00B91EBE"/>
    <w:rsid w:val="00B9202D"/>
    <w:rsid w:val="00B92346"/>
    <w:rsid w:val="00B92353"/>
    <w:rsid w:val="00B9260F"/>
    <w:rsid w:val="00B9262B"/>
    <w:rsid w:val="00B926AF"/>
    <w:rsid w:val="00B927B3"/>
    <w:rsid w:val="00B929B7"/>
    <w:rsid w:val="00B92A2E"/>
    <w:rsid w:val="00B92A89"/>
    <w:rsid w:val="00B92DB5"/>
    <w:rsid w:val="00B930FD"/>
    <w:rsid w:val="00B939F2"/>
    <w:rsid w:val="00B93F4A"/>
    <w:rsid w:val="00B942A8"/>
    <w:rsid w:val="00B943B8"/>
    <w:rsid w:val="00B945F7"/>
    <w:rsid w:val="00B94640"/>
    <w:rsid w:val="00B948FA"/>
    <w:rsid w:val="00B94995"/>
    <w:rsid w:val="00B949CC"/>
    <w:rsid w:val="00B953CD"/>
    <w:rsid w:val="00B95D29"/>
    <w:rsid w:val="00B95DAE"/>
    <w:rsid w:val="00B95DFA"/>
    <w:rsid w:val="00B96108"/>
    <w:rsid w:val="00B9616B"/>
    <w:rsid w:val="00B9644D"/>
    <w:rsid w:val="00B966EF"/>
    <w:rsid w:val="00B96760"/>
    <w:rsid w:val="00B967AA"/>
    <w:rsid w:val="00B9684E"/>
    <w:rsid w:val="00B96B67"/>
    <w:rsid w:val="00B96D15"/>
    <w:rsid w:val="00B96E79"/>
    <w:rsid w:val="00B96FA3"/>
    <w:rsid w:val="00B9739E"/>
    <w:rsid w:val="00B977EF"/>
    <w:rsid w:val="00B97960"/>
    <w:rsid w:val="00B97A34"/>
    <w:rsid w:val="00B97EC6"/>
    <w:rsid w:val="00B97F46"/>
    <w:rsid w:val="00BA0461"/>
    <w:rsid w:val="00BA068F"/>
    <w:rsid w:val="00BA124F"/>
    <w:rsid w:val="00BA1BCD"/>
    <w:rsid w:val="00BA1EB5"/>
    <w:rsid w:val="00BA1F13"/>
    <w:rsid w:val="00BA2476"/>
    <w:rsid w:val="00BA27F2"/>
    <w:rsid w:val="00BA2DCD"/>
    <w:rsid w:val="00BA2FA1"/>
    <w:rsid w:val="00BA3524"/>
    <w:rsid w:val="00BA3545"/>
    <w:rsid w:val="00BA35AE"/>
    <w:rsid w:val="00BA3996"/>
    <w:rsid w:val="00BA3A1C"/>
    <w:rsid w:val="00BA3A4E"/>
    <w:rsid w:val="00BA3B78"/>
    <w:rsid w:val="00BA3E90"/>
    <w:rsid w:val="00BA3FB9"/>
    <w:rsid w:val="00BA414B"/>
    <w:rsid w:val="00BA4344"/>
    <w:rsid w:val="00BA455A"/>
    <w:rsid w:val="00BA46D9"/>
    <w:rsid w:val="00BA49E0"/>
    <w:rsid w:val="00BA4C6B"/>
    <w:rsid w:val="00BA4EC7"/>
    <w:rsid w:val="00BA4FD4"/>
    <w:rsid w:val="00BA5113"/>
    <w:rsid w:val="00BA5182"/>
    <w:rsid w:val="00BA5365"/>
    <w:rsid w:val="00BA53DE"/>
    <w:rsid w:val="00BA5697"/>
    <w:rsid w:val="00BA56A9"/>
    <w:rsid w:val="00BA5767"/>
    <w:rsid w:val="00BA5F69"/>
    <w:rsid w:val="00BA60E4"/>
    <w:rsid w:val="00BA6104"/>
    <w:rsid w:val="00BA6189"/>
    <w:rsid w:val="00BA6201"/>
    <w:rsid w:val="00BA62CB"/>
    <w:rsid w:val="00BA63EA"/>
    <w:rsid w:val="00BA64EE"/>
    <w:rsid w:val="00BA665A"/>
    <w:rsid w:val="00BA6985"/>
    <w:rsid w:val="00BA69D6"/>
    <w:rsid w:val="00BA6B82"/>
    <w:rsid w:val="00BA6D38"/>
    <w:rsid w:val="00BA6EA1"/>
    <w:rsid w:val="00BA6F76"/>
    <w:rsid w:val="00BA7034"/>
    <w:rsid w:val="00BA7071"/>
    <w:rsid w:val="00BA7128"/>
    <w:rsid w:val="00BA712E"/>
    <w:rsid w:val="00BA715C"/>
    <w:rsid w:val="00BA72A6"/>
    <w:rsid w:val="00BA744E"/>
    <w:rsid w:val="00BA751B"/>
    <w:rsid w:val="00BA76DC"/>
    <w:rsid w:val="00BA7810"/>
    <w:rsid w:val="00BA78A9"/>
    <w:rsid w:val="00BA7B67"/>
    <w:rsid w:val="00BB01B5"/>
    <w:rsid w:val="00BB0263"/>
    <w:rsid w:val="00BB0484"/>
    <w:rsid w:val="00BB08B9"/>
    <w:rsid w:val="00BB092E"/>
    <w:rsid w:val="00BB0C79"/>
    <w:rsid w:val="00BB0E50"/>
    <w:rsid w:val="00BB1122"/>
    <w:rsid w:val="00BB1147"/>
    <w:rsid w:val="00BB1219"/>
    <w:rsid w:val="00BB149C"/>
    <w:rsid w:val="00BB1991"/>
    <w:rsid w:val="00BB1B15"/>
    <w:rsid w:val="00BB1CAD"/>
    <w:rsid w:val="00BB2392"/>
    <w:rsid w:val="00BB23F9"/>
    <w:rsid w:val="00BB2909"/>
    <w:rsid w:val="00BB2B51"/>
    <w:rsid w:val="00BB3335"/>
    <w:rsid w:val="00BB33C7"/>
    <w:rsid w:val="00BB3529"/>
    <w:rsid w:val="00BB3599"/>
    <w:rsid w:val="00BB375B"/>
    <w:rsid w:val="00BB3D43"/>
    <w:rsid w:val="00BB407B"/>
    <w:rsid w:val="00BB4090"/>
    <w:rsid w:val="00BB40CD"/>
    <w:rsid w:val="00BB4392"/>
    <w:rsid w:val="00BB48A7"/>
    <w:rsid w:val="00BB4A23"/>
    <w:rsid w:val="00BB4BA9"/>
    <w:rsid w:val="00BB5479"/>
    <w:rsid w:val="00BB54BA"/>
    <w:rsid w:val="00BB57BC"/>
    <w:rsid w:val="00BB5C16"/>
    <w:rsid w:val="00BB5CE7"/>
    <w:rsid w:val="00BB5EC6"/>
    <w:rsid w:val="00BB6C5B"/>
    <w:rsid w:val="00BB7697"/>
    <w:rsid w:val="00BB7C9C"/>
    <w:rsid w:val="00BB7CE3"/>
    <w:rsid w:val="00BB7D8E"/>
    <w:rsid w:val="00BC001B"/>
    <w:rsid w:val="00BC03C3"/>
    <w:rsid w:val="00BC0B30"/>
    <w:rsid w:val="00BC0B5C"/>
    <w:rsid w:val="00BC0F1B"/>
    <w:rsid w:val="00BC10A4"/>
    <w:rsid w:val="00BC15DD"/>
    <w:rsid w:val="00BC19FD"/>
    <w:rsid w:val="00BC1EBA"/>
    <w:rsid w:val="00BC1F12"/>
    <w:rsid w:val="00BC2003"/>
    <w:rsid w:val="00BC214D"/>
    <w:rsid w:val="00BC269F"/>
    <w:rsid w:val="00BC26AF"/>
    <w:rsid w:val="00BC27A4"/>
    <w:rsid w:val="00BC27A6"/>
    <w:rsid w:val="00BC2A96"/>
    <w:rsid w:val="00BC2B64"/>
    <w:rsid w:val="00BC2E02"/>
    <w:rsid w:val="00BC2FF0"/>
    <w:rsid w:val="00BC33CB"/>
    <w:rsid w:val="00BC3466"/>
    <w:rsid w:val="00BC3555"/>
    <w:rsid w:val="00BC39F9"/>
    <w:rsid w:val="00BC3C27"/>
    <w:rsid w:val="00BC3DE3"/>
    <w:rsid w:val="00BC410E"/>
    <w:rsid w:val="00BC4120"/>
    <w:rsid w:val="00BC42CB"/>
    <w:rsid w:val="00BC4936"/>
    <w:rsid w:val="00BC4E33"/>
    <w:rsid w:val="00BC527D"/>
    <w:rsid w:val="00BC5313"/>
    <w:rsid w:val="00BC5393"/>
    <w:rsid w:val="00BC5481"/>
    <w:rsid w:val="00BC5721"/>
    <w:rsid w:val="00BC59DB"/>
    <w:rsid w:val="00BC5B32"/>
    <w:rsid w:val="00BC5BA5"/>
    <w:rsid w:val="00BC62A0"/>
    <w:rsid w:val="00BC63DB"/>
    <w:rsid w:val="00BC6694"/>
    <w:rsid w:val="00BC6838"/>
    <w:rsid w:val="00BC68A5"/>
    <w:rsid w:val="00BC6A6B"/>
    <w:rsid w:val="00BC6E65"/>
    <w:rsid w:val="00BC6F03"/>
    <w:rsid w:val="00BC7337"/>
    <w:rsid w:val="00BC77C9"/>
    <w:rsid w:val="00BC7A98"/>
    <w:rsid w:val="00BC7AC9"/>
    <w:rsid w:val="00BC7B77"/>
    <w:rsid w:val="00BC7BEF"/>
    <w:rsid w:val="00BD031E"/>
    <w:rsid w:val="00BD04F3"/>
    <w:rsid w:val="00BD056F"/>
    <w:rsid w:val="00BD06B5"/>
    <w:rsid w:val="00BD0A71"/>
    <w:rsid w:val="00BD0BAF"/>
    <w:rsid w:val="00BD0C36"/>
    <w:rsid w:val="00BD1283"/>
    <w:rsid w:val="00BD129E"/>
    <w:rsid w:val="00BD1463"/>
    <w:rsid w:val="00BD15E3"/>
    <w:rsid w:val="00BD18CF"/>
    <w:rsid w:val="00BD1AE3"/>
    <w:rsid w:val="00BD1BAD"/>
    <w:rsid w:val="00BD1CBD"/>
    <w:rsid w:val="00BD27B5"/>
    <w:rsid w:val="00BD2977"/>
    <w:rsid w:val="00BD2A28"/>
    <w:rsid w:val="00BD2B7B"/>
    <w:rsid w:val="00BD2DE9"/>
    <w:rsid w:val="00BD2E28"/>
    <w:rsid w:val="00BD2EA9"/>
    <w:rsid w:val="00BD2F8B"/>
    <w:rsid w:val="00BD2FA7"/>
    <w:rsid w:val="00BD312B"/>
    <w:rsid w:val="00BD3152"/>
    <w:rsid w:val="00BD34CD"/>
    <w:rsid w:val="00BD3A37"/>
    <w:rsid w:val="00BD3AA4"/>
    <w:rsid w:val="00BD3AEB"/>
    <w:rsid w:val="00BD3C24"/>
    <w:rsid w:val="00BD404D"/>
    <w:rsid w:val="00BD40DF"/>
    <w:rsid w:val="00BD410D"/>
    <w:rsid w:val="00BD4336"/>
    <w:rsid w:val="00BD4506"/>
    <w:rsid w:val="00BD45D5"/>
    <w:rsid w:val="00BD495F"/>
    <w:rsid w:val="00BD4F90"/>
    <w:rsid w:val="00BD55AE"/>
    <w:rsid w:val="00BD55EE"/>
    <w:rsid w:val="00BD5634"/>
    <w:rsid w:val="00BD56DA"/>
    <w:rsid w:val="00BD5801"/>
    <w:rsid w:val="00BD588C"/>
    <w:rsid w:val="00BD598B"/>
    <w:rsid w:val="00BD5B9F"/>
    <w:rsid w:val="00BD5CA2"/>
    <w:rsid w:val="00BD61F2"/>
    <w:rsid w:val="00BD6393"/>
    <w:rsid w:val="00BD691F"/>
    <w:rsid w:val="00BD6A37"/>
    <w:rsid w:val="00BD6D8E"/>
    <w:rsid w:val="00BD6FA5"/>
    <w:rsid w:val="00BD7266"/>
    <w:rsid w:val="00BD74A2"/>
    <w:rsid w:val="00BD7504"/>
    <w:rsid w:val="00BD7736"/>
    <w:rsid w:val="00BD7821"/>
    <w:rsid w:val="00BD7830"/>
    <w:rsid w:val="00BD7AAC"/>
    <w:rsid w:val="00BD7DD3"/>
    <w:rsid w:val="00BE0363"/>
    <w:rsid w:val="00BE03D0"/>
    <w:rsid w:val="00BE03F2"/>
    <w:rsid w:val="00BE054D"/>
    <w:rsid w:val="00BE09AB"/>
    <w:rsid w:val="00BE09C6"/>
    <w:rsid w:val="00BE0A27"/>
    <w:rsid w:val="00BE0D34"/>
    <w:rsid w:val="00BE0D82"/>
    <w:rsid w:val="00BE0DC9"/>
    <w:rsid w:val="00BE0F0F"/>
    <w:rsid w:val="00BE100D"/>
    <w:rsid w:val="00BE1150"/>
    <w:rsid w:val="00BE16AC"/>
    <w:rsid w:val="00BE1729"/>
    <w:rsid w:val="00BE18B9"/>
    <w:rsid w:val="00BE199F"/>
    <w:rsid w:val="00BE1A65"/>
    <w:rsid w:val="00BE1E46"/>
    <w:rsid w:val="00BE2132"/>
    <w:rsid w:val="00BE24C4"/>
    <w:rsid w:val="00BE2DDC"/>
    <w:rsid w:val="00BE2ECD"/>
    <w:rsid w:val="00BE2F6C"/>
    <w:rsid w:val="00BE3073"/>
    <w:rsid w:val="00BE329D"/>
    <w:rsid w:val="00BE35F1"/>
    <w:rsid w:val="00BE35FA"/>
    <w:rsid w:val="00BE38EF"/>
    <w:rsid w:val="00BE39F6"/>
    <w:rsid w:val="00BE3CB4"/>
    <w:rsid w:val="00BE44C6"/>
    <w:rsid w:val="00BE4AB4"/>
    <w:rsid w:val="00BE4BE1"/>
    <w:rsid w:val="00BE4D0F"/>
    <w:rsid w:val="00BE5108"/>
    <w:rsid w:val="00BE5159"/>
    <w:rsid w:val="00BE5897"/>
    <w:rsid w:val="00BE59A5"/>
    <w:rsid w:val="00BE5A78"/>
    <w:rsid w:val="00BE5CB8"/>
    <w:rsid w:val="00BE5DDC"/>
    <w:rsid w:val="00BE5E59"/>
    <w:rsid w:val="00BE5F6C"/>
    <w:rsid w:val="00BE60EE"/>
    <w:rsid w:val="00BE6311"/>
    <w:rsid w:val="00BE6313"/>
    <w:rsid w:val="00BE65D3"/>
    <w:rsid w:val="00BE68BE"/>
    <w:rsid w:val="00BE6A77"/>
    <w:rsid w:val="00BE6DBA"/>
    <w:rsid w:val="00BE6F70"/>
    <w:rsid w:val="00BE7461"/>
    <w:rsid w:val="00BE7AF7"/>
    <w:rsid w:val="00BE7F72"/>
    <w:rsid w:val="00BF0033"/>
    <w:rsid w:val="00BF033E"/>
    <w:rsid w:val="00BF0402"/>
    <w:rsid w:val="00BF0AA9"/>
    <w:rsid w:val="00BF0ABE"/>
    <w:rsid w:val="00BF0D60"/>
    <w:rsid w:val="00BF1292"/>
    <w:rsid w:val="00BF1623"/>
    <w:rsid w:val="00BF16B5"/>
    <w:rsid w:val="00BF1A1F"/>
    <w:rsid w:val="00BF1B51"/>
    <w:rsid w:val="00BF1EC0"/>
    <w:rsid w:val="00BF1F84"/>
    <w:rsid w:val="00BF2003"/>
    <w:rsid w:val="00BF20AD"/>
    <w:rsid w:val="00BF212F"/>
    <w:rsid w:val="00BF23FF"/>
    <w:rsid w:val="00BF2475"/>
    <w:rsid w:val="00BF250D"/>
    <w:rsid w:val="00BF25FC"/>
    <w:rsid w:val="00BF2B21"/>
    <w:rsid w:val="00BF2C7D"/>
    <w:rsid w:val="00BF3209"/>
    <w:rsid w:val="00BF3696"/>
    <w:rsid w:val="00BF3994"/>
    <w:rsid w:val="00BF3996"/>
    <w:rsid w:val="00BF3B41"/>
    <w:rsid w:val="00BF3BC3"/>
    <w:rsid w:val="00BF3C39"/>
    <w:rsid w:val="00BF3D84"/>
    <w:rsid w:val="00BF4032"/>
    <w:rsid w:val="00BF4334"/>
    <w:rsid w:val="00BF4488"/>
    <w:rsid w:val="00BF45B7"/>
    <w:rsid w:val="00BF4712"/>
    <w:rsid w:val="00BF4CFE"/>
    <w:rsid w:val="00BF4DA4"/>
    <w:rsid w:val="00BF4F13"/>
    <w:rsid w:val="00BF5903"/>
    <w:rsid w:val="00BF60CA"/>
    <w:rsid w:val="00BF6103"/>
    <w:rsid w:val="00BF61F2"/>
    <w:rsid w:val="00BF62B5"/>
    <w:rsid w:val="00BF652F"/>
    <w:rsid w:val="00BF65BD"/>
    <w:rsid w:val="00BF65FA"/>
    <w:rsid w:val="00BF6A89"/>
    <w:rsid w:val="00BF6CCA"/>
    <w:rsid w:val="00BF6E1B"/>
    <w:rsid w:val="00BF7231"/>
    <w:rsid w:val="00BF72F2"/>
    <w:rsid w:val="00BF751E"/>
    <w:rsid w:val="00BF76CD"/>
    <w:rsid w:val="00BF779B"/>
    <w:rsid w:val="00BF7910"/>
    <w:rsid w:val="00BF7A3F"/>
    <w:rsid w:val="00BF7AFC"/>
    <w:rsid w:val="00BF7B81"/>
    <w:rsid w:val="00BF7FC6"/>
    <w:rsid w:val="00BF7FEB"/>
    <w:rsid w:val="00C00127"/>
    <w:rsid w:val="00C0012C"/>
    <w:rsid w:val="00C0058A"/>
    <w:rsid w:val="00C00610"/>
    <w:rsid w:val="00C00685"/>
    <w:rsid w:val="00C00D3A"/>
    <w:rsid w:val="00C00EE8"/>
    <w:rsid w:val="00C00F46"/>
    <w:rsid w:val="00C01015"/>
    <w:rsid w:val="00C0134B"/>
    <w:rsid w:val="00C0135E"/>
    <w:rsid w:val="00C01A77"/>
    <w:rsid w:val="00C01D48"/>
    <w:rsid w:val="00C01F56"/>
    <w:rsid w:val="00C01FA4"/>
    <w:rsid w:val="00C0214E"/>
    <w:rsid w:val="00C022C2"/>
    <w:rsid w:val="00C025EE"/>
    <w:rsid w:val="00C0276B"/>
    <w:rsid w:val="00C02876"/>
    <w:rsid w:val="00C02A28"/>
    <w:rsid w:val="00C02AF1"/>
    <w:rsid w:val="00C02BA5"/>
    <w:rsid w:val="00C03193"/>
    <w:rsid w:val="00C0319C"/>
    <w:rsid w:val="00C033BC"/>
    <w:rsid w:val="00C036BD"/>
    <w:rsid w:val="00C036C2"/>
    <w:rsid w:val="00C0377B"/>
    <w:rsid w:val="00C03885"/>
    <w:rsid w:val="00C03C1E"/>
    <w:rsid w:val="00C03C33"/>
    <w:rsid w:val="00C03C65"/>
    <w:rsid w:val="00C0455C"/>
    <w:rsid w:val="00C04677"/>
    <w:rsid w:val="00C047FE"/>
    <w:rsid w:val="00C04A81"/>
    <w:rsid w:val="00C04C2B"/>
    <w:rsid w:val="00C04D41"/>
    <w:rsid w:val="00C04E7C"/>
    <w:rsid w:val="00C04F3D"/>
    <w:rsid w:val="00C051F9"/>
    <w:rsid w:val="00C0528B"/>
    <w:rsid w:val="00C0556D"/>
    <w:rsid w:val="00C05CC6"/>
    <w:rsid w:val="00C05E24"/>
    <w:rsid w:val="00C06062"/>
    <w:rsid w:val="00C06914"/>
    <w:rsid w:val="00C069C2"/>
    <w:rsid w:val="00C06CF3"/>
    <w:rsid w:val="00C06EED"/>
    <w:rsid w:val="00C06F98"/>
    <w:rsid w:val="00C06FE6"/>
    <w:rsid w:val="00C07227"/>
    <w:rsid w:val="00C07617"/>
    <w:rsid w:val="00C0778D"/>
    <w:rsid w:val="00C07AFF"/>
    <w:rsid w:val="00C07C9E"/>
    <w:rsid w:val="00C10185"/>
    <w:rsid w:val="00C10745"/>
    <w:rsid w:val="00C10820"/>
    <w:rsid w:val="00C10A0B"/>
    <w:rsid w:val="00C10A26"/>
    <w:rsid w:val="00C10BBB"/>
    <w:rsid w:val="00C10C18"/>
    <w:rsid w:val="00C10D19"/>
    <w:rsid w:val="00C114B1"/>
    <w:rsid w:val="00C11702"/>
    <w:rsid w:val="00C11914"/>
    <w:rsid w:val="00C11A9B"/>
    <w:rsid w:val="00C11CCD"/>
    <w:rsid w:val="00C12017"/>
    <w:rsid w:val="00C122ED"/>
    <w:rsid w:val="00C12400"/>
    <w:rsid w:val="00C12720"/>
    <w:rsid w:val="00C128AD"/>
    <w:rsid w:val="00C128F5"/>
    <w:rsid w:val="00C12ACC"/>
    <w:rsid w:val="00C12D44"/>
    <w:rsid w:val="00C1316B"/>
    <w:rsid w:val="00C133E6"/>
    <w:rsid w:val="00C1349D"/>
    <w:rsid w:val="00C13C99"/>
    <w:rsid w:val="00C13E64"/>
    <w:rsid w:val="00C13EC5"/>
    <w:rsid w:val="00C13F0E"/>
    <w:rsid w:val="00C14156"/>
    <w:rsid w:val="00C14682"/>
    <w:rsid w:val="00C148B7"/>
    <w:rsid w:val="00C1490D"/>
    <w:rsid w:val="00C14CC9"/>
    <w:rsid w:val="00C14D73"/>
    <w:rsid w:val="00C14E66"/>
    <w:rsid w:val="00C1541C"/>
    <w:rsid w:val="00C1549F"/>
    <w:rsid w:val="00C1571A"/>
    <w:rsid w:val="00C158C8"/>
    <w:rsid w:val="00C158CB"/>
    <w:rsid w:val="00C158ED"/>
    <w:rsid w:val="00C15B2E"/>
    <w:rsid w:val="00C15C1F"/>
    <w:rsid w:val="00C15C6E"/>
    <w:rsid w:val="00C15CEE"/>
    <w:rsid w:val="00C15D3F"/>
    <w:rsid w:val="00C1640D"/>
    <w:rsid w:val="00C166D4"/>
    <w:rsid w:val="00C166DB"/>
    <w:rsid w:val="00C1676A"/>
    <w:rsid w:val="00C1684D"/>
    <w:rsid w:val="00C16C36"/>
    <w:rsid w:val="00C16D19"/>
    <w:rsid w:val="00C1703E"/>
    <w:rsid w:val="00C174A4"/>
    <w:rsid w:val="00C174AD"/>
    <w:rsid w:val="00C175D4"/>
    <w:rsid w:val="00C17729"/>
    <w:rsid w:val="00C17C6A"/>
    <w:rsid w:val="00C17D5C"/>
    <w:rsid w:val="00C17DCA"/>
    <w:rsid w:val="00C202E8"/>
    <w:rsid w:val="00C2055B"/>
    <w:rsid w:val="00C20857"/>
    <w:rsid w:val="00C20C8E"/>
    <w:rsid w:val="00C20E90"/>
    <w:rsid w:val="00C210B6"/>
    <w:rsid w:val="00C212A5"/>
    <w:rsid w:val="00C21727"/>
    <w:rsid w:val="00C21811"/>
    <w:rsid w:val="00C21963"/>
    <w:rsid w:val="00C219D5"/>
    <w:rsid w:val="00C21B87"/>
    <w:rsid w:val="00C21D2A"/>
    <w:rsid w:val="00C21EDE"/>
    <w:rsid w:val="00C21F77"/>
    <w:rsid w:val="00C22048"/>
    <w:rsid w:val="00C223C8"/>
    <w:rsid w:val="00C22476"/>
    <w:rsid w:val="00C224C4"/>
    <w:rsid w:val="00C224E7"/>
    <w:rsid w:val="00C22801"/>
    <w:rsid w:val="00C22B3B"/>
    <w:rsid w:val="00C22B9C"/>
    <w:rsid w:val="00C22BB2"/>
    <w:rsid w:val="00C2353D"/>
    <w:rsid w:val="00C238F0"/>
    <w:rsid w:val="00C23A38"/>
    <w:rsid w:val="00C23B17"/>
    <w:rsid w:val="00C23EC8"/>
    <w:rsid w:val="00C2439D"/>
    <w:rsid w:val="00C2458E"/>
    <w:rsid w:val="00C24650"/>
    <w:rsid w:val="00C24D8B"/>
    <w:rsid w:val="00C251F6"/>
    <w:rsid w:val="00C256DA"/>
    <w:rsid w:val="00C25816"/>
    <w:rsid w:val="00C259F3"/>
    <w:rsid w:val="00C25C94"/>
    <w:rsid w:val="00C25DF0"/>
    <w:rsid w:val="00C2624E"/>
    <w:rsid w:val="00C26377"/>
    <w:rsid w:val="00C26538"/>
    <w:rsid w:val="00C26768"/>
    <w:rsid w:val="00C26A4A"/>
    <w:rsid w:val="00C26F35"/>
    <w:rsid w:val="00C270A9"/>
    <w:rsid w:val="00C27143"/>
    <w:rsid w:val="00C275D8"/>
    <w:rsid w:val="00C27680"/>
    <w:rsid w:val="00C276A8"/>
    <w:rsid w:val="00C27B38"/>
    <w:rsid w:val="00C27D1D"/>
    <w:rsid w:val="00C30199"/>
    <w:rsid w:val="00C304CA"/>
    <w:rsid w:val="00C308C8"/>
    <w:rsid w:val="00C309FD"/>
    <w:rsid w:val="00C30C01"/>
    <w:rsid w:val="00C30D35"/>
    <w:rsid w:val="00C310E6"/>
    <w:rsid w:val="00C31259"/>
    <w:rsid w:val="00C312DA"/>
    <w:rsid w:val="00C3130D"/>
    <w:rsid w:val="00C3171A"/>
    <w:rsid w:val="00C31DDC"/>
    <w:rsid w:val="00C31E76"/>
    <w:rsid w:val="00C31EC4"/>
    <w:rsid w:val="00C320A7"/>
    <w:rsid w:val="00C320B3"/>
    <w:rsid w:val="00C3234B"/>
    <w:rsid w:val="00C3289B"/>
    <w:rsid w:val="00C329AD"/>
    <w:rsid w:val="00C329F4"/>
    <w:rsid w:val="00C32CE5"/>
    <w:rsid w:val="00C32DA9"/>
    <w:rsid w:val="00C32E19"/>
    <w:rsid w:val="00C32E43"/>
    <w:rsid w:val="00C32ED5"/>
    <w:rsid w:val="00C3303C"/>
    <w:rsid w:val="00C334EC"/>
    <w:rsid w:val="00C3375E"/>
    <w:rsid w:val="00C33864"/>
    <w:rsid w:val="00C33896"/>
    <w:rsid w:val="00C33938"/>
    <w:rsid w:val="00C33B9E"/>
    <w:rsid w:val="00C33C99"/>
    <w:rsid w:val="00C33DE0"/>
    <w:rsid w:val="00C33F07"/>
    <w:rsid w:val="00C3406E"/>
    <w:rsid w:val="00C3490B"/>
    <w:rsid w:val="00C34AD3"/>
    <w:rsid w:val="00C3517F"/>
    <w:rsid w:val="00C354BC"/>
    <w:rsid w:val="00C35704"/>
    <w:rsid w:val="00C3581D"/>
    <w:rsid w:val="00C35B48"/>
    <w:rsid w:val="00C35CDA"/>
    <w:rsid w:val="00C35E83"/>
    <w:rsid w:val="00C3604F"/>
    <w:rsid w:val="00C36438"/>
    <w:rsid w:val="00C3657E"/>
    <w:rsid w:val="00C369D1"/>
    <w:rsid w:val="00C36D39"/>
    <w:rsid w:val="00C36F83"/>
    <w:rsid w:val="00C373A0"/>
    <w:rsid w:val="00C374E8"/>
    <w:rsid w:val="00C37519"/>
    <w:rsid w:val="00C3770A"/>
    <w:rsid w:val="00C37748"/>
    <w:rsid w:val="00C377A4"/>
    <w:rsid w:val="00C377D4"/>
    <w:rsid w:val="00C379A6"/>
    <w:rsid w:val="00C37A33"/>
    <w:rsid w:val="00C37F64"/>
    <w:rsid w:val="00C37F88"/>
    <w:rsid w:val="00C404FB"/>
    <w:rsid w:val="00C407EF"/>
    <w:rsid w:val="00C40978"/>
    <w:rsid w:val="00C40AE4"/>
    <w:rsid w:val="00C40D56"/>
    <w:rsid w:val="00C40D8C"/>
    <w:rsid w:val="00C40FA4"/>
    <w:rsid w:val="00C4108B"/>
    <w:rsid w:val="00C4108E"/>
    <w:rsid w:val="00C41187"/>
    <w:rsid w:val="00C4247A"/>
    <w:rsid w:val="00C42B42"/>
    <w:rsid w:val="00C42BA3"/>
    <w:rsid w:val="00C42C63"/>
    <w:rsid w:val="00C42C9C"/>
    <w:rsid w:val="00C42CF2"/>
    <w:rsid w:val="00C42E30"/>
    <w:rsid w:val="00C42E80"/>
    <w:rsid w:val="00C42F85"/>
    <w:rsid w:val="00C431B8"/>
    <w:rsid w:val="00C43231"/>
    <w:rsid w:val="00C43342"/>
    <w:rsid w:val="00C43383"/>
    <w:rsid w:val="00C433AA"/>
    <w:rsid w:val="00C4351E"/>
    <w:rsid w:val="00C43597"/>
    <w:rsid w:val="00C435BD"/>
    <w:rsid w:val="00C43679"/>
    <w:rsid w:val="00C436C5"/>
    <w:rsid w:val="00C437F0"/>
    <w:rsid w:val="00C43AEE"/>
    <w:rsid w:val="00C43C03"/>
    <w:rsid w:val="00C44396"/>
    <w:rsid w:val="00C445C3"/>
    <w:rsid w:val="00C445E7"/>
    <w:rsid w:val="00C4468C"/>
    <w:rsid w:val="00C4480E"/>
    <w:rsid w:val="00C4499F"/>
    <w:rsid w:val="00C44B1E"/>
    <w:rsid w:val="00C44B2D"/>
    <w:rsid w:val="00C44FF2"/>
    <w:rsid w:val="00C45094"/>
    <w:rsid w:val="00C45095"/>
    <w:rsid w:val="00C454C7"/>
    <w:rsid w:val="00C4573F"/>
    <w:rsid w:val="00C45BEA"/>
    <w:rsid w:val="00C45C3F"/>
    <w:rsid w:val="00C45D05"/>
    <w:rsid w:val="00C45F82"/>
    <w:rsid w:val="00C46250"/>
    <w:rsid w:val="00C4628B"/>
    <w:rsid w:val="00C4640E"/>
    <w:rsid w:val="00C4647C"/>
    <w:rsid w:val="00C468CB"/>
    <w:rsid w:val="00C46B55"/>
    <w:rsid w:val="00C4712A"/>
    <w:rsid w:val="00C4716F"/>
    <w:rsid w:val="00C471C4"/>
    <w:rsid w:val="00C471CE"/>
    <w:rsid w:val="00C47501"/>
    <w:rsid w:val="00C47526"/>
    <w:rsid w:val="00C47705"/>
    <w:rsid w:val="00C47A67"/>
    <w:rsid w:val="00C47ACE"/>
    <w:rsid w:val="00C47B9E"/>
    <w:rsid w:val="00C47C2D"/>
    <w:rsid w:val="00C47CF4"/>
    <w:rsid w:val="00C502F1"/>
    <w:rsid w:val="00C5035D"/>
    <w:rsid w:val="00C514B4"/>
    <w:rsid w:val="00C514BB"/>
    <w:rsid w:val="00C514D3"/>
    <w:rsid w:val="00C51A90"/>
    <w:rsid w:val="00C51B14"/>
    <w:rsid w:val="00C51EFB"/>
    <w:rsid w:val="00C52018"/>
    <w:rsid w:val="00C521A0"/>
    <w:rsid w:val="00C52809"/>
    <w:rsid w:val="00C52866"/>
    <w:rsid w:val="00C52D6F"/>
    <w:rsid w:val="00C53767"/>
    <w:rsid w:val="00C537B9"/>
    <w:rsid w:val="00C53B98"/>
    <w:rsid w:val="00C53C43"/>
    <w:rsid w:val="00C53C52"/>
    <w:rsid w:val="00C53F6D"/>
    <w:rsid w:val="00C53F79"/>
    <w:rsid w:val="00C5458F"/>
    <w:rsid w:val="00C5472E"/>
    <w:rsid w:val="00C54885"/>
    <w:rsid w:val="00C54FDF"/>
    <w:rsid w:val="00C552CA"/>
    <w:rsid w:val="00C55443"/>
    <w:rsid w:val="00C55AB3"/>
    <w:rsid w:val="00C56001"/>
    <w:rsid w:val="00C56665"/>
    <w:rsid w:val="00C566C1"/>
    <w:rsid w:val="00C568BA"/>
    <w:rsid w:val="00C56C83"/>
    <w:rsid w:val="00C56FD0"/>
    <w:rsid w:val="00C5704C"/>
    <w:rsid w:val="00C57307"/>
    <w:rsid w:val="00C5764E"/>
    <w:rsid w:val="00C57943"/>
    <w:rsid w:val="00C6006D"/>
    <w:rsid w:val="00C60108"/>
    <w:rsid w:val="00C601FD"/>
    <w:rsid w:val="00C60480"/>
    <w:rsid w:val="00C6096B"/>
    <w:rsid w:val="00C6099A"/>
    <w:rsid w:val="00C60ACA"/>
    <w:rsid w:val="00C60FF2"/>
    <w:rsid w:val="00C610C2"/>
    <w:rsid w:val="00C61543"/>
    <w:rsid w:val="00C615C0"/>
    <w:rsid w:val="00C617DA"/>
    <w:rsid w:val="00C617F8"/>
    <w:rsid w:val="00C618DF"/>
    <w:rsid w:val="00C61B2E"/>
    <w:rsid w:val="00C61BFC"/>
    <w:rsid w:val="00C61D06"/>
    <w:rsid w:val="00C61EE4"/>
    <w:rsid w:val="00C62832"/>
    <w:rsid w:val="00C629FE"/>
    <w:rsid w:val="00C62A54"/>
    <w:rsid w:val="00C62CEE"/>
    <w:rsid w:val="00C62E9C"/>
    <w:rsid w:val="00C62FE8"/>
    <w:rsid w:val="00C63200"/>
    <w:rsid w:val="00C634AA"/>
    <w:rsid w:val="00C63AF0"/>
    <w:rsid w:val="00C63BD1"/>
    <w:rsid w:val="00C63C68"/>
    <w:rsid w:val="00C64070"/>
    <w:rsid w:val="00C640D4"/>
    <w:rsid w:val="00C64245"/>
    <w:rsid w:val="00C64256"/>
    <w:rsid w:val="00C644C9"/>
    <w:rsid w:val="00C64A54"/>
    <w:rsid w:val="00C64ADE"/>
    <w:rsid w:val="00C64C95"/>
    <w:rsid w:val="00C65445"/>
    <w:rsid w:val="00C65784"/>
    <w:rsid w:val="00C6579F"/>
    <w:rsid w:val="00C65886"/>
    <w:rsid w:val="00C658A0"/>
    <w:rsid w:val="00C65955"/>
    <w:rsid w:val="00C659E2"/>
    <w:rsid w:val="00C659E7"/>
    <w:rsid w:val="00C65A99"/>
    <w:rsid w:val="00C65AAA"/>
    <w:rsid w:val="00C65D04"/>
    <w:rsid w:val="00C65FF6"/>
    <w:rsid w:val="00C6603F"/>
    <w:rsid w:val="00C662B7"/>
    <w:rsid w:val="00C66362"/>
    <w:rsid w:val="00C66409"/>
    <w:rsid w:val="00C668AE"/>
    <w:rsid w:val="00C66B35"/>
    <w:rsid w:val="00C66F43"/>
    <w:rsid w:val="00C6710A"/>
    <w:rsid w:val="00C67217"/>
    <w:rsid w:val="00C67361"/>
    <w:rsid w:val="00C673EE"/>
    <w:rsid w:val="00C674D3"/>
    <w:rsid w:val="00C67666"/>
    <w:rsid w:val="00C6788E"/>
    <w:rsid w:val="00C67944"/>
    <w:rsid w:val="00C67A03"/>
    <w:rsid w:val="00C67B3A"/>
    <w:rsid w:val="00C67B44"/>
    <w:rsid w:val="00C67DC2"/>
    <w:rsid w:val="00C67E34"/>
    <w:rsid w:val="00C7001C"/>
    <w:rsid w:val="00C702B0"/>
    <w:rsid w:val="00C703DF"/>
    <w:rsid w:val="00C70613"/>
    <w:rsid w:val="00C7076A"/>
    <w:rsid w:val="00C7091F"/>
    <w:rsid w:val="00C7093D"/>
    <w:rsid w:val="00C70DCD"/>
    <w:rsid w:val="00C70E5D"/>
    <w:rsid w:val="00C7117E"/>
    <w:rsid w:val="00C711DD"/>
    <w:rsid w:val="00C71270"/>
    <w:rsid w:val="00C71503"/>
    <w:rsid w:val="00C71517"/>
    <w:rsid w:val="00C719DC"/>
    <w:rsid w:val="00C71A67"/>
    <w:rsid w:val="00C71E45"/>
    <w:rsid w:val="00C72179"/>
    <w:rsid w:val="00C72514"/>
    <w:rsid w:val="00C725BF"/>
    <w:rsid w:val="00C72BFC"/>
    <w:rsid w:val="00C72D6C"/>
    <w:rsid w:val="00C73379"/>
    <w:rsid w:val="00C73D53"/>
    <w:rsid w:val="00C73ED1"/>
    <w:rsid w:val="00C73F76"/>
    <w:rsid w:val="00C7404D"/>
    <w:rsid w:val="00C7411B"/>
    <w:rsid w:val="00C741F3"/>
    <w:rsid w:val="00C743D6"/>
    <w:rsid w:val="00C74479"/>
    <w:rsid w:val="00C744D9"/>
    <w:rsid w:val="00C74546"/>
    <w:rsid w:val="00C74613"/>
    <w:rsid w:val="00C74698"/>
    <w:rsid w:val="00C7478B"/>
    <w:rsid w:val="00C747B6"/>
    <w:rsid w:val="00C74851"/>
    <w:rsid w:val="00C74853"/>
    <w:rsid w:val="00C74905"/>
    <w:rsid w:val="00C74D49"/>
    <w:rsid w:val="00C750EC"/>
    <w:rsid w:val="00C750F8"/>
    <w:rsid w:val="00C753F1"/>
    <w:rsid w:val="00C7563F"/>
    <w:rsid w:val="00C75667"/>
    <w:rsid w:val="00C75901"/>
    <w:rsid w:val="00C75B1C"/>
    <w:rsid w:val="00C76200"/>
    <w:rsid w:val="00C76403"/>
    <w:rsid w:val="00C764D5"/>
    <w:rsid w:val="00C7668B"/>
    <w:rsid w:val="00C768F5"/>
    <w:rsid w:val="00C76B39"/>
    <w:rsid w:val="00C76D44"/>
    <w:rsid w:val="00C76D8E"/>
    <w:rsid w:val="00C76D97"/>
    <w:rsid w:val="00C77260"/>
    <w:rsid w:val="00C772F0"/>
    <w:rsid w:val="00C77344"/>
    <w:rsid w:val="00C773D8"/>
    <w:rsid w:val="00C7784E"/>
    <w:rsid w:val="00C77AF1"/>
    <w:rsid w:val="00C77BB4"/>
    <w:rsid w:val="00C77D8B"/>
    <w:rsid w:val="00C77F65"/>
    <w:rsid w:val="00C80028"/>
    <w:rsid w:val="00C80236"/>
    <w:rsid w:val="00C80444"/>
    <w:rsid w:val="00C80626"/>
    <w:rsid w:val="00C80AEF"/>
    <w:rsid w:val="00C80F20"/>
    <w:rsid w:val="00C81023"/>
    <w:rsid w:val="00C81254"/>
    <w:rsid w:val="00C81261"/>
    <w:rsid w:val="00C81678"/>
    <w:rsid w:val="00C816E6"/>
    <w:rsid w:val="00C81B2E"/>
    <w:rsid w:val="00C81E48"/>
    <w:rsid w:val="00C824EF"/>
    <w:rsid w:val="00C825BE"/>
    <w:rsid w:val="00C82678"/>
    <w:rsid w:val="00C827A6"/>
    <w:rsid w:val="00C8291F"/>
    <w:rsid w:val="00C82C03"/>
    <w:rsid w:val="00C82C28"/>
    <w:rsid w:val="00C83449"/>
    <w:rsid w:val="00C83454"/>
    <w:rsid w:val="00C8358B"/>
    <w:rsid w:val="00C83C6D"/>
    <w:rsid w:val="00C83E17"/>
    <w:rsid w:val="00C83F70"/>
    <w:rsid w:val="00C843E3"/>
    <w:rsid w:val="00C84411"/>
    <w:rsid w:val="00C844B6"/>
    <w:rsid w:val="00C8473F"/>
    <w:rsid w:val="00C84A22"/>
    <w:rsid w:val="00C84C23"/>
    <w:rsid w:val="00C84E5E"/>
    <w:rsid w:val="00C85414"/>
    <w:rsid w:val="00C85870"/>
    <w:rsid w:val="00C85878"/>
    <w:rsid w:val="00C858C9"/>
    <w:rsid w:val="00C85A1E"/>
    <w:rsid w:val="00C85B6C"/>
    <w:rsid w:val="00C85DA9"/>
    <w:rsid w:val="00C86043"/>
    <w:rsid w:val="00C8606E"/>
    <w:rsid w:val="00C860E5"/>
    <w:rsid w:val="00C864A2"/>
    <w:rsid w:val="00C86BED"/>
    <w:rsid w:val="00C871F6"/>
    <w:rsid w:val="00C875EE"/>
    <w:rsid w:val="00C87B65"/>
    <w:rsid w:val="00C87DAC"/>
    <w:rsid w:val="00C87ED2"/>
    <w:rsid w:val="00C90058"/>
    <w:rsid w:val="00C9048A"/>
    <w:rsid w:val="00C90598"/>
    <w:rsid w:val="00C90750"/>
    <w:rsid w:val="00C90DC1"/>
    <w:rsid w:val="00C9126B"/>
    <w:rsid w:val="00C912F6"/>
    <w:rsid w:val="00C9139F"/>
    <w:rsid w:val="00C91728"/>
    <w:rsid w:val="00C9182B"/>
    <w:rsid w:val="00C91DEC"/>
    <w:rsid w:val="00C9211E"/>
    <w:rsid w:val="00C9267B"/>
    <w:rsid w:val="00C927DB"/>
    <w:rsid w:val="00C92CF7"/>
    <w:rsid w:val="00C92D3E"/>
    <w:rsid w:val="00C9306F"/>
    <w:rsid w:val="00C932B3"/>
    <w:rsid w:val="00C936EF"/>
    <w:rsid w:val="00C93876"/>
    <w:rsid w:val="00C938CB"/>
    <w:rsid w:val="00C93BDE"/>
    <w:rsid w:val="00C93CA5"/>
    <w:rsid w:val="00C93FEB"/>
    <w:rsid w:val="00C9416C"/>
    <w:rsid w:val="00C943A5"/>
    <w:rsid w:val="00C94414"/>
    <w:rsid w:val="00C949DC"/>
    <w:rsid w:val="00C94BB3"/>
    <w:rsid w:val="00C94FB2"/>
    <w:rsid w:val="00C95195"/>
    <w:rsid w:val="00C955CF"/>
    <w:rsid w:val="00C95716"/>
    <w:rsid w:val="00C95795"/>
    <w:rsid w:val="00C95B57"/>
    <w:rsid w:val="00C9623D"/>
    <w:rsid w:val="00C963D8"/>
    <w:rsid w:val="00C964AD"/>
    <w:rsid w:val="00C965FD"/>
    <w:rsid w:val="00C966F7"/>
    <w:rsid w:val="00C9670F"/>
    <w:rsid w:val="00C96E6E"/>
    <w:rsid w:val="00C97355"/>
    <w:rsid w:val="00C9760D"/>
    <w:rsid w:val="00C97780"/>
    <w:rsid w:val="00C977BD"/>
    <w:rsid w:val="00C97B26"/>
    <w:rsid w:val="00C97F28"/>
    <w:rsid w:val="00CA0367"/>
    <w:rsid w:val="00CA03DD"/>
    <w:rsid w:val="00CA0707"/>
    <w:rsid w:val="00CA09C7"/>
    <w:rsid w:val="00CA0ABD"/>
    <w:rsid w:val="00CA0B5E"/>
    <w:rsid w:val="00CA0BED"/>
    <w:rsid w:val="00CA0D57"/>
    <w:rsid w:val="00CA11D0"/>
    <w:rsid w:val="00CA201A"/>
    <w:rsid w:val="00CA2320"/>
    <w:rsid w:val="00CA2427"/>
    <w:rsid w:val="00CA244E"/>
    <w:rsid w:val="00CA25C5"/>
    <w:rsid w:val="00CA262F"/>
    <w:rsid w:val="00CA2636"/>
    <w:rsid w:val="00CA2834"/>
    <w:rsid w:val="00CA284E"/>
    <w:rsid w:val="00CA2A5B"/>
    <w:rsid w:val="00CA2EBD"/>
    <w:rsid w:val="00CA2EC0"/>
    <w:rsid w:val="00CA317C"/>
    <w:rsid w:val="00CA34C0"/>
    <w:rsid w:val="00CA38B2"/>
    <w:rsid w:val="00CA3919"/>
    <w:rsid w:val="00CA397D"/>
    <w:rsid w:val="00CA3A94"/>
    <w:rsid w:val="00CA4052"/>
    <w:rsid w:val="00CA42EB"/>
    <w:rsid w:val="00CA4B09"/>
    <w:rsid w:val="00CA4C82"/>
    <w:rsid w:val="00CA4F64"/>
    <w:rsid w:val="00CA529C"/>
    <w:rsid w:val="00CA55F4"/>
    <w:rsid w:val="00CA5B2D"/>
    <w:rsid w:val="00CA5BB8"/>
    <w:rsid w:val="00CA5DDC"/>
    <w:rsid w:val="00CA5EFB"/>
    <w:rsid w:val="00CA653C"/>
    <w:rsid w:val="00CA6DFD"/>
    <w:rsid w:val="00CA6F63"/>
    <w:rsid w:val="00CA7132"/>
    <w:rsid w:val="00CA74BA"/>
    <w:rsid w:val="00CA761A"/>
    <w:rsid w:val="00CA769C"/>
    <w:rsid w:val="00CA77D6"/>
    <w:rsid w:val="00CA7956"/>
    <w:rsid w:val="00CB003B"/>
    <w:rsid w:val="00CB05E8"/>
    <w:rsid w:val="00CB081B"/>
    <w:rsid w:val="00CB0866"/>
    <w:rsid w:val="00CB094E"/>
    <w:rsid w:val="00CB0C29"/>
    <w:rsid w:val="00CB0E72"/>
    <w:rsid w:val="00CB107E"/>
    <w:rsid w:val="00CB129A"/>
    <w:rsid w:val="00CB19A2"/>
    <w:rsid w:val="00CB1D67"/>
    <w:rsid w:val="00CB1F67"/>
    <w:rsid w:val="00CB1F80"/>
    <w:rsid w:val="00CB2309"/>
    <w:rsid w:val="00CB2370"/>
    <w:rsid w:val="00CB2513"/>
    <w:rsid w:val="00CB2570"/>
    <w:rsid w:val="00CB273A"/>
    <w:rsid w:val="00CB2B33"/>
    <w:rsid w:val="00CB2B6B"/>
    <w:rsid w:val="00CB2EEA"/>
    <w:rsid w:val="00CB3076"/>
    <w:rsid w:val="00CB39C4"/>
    <w:rsid w:val="00CB3BB8"/>
    <w:rsid w:val="00CB3BD3"/>
    <w:rsid w:val="00CB3BE5"/>
    <w:rsid w:val="00CB3BFD"/>
    <w:rsid w:val="00CB3BFE"/>
    <w:rsid w:val="00CB3D52"/>
    <w:rsid w:val="00CB3D81"/>
    <w:rsid w:val="00CB3F03"/>
    <w:rsid w:val="00CB427A"/>
    <w:rsid w:val="00CB44BD"/>
    <w:rsid w:val="00CB4769"/>
    <w:rsid w:val="00CB47A5"/>
    <w:rsid w:val="00CB48D4"/>
    <w:rsid w:val="00CB49E9"/>
    <w:rsid w:val="00CB4CC6"/>
    <w:rsid w:val="00CB4EC6"/>
    <w:rsid w:val="00CB51C4"/>
    <w:rsid w:val="00CB5254"/>
    <w:rsid w:val="00CB57A0"/>
    <w:rsid w:val="00CB5A1D"/>
    <w:rsid w:val="00CB5B69"/>
    <w:rsid w:val="00CB5E54"/>
    <w:rsid w:val="00CB606D"/>
    <w:rsid w:val="00CB6078"/>
    <w:rsid w:val="00CB63B5"/>
    <w:rsid w:val="00CB6507"/>
    <w:rsid w:val="00CB6510"/>
    <w:rsid w:val="00CB65A4"/>
    <w:rsid w:val="00CB66E2"/>
    <w:rsid w:val="00CB6840"/>
    <w:rsid w:val="00CB6AC7"/>
    <w:rsid w:val="00CB6C14"/>
    <w:rsid w:val="00CB6CC1"/>
    <w:rsid w:val="00CB7A57"/>
    <w:rsid w:val="00CB7B97"/>
    <w:rsid w:val="00CB7DBC"/>
    <w:rsid w:val="00CB7E0F"/>
    <w:rsid w:val="00CC0187"/>
    <w:rsid w:val="00CC04DE"/>
    <w:rsid w:val="00CC060B"/>
    <w:rsid w:val="00CC06BC"/>
    <w:rsid w:val="00CC0FA1"/>
    <w:rsid w:val="00CC13B2"/>
    <w:rsid w:val="00CC1813"/>
    <w:rsid w:val="00CC1929"/>
    <w:rsid w:val="00CC1B43"/>
    <w:rsid w:val="00CC1C3A"/>
    <w:rsid w:val="00CC1D9D"/>
    <w:rsid w:val="00CC24AF"/>
    <w:rsid w:val="00CC28B6"/>
    <w:rsid w:val="00CC2926"/>
    <w:rsid w:val="00CC2951"/>
    <w:rsid w:val="00CC2C24"/>
    <w:rsid w:val="00CC2F8D"/>
    <w:rsid w:val="00CC3685"/>
    <w:rsid w:val="00CC383E"/>
    <w:rsid w:val="00CC3AE0"/>
    <w:rsid w:val="00CC3D90"/>
    <w:rsid w:val="00CC40D5"/>
    <w:rsid w:val="00CC42BC"/>
    <w:rsid w:val="00CC4D86"/>
    <w:rsid w:val="00CC4EB7"/>
    <w:rsid w:val="00CC50A9"/>
    <w:rsid w:val="00CC5224"/>
    <w:rsid w:val="00CC54B5"/>
    <w:rsid w:val="00CC5614"/>
    <w:rsid w:val="00CC567C"/>
    <w:rsid w:val="00CC57BB"/>
    <w:rsid w:val="00CC6024"/>
    <w:rsid w:val="00CC6605"/>
    <w:rsid w:val="00CC675F"/>
    <w:rsid w:val="00CC68FB"/>
    <w:rsid w:val="00CC6A4D"/>
    <w:rsid w:val="00CC7167"/>
    <w:rsid w:val="00CC75C1"/>
    <w:rsid w:val="00CC76C3"/>
    <w:rsid w:val="00CC7C08"/>
    <w:rsid w:val="00CC7CF6"/>
    <w:rsid w:val="00CC7D2E"/>
    <w:rsid w:val="00CC7FDA"/>
    <w:rsid w:val="00CD040D"/>
    <w:rsid w:val="00CD05C1"/>
    <w:rsid w:val="00CD05F5"/>
    <w:rsid w:val="00CD0623"/>
    <w:rsid w:val="00CD063C"/>
    <w:rsid w:val="00CD0812"/>
    <w:rsid w:val="00CD0992"/>
    <w:rsid w:val="00CD1074"/>
    <w:rsid w:val="00CD1161"/>
    <w:rsid w:val="00CD1997"/>
    <w:rsid w:val="00CD1A8E"/>
    <w:rsid w:val="00CD2690"/>
    <w:rsid w:val="00CD275E"/>
    <w:rsid w:val="00CD2D77"/>
    <w:rsid w:val="00CD2DED"/>
    <w:rsid w:val="00CD2EA4"/>
    <w:rsid w:val="00CD3040"/>
    <w:rsid w:val="00CD3146"/>
    <w:rsid w:val="00CD33FE"/>
    <w:rsid w:val="00CD3474"/>
    <w:rsid w:val="00CD3927"/>
    <w:rsid w:val="00CD3CDB"/>
    <w:rsid w:val="00CD3D8F"/>
    <w:rsid w:val="00CD3FB7"/>
    <w:rsid w:val="00CD43EB"/>
    <w:rsid w:val="00CD4CA1"/>
    <w:rsid w:val="00CD4D81"/>
    <w:rsid w:val="00CD4E82"/>
    <w:rsid w:val="00CD4F7B"/>
    <w:rsid w:val="00CD50C6"/>
    <w:rsid w:val="00CD52E8"/>
    <w:rsid w:val="00CD53C4"/>
    <w:rsid w:val="00CD547D"/>
    <w:rsid w:val="00CD5629"/>
    <w:rsid w:val="00CD57E9"/>
    <w:rsid w:val="00CD5CC9"/>
    <w:rsid w:val="00CD5ED4"/>
    <w:rsid w:val="00CD607F"/>
    <w:rsid w:val="00CD6395"/>
    <w:rsid w:val="00CD6BE4"/>
    <w:rsid w:val="00CD6C3C"/>
    <w:rsid w:val="00CD6DD7"/>
    <w:rsid w:val="00CD6F7B"/>
    <w:rsid w:val="00CD6F7F"/>
    <w:rsid w:val="00CD7067"/>
    <w:rsid w:val="00CD719E"/>
    <w:rsid w:val="00CD74B0"/>
    <w:rsid w:val="00CD7565"/>
    <w:rsid w:val="00CD7759"/>
    <w:rsid w:val="00CD78B2"/>
    <w:rsid w:val="00CD7AB2"/>
    <w:rsid w:val="00CD7AED"/>
    <w:rsid w:val="00CD7D28"/>
    <w:rsid w:val="00CD7D80"/>
    <w:rsid w:val="00CD7F5A"/>
    <w:rsid w:val="00CE000E"/>
    <w:rsid w:val="00CE0186"/>
    <w:rsid w:val="00CE04CE"/>
    <w:rsid w:val="00CE04D3"/>
    <w:rsid w:val="00CE094E"/>
    <w:rsid w:val="00CE0D71"/>
    <w:rsid w:val="00CE0D7C"/>
    <w:rsid w:val="00CE0F7A"/>
    <w:rsid w:val="00CE1408"/>
    <w:rsid w:val="00CE16D3"/>
    <w:rsid w:val="00CE18C3"/>
    <w:rsid w:val="00CE1C4B"/>
    <w:rsid w:val="00CE1EE6"/>
    <w:rsid w:val="00CE22F2"/>
    <w:rsid w:val="00CE290D"/>
    <w:rsid w:val="00CE2C5E"/>
    <w:rsid w:val="00CE2D03"/>
    <w:rsid w:val="00CE2DB3"/>
    <w:rsid w:val="00CE2F86"/>
    <w:rsid w:val="00CE2FDB"/>
    <w:rsid w:val="00CE3591"/>
    <w:rsid w:val="00CE3E01"/>
    <w:rsid w:val="00CE404B"/>
    <w:rsid w:val="00CE4D18"/>
    <w:rsid w:val="00CE4ECE"/>
    <w:rsid w:val="00CE5096"/>
    <w:rsid w:val="00CE509E"/>
    <w:rsid w:val="00CE52BA"/>
    <w:rsid w:val="00CE53F8"/>
    <w:rsid w:val="00CE5468"/>
    <w:rsid w:val="00CE5487"/>
    <w:rsid w:val="00CE6878"/>
    <w:rsid w:val="00CE6C78"/>
    <w:rsid w:val="00CE7362"/>
    <w:rsid w:val="00CE7A32"/>
    <w:rsid w:val="00CE7C83"/>
    <w:rsid w:val="00CE7CAB"/>
    <w:rsid w:val="00CE7EC2"/>
    <w:rsid w:val="00CF0188"/>
    <w:rsid w:val="00CF01B0"/>
    <w:rsid w:val="00CF0BA3"/>
    <w:rsid w:val="00CF0BF5"/>
    <w:rsid w:val="00CF0F57"/>
    <w:rsid w:val="00CF1358"/>
    <w:rsid w:val="00CF18C9"/>
    <w:rsid w:val="00CF1A5B"/>
    <w:rsid w:val="00CF1C10"/>
    <w:rsid w:val="00CF1CC8"/>
    <w:rsid w:val="00CF1CF7"/>
    <w:rsid w:val="00CF1FD8"/>
    <w:rsid w:val="00CF2187"/>
    <w:rsid w:val="00CF21D8"/>
    <w:rsid w:val="00CF235B"/>
    <w:rsid w:val="00CF26C4"/>
    <w:rsid w:val="00CF277D"/>
    <w:rsid w:val="00CF2EA0"/>
    <w:rsid w:val="00CF3107"/>
    <w:rsid w:val="00CF33C6"/>
    <w:rsid w:val="00CF3B6A"/>
    <w:rsid w:val="00CF3FE8"/>
    <w:rsid w:val="00CF404B"/>
    <w:rsid w:val="00CF4251"/>
    <w:rsid w:val="00CF43E7"/>
    <w:rsid w:val="00CF4470"/>
    <w:rsid w:val="00CF44A5"/>
    <w:rsid w:val="00CF4A64"/>
    <w:rsid w:val="00CF4D2F"/>
    <w:rsid w:val="00CF4E75"/>
    <w:rsid w:val="00CF538C"/>
    <w:rsid w:val="00CF58BA"/>
    <w:rsid w:val="00CF59AB"/>
    <w:rsid w:val="00CF60EE"/>
    <w:rsid w:val="00CF6426"/>
    <w:rsid w:val="00CF6618"/>
    <w:rsid w:val="00CF6638"/>
    <w:rsid w:val="00CF670E"/>
    <w:rsid w:val="00CF6770"/>
    <w:rsid w:val="00CF69F8"/>
    <w:rsid w:val="00CF6AC5"/>
    <w:rsid w:val="00CF6D32"/>
    <w:rsid w:val="00CF6FCA"/>
    <w:rsid w:val="00CF70D9"/>
    <w:rsid w:val="00CF71B8"/>
    <w:rsid w:val="00CF7367"/>
    <w:rsid w:val="00CF7381"/>
    <w:rsid w:val="00CF7605"/>
    <w:rsid w:val="00CF78E0"/>
    <w:rsid w:val="00CF7A3C"/>
    <w:rsid w:val="00CF7C57"/>
    <w:rsid w:val="00CF7E0C"/>
    <w:rsid w:val="00CF7F1D"/>
    <w:rsid w:val="00D000D3"/>
    <w:rsid w:val="00D00384"/>
    <w:rsid w:val="00D0051D"/>
    <w:rsid w:val="00D00600"/>
    <w:rsid w:val="00D00790"/>
    <w:rsid w:val="00D00931"/>
    <w:rsid w:val="00D00C4D"/>
    <w:rsid w:val="00D00DCE"/>
    <w:rsid w:val="00D0123A"/>
    <w:rsid w:val="00D014D9"/>
    <w:rsid w:val="00D01741"/>
    <w:rsid w:val="00D01AC5"/>
    <w:rsid w:val="00D01C57"/>
    <w:rsid w:val="00D01C8C"/>
    <w:rsid w:val="00D01FA4"/>
    <w:rsid w:val="00D0213B"/>
    <w:rsid w:val="00D0219C"/>
    <w:rsid w:val="00D0231E"/>
    <w:rsid w:val="00D024D3"/>
    <w:rsid w:val="00D029F6"/>
    <w:rsid w:val="00D02A04"/>
    <w:rsid w:val="00D03274"/>
    <w:rsid w:val="00D03339"/>
    <w:rsid w:val="00D0342E"/>
    <w:rsid w:val="00D034D6"/>
    <w:rsid w:val="00D036C2"/>
    <w:rsid w:val="00D041EE"/>
    <w:rsid w:val="00D04211"/>
    <w:rsid w:val="00D04261"/>
    <w:rsid w:val="00D04438"/>
    <w:rsid w:val="00D044F8"/>
    <w:rsid w:val="00D04670"/>
    <w:rsid w:val="00D04A04"/>
    <w:rsid w:val="00D052E1"/>
    <w:rsid w:val="00D05371"/>
    <w:rsid w:val="00D05B2A"/>
    <w:rsid w:val="00D05BCA"/>
    <w:rsid w:val="00D05BE4"/>
    <w:rsid w:val="00D05C74"/>
    <w:rsid w:val="00D05DBD"/>
    <w:rsid w:val="00D05E0C"/>
    <w:rsid w:val="00D06679"/>
    <w:rsid w:val="00D06825"/>
    <w:rsid w:val="00D06A31"/>
    <w:rsid w:val="00D06BBD"/>
    <w:rsid w:val="00D0704E"/>
    <w:rsid w:val="00D07D39"/>
    <w:rsid w:val="00D07D9C"/>
    <w:rsid w:val="00D07EC0"/>
    <w:rsid w:val="00D1023E"/>
    <w:rsid w:val="00D10411"/>
    <w:rsid w:val="00D107A5"/>
    <w:rsid w:val="00D10A78"/>
    <w:rsid w:val="00D11061"/>
    <w:rsid w:val="00D114D4"/>
    <w:rsid w:val="00D114DA"/>
    <w:rsid w:val="00D11B59"/>
    <w:rsid w:val="00D1207F"/>
    <w:rsid w:val="00D12431"/>
    <w:rsid w:val="00D125F4"/>
    <w:rsid w:val="00D12ACF"/>
    <w:rsid w:val="00D12C2F"/>
    <w:rsid w:val="00D12CE7"/>
    <w:rsid w:val="00D12EF6"/>
    <w:rsid w:val="00D13277"/>
    <w:rsid w:val="00D133EB"/>
    <w:rsid w:val="00D13870"/>
    <w:rsid w:val="00D13AB1"/>
    <w:rsid w:val="00D13F16"/>
    <w:rsid w:val="00D14473"/>
    <w:rsid w:val="00D1473B"/>
    <w:rsid w:val="00D14A99"/>
    <w:rsid w:val="00D14FE9"/>
    <w:rsid w:val="00D15568"/>
    <w:rsid w:val="00D1559E"/>
    <w:rsid w:val="00D155C2"/>
    <w:rsid w:val="00D15838"/>
    <w:rsid w:val="00D15DB4"/>
    <w:rsid w:val="00D1683D"/>
    <w:rsid w:val="00D16900"/>
    <w:rsid w:val="00D16E88"/>
    <w:rsid w:val="00D16F00"/>
    <w:rsid w:val="00D16F56"/>
    <w:rsid w:val="00D17098"/>
    <w:rsid w:val="00D170B7"/>
    <w:rsid w:val="00D17950"/>
    <w:rsid w:val="00D179BA"/>
    <w:rsid w:val="00D17BE1"/>
    <w:rsid w:val="00D17C81"/>
    <w:rsid w:val="00D17C9E"/>
    <w:rsid w:val="00D17DDA"/>
    <w:rsid w:val="00D17F48"/>
    <w:rsid w:val="00D200A2"/>
    <w:rsid w:val="00D2012A"/>
    <w:rsid w:val="00D2054A"/>
    <w:rsid w:val="00D20687"/>
    <w:rsid w:val="00D208A9"/>
    <w:rsid w:val="00D20DCC"/>
    <w:rsid w:val="00D20E49"/>
    <w:rsid w:val="00D214C9"/>
    <w:rsid w:val="00D2165E"/>
    <w:rsid w:val="00D21A43"/>
    <w:rsid w:val="00D21A81"/>
    <w:rsid w:val="00D21C2C"/>
    <w:rsid w:val="00D21EE7"/>
    <w:rsid w:val="00D21F78"/>
    <w:rsid w:val="00D2206B"/>
    <w:rsid w:val="00D22231"/>
    <w:rsid w:val="00D22703"/>
    <w:rsid w:val="00D2293E"/>
    <w:rsid w:val="00D22CBD"/>
    <w:rsid w:val="00D22CF1"/>
    <w:rsid w:val="00D23250"/>
    <w:rsid w:val="00D23581"/>
    <w:rsid w:val="00D23721"/>
    <w:rsid w:val="00D23845"/>
    <w:rsid w:val="00D238BF"/>
    <w:rsid w:val="00D24026"/>
    <w:rsid w:val="00D24170"/>
    <w:rsid w:val="00D2421C"/>
    <w:rsid w:val="00D24387"/>
    <w:rsid w:val="00D24778"/>
    <w:rsid w:val="00D24977"/>
    <w:rsid w:val="00D249D3"/>
    <w:rsid w:val="00D24AC3"/>
    <w:rsid w:val="00D24E2C"/>
    <w:rsid w:val="00D24E78"/>
    <w:rsid w:val="00D250D4"/>
    <w:rsid w:val="00D251B4"/>
    <w:rsid w:val="00D252B0"/>
    <w:rsid w:val="00D26092"/>
    <w:rsid w:val="00D26211"/>
    <w:rsid w:val="00D2688B"/>
    <w:rsid w:val="00D26B39"/>
    <w:rsid w:val="00D26CDC"/>
    <w:rsid w:val="00D26E95"/>
    <w:rsid w:val="00D2719B"/>
    <w:rsid w:val="00D2732F"/>
    <w:rsid w:val="00D2763D"/>
    <w:rsid w:val="00D27653"/>
    <w:rsid w:val="00D276B8"/>
    <w:rsid w:val="00D279C8"/>
    <w:rsid w:val="00D27ABD"/>
    <w:rsid w:val="00D27AE9"/>
    <w:rsid w:val="00D27BF1"/>
    <w:rsid w:val="00D27CE5"/>
    <w:rsid w:val="00D27F51"/>
    <w:rsid w:val="00D306E6"/>
    <w:rsid w:val="00D30785"/>
    <w:rsid w:val="00D308EC"/>
    <w:rsid w:val="00D309DF"/>
    <w:rsid w:val="00D30B9D"/>
    <w:rsid w:val="00D31269"/>
    <w:rsid w:val="00D312B1"/>
    <w:rsid w:val="00D31316"/>
    <w:rsid w:val="00D31483"/>
    <w:rsid w:val="00D31505"/>
    <w:rsid w:val="00D316FC"/>
    <w:rsid w:val="00D31779"/>
    <w:rsid w:val="00D31F27"/>
    <w:rsid w:val="00D31F42"/>
    <w:rsid w:val="00D3204B"/>
    <w:rsid w:val="00D321A1"/>
    <w:rsid w:val="00D32366"/>
    <w:rsid w:val="00D32598"/>
    <w:rsid w:val="00D326D3"/>
    <w:rsid w:val="00D32763"/>
    <w:rsid w:val="00D3292C"/>
    <w:rsid w:val="00D32DB3"/>
    <w:rsid w:val="00D3329E"/>
    <w:rsid w:val="00D333F7"/>
    <w:rsid w:val="00D33582"/>
    <w:rsid w:val="00D337D3"/>
    <w:rsid w:val="00D337DD"/>
    <w:rsid w:val="00D33B55"/>
    <w:rsid w:val="00D33C58"/>
    <w:rsid w:val="00D33EAE"/>
    <w:rsid w:val="00D340F3"/>
    <w:rsid w:val="00D34303"/>
    <w:rsid w:val="00D3441F"/>
    <w:rsid w:val="00D34582"/>
    <w:rsid w:val="00D34877"/>
    <w:rsid w:val="00D34BE7"/>
    <w:rsid w:val="00D35568"/>
    <w:rsid w:val="00D355E9"/>
    <w:rsid w:val="00D35B49"/>
    <w:rsid w:val="00D35DD6"/>
    <w:rsid w:val="00D35E9E"/>
    <w:rsid w:val="00D35EB1"/>
    <w:rsid w:val="00D35FEE"/>
    <w:rsid w:val="00D36088"/>
    <w:rsid w:val="00D36427"/>
    <w:rsid w:val="00D36445"/>
    <w:rsid w:val="00D36770"/>
    <w:rsid w:val="00D36B0B"/>
    <w:rsid w:val="00D36C21"/>
    <w:rsid w:val="00D36FFD"/>
    <w:rsid w:val="00D37157"/>
    <w:rsid w:val="00D372C0"/>
    <w:rsid w:val="00D372F0"/>
    <w:rsid w:val="00D376E4"/>
    <w:rsid w:val="00D37786"/>
    <w:rsid w:val="00D37C78"/>
    <w:rsid w:val="00D37CDF"/>
    <w:rsid w:val="00D37ECC"/>
    <w:rsid w:val="00D37F6D"/>
    <w:rsid w:val="00D4021E"/>
    <w:rsid w:val="00D40AAD"/>
    <w:rsid w:val="00D40ADF"/>
    <w:rsid w:val="00D40C96"/>
    <w:rsid w:val="00D40DED"/>
    <w:rsid w:val="00D40FBA"/>
    <w:rsid w:val="00D40FF0"/>
    <w:rsid w:val="00D41170"/>
    <w:rsid w:val="00D4120F"/>
    <w:rsid w:val="00D414EC"/>
    <w:rsid w:val="00D41601"/>
    <w:rsid w:val="00D417D9"/>
    <w:rsid w:val="00D41BCB"/>
    <w:rsid w:val="00D41E75"/>
    <w:rsid w:val="00D41EA9"/>
    <w:rsid w:val="00D41F7D"/>
    <w:rsid w:val="00D41FAB"/>
    <w:rsid w:val="00D4205B"/>
    <w:rsid w:val="00D4207C"/>
    <w:rsid w:val="00D42482"/>
    <w:rsid w:val="00D42A9E"/>
    <w:rsid w:val="00D42BDF"/>
    <w:rsid w:val="00D43105"/>
    <w:rsid w:val="00D43255"/>
    <w:rsid w:val="00D43696"/>
    <w:rsid w:val="00D4397D"/>
    <w:rsid w:val="00D43BCE"/>
    <w:rsid w:val="00D43ED5"/>
    <w:rsid w:val="00D44152"/>
    <w:rsid w:val="00D444CB"/>
    <w:rsid w:val="00D44578"/>
    <w:rsid w:val="00D447A5"/>
    <w:rsid w:val="00D4486D"/>
    <w:rsid w:val="00D44B0F"/>
    <w:rsid w:val="00D44D7E"/>
    <w:rsid w:val="00D45623"/>
    <w:rsid w:val="00D45678"/>
    <w:rsid w:val="00D45B3D"/>
    <w:rsid w:val="00D45DE3"/>
    <w:rsid w:val="00D45F6A"/>
    <w:rsid w:val="00D4627C"/>
    <w:rsid w:val="00D46589"/>
    <w:rsid w:val="00D46942"/>
    <w:rsid w:val="00D469F3"/>
    <w:rsid w:val="00D46B06"/>
    <w:rsid w:val="00D46C6C"/>
    <w:rsid w:val="00D47265"/>
    <w:rsid w:val="00D473EE"/>
    <w:rsid w:val="00D47518"/>
    <w:rsid w:val="00D47540"/>
    <w:rsid w:val="00D4798C"/>
    <w:rsid w:val="00D479FB"/>
    <w:rsid w:val="00D47D59"/>
    <w:rsid w:val="00D47EB2"/>
    <w:rsid w:val="00D504AD"/>
    <w:rsid w:val="00D50732"/>
    <w:rsid w:val="00D50B92"/>
    <w:rsid w:val="00D50F95"/>
    <w:rsid w:val="00D513F4"/>
    <w:rsid w:val="00D51568"/>
    <w:rsid w:val="00D5186C"/>
    <w:rsid w:val="00D51A35"/>
    <w:rsid w:val="00D51B9C"/>
    <w:rsid w:val="00D51C89"/>
    <w:rsid w:val="00D51EF1"/>
    <w:rsid w:val="00D51F46"/>
    <w:rsid w:val="00D52783"/>
    <w:rsid w:val="00D52793"/>
    <w:rsid w:val="00D5285E"/>
    <w:rsid w:val="00D52DFF"/>
    <w:rsid w:val="00D52F9B"/>
    <w:rsid w:val="00D5312B"/>
    <w:rsid w:val="00D53606"/>
    <w:rsid w:val="00D538D4"/>
    <w:rsid w:val="00D53C4E"/>
    <w:rsid w:val="00D53CEC"/>
    <w:rsid w:val="00D53DB7"/>
    <w:rsid w:val="00D54420"/>
    <w:rsid w:val="00D54478"/>
    <w:rsid w:val="00D546F4"/>
    <w:rsid w:val="00D5494C"/>
    <w:rsid w:val="00D5499A"/>
    <w:rsid w:val="00D549DE"/>
    <w:rsid w:val="00D54A07"/>
    <w:rsid w:val="00D54E18"/>
    <w:rsid w:val="00D55049"/>
    <w:rsid w:val="00D55062"/>
    <w:rsid w:val="00D550F9"/>
    <w:rsid w:val="00D55485"/>
    <w:rsid w:val="00D556CD"/>
    <w:rsid w:val="00D556D6"/>
    <w:rsid w:val="00D55952"/>
    <w:rsid w:val="00D55C34"/>
    <w:rsid w:val="00D55F45"/>
    <w:rsid w:val="00D560E2"/>
    <w:rsid w:val="00D5624B"/>
    <w:rsid w:val="00D5643B"/>
    <w:rsid w:val="00D56519"/>
    <w:rsid w:val="00D56838"/>
    <w:rsid w:val="00D568C2"/>
    <w:rsid w:val="00D56BCB"/>
    <w:rsid w:val="00D56C58"/>
    <w:rsid w:val="00D56C8F"/>
    <w:rsid w:val="00D56EA0"/>
    <w:rsid w:val="00D57078"/>
    <w:rsid w:val="00D570E5"/>
    <w:rsid w:val="00D602B4"/>
    <w:rsid w:val="00D605D4"/>
    <w:rsid w:val="00D60646"/>
    <w:rsid w:val="00D60832"/>
    <w:rsid w:val="00D608CA"/>
    <w:rsid w:val="00D60AAD"/>
    <w:rsid w:val="00D60BCA"/>
    <w:rsid w:val="00D60D8A"/>
    <w:rsid w:val="00D61093"/>
    <w:rsid w:val="00D6179A"/>
    <w:rsid w:val="00D619A8"/>
    <w:rsid w:val="00D61A66"/>
    <w:rsid w:val="00D61D3D"/>
    <w:rsid w:val="00D622E1"/>
    <w:rsid w:val="00D622E6"/>
    <w:rsid w:val="00D6268C"/>
    <w:rsid w:val="00D629D2"/>
    <w:rsid w:val="00D62EBB"/>
    <w:rsid w:val="00D6301F"/>
    <w:rsid w:val="00D632E4"/>
    <w:rsid w:val="00D6340F"/>
    <w:rsid w:val="00D6351E"/>
    <w:rsid w:val="00D638DA"/>
    <w:rsid w:val="00D63E1C"/>
    <w:rsid w:val="00D63ED7"/>
    <w:rsid w:val="00D63F93"/>
    <w:rsid w:val="00D641A1"/>
    <w:rsid w:val="00D64257"/>
    <w:rsid w:val="00D642AF"/>
    <w:rsid w:val="00D648A4"/>
    <w:rsid w:val="00D64A06"/>
    <w:rsid w:val="00D64C88"/>
    <w:rsid w:val="00D64CF7"/>
    <w:rsid w:val="00D64D2C"/>
    <w:rsid w:val="00D64EDB"/>
    <w:rsid w:val="00D652F9"/>
    <w:rsid w:val="00D65366"/>
    <w:rsid w:val="00D659AF"/>
    <w:rsid w:val="00D66507"/>
    <w:rsid w:val="00D666D0"/>
    <w:rsid w:val="00D66976"/>
    <w:rsid w:val="00D66CD8"/>
    <w:rsid w:val="00D6729E"/>
    <w:rsid w:val="00D6737E"/>
    <w:rsid w:val="00D673BF"/>
    <w:rsid w:val="00D674D0"/>
    <w:rsid w:val="00D67555"/>
    <w:rsid w:val="00D67926"/>
    <w:rsid w:val="00D67DC2"/>
    <w:rsid w:val="00D7025E"/>
    <w:rsid w:val="00D706C9"/>
    <w:rsid w:val="00D70864"/>
    <w:rsid w:val="00D70944"/>
    <w:rsid w:val="00D70956"/>
    <w:rsid w:val="00D70B57"/>
    <w:rsid w:val="00D70B91"/>
    <w:rsid w:val="00D70F92"/>
    <w:rsid w:val="00D711F8"/>
    <w:rsid w:val="00D712B6"/>
    <w:rsid w:val="00D713B0"/>
    <w:rsid w:val="00D71422"/>
    <w:rsid w:val="00D714E6"/>
    <w:rsid w:val="00D71BDA"/>
    <w:rsid w:val="00D71C4E"/>
    <w:rsid w:val="00D71CD2"/>
    <w:rsid w:val="00D71E80"/>
    <w:rsid w:val="00D722FA"/>
    <w:rsid w:val="00D72579"/>
    <w:rsid w:val="00D72588"/>
    <w:rsid w:val="00D72ACA"/>
    <w:rsid w:val="00D72B15"/>
    <w:rsid w:val="00D72C6E"/>
    <w:rsid w:val="00D72DB5"/>
    <w:rsid w:val="00D731F1"/>
    <w:rsid w:val="00D7325E"/>
    <w:rsid w:val="00D73640"/>
    <w:rsid w:val="00D73A18"/>
    <w:rsid w:val="00D73A3C"/>
    <w:rsid w:val="00D73C01"/>
    <w:rsid w:val="00D73CB2"/>
    <w:rsid w:val="00D741EE"/>
    <w:rsid w:val="00D74238"/>
    <w:rsid w:val="00D746AF"/>
    <w:rsid w:val="00D74A5D"/>
    <w:rsid w:val="00D74C72"/>
    <w:rsid w:val="00D7501F"/>
    <w:rsid w:val="00D757BE"/>
    <w:rsid w:val="00D75E70"/>
    <w:rsid w:val="00D75E85"/>
    <w:rsid w:val="00D761E5"/>
    <w:rsid w:val="00D766E7"/>
    <w:rsid w:val="00D7688E"/>
    <w:rsid w:val="00D76E4D"/>
    <w:rsid w:val="00D77310"/>
    <w:rsid w:val="00D7760C"/>
    <w:rsid w:val="00D779F4"/>
    <w:rsid w:val="00D77A8A"/>
    <w:rsid w:val="00D77BAA"/>
    <w:rsid w:val="00D77E95"/>
    <w:rsid w:val="00D77F06"/>
    <w:rsid w:val="00D800CC"/>
    <w:rsid w:val="00D804CA"/>
    <w:rsid w:val="00D80B43"/>
    <w:rsid w:val="00D80BF7"/>
    <w:rsid w:val="00D812A7"/>
    <w:rsid w:val="00D8187D"/>
    <w:rsid w:val="00D81EAF"/>
    <w:rsid w:val="00D82172"/>
    <w:rsid w:val="00D824F1"/>
    <w:rsid w:val="00D8264B"/>
    <w:rsid w:val="00D82884"/>
    <w:rsid w:val="00D8288F"/>
    <w:rsid w:val="00D828E5"/>
    <w:rsid w:val="00D82981"/>
    <w:rsid w:val="00D829AA"/>
    <w:rsid w:val="00D82A30"/>
    <w:rsid w:val="00D82C62"/>
    <w:rsid w:val="00D833AB"/>
    <w:rsid w:val="00D834C8"/>
    <w:rsid w:val="00D83ADE"/>
    <w:rsid w:val="00D84A49"/>
    <w:rsid w:val="00D84BF4"/>
    <w:rsid w:val="00D84CE2"/>
    <w:rsid w:val="00D84F5E"/>
    <w:rsid w:val="00D84F68"/>
    <w:rsid w:val="00D85376"/>
    <w:rsid w:val="00D853E4"/>
    <w:rsid w:val="00D854B8"/>
    <w:rsid w:val="00D855C4"/>
    <w:rsid w:val="00D85BE9"/>
    <w:rsid w:val="00D86396"/>
    <w:rsid w:val="00D86586"/>
    <w:rsid w:val="00D866AF"/>
    <w:rsid w:val="00D86967"/>
    <w:rsid w:val="00D86B28"/>
    <w:rsid w:val="00D86F07"/>
    <w:rsid w:val="00D8712D"/>
    <w:rsid w:val="00D8791A"/>
    <w:rsid w:val="00D87AAE"/>
    <w:rsid w:val="00D90030"/>
    <w:rsid w:val="00D90181"/>
    <w:rsid w:val="00D901C5"/>
    <w:rsid w:val="00D90317"/>
    <w:rsid w:val="00D905D6"/>
    <w:rsid w:val="00D908A7"/>
    <w:rsid w:val="00D90959"/>
    <w:rsid w:val="00D90AE4"/>
    <w:rsid w:val="00D90FD9"/>
    <w:rsid w:val="00D9104A"/>
    <w:rsid w:val="00D91115"/>
    <w:rsid w:val="00D91331"/>
    <w:rsid w:val="00D9149E"/>
    <w:rsid w:val="00D917A0"/>
    <w:rsid w:val="00D9182C"/>
    <w:rsid w:val="00D918DB"/>
    <w:rsid w:val="00D91D06"/>
    <w:rsid w:val="00D923AD"/>
    <w:rsid w:val="00D923ED"/>
    <w:rsid w:val="00D92530"/>
    <w:rsid w:val="00D92781"/>
    <w:rsid w:val="00D928C3"/>
    <w:rsid w:val="00D92D28"/>
    <w:rsid w:val="00D92FD4"/>
    <w:rsid w:val="00D931B9"/>
    <w:rsid w:val="00D932DB"/>
    <w:rsid w:val="00D9372F"/>
    <w:rsid w:val="00D93B55"/>
    <w:rsid w:val="00D93CC6"/>
    <w:rsid w:val="00D93D40"/>
    <w:rsid w:val="00D93D78"/>
    <w:rsid w:val="00D93E7F"/>
    <w:rsid w:val="00D93F28"/>
    <w:rsid w:val="00D94507"/>
    <w:rsid w:val="00D9454D"/>
    <w:rsid w:val="00D94633"/>
    <w:rsid w:val="00D94669"/>
    <w:rsid w:val="00D946EA"/>
    <w:rsid w:val="00D94709"/>
    <w:rsid w:val="00D947B9"/>
    <w:rsid w:val="00D948E3"/>
    <w:rsid w:val="00D94984"/>
    <w:rsid w:val="00D949A0"/>
    <w:rsid w:val="00D95057"/>
    <w:rsid w:val="00D956E2"/>
    <w:rsid w:val="00D957EF"/>
    <w:rsid w:val="00D95901"/>
    <w:rsid w:val="00D9596A"/>
    <w:rsid w:val="00D95BE2"/>
    <w:rsid w:val="00D9606E"/>
    <w:rsid w:val="00D96141"/>
    <w:rsid w:val="00D962B1"/>
    <w:rsid w:val="00D96466"/>
    <w:rsid w:val="00D96657"/>
    <w:rsid w:val="00D966FE"/>
    <w:rsid w:val="00D96DB9"/>
    <w:rsid w:val="00D96ED1"/>
    <w:rsid w:val="00D97122"/>
    <w:rsid w:val="00D97D80"/>
    <w:rsid w:val="00DA01F3"/>
    <w:rsid w:val="00DA023C"/>
    <w:rsid w:val="00DA043C"/>
    <w:rsid w:val="00DA04DC"/>
    <w:rsid w:val="00DA061E"/>
    <w:rsid w:val="00DA0F28"/>
    <w:rsid w:val="00DA11F6"/>
    <w:rsid w:val="00DA17FB"/>
    <w:rsid w:val="00DA1858"/>
    <w:rsid w:val="00DA1A01"/>
    <w:rsid w:val="00DA1CBA"/>
    <w:rsid w:val="00DA1D04"/>
    <w:rsid w:val="00DA1FBD"/>
    <w:rsid w:val="00DA2AFD"/>
    <w:rsid w:val="00DA2F91"/>
    <w:rsid w:val="00DA33F8"/>
    <w:rsid w:val="00DA34F2"/>
    <w:rsid w:val="00DA3BFE"/>
    <w:rsid w:val="00DA3F1A"/>
    <w:rsid w:val="00DA4046"/>
    <w:rsid w:val="00DA426E"/>
    <w:rsid w:val="00DA430A"/>
    <w:rsid w:val="00DA43D9"/>
    <w:rsid w:val="00DA4606"/>
    <w:rsid w:val="00DA4633"/>
    <w:rsid w:val="00DA47AC"/>
    <w:rsid w:val="00DA4875"/>
    <w:rsid w:val="00DA48CF"/>
    <w:rsid w:val="00DA4D99"/>
    <w:rsid w:val="00DA60A2"/>
    <w:rsid w:val="00DA6384"/>
    <w:rsid w:val="00DA6A96"/>
    <w:rsid w:val="00DA6AC2"/>
    <w:rsid w:val="00DA6B92"/>
    <w:rsid w:val="00DA6C36"/>
    <w:rsid w:val="00DA6C56"/>
    <w:rsid w:val="00DA6C6B"/>
    <w:rsid w:val="00DA7064"/>
    <w:rsid w:val="00DA73BF"/>
    <w:rsid w:val="00DA7491"/>
    <w:rsid w:val="00DA758A"/>
    <w:rsid w:val="00DA762C"/>
    <w:rsid w:val="00DA7AA9"/>
    <w:rsid w:val="00DA7BDF"/>
    <w:rsid w:val="00DA7D14"/>
    <w:rsid w:val="00DA7D99"/>
    <w:rsid w:val="00DB0026"/>
    <w:rsid w:val="00DB01BC"/>
    <w:rsid w:val="00DB0409"/>
    <w:rsid w:val="00DB0AC0"/>
    <w:rsid w:val="00DB0D30"/>
    <w:rsid w:val="00DB1178"/>
    <w:rsid w:val="00DB1558"/>
    <w:rsid w:val="00DB1B6A"/>
    <w:rsid w:val="00DB1BDB"/>
    <w:rsid w:val="00DB1BF2"/>
    <w:rsid w:val="00DB2052"/>
    <w:rsid w:val="00DB21A6"/>
    <w:rsid w:val="00DB21B3"/>
    <w:rsid w:val="00DB2642"/>
    <w:rsid w:val="00DB2759"/>
    <w:rsid w:val="00DB27B4"/>
    <w:rsid w:val="00DB3176"/>
    <w:rsid w:val="00DB3604"/>
    <w:rsid w:val="00DB3614"/>
    <w:rsid w:val="00DB3EE0"/>
    <w:rsid w:val="00DB3FEB"/>
    <w:rsid w:val="00DB425B"/>
    <w:rsid w:val="00DB42C9"/>
    <w:rsid w:val="00DB4A6F"/>
    <w:rsid w:val="00DB4D7E"/>
    <w:rsid w:val="00DB4DAE"/>
    <w:rsid w:val="00DB52CC"/>
    <w:rsid w:val="00DB5314"/>
    <w:rsid w:val="00DB56E9"/>
    <w:rsid w:val="00DB5787"/>
    <w:rsid w:val="00DB5AD3"/>
    <w:rsid w:val="00DB5BCD"/>
    <w:rsid w:val="00DB5FCF"/>
    <w:rsid w:val="00DB614E"/>
    <w:rsid w:val="00DB61C7"/>
    <w:rsid w:val="00DB62DC"/>
    <w:rsid w:val="00DB6400"/>
    <w:rsid w:val="00DB662C"/>
    <w:rsid w:val="00DB69B6"/>
    <w:rsid w:val="00DB6B15"/>
    <w:rsid w:val="00DB6BCF"/>
    <w:rsid w:val="00DB6F85"/>
    <w:rsid w:val="00DB7571"/>
    <w:rsid w:val="00DB782C"/>
    <w:rsid w:val="00DB7931"/>
    <w:rsid w:val="00DB7AD6"/>
    <w:rsid w:val="00DB7BA6"/>
    <w:rsid w:val="00DB7C45"/>
    <w:rsid w:val="00DC03CC"/>
    <w:rsid w:val="00DC04E8"/>
    <w:rsid w:val="00DC060A"/>
    <w:rsid w:val="00DC09E6"/>
    <w:rsid w:val="00DC09ED"/>
    <w:rsid w:val="00DC0F1B"/>
    <w:rsid w:val="00DC1101"/>
    <w:rsid w:val="00DC11E3"/>
    <w:rsid w:val="00DC1227"/>
    <w:rsid w:val="00DC12D9"/>
    <w:rsid w:val="00DC1345"/>
    <w:rsid w:val="00DC1447"/>
    <w:rsid w:val="00DC16E2"/>
    <w:rsid w:val="00DC16F3"/>
    <w:rsid w:val="00DC1844"/>
    <w:rsid w:val="00DC18EC"/>
    <w:rsid w:val="00DC1C00"/>
    <w:rsid w:val="00DC1D88"/>
    <w:rsid w:val="00DC210A"/>
    <w:rsid w:val="00DC2C09"/>
    <w:rsid w:val="00DC3009"/>
    <w:rsid w:val="00DC3180"/>
    <w:rsid w:val="00DC3215"/>
    <w:rsid w:val="00DC369F"/>
    <w:rsid w:val="00DC398D"/>
    <w:rsid w:val="00DC3AFD"/>
    <w:rsid w:val="00DC4298"/>
    <w:rsid w:val="00DC42AE"/>
    <w:rsid w:val="00DC44DC"/>
    <w:rsid w:val="00DC4816"/>
    <w:rsid w:val="00DC4B67"/>
    <w:rsid w:val="00DC584C"/>
    <w:rsid w:val="00DC5878"/>
    <w:rsid w:val="00DC5A06"/>
    <w:rsid w:val="00DC5C14"/>
    <w:rsid w:val="00DC5F44"/>
    <w:rsid w:val="00DC603D"/>
    <w:rsid w:val="00DC60DB"/>
    <w:rsid w:val="00DC64BA"/>
    <w:rsid w:val="00DC66CE"/>
    <w:rsid w:val="00DC68ED"/>
    <w:rsid w:val="00DC6B04"/>
    <w:rsid w:val="00DC6C9E"/>
    <w:rsid w:val="00DC6D7A"/>
    <w:rsid w:val="00DC6E58"/>
    <w:rsid w:val="00DC70C5"/>
    <w:rsid w:val="00DC71D1"/>
    <w:rsid w:val="00DC7508"/>
    <w:rsid w:val="00DC7539"/>
    <w:rsid w:val="00DC77A5"/>
    <w:rsid w:val="00DC77AE"/>
    <w:rsid w:val="00DC7AF5"/>
    <w:rsid w:val="00DC7B4D"/>
    <w:rsid w:val="00DC7CAF"/>
    <w:rsid w:val="00DC7E7F"/>
    <w:rsid w:val="00DD00BC"/>
    <w:rsid w:val="00DD0273"/>
    <w:rsid w:val="00DD0431"/>
    <w:rsid w:val="00DD04E4"/>
    <w:rsid w:val="00DD060E"/>
    <w:rsid w:val="00DD0ACB"/>
    <w:rsid w:val="00DD0B79"/>
    <w:rsid w:val="00DD1083"/>
    <w:rsid w:val="00DD12CF"/>
    <w:rsid w:val="00DD1360"/>
    <w:rsid w:val="00DD146A"/>
    <w:rsid w:val="00DD18F0"/>
    <w:rsid w:val="00DD1A16"/>
    <w:rsid w:val="00DD1B7F"/>
    <w:rsid w:val="00DD1EA5"/>
    <w:rsid w:val="00DD1F60"/>
    <w:rsid w:val="00DD2912"/>
    <w:rsid w:val="00DD2925"/>
    <w:rsid w:val="00DD294F"/>
    <w:rsid w:val="00DD2BA5"/>
    <w:rsid w:val="00DD2CAF"/>
    <w:rsid w:val="00DD2DEC"/>
    <w:rsid w:val="00DD341B"/>
    <w:rsid w:val="00DD367A"/>
    <w:rsid w:val="00DD3682"/>
    <w:rsid w:val="00DD37B5"/>
    <w:rsid w:val="00DD386A"/>
    <w:rsid w:val="00DD38C1"/>
    <w:rsid w:val="00DD3981"/>
    <w:rsid w:val="00DD3BE7"/>
    <w:rsid w:val="00DD4041"/>
    <w:rsid w:val="00DD4135"/>
    <w:rsid w:val="00DD4559"/>
    <w:rsid w:val="00DD4636"/>
    <w:rsid w:val="00DD47C1"/>
    <w:rsid w:val="00DD48AB"/>
    <w:rsid w:val="00DD48AC"/>
    <w:rsid w:val="00DD4AA3"/>
    <w:rsid w:val="00DD4D13"/>
    <w:rsid w:val="00DD5229"/>
    <w:rsid w:val="00DD56C1"/>
    <w:rsid w:val="00DD5789"/>
    <w:rsid w:val="00DD58B7"/>
    <w:rsid w:val="00DD5A45"/>
    <w:rsid w:val="00DD5B92"/>
    <w:rsid w:val="00DD5F32"/>
    <w:rsid w:val="00DD6233"/>
    <w:rsid w:val="00DD694E"/>
    <w:rsid w:val="00DD694F"/>
    <w:rsid w:val="00DD6983"/>
    <w:rsid w:val="00DD7082"/>
    <w:rsid w:val="00DD773B"/>
    <w:rsid w:val="00DD7B99"/>
    <w:rsid w:val="00DD7DA8"/>
    <w:rsid w:val="00DE0076"/>
    <w:rsid w:val="00DE03B4"/>
    <w:rsid w:val="00DE03D1"/>
    <w:rsid w:val="00DE0436"/>
    <w:rsid w:val="00DE05AE"/>
    <w:rsid w:val="00DE06F3"/>
    <w:rsid w:val="00DE08CE"/>
    <w:rsid w:val="00DE0AA2"/>
    <w:rsid w:val="00DE0AE8"/>
    <w:rsid w:val="00DE0B36"/>
    <w:rsid w:val="00DE0FCC"/>
    <w:rsid w:val="00DE102B"/>
    <w:rsid w:val="00DE1408"/>
    <w:rsid w:val="00DE16DF"/>
    <w:rsid w:val="00DE1C8C"/>
    <w:rsid w:val="00DE1F3E"/>
    <w:rsid w:val="00DE1F7C"/>
    <w:rsid w:val="00DE27BB"/>
    <w:rsid w:val="00DE28F4"/>
    <w:rsid w:val="00DE2A3C"/>
    <w:rsid w:val="00DE2B28"/>
    <w:rsid w:val="00DE2B7D"/>
    <w:rsid w:val="00DE2BC9"/>
    <w:rsid w:val="00DE2C93"/>
    <w:rsid w:val="00DE2FDB"/>
    <w:rsid w:val="00DE3087"/>
    <w:rsid w:val="00DE30D7"/>
    <w:rsid w:val="00DE3387"/>
    <w:rsid w:val="00DE365E"/>
    <w:rsid w:val="00DE3989"/>
    <w:rsid w:val="00DE3BAD"/>
    <w:rsid w:val="00DE3CC3"/>
    <w:rsid w:val="00DE3FB4"/>
    <w:rsid w:val="00DE4003"/>
    <w:rsid w:val="00DE423A"/>
    <w:rsid w:val="00DE445D"/>
    <w:rsid w:val="00DE47CC"/>
    <w:rsid w:val="00DE4B43"/>
    <w:rsid w:val="00DE4E6F"/>
    <w:rsid w:val="00DE515D"/>
    <w:rsid w:val="00DE5290"/>
    <w:rsid w:val="00DE59E0"/>
    <w:rsid w:val="00DE5B06"/>
    <w:rsid w:val="00DE5BF4"/>
    <w:rsid w:val="00DE6212"/>
    <w:rsid w:val="00DE62C9"/>
    <w:rsid w:val="00DE6629"/>
    <w:rsid w:val="00DE66E3"/>
    <w:rsid w:val="00DE6CD3"/>
    <w:rsid w:val="00DE6FB7"/>
    <w:rsid w:val="00DE7B7A"/>
    <w:rsid w:val="00DE7E76"/>
    <w:rsid w:val="00DF0587"/>
    <w:rsid w:val="00DF07E2"/>
    <w:rsid w:val="00DF08A3"/>
    <w:rsid w:val="00DF0AC9"/>
    <w:rsid w:val="00DF116D"/>
    <w:rsid w:val="00DF1866"/>
    <w:rsid w:val="00DF188A"/>
    <w:rsid w:val="00DF18BA"/>
    <w:rsid w:val="00DF1C88"/>
    <w:rsid w:val="00DF1FCA"/>
    <w:rsid w:val="00DF2031"/>
    <w:rsid w:val="00DF2434"/>
    <w:rsid w:val="00DF2A3A"/>
    <w:rsid w:val="00DF2B25"/>
    <w:rsid w:val="00DF2BC7"/>
    <w:rsid w:val="00DF2DDD"/>
    <w:rsid w:val="00DF2F62"/>
    <w:rsid w:val="00DF2F6C"/>
    <w:rsid w:val="00DF32DF"/>
    <w:rsid w:val="00DF3720"/>
    <w:rsid w:val="00DF39B6"/>
    <w:rsid w:val="00DF3BBA"/>
    <w:rsid w:val="00DF3F49"/>
    <w:rsid w:val="00DF4347"/>
    <w:rsid w:val="00DF4FFB"/>
    <w:rsid w:val="00DF5270"/>
    <w:rsid w:val="00DF54CB"/>
    <w:rsid w:val="00DF58EB"/>
    <w:rsid w:val="00DF5B6F"/>
    <w:rsid w:val="00DF5CCE"/>
    <w:rsid w:val="00DF5D0A"/>
    <w:rsid w:val="00DF5D89"/>
    <w:rsid w:val="00DF5F63"/>
    <w:rsid w:val="00DF6965"/>
    <w:rsid w:val="00DF6CCC"/>
    <w:rsid w:val="00DF6D16"/>
    <w:rsid w:val="00DF7043"/>
    <w:rsid w:val="00DF7397"/>
    <w:rsid w:val="00DF7843"/>
    <w:rsid w:val="00DF7A17"/>
    <w:rsid w:val="00DF7F7E"/>
    <w:rsid w:val="00E0010F"/>
    <w:rsid w:val="00E00194"/>
    <w:rsid w:val="00E00241"/>
    <w:rsid w:val="00E002A4"/>
    <w:rsid w:val="00E002B8"/>
    <w:rsid w:val="00E00580"/>
    <w:rsid w:val="00E0074D"/>
    <w:rsid w:val="00E00B27"/>
    <w:rsid w:val="00E00F26"/>
    <w:rsid w:val="00E00FEE"/>
    <w:rsid w:val="00E0100F"/>
    <w:rsid w:val="00E01039"/>
    <w:rsid w:val="00E0155C"/>
    <w:rsid w:val="00E0169B"/>
    <w:rsid w:val="00E01AF2"/>
    <w:rsid w:val="00E01F74"/>
    <w:rsid w:val="00E02089"/>
    <w:rsid w:val="00E02A51"/>
    <w:rsid w:val="00E02C1D"/>
    <w:rsid w:val="00E03216"/>
    <w:rsid w:val="00E0339C"/>
    <w:rsid w:val="00E034E1"/>
    <w:rsid w:val="00E034E4"/>
    <w:rsid w:val="00E03504"/>
    <w:rsid w:val="00E035A4"/>
    <w:rsid w:val="00E037FC"/>
    <w:rsid w:val="00E03928"/>
    <w:rsid w:val="00E03A7B"/>
    <w:rsid w:val="00E03C44"/>
    <w:rsid w:val="00E03CA2"/>
    <w:rsid w:val="00E03D47"/>
    <w:rsid w:val="00E040EE"/>
    <w:rsid w:val="00E04591"/>
    <w:rsid w:val="00E0495F"/>
    <w:rsid w:val="00E04AB9"/>
    <w:rsid w:val="00E04B02"/>
    <w:rsid w:val="00E04CD4"/>
    <w:rsid w:val="00E04D8B"/>
    <w:rsid w:val="00E052E8"/>
    <w:rsid w:val="00E05363"/>
    <w:rsid w:val="00E05460"/>
    <w:rsid w:val="00E05574"/>
    <w:rsid w:val="00E05A2E"/>
    <w:rsid w:val="00E05B72"/>
    <w:rsid w:val="00E05CF6"/>
    <w:rsid w:val="00E05D53"/>
    <w:rsid w:val="00E05F04"/>
    <w:rsid w:val="00E06094"/>
    <w:rsid w:val="00E064E2"/>
    <w:rsid w:val="00E0663F"/>
    <w:rsid w:val="00E06BC5"/>
    <w:rsid w:val="00E06C2E"/>
    <w:rsid w:val="00E06C6E"/>
    <w:rsid w:val="00E06DB6"/>
    <w:rsid w:val="00E07084"/>
    <w:rsid w:val="00E07233"/>
    <w:rsid w:val="00E072FC"/>
    <w:rsid w:val="00E07549"/>
    <w:rsid w:val="00E07863"/>
    <w:rsid w:val="00E0791C"/>
    <w:rsid w:val="00E07A4C"/>
    <w:rsid w:val="00E07A97"/>
    <w:rsid w:val="00E1004B"/>
    <w:rsid w:val="00E10818"/>
    <w:rsid w:val="00E10A56"/>
    <w:rsid w:val="00E10DE9"/>
    <w:rsid w:val="00E11553"/>
    <w:rsid w:val="00E11A1D"/>
    <w:rsid w:val="00E11C0C"/>
    <w:rsid w:val="00E1207A"/>
    <w:rsid w:val="00E12153"/>
    <w:rsid w:val="00E12322"/>
    <w:rsid w:val="00E123BA"/>
    <w:rsid w:val="00E124F4"/>
    <w:rsid w:val="00E12696"/>
    <w:rsid w:val="00E1284E"/>
    <w:rsid w:val="00E12DED"/>
    <w:rsid w:val="00E12FBF"/>
    <w:rsid w:val="00E132C4"/>
    <w:rsid w:val="00E13E6C"/>
    <w:rsid w:val="00E13FF9"/>
    <w:rsid w:val="00E147C8"/>
    <w:rsid w:val="00E14884"/>
    <w:rsid w:val="00E148A7"/>
    <w:rsid w:val="00E149BE"/>
    <w:rsid w:val="00E14C1E"/>
    <w:rsid w:val="00E14C94"/>
    <w:rsid w:val="00E14DA3"/>
    <w:rsid w:val="00E14E59"/>
    <w:rsid w:val="00E1506F"/>
    <w:rsid w:val="00E152BF"/>
    <w:rsid w:val="00E153B4"/>
    <w:rsid w:val="00E154EF"/>
    <w:rsid w:val="00E15CBB"/>
    <w:rsid w:val="00E15D13"/>
    <w:rsid w:val="00E16A24"/>
    <w:rsid w:val="00E16A74"/>
    <w:rsid w:val="00E16CC4"/>
    <w:rsid w:val="00E16D8D"/>
    <w:rsid w:val="00E16FE0"/>
    <w:rsid w:val="00E170E5"/>
    <w:rsid w:val="00E17899"/>
    <w:rsid w:val="00E1789A"/>
    <w:rsid w:val="00E17A27"/>
    <w:rsid w:val="00E17B3A"/>
    <w:rsid w:val="00E204E4"/>
    <w:rsid w:val="00E207B2"/>
    <w:rsid w:val="00E208DF"/>
    <w:rsid w:val="00E20C20"/>
    <w:rsid w:val="00E20CFE"/>
    <w:rsid w:val="00E20EEE"/>
    <w:rsid w:val="00E21086"/>
    <w:rsid w:val="00E2147A"/>
    <w:rsid w:val="00E21481"/>
    <w:rsid w:val="00E215EB"/>
    <w:rsid w:val="00E216C5"/>
    <w:rsid w:val="00E21A6B"/>
    <w:rsid w:val="00E21B04"/>
    <w:rsid w:val="00E21CC5"/>
    <w:rsid w:val="00E21DD8"/>
    <w:rsid w:val="00E22029"/>
    <w:rsid w:val="00E220AC"/>
    <w:rsid w:val="00E22137"/>
    <w:rsid w:val="00E223DB"/>
    <w:rsid w:val="00E22587"/>
    <w:rsid w:val="00E22AF7"/>
    <w:rsid w:val="00E22B81"/>
    <w:rsid w:val="00E22BFE"/>
    <w:rsid w:val="00E22C86"/>
    <w:rsid w:val="00E22EFE"/>
    <w:rsid w:val="00E22FD5"/>
    <w:rsid w:val="00E2362F"/>
    <w:rsid w:val="00E237CF"/>
    <w:rsid w:val="00E23D03"/>
    <w:rsid w:val="00E23D8B"/>
    <w:rsid w:val="00E23DD4"/>
    <w:rsid w:val="00E23DD7"/>
    <w:rsid w:val="00E24465"/>
    <w:rsid w:val="00E247FC"/>
    <w:rsid w:val="00E248AC"/>
    <w:rsid w:val="00E24CCE"/>
    <w:rsid w:val="00E24FF2"/>
    <w:rsid w:val="00E252F4"/>
    <w:rsid w:val="00E25429"/>
    <w:rsid w:val="00E25637"/>
    <w:rsid w:val="00E2582F"/>
    <w:rsid w:val="00E25918"/>
    <w:rsid w:val="00E259C2"/>
    <w:rsid w:val="00E25AC7"/>
    <w:rsid w:val="00E25D04"/>
    <w:rsid w:val="00E263B3"/>
    <w:rsid w:val="00E2644D"/>
    <w:rsid w:val="00E26678"/>
    <w:rsid w:val="00E269F9"/>
    <w:rsid w:val="00E26D7F"/>
    <w:rsid w:val="00E27006"/>
    <w:rsid w:val="00E27247"/>
    <w:rsid w:val="00E2728A"/>
    <w:rsid w:val="00E272DC"/>
    <w:rsid w:val="00E27382"/>
    <w:rsid w:val="00E27636"/>
    <w:rsid w:val="00E277A9"/>
    <w:rsid w:val="00E278A8"/>
    <w:rsid w:val="00E278EB"/>
    <w:rsid w:val="00E279DD"/>
    <w:rsid w:val="00E27EA8"/>
    <w:rsid w:val="00E30295"/>
    <w:rsid w:val="00E30570"/>
    <w:rsid w:val="00E30626"/>
    <w:rsid w:val="00E3075F"/>
    <w:rsid w:val="00E307A5"/>
    <w:rsid w:val="00E30A2B"/>
    <w:rsid w:val="00E30F59"/>
    <w:rsid w:val="00E312CF"/>
    <w:rsid w:val="00E31386"/>
    <w:rsid w:val="00E31423"/>
    <w:rsid w:val="00E31495"/>
    <w:rsid w:val="00E3151D"/>
    <w:rsid w:val="00E31598"/>
    <w:rsid w:val="00E3168B"/>
    <w:rsid w:val="00E31D90"/>
    <w:rsid w:val="00E31E25"/>
    <w:rsid w:val="00E320CE"/>
    <w:rsid w:val="00E320E1"/>
    <w:rsid w:val="00E32139"/>
    <w:rsid w:val="00E327F9"/>
    <w:rsid w:val="00E32ACA"/>
    <w:rsid w:val="00E330A1"/>
    <w:rsid w:val="00E330F0"/>
    <w:rsid w:val="00E331CB"/>
    <w:rsid w:val="00E332E3"/>
    <w:rsid w:val="00E3355E"/>
    <w:rsid w:val="00E33580"/>
    <w:rsid w:val="00E335FA"/>
    <w:rsid w:val="00E33931"/>
    <w:rsid w:val="00E33933"/>
    <w:rsid w:val="00E33C7E"/>
    <w:rsid w:val="00E33CDF"/>
    <w:rsid w:val="00E33EE5"/>
    <w:rsid w:val="00E33FD6"/>
    <w:rsid w:val="00E33FE8"/>
    <w:rsid w:val="00E3401B"/>
    <w:rsid w:val="00E3448B"/>
    <w:rsid w:val="00E3450E"/>
    <w:rsid w:val="00E34BBD"/>
    <w:rsid w:val="00E34D28"/>
    <w:rsid w:val="00E34D62"/>
    <w:rsid w:val="00E34FC7"/>
    <w:rsid w:val="00E3573E"/>
    <w:rsid w:val="00E358D2"/>
    <w:rsid w:val="00E35C86"/>
    <w:rsid w:val="00E35E8F"/>
    <w:rsid w:val="00E36013"/>
    <w:rsid w:val="00E3604A"/>
    <w:rsid w:val="00E36452"/>
    <w:rsid w:val="00E36641"/>
    <w:rsid w:val="00E36BC6"/>
    <w:rsid w:val="00E3742E"/>
    <w:rsid w:val="00E375D8"/>
    <w:rsid w:val="00E3772F"/>
    <w:rsid w:val="00E37F28"/>
    <w:rsid w:val="00E40047"/>
    <w:rsid w:val="00E40067"/>
    <w:rsid w:val="00E400B1"/>
    <w:rsid w:val="00E404DE"/>
    <w:rsid w:val="00E40657"/>
    <w:rsid w:val="00E4080A"/>
    <w:rsid w:val="00E40C78"/>
    <w:rsid w:val="00E40D84"/>
    <w:rsid w:val="00E40E02"/>
    <w:rsid w:val="00E40E70"/>
    <w:rsid w:val="00E4115D"/>
    <w:rsid w:val="00E411B8"/>
    <w:rsid w:val="00E41299"/>
    <w:rsid w:val="00E41927"/>
    <w:rsid w:val="00E419E6"/>
    <w:rsid w:val="00E41CF1"/>
    <w:rsid w:val="00E41E29"/>
    <w:rsid w:val="00E41F83"/>
    <w:rsid w:val="00E42742"/>
    <w:rsid w:val="00E427F6"/>
    <w:rsid w:val="00E42A71"/>
    <w:rsid w:val="00E42DEC"/>
    <w:rsid w:val="00E4313A"/>
    <w:rsid w:val="00E435C0"/>
    <w:rsid w:val="00E435E8"/>
    <w:rsid w:val="00E4382C"/>
    <w:rsid w:val="00E43DBB"/>
    <w:rsid w:val="00E44244"/>
    <w:rsid w:val="00E4453E"/>
    <w:rsid w:val="00E44681"/>
    <w:rsid w:val="00E44AF7"/>
    <w:rsid w:val="00E44BFC"/>
    <w:rsid w:val="00E44D3F"/>
    <w:rsid w:val="00E44DF1"/>
    <w:rsid w:val="00E44F23"/>
    <w:rsid w:val="00E45521"/>
    <w:rsid w:val="00E45598"/>
    <w:rsid w:val="00E4598F"/>
    <w:rsid w:val="00E45A59"/>
    <w:rsid w:val="00E45C74"/>
    <w:rsid w:val="00E45FF8"/>
    <w:rsid w:val="00E4615A"/>
    <w:rsid w:val="00E46232"/>
    <w:rsid w:val="00E4674A"/>
    <w:rsid w:val="00E4681F"/>
    <w:rsid w:val="00E468AB"/>
    <w:rsid w:val="00E46976"/>
    <w:rsid w:val="00E46B9E"/>
    <w:rsid w:val="00E46F00"/>
    <w:rsid w:val="00E47737"/>
    <w:rsid w:val="00E47893"/>
    <w:rsid w:val="00E479F8"/>
    <w:rsid w:val="00E47A4A"/>
    <w:rsid w:val="00E47F2A"/>
    <w:rsid w:val="00E50083"/>
    <w:rsid w:val="00E500F0"/>
    <w:rsid w:val="00E50440"/>
    <w:rsid w:val="00E505A3"/>
    <w:rsid w:val="00E505E7"/>
    <w:rsid w:val="00E50982"/>
    <w:rsid w:val="00E50A0A"/>
    <w:rsid w:val="00E50A5F"/>
    <w:rsid w:val="00E50DD7"/>
    <w:rsid w:val="00E50E56"/>
    <w:rsid w:val="00E50F90"/>
    <w:rsid w:val="00E51207"/>
    <w:rsid w:val="00E5144A"/>
    <w:rsid w:val="00E514F3"/>
    <w:rsid w:val="00E5157A"/>
    <w:rsid w:val="00E51AF6"/>
    <w:rsid w:val="00E51D81"/>
    <w:rsid w:val="00E51E50"/>
    <w:rsid w:val="00E51F5F"/>
    <w:rsid w:val="00E521D9"/>
    <w:rsid w:val="00E52242"/>
    <w:rsid w:val="00E52245"/>
    <w:rsid w:val="00E5299A"/>
    <w:rsid w:val="00E52F80"/>
    <w:rsid w:val="00E53115"/>
    <w:rsid w:val="00E531D8"/>
    <w:rsid w:val="00E53227"/>
    <w:rsid w:val="00E532EB"/>
    <w:rsid w:val="00E5332E"/>
    <w:rsid w:val="00E5338E"/>
    <w:rsid w:val="00E5375B"/>
    <w:rsid w:val="00E538B0"/>
    <w:rsid w:val="00E53B5C"/>
    <w:rsid w:val="00E53D10"/>
    <w:rsid w:val="00E53F2F"/>
    <w:rsid w:val="00E5456F"/>
    <w:rsid w:val="00E54974"/>
    <w:rsid w:val="00E54ADF"/>
    <w:rsid w:val="00E54B3D"/>
    <w:rsid w:val="00E54CA6"/>
    <w:rsid w:val="00E54D9E"/>
    <w:rsid w:val="00E54FF7"/>
    <w:rsid w:val="00E552DD"/>
    <w:rsid w:val="00E55343"/>
    <w:rsid w:val="00E55365"/>
    <w:rsid w:val="00E554F1"/>
    <w:rsid w:val="00E55585"/>
    <w:rsid w:val="00E55719"/>
    <w:rsid w:val="00E55758"/>
    <w:rsid w:val="00E55A6A"/>
    <w:rsid w:val="00E56046"/>
    <w:rsid w:val="00E56301"/>
    <w:rsid w:val="00E56680"/>
    <w:rsid w:val="00E56856"/>
    <w:rsid w:val="00E569DB"/>
    <w:rsid w:val="00E56A8D"/>
    <w:rsid w:val="00E56B63"/>
    <w:rsid w:val="00E56EC0"/>
    <w:rsid w:val="00E56F23"/>
    <w:rsid w:val="00E5723B"/>
    <w:rsid w:val="00E5758B"/>
    <w:rsid w:val="00E57AB7"/>
    <w:rsid w:val="00E57E10"/>
    <w:rsid w:val="00E57E8B"/>
    <w:rsid w:val="00E57FCA"/>
    <w:rsid w:val="00E602C9"/>
    <w:rsid w:val="00E60455"/>
    <w:rsid w:val="00E60763"/>
    <w:rsid w:val="00E6081E"/>
    <w:rsid w:val="00E609C7"/>
    <w:rsid w:val="00E60A4B"/>
    <w:rsid w:val="00E61137"/>
    <w:rsid w:val="00E6120D"/>
    <w:rsid w:val="00E61884"/>
    <w:rsid w:val="00E61A7D"/>
    <w:rsid w:val="00E61F1D"/>
    <w:rsid w:val="00E625C7"/>
    <w:rsid w:val="00E62689"/>
    <w:rsid w:val="00E62A13"/>
    <w:rsid w:val="00E62A4D"/>
    <w:rsid w:val="00E62F4A"/>
    <w:rsid w:val="00E6329B"/>
    <w:rsid w:val="00E635C2"/>
    <w:rsid w:val="00E63808"/>
    <w:rsid w:val="00E63C94"/>
    <w:rsid w:val="00E63F06"/>
    <w:rsid w:val="00E6409A"/>
    <w:rsid w:val="00E64157"/>
    <w:rsid w:val="00E644F2"/>
    <w:rsid w:val="00E6468B"/>
    <w:rsid w:val="00E64767"/>
    <w:rsid w:val="00E6529B"/>
    <w:rsid w:val="00E652AE"/>
    <w:rsid w:val="00E653DD"/>
    <w:rsid w:val="00E6561E"/>
    <w:rsid w:val="00E65818"/>
    <w:rsid w:val="00E65857"/>
    <w:rsid w:val="00E659D1"/>
    <w:rsid w:val="00E65A3B"/>
    <w:rsid w:val="00E65C47"/>
    <w:rsid w:val="00E65F03"/>
    <w:rsid w:val="00E66021"/>
    <w:rsid w:val="00E660BE"/>
    <w:rsid w:val="00E6616F"/>
    <w:rsid w:val="00E66381"/>
    <w:rsid w:val="00E665C2"/>
    <w:rsid w:val="00E66D19"/>
    <w:rsid w:val="00E66FB8"/>
    <w:rsid w:val="00E672A1"/>
    <w:rsid w:val="00E675D8"/>
    <w:rsid w:val="00E67A52"/>
    <w:rsid w:val="00E67ADA"/>
    <w:rsid w:val="00E67CCC"/>
    <w:rsid w:val="00E67EAC"/>
    <w:rsid w:val="00E67F08"/>
    <w:rsid w:val="00E70295"/>
    <w:rsid w:val="00E7030C"/>
    <w:rsid w:val="00E704B5"/>
    <w:rsid w:val="00E7055B"/>
    <w:rsid w:val="00E70901"/>
    <w:rsid w:val="00E70AB3"/>
    <w:rsid w:val="00E70FCA"/>
    <w:rsid w:val="00E71933"/>
    <w:rsid w:val="00E728C2"/>
    <w:rsid w:val="00E72A1E"/>
    <w:rsid w:val="00E72B01"/>
    <w:rsid w:val="00E72E08"/>
    <w:rsid w:val="00E7312C"/>
    <w:rsid w:val="00E7322F"/>
    <w:rsid w:val="00E732AD"/>
    <w:rsid w:val="00E736B3"/>
    <w:rsid w:val="00E7445B"/>
    <w:rsid w:val="00E751E5"/>
    <w:rsid w:val="00E7522A"/>
    <w:rsid w:val="00E75DFE"/>
    <w:rsid w:val="00E75EDB"/>
    <w:rsid w:val="00E75EF6"/>
    <w:rsid w:val="00E75FCF"/>
    <w:rsid w:val="00E7602D"/>
    <w:rsid w:val="00E760AC"/>
    <w:rsid w:val="00E76175"/>
    <w:rsid w:val="00E763AC"/>
    <w:rsid w:val="00E7647E"/>
    <w:rsid w:val="00E76961"/>
    <w:rsid w:val="00E76E05"/>
    <w:rsid w:val="00E76EB5"/>
    <w:rsid w:val="00E77117"/>
    <w:rsid w:val="00E77161"/>
    <w:rsid w:val="00E771CF"/>
    <w:rsid w:val="00E77256"/>
    <w:rsid w:val="00E773FD"/>
    <w:rsid w:val="00E774C4"/>
    <w:rsid w:val="00E77532"/>
    <w:rsid w:val="00E77633"/>
    <w:rsid w:val="00E778A9"/>
    <w:rsid w:val="00E77A27"/>
    <w:rsid w:val="00E77C10"/>
    <w:rsid w:val="00E80259"/>
    <w:rsid w:val="00E8033D"/>
    <w:rsid w:val="00E80F19"/>
    <w:rsid w:val="00E81188"/>
    <w:rsid w:val="00E813BA"/>
    <w:rsid w:val="00E816E8"/>
    <w:rsid w:val="00E81C7E"/>
    <w:rsid w:val="00E81E3D"/>
    <w:rsid w:val="00E81F38"/>
    <w:rsid w:val="00E824F5"/>
    <w:rsid w:val="00E8282B"/>
    <w:rsid w:val="00E828B6"/>
    <w:rsid w:val="00E82BCD"/>
    <w:rsid w:val="00E82BEF"/>
    <w:rsid w:val="00E82CD7"/>
    <w:rsid w:val="00E833F8"/>
    <w:rsid w:val="00E834C6"/>
    <w:rsid w:val="00E83983"/>
    <w:rsid w:val="00E83AB8"/>
    <w:rsid w:val="00E840E8"/>
    <w:rsid w:val="00E8422F"/>
    <w:rsid w:val="00E84465"/>
    <w:rsid w:val="00E845A1"/>
    <w:rsid w:val="00E84957"/>
    <w:rsid w:val="00E84DAE"/>
    <w:rsid w:val="00E85061"/>
    <w:rsid w:val="00E85259"/>
    <w:rsid w:val="00E85BE5"/>
    <w:rsid w:val="00E85C0F"/>
    <w:rsid w:val="00E85C9E"/>
    <w:rsid w:val="00E85EA2"/>
    <w:rsid w:val="00E86154"/>
    <w:rsid w:val="00E865F9"/>
    <w:rsid w:val="00E86672"/>
    <w:rsid w:val="00E867F0"/>
    <w:rsid w:val="00E86BBF"/>
    <w:rsid w:val="00E86DED"/>
    <w:rsid w:val="00E86FCE"/>
    <w:rsid w:val="00E8736F"/>
    <w:rsid w:val="00E874A1"/>
    <w:rsid w:val="00E87984"/>
    <w:rsid w:val="00E87A4D"/>
    <w:rsid w:val="00E87CE6"/>
    <w:rsid w:val="00E87DF2"/>
    <w:rsid w:val="00E87E76"/>
    <w:rsid w:val="00E906BF"/>
    <w:rsid w:val="00E907F4"/>
    <w:rsid w:val="00E908A1"/>
    <w:rsid w:val="00E909B8"/>
    <w:rsid w:val="00E90CC5"/>
    <w:rsid w:val="00E90DEE"/>
    <w:rsid w:val="00E90F10"/>
    <w:rsid w:val="00E913C5"/>
    <w:rsid w:val="00E9170E"/>
    <w:rsid w:val="00E919F2"/>
    <w:rsid w:val="00E91A44"/>
    <w:rsid w:val="00E91BBE"/>
    <w:rsid w:val="00E91BFF"/>
    <w:rsid w:val="00E920C8"/>
    <w:rsid w:val="00E92853"/>
    <w:rsid w:val="00E92C7D"/>
    <w:rsid w:val="00E9304C"/>
    <w:rsid w:val="00E93271"/>
    <w:rsid w:val="00E932B5"/>
    <w:rsid w:val="00E93393"/>
    <w:rsid w:val="00E93402"/>
    <w:rsid w:val="00E939D4"/>
    <w:rsid w:val="00E93FE5"/>
    <w:rsid w:val="00E941D2"/>
    <w:rsid w:val="00E94281"/>
    <w:rsid w:val="00E94B17"/>
    <w:rsid w:val="00E950DE"/>
    <w:rsid w:val="00E95365"/>
    <w:rsid w:val="00E95B1C"/>
    <w:rsid w:val="00E95DC7"/>
    <w:rsid w:val="00E96168"/>
    <w:rsid w:val="00E96235"/>
    <w:rsid w:val="00E9662D"/>
    <w:rsid w:val="00E967D5"/>
    <w:rsid w:val="00E96B38"/>
    <w:rsid w:val="00E96C4B"/>
    <w:rsid w:val="00E96C6E"/>
    <w:rsid w:val="00E96E10"/>
    <w:rsid w:val="00E973B1"/>
    <w:rsid w:val="00E97AAA"/>
    <w:rsid w:val="00E97AEC"/>
    <w:rsid w:val="00E97B60"/>
    <w:rsid w:val="00E97D9C"/>
    <w:rsid w:val="00E97F5C"/>
    <w:rsid w:val="00EA03A5"/>
    <w:rsid w:val="00EA03BA"/>
    <w:rsid w:val="00EA047F"/>
    <w:rsid w:val="00EA08BB"/>
    <w:rsid w:val="00EA09CD"/>
    <w:rsid w:val="00EA0AD1"/>
    <w:rsid w:val="00EA0BF0"/>
    <w:rsid w:val="00EA0EC7"/>
    <w:rsid w:val="00EA1275"/>
    <w:rsid w:val="00EA14B9"/>
    <w:rsid w:val="00EA167B"/>
    <w:rsid w:val="00EA1746"/>
    <w:rsid w:val="00EA1C46"/>
    <w:rsid w:val="00EA1FF0"/>
    <w:rsid w:val="00EA20F7"/>
    <w:rsid w:val="00EA215D"/>
    <w:rsid w:val="00EA22AE"/>
    <w:rsid w:val="00EA23E5"/>
    <w:rsid w:val="00EA24B9"/>
    <w:rsid w:val="00EA2691"/>
    <w:rsid w:val="00EA2C11"/>
    <w:rsid w:val="00EA2F87"/>
    <w:rsid w:val="00EA30BF"/>
    <w:rsid w:val="00EA30D1"/>
    <w:rsid w:val="00EA3C8D"/>
    <w:rsid w:val="00EA3D25"/>
    <w:rsid w:val="00EA3E54"/>
    <w:rsid w:val="00EA3F26"/>
    <w:rsid w:val="00EA42FD"/>
    <w:rsid w:val="00EA480B"/>
    <w:rsid w:val="00EA4812"/>
    <w:rsid w:val="00EA49D5"/>
    <w:rsid w:val="00EA4BB1"/>
    <w:rsid w:val="00EA4C02"/>
    <w:rsid w:val="00EA5528"/>
    <w:rsid w:val="00EA5695"/>
    <w:rsid w:val="00EA5826"/>
    <w:rsid w:val="00EA5B1B"/>
    <w:rsid w:val="00EA5B23"/>
    <w:rsid w:val="00EA5DD2"/>
    <w:rsid w:val="00EA6202"/>
    <w:rsid w:val="00EA6404"/>
    <w:rsid w:val="00EA6465"/>
    <w:rsid w:val="00EA65C6"/>
    <w:rsid w:val="00EA672C"/>
    <w:rsid w:val="00EA68EA"/>
    <w:rsid w:val="00EA6977"/>
    <w:rsid w:val="00EA6ABF"/>
    <w:rsid w:val="00EA6C95"/>
    <w:rsid w:val="00EA6D17"/>
    <w:rsid w:val="00EA7E8E"/>
    <w:rsid w:val="00EA7F36"/>
    <w:rsid w:val="00EB0007"/>
    <w:rsid w:val="00EB0135"/>
    <w:rsid w:val="00EB060E"/>
    <w:rsid w:val="00EB06DF"/>
    <w:rsid w:val="00EB0A23"/>
    <w:rsid w:val="00EB0AC0"/>
    <w:rsid w:val="00EB0CA5"/>
    <w:rsid w:val="00EB0F8E"/>
    <w:rsid w:val="00EB13B4"/>
    <w:rsid w:val="00EB1485"/>
    <w:rsid w:val="00EB148F"/>
    <w:rsid w:val="00EB16B4"/>
    <w:rsid w:val="00EB16C3"/>
    <w:rsid w:val="00EB1B04"/>
    <w:rsid w:val="00EB1BB8"/>
    <w:rsid w:val="00EB20DD"/>
    <w:rsid w:val="00EB22B9"/>
    <w:rsid w:val="00EB2607"/>
    <w:rsid w:val="00EB26F8"/>
    <w:rsid w:val="00EB27E5"/>
    <w:rsid w:val="00EB2963"/>
    <w:rsid w:val="00EB2A89"/>
    <w:rsid w:val="00EB2B19"/>
    <w:rsid w:val="00EB2F30"/>
    <w:rsid w:val="00EB2FA1"/>
    <w:rsid w:val="00EB3143"/>
    <w:rsid w:val="00EB3151"/>
    <w:rsid w:val="00EB367B"/>
    <w:rsid w:val="00EB3694"/>
    <w:rsid w:val="00EB3909"/>
    <w:rsid w:val="00EB3974"/>
    <w:rsid w:val="00EB3978"/>
    <w:rsid w:val="00EB3A31"/>
    <w:rsid w:val="00EB3B89"/>
    <w:rsid w:val="00EB3C37"/>
    <w:rsid w:val="00EB4015"/>
    <w:rsid w:val="00EB4242"/>
    <w:rsid w:val="00EB447B"/>
    <w:rsid w:val="00EB4A38"/>
    <w:rsid w:val="00EB4C0B"/>
    <w:rsid w:val="00EB4C0E"/>
    <w:rsid w:val="00EB4D5A"/>
    <w:rsid w:val="00EB4F70"/>
    <w:rsid w:val="00EB52FB"/>
    <w:rsid w:val="00EB5333"/>
    <w:rsid w:val="00EB5509"/>
    <w:rsid w:val="00EB57BD"/>
    <w:rsid w:val="00EB588F"/>
    <w:rsid w:val="00EB5AF9"/>
    <w:rsid w:val="00EB5BEC"/>
    <w:rsid w:val="00EB63AF"/>
    <w:rsid w:val="00EB64D8"/>
    <w:rsid w:val="00EB6B4B"/>
    <w:rsid w:val="00EB6C35"/>
    <w:rsid w:val="00EB713A"/>
    <w:rsid w:val="00EB7408"/>
    <w:rsid w:val="00EB7727"/>
    <w:rsid w:val="00EB77DB"/>
    <w:rsid w:val="00EB7A8E"/>
    <w:rsid w:val="00EB7C32"/>
    <w:rsid w:val="00EC02DF"/>
    <w:rsid w:val="00EC0563"/>
    <w:rsid w:val="00EC06FB"/>
    <w:rsid w:val="00EC0B19"/>
    <w:rsid w:val="00EC0BAC"/>
    <w:rsid w:val="00EC0D2C"/>
    <w:rsid w:val="00EC1107"/>
    <w:rsid w:val="00EC111F"/>
    <w:rsid w:val="00EC156B"/>
    <w:rsid w:val="00EC1D1A"/>
    <w:rsid w:val="00EC230B"/>
    <w:rsid w:val="00EC262C"/>
    <w:rsid w:val="00EC2A7B"/>
    <w:rsid w:val="00EC330F"/>
    <w:rsid w:val="00EC408D"/>
    <w:rsid w:val="00EC40A2"/>
    <w:rsid w:val="00EC40DC"/>
    <w:rsid w:val="00EC47C8"/>
    <w:rsid w:val="00EC4962"/>
    <w:rsid w:val="00EC4D5E"/>
    <w:rsid w:val="00EC4EA7"/>
    <w:rsid w:val="00EC5101"/>
    <w:rsid w:val="00EC5111"/>
    <w:rsid w:val="00EC5B32"/>
    <w:rsid w:val="00EC5C14"/>
    <w:rsid w:val="00EC5CFF"/>
    <w:rsid w:val="00EC5DA7"/>
    <w:rsid w:val="00EC5ECD"/>
    <w:rsid w:val="00EC5F41"/>
    <w:rsid w:val="00EC61FB"/>
    <w:rsid w:val="00EC6271"/>
    <w:rsid w:val="00EC65D2"/>
    <w:rsid w:val="00EC67B6"/>
    <w:rsid w:val="00EC6A6C"/>
    <w:rsid w:val="00EC6AC0"/>
    <w:rsid w:val="00EC6DAD"/>
    <w:rsid w:val="00EC772D"/>
    <w:rsid w:val="00EC7886"/>
    <w:rsid w:val="00EC7E3D"/>
    <w:rsid w:val="00ED0055"/>
    <w:rsid w:val="00ED0076"/>
    <w:rsid w:val="00ED0110"/>
    <w:rsid w:val="00ED086D"/>
    <w:rsid w:val="00ED0C79"/>
    <w:rsid w:val="00ED0E56"/>
    <w:rsid w:val="00ED0F84"/>
    <w:rsid w:val="00ED100D"/>
    <w:rsid w:val="00ED115D"/>
    <w:rsid w:val="00ED1307"/>
    <w:rsid w:val="00ED143C"/>
    <w:rsid w:val="00ED14B2"/>
    <w:rsid w:val="00ED1880"/>
    <w:rsid w:val="00ED1974"/>
    <w:rsid w:val="00ED287B"/>
    <w:rsid w:val="00ED28DE"/>
    <w:rsid w:val="00ED2C38"/>
    <w:rsid w:val="00ED2CA4"/>
    <w:rsid w:val="00ED2E7D"/>
    <w:rsid w:val="00ED2FD6"/>
    <w:rsid w:val="00ED3038"/>
    <w:rsid w:val="00ED3265"/>
    <w:rsid w:val="00ED334A"/>
    <w:rsid w:val="00ED3EAF"/>
    <w:rsid w:val="00ED400B"/>
    <w:rsid w:val="00ED400E"/>
    <w:rsid w:val="00ED4193"/>
    <w:rsid w:val="00ED44DF"/>
    <w:rsid w:val="00ED4AA1"/>
    <w:rsid w:val="00ED5301"/>
    <w:rsid w:val="00ED5347"/>
    <w:rsid w:val="00ED552D"/>
    <w:rsid w:val="00ED5649"/>
    <w:rsid w:val="00ED5678"/>
    <w:rsid w:val="00ED5714"/>
    <w:rsid w:val="00ED59A6"/>
    <w:rsid w:val="00ED5B3C"/>
    <w:rsid w:val="00ED5CCE"/>
    <w:rsid w:val="00ED64B3"/>
    <w:rsid w:val="00ED65C4"/>
    <w:rsid w:val="00ED6715"/>
    <w:rsid w:val="00ED67AE"/>
    <w:rsid w:val="00ED67CC"/>
    <w:rsid w:val="00ED67E6"/>
    <w:rsid w:val="00ED686B"/>
    <w:rsid w:val="00ED68DC"/>
    <w:rsid w:val="00ED6DDD"/>
    <w:rsid w:val="00ED6E9A"/>
    <w:rsid w:val="00ED7220"/>
    <w:rsid w:val="00ED722E"/>
    <w:rsid w:val="00ED7275"/>
    <w:rsid w:val="00ED74EF"/>
    <w:rsid w:val="00ED7535"/>
    <w:rsid w:val="00ED791C"/>
    <w:rsid w:val="00ED7AE0"/>
    <w:rsid w:val="00ED7B60"/>
    <w:rsid w:val="00ED7DEB"/>
    <w:rsid w:val="00ED7E73"/>
    <w:rsid w:val="00EE01A9"/>
    <w:rsid w:val="00EE0340"/>
    <w:rsid w:val="00EE0578"/>
    <w:rsid w:val="00EE07C6"/>
    <w:rsid w:val="00EE0A62"/>
    <w:rsid w:val="00EE0C70"/>
    <w:rsid w:val="00EE0E5A"/>
    <w:rsid w:val="00EE0EB2"/>
    <w:rsid w:val="00EE0F51"/>
    <w:rsid w:val="00EE0F9B"/>
    <w:rsid w:val="00EE1067"/>
    <w:rsid w:val="00EE10F2"/>
    <w:rsid w:val="00EE1179"/>
    <w:rsid w:val="00EE1582"/>
    <w:rsid w:val="00EE17DC"/>
    <w:rsid w:val="00EE1976"/>
    <w:rsid w:val="00EE1C5D"/>
    <w:rsid w:val="00EE2232"/>
    <w:rsid w:val="00EE22C5"/>
    <w:rsid w:val="00EE26D3"/>
    <w:rsid w:val="00EE2714"/>
    <w:rsid w:val="00EE2B6A"/>
    <w:rsid w:val="00EE2B71"/>
    <w:rsid w:val="00EE2D8D"/>
    <w:rsid w:val="00EE2EF6"/>
    <w:rsid w:val="00EE30BB"/>
    <w:rsid w:val="00EE335F"/>
    <w:rsid w:val="00EE37C8"/>
    <w:rsid w:val="00EE43BA"/>
    <w:rsid w:val="00EE444A"/>
    <w:rsid w:val="00EE45CB"/>
    <w:rsid w:val="00EE4652"/>
    <w:rsid w:val="00EE48D9"/>
    <w:rsid w:val="00EE495E"/>
    <w:rsid w:val="00EE528E"/>
    <w:rsid w:val="00EE539B"/>
    <w:rsid w:val="00EE5A2A"/>
    <w:rsid w:val="00EE5B05"/>
    <w:rsid w:val="00EE5E8F"/>
    <w:rsid w:val="00EE62B1"/>
    <w:rsid w:val="00EE6E0A"/>
    <w:rsid w:val="00EE6F13"/>
    <w:rsid w:val="00EE6F1D"/>
    <w:rsid w:val="00EE733D"/>
    <w:rsid w:val="00EE7689"/>
    <w:rsid w:val="00EE7905"/>
    <w:rsid w:val="00EE7D9A"/>
    <w:rsid w:val="00EE7E96"/>
    <w:rsid w:val="00EE7FC2"/>
    <w:rsid w:val="00EF0769"/>
    <w:rsid w:val="00EF0A6C"/>
    <w:rsid w:val="00EF0DE4"/>
    <w:rsid w:val="00EF0E94"/>
    <w:rsid w:val="00EF102F"/>
    <w:rsid w:val="00EF10E5"/>
    <w:rsid w:val="00EF1889"/>
    <w:rsid w:val="00EF18C3"/>
    <w:rsid w:val="00EF199F"/>
    <w:rsid w:val="00EF19E3"/>
    <w:rsid w:val="00EF1EF0"/>
    <w:rsid w:val="00EF2147"/>
    <w:rsid w:val="00EF220E"/>
    <w:rsid w:val="00EF23F9"/>
    <w:rsid w:val="00EF24C6"/>
    <w:rsid w:val="00EF285C"/>
    <w:rsid w:val="00EF29A9"/>
    <w:rsid w:val="00EF2B12"/>
    <w:rsid w:val="00EF2DCF"/>
    <w:rsid w:val="00EF2E4D"/>
    <w:rsid w:val="00EF35F1"/>
    <w:rsid w:val="00EF3F93"/>
    <w:rsid w:val="00EF45EE"/>
    <w:rsid w:val="00EF465C"/>
    <w:rsid w:val="00EF4804"/>
    <w:rsid w:val="00EF4827"/>
    <w:rsid w:val="00EF4A24"/>
    <w:rsid w:val="00EF4AA9"/>
    <w:rsid w:val="00EF4E82"/>
    <w:rsid w:val="00EF4F1C"/>
    <w:rsid w:val="00EF5212"/>
    <w:rsid w:val="00EF56C3"/>
    <w:rsid w:val="00EF5756"/>
    <w:rsid w:val="00EF57FA"/>
    <w:rsid w:val="00EF5EA7"/>
    <w:rsid w:val="00EF6099"/>
    <w:rsid w:val="00EF619B"/>
    <w:rsid w:val="00EF647A"/>
    <w:rsid w:val="00EF6A34"/>
    <w:rsid w:val="00EF6A68"/>
    <w:rsid w:val="00EF6CA6"/>
    <w:rsid w:val="00EF740A"/>
    <w:rsid w:val="00EF7583"/>
    <w:rsid w:val="00EF7724"/>
    <w:rsid w:val="00EF7978"/>
    <w:rsid w:val="00EF7A81"/>
    <w:rsid w:val="00EF7FEC"/>
    <w:rsid w:val="00F000A8"/>
    <w:rsid w:val="00F00178"/>
    <w:rsid w:val="00F0023C"/>
    <w:rsid w:val="00F0054A"/>
    <w:rsid w:val="00F0065D"/>
    <w:rsid w:val="00F00688"/>
    <w:rsid w:val="00F00AA5"/>
    <w:rsid w:val="00F00B07"/>
    <w:rsid w:val="00F00BCD"/>
    <w:rsid w:val="00F012B7"/>
    <w:rsid w:val="00F01735"/>
    <w:rsid w:val="00F01BA3"/>
    <w:rsid w:val="00F01CF4"/>
    <w:rsid w:val="00F01D6D"/>
    <w:rsid w:val="00F01D9A"/>
    <w:rsid w:val="00F0208B"/>
    <w:rsid w:val="00F0216D"/>
    <w:rsid w:val="00F0230D"/>
    <w:rsid w:val="00F02741"/>
    <w:rsid w:val="00F027E8"/>
    <w:rsid w:val="00F0290A"/>
    <w:rsid w:val="00F02994"/>
    <w:rsid w:val="00F02E27"/>
    <w:rsid w:val="00F02F2B"/>
    <w:rsid w:val="00F03542"/>
    <w:rsid w:val="00F03736"/>
    <w:rsid w:val="00F0377D"/>
    <w:rsid w:val="00F03971"/>
    <w:rsid w:val="00F03F69"/>
    <w:rsid w:val="00F0426F"/>
    <w:rsid w:val="00F04620"/>
    <w:rsid w:val="00F04679"/>
    <w:rsid w:val="00F046E7"/>
    <w:rsid w:val="00F04C3E"/>
    <w:rsid w:val="00F04D86"/>
    <w:rsid w:val="00F04DE7"/>
    <w:rsid w:val="00F05040"/>
    <w:rsid w:val="00F05205"/>
    <w:rsid w:val="00F0574A"/>
    <w:rsid w:val="00F05980"/>
    <w:rsid w:val="00F05983"/>
    <w:rsid w:val="00F05C9B"/>
    <w:rsid w:val="00F05CEF"/>
    <w:rsid w:val="00F05DAE"/>
    <w:rsid w:val="00F05E50"/>
    <w:rsid w:val="00F06335"/>
    <w:rsid w:val="00F063B6"/>
    <w:rsid w:val="00F0643D"/>
    <w:rsid w:val="00F06539"/>
    <w:rsid w:val="00F0656E"/>
    <w:rsid w:val="00F066E7"/>
    <w:rsid w:val="00F0688C"/>
    <w:rsid w:val="00F06C4D"/>
    <w:rsid w:val="00F07030"/>
    <w:rsid w:val="00F070D9"/>
    <w:rsid w:val="00F071B7"/>
    <w:rsid w:val="00F07208"/>
    <w:rsid w:val="00F074A1"/>
    <w:rsid w:val="00F074EA"/>
    <w:rsid w:val="00F075D7"/>
    <w:rsid w:val="00F079A1"/>
    <w:rsid w:val="00F07C9A"/>
    <w:rsid w:val="00F07D8D"/>
    <w:rsid w:val="00F07FAC"/>
    <w:rsid w:val="00F1011C"/>
    <w:rsid w:val="00F10284"/>
    <w:rsid w:val="00F10304"/>
    <w:rsid w:val="00F104ED"/>
    <w:rsid w:val="00F109B3"/>
    <w:rsid w:val="00F10A24"/>
    <w:rsid w:val="00F10A52"/>
    <w:rsid w:val="00F10A82"/>
    <w:rsid w:val="00F10C31"/>
    <w:rsid w:val="00F10CF9"/>
    <w:rsid w:val="00F1101B"/>
    <w:rsid w:val="00F11116"/>
    <w:rsid w:val="00F111C8"/>
    <w:rsid w:val="00F1149D"/>
    <w:rsid w:val="00F115EE"/>
    <w:rsid w:val="00F116A9"/>
    <w:rsid w:val="00F116C1"/>
    <w:rsid w:val="00F11BA2"/>
    <w:rsid w:val="00F11EB7"/>
    <w:rsid w:val="00F11EEE"/>
    <w:rsid w:val="00F120DA"/>
    <w:rsid w:val="00F1242C"/>
    <w:rsid w:val="00F13175"/>
    <w:rsid w:val="00F131B8"/>
    <w:rsid w:val="00F13282"/>
    <w:rsid w:val="00F138B5"/>
    <w:rsid w:val="00F139CA"/>
    <w:rsid w:val="00F13C8A"/>
    <w:rsid w:val="00F13E29"/>
    <w:rsid w:val="00F14443"/>
    <w:rsid w:val="00F14524"/>
    <w:rsid w:val="00F1472E"/>
    <w:rsid w:val="00F14735"/>
    <w:rsid w:val="00F14C4F"/>
    <w:rsid w:val="00F14D01"/>
    <w:rsid w:val="00F14E83"/>
    <w:rsid w:val="00F14EC6"/>
    <w:rsid w:val="00F15010"/>
    <w:rsid w:val="00F15040"/>
    <w:rsid w:val="00F1507F"/>
    <w:rsid w:val="00F150AC"/>
    <w:rsid w:val="00F15260"/>
    <w:rsid w:val="00F153B1"/>
    <w:rsid w:val="00F154BA"/>
    <w:rsid w:val="00F164F9"/>
    <w:rsid w:val="00F16762"/>
    <w:rsid w:val="00F16A3F"/>
    <w:rsid w:val="00F16AC1"/>
    <w:rsid w:val="00F16BE6"/>
    <w:rsid w:val="00F17650"/>
    <w:rsid w:val="00F17A04"/>
    <w:rsid w:val="00F17BBE"/>
    <w:rsid w:val="00F20108"/>
    <w:rsid w:val="00F20139"/>
    <w:rsid w:val="00F201D7"/>
    <w:rsid w:val="00F2022B"/>
    <w:rsid w:val="00F2029B"/>
    <w:rsid w:val="00F203EC"/>
    <w:rsid w:val="00F20501"/>
    <w:rsid w:val="00F20CE4"/>
    <w:rsid w:val="00F2125F"/>
    <w:rsid w:val="00F21300"/>
    <w:rsid w:val="00F2156E"/>
    <w:rsid w:val="00F218A5"/>
    <w:rsid w:val="00F21973"/>
    <w:rsid w:val="00F21B50"/>
    <w:rsid w:val="00F225D2"/>
    <w:rsid w:val="00F22D4D"/>
    <w:rsid w:val="00F22D9D"/>
    <w:rsid w:val="00F237C5"/>
    <w:rsid w:val="00F237D1"/>
    <w:rsid w:val="00F23835"/>
    <w:rsid w:val="00F239CC"/>
    <w:rsid w:val="00F24057"/>
    <w:rsid w:val="00F24148"/>
    <w:rsid w:val="00F24191"/>
    <w:rsid w:val="00F24474"/>
    <w:rsid w:val="00F244BD"/>
    <w:rsid w:val="00F245D9"/>
    <w:rsid w:val="00F24712"/>
    <w:rsid w:val="00F248B5"/>
    <w:rsid w:val="00F2492B"/>
    <w:rsid w:val="00F24963"/>
    <w:rsid w:val="00F249DC"/>
    <w:rsid w:val="00F24AEF"/>
    <w:rsid w:val="00F24B6E"/>
    <w:rsid w:val="00F24EB0"/>
    <w:rsid w:val="00F251D4"/>
    <w:rsid w:val="00F2585D"/>
    <w:rsid w:val="00F25CCF"/>
    <w:rsid w:val="00F25D17"/>
    <w:rsid w:val="00F25D41"/>
    <w:rsid w:val="00F25D47"/>
    <w:rsid w:val="00F25F34"/>
    <w:rsid w:val="00F261D4"/>
    <w:rsid w:val="00F262DD"/>
    <w:rsid w:val="00F263EB"/>
    <w:rsid w:val="00F2655B"/>
    <w:rsid w:val="00F2656F"/>
    <w:rsid w:val="00F2689A"/>
    <w:rsid w:val="00F269F5"/>
    <w:rsid w:val="00F26D56"/>
    <w:rsid w:val="00F2712B"/>
    <w:rsid w:val="00F271D4"/>
    <w:rsid w:val="00F273E0"/>
    <w:rsid w:val="00F278E0"/>
    <w:rsid w:val="00F27C81"/>
    <w:rsid w:val="00F27EF6"/>
    <w:rsid w:val="00F300A1"/>
    <w:rsid w:val="00F302B5"/>
    <w:rsid w:val="00F30441"/>
    <w:rsid w:val="00F30979"/>
    <w:rsid w:val="00F30A2C"/>
    <w:rsid w:val="00F30A5F"/>
    <w:rsid w:val="00F30E40"/>
    <w:rsid w:val="00F313A7"/>
    <w:rsid w:val="00F313FE"/>
    <w:rsid w:val="00F31414"/>
    <w:rsid w:val="00F31484"/>
    <w:rsid w:val="00F3163E"/>
    <w:rsid w:val="00F31998"/>
    <w:rsid w:val="00F31A20"/>
    <w:rsid w:val="00F31C62"/>
    <w:rsid w:val="00F31F0D"/>
    <w:rsid w:val="00F31F13"/>
    <w:rsid w:val="00F327E0"/>
    <w:rsid w:val="00F328FA"/>
    <w:rsid w:val="00F32B95"/>
    <w:rsid w:val="00F32D9E"/>
    <w:rsid w:val="00F33141"/>
    <w:rsid w:val="00F332A0"/>
    <w:rsid w:val="00F333D2"/>
    <w:rsid w:val="00F3347A"/>
    <w:rsid w:val="00F335FB"/>
    <w:rsid w:val="00F33C6F"/>
    <w:rsid w:val="00F33CCA"/>
    <w:rsid w:val="00F33E3D"/>
    <w:rsid w:val="00F34875"/>
    <w:rsid w:val="00F34AF9"/>
    <w:rsid w:val="00F34C16"/>
    <w:rsid w:val="00F34C79"/>
    <w:rsid w:val="00F34DD4"/>
    <w:rsid w:val="00F35260"/>
    <w:rsid w:val="00F35296"/>
    <w:rsid w:val="00F353AD"/>
    <w:rsid w:val="00F35868"/>
    <w:rsid w:val="00F359D7"/>
    <w:rsid w:val="00F35A46"/>
    <w:rsid w:val="00F35C0A"/>
    <w:rsid w:val="00F35C3D"/>
    <w:rsid w:val="00F35D0B"/>
    <w:rsid w:val="00F35F17"/>
    <w:rsid w:val="00F35FE5"/>
    <w:rsid w:val="00F360A4"/>
    <w:rsid w:val="00F36260"/>
    <w:rsid w:val="00F36309"/>
    <w:rsid w:val="00F3670D"/>
    <w:rsid w:val="00F36746"/>
    <w:rsid w:val="00F367F2"/>
    <w:rsid w:val="00F36816"/>
    <w:rsid w:val="00F3682F"/>
    <w:rsid w:val="00F369EC"/>
    <w:rsid w:val="00F36EE7"/>
    <w:rsid w:val="00F373AD"/>
    <w:rsid w:val="00F37539"/>
    <w:rsid w:val="00F377B3"/>
    <w:rsid w:val="00F377DD"/>
    <w:rsid w:val="00F40108"/>
    <w:rsid w:val="00F4022A"/>
    <w:rsid w:val="00F40894"/>
    <w:rsid w:val="00F409FE"/>
    <w:rsid w:val="00F40A9A"/>
    <w:rsid w:val="00F40B72"/>
    <w:rsid w:val="00F40CF9"/>
    <w:rsid w:val="00F40D0F"/>
    <w:rsid w:val="00F40F1B"/>
    <w:rsid w:val="00F4111B"/>
    <w:rsid w:val="00F41124"/>
    <w:rsid w:val="00F4112C"/>
    <w:rsid w:val="00F41484"/>
    <w:rsid w:val="00F41550"/>
    <w:rsid w:val="00F41808"/>
    <w:rsid w:val="00F41AF0"/>
    <w:rsid w:val="00F42273"/>
    <w:rsid w:val="00F426FA"/>
    <w:rsid w:val="00F42796"/>
    <w:rsid w:val="00F4297A"/>
    <w:rsid w:val="00F42B42"/>
    <w:rsid w:val="00F43281"/>
    <w:rsid w:val="00F43285"/>
    <w:rsid w:val="00F43382"/>
    <w:rsid w:val="00F43678"/>
    <w:rsid w:val="00F4368E"/>
    <w:rsid w:val="00F43A8F"/>
    <w:rsid w:val="00F43B68"/>
    <w:rsid w:val="00F43BD4"/>
    <w:rsid w:val="00F43EB4"/>
    <w:rsid w:val="00F43FD1"/>
    <w:rsid w:val="00F4405A"/>
    <w:rsid w:val="00F44222"/>
    <w:rsid w:val="00F4442D"/>
    <w:rsid w:val="00F444B4"/>
    <w:rsid w:val="00F4471E"/>
    <w:rsid w:val="00F44766"/>
    <w:rsid w:val="00F44A9E"/>
    <w:rsid w:val="00F44B07"/>
    <w:rsid w:val="00F44B53"/>
    <w:rsid w:val="00F44C9F"/>
    <w:rsid w:val="00F44CCD"/>
    <w:rsid w:val="00F451DC"/>
    <w:rsid w:val="00F4550D"/>
    <w:rsid w:val="00F45792"/>
    <w:rsid w:val="00F457AA"/>
    <w:rsid w:val="00F45FCC"/>
    <w:rsid w:val="00F461BA"/>
    <w:rsid w:val="00F463E8"/>
    <w:rsid w:val="00F4644C"/>
    <w:rsid w:val="00F4674D"/>
    <w:rsid w:val="00F46880"/>
    <w:rsid w:val="00F46B16"/>
    <w:rsid w:val="00F46B9D"/>
    <w:rsid w:val="00F46C8C"/>
    <w:rsid w:val="00F46D4D"/>
    <w:rsid w:val="00F46D52"/>
    <w:rsid w:val="00F46D56"/>
    <w:rsid w:val="00F4705F"/>
    <w:rsid w:val="00F471A5"/>
    <w:rsid w:val="00F47228"/>
    <w:rsid w:val="00F4725E"/>
    <w:rsid w:val="00F47985"/>
    <w:rsid w:val="00F47A3B"/>
    <w:rsid w:val="00F47A45"/>
    <w:rsid w:val="00F5083C"/>
    <w:rsid w:val="00F509A0"/>
    <w:rsid w:val="00F50A87"/>
    <w:rsid w:val="00F50E7C"/>
    <w:rsid w:val="00F512A6"/>
    <w:rsid w:val="00F5143C"/>
    <w:rsid w:val="00F51510"/>
    <w:rsid w:val="00F51A1D"/>
    <w:rsid w:val="00F51CF5"/>
    <w:rsid w:val="00F520AA"/>
    <w:rsid w:val="00F52107"/>
    <w:rsid w:val="00F525BD"/>
    <w:rsid w:val="00F525F7"/>
    <w:rsid w:val="00F52837"/>
    <w:rsid w:val="00F5298F"/>
    <w:rsid w:val="00F52AF8"/>
    <w:rsid w:val="00F52CC6"/>
    <w:rsid w:val="00F52D39"/>
    <w:rsid w:val="00F52E98"/>
    <w:rsid w:val="00F52F49"/>
    <w:rsid w:val="00F530E1"/>
    <w:rsid w:val="00F53428"/>
    <w:rsid w:val="00F534F1"/>
    <w:rsid w:val="00F537D4"/>
    <w:rsid w:val="00F53960"/>
    <w:rsid w:val="00F53A58"/>
    <w:rsid w:val="00F53E5D"/>
    <w:rsid w:val="00F53F4C"/>
    <w:rsid w:val="00F54217"/>
    <w:rsid w:val="00F547BA"/>
    <w:rsid w:val="00F5481C"/>
    <w:rsid w:val="00F54C53"/>
    <w:rsid w:val="00F553BE"/>
    <w:rsid w:val="00F55752"/>
    <w:rsid w:val="00F55A7A"/>
    <w:rsid w:val="00F55ECF"/>
    <w:rsid w:val="00F560CE"/>
    <w:rsid w:val="00F565AD"/>
    <w:rsid w:val="00F56694"/>
    <w:rsid w:val="00F56FAB"/>
    <w:rsid w:val="00F5709B"/>
    <w:rsid w:val="00F57177"/>
    <w:rsid w:val="00F57235"/>
    <w:rsid w:val="00F57298"/>
    <w:rsid w:val="00F572E5"/>
    <w:rsid w:val="00F5736A"/>
    <w:rsid w:val="00F57842"/>
    <w:rsid w:val="00F578ED"/>
    <w:rsid w:val="00F579CB"/>
    <w:rsid w:val="00F57A5C"/>
    <w:rsid w:val="00F57A9A"/>
    <w:rsid w:val="00F57A9B"/>
    <w:rsid w:val="00F57BF9"/>
    <w:rsid w:val="00F57D5D"/>
    <w:rsid w:val="00F600B0"/>
    <w:rsid w:val="00F60753"/>
    <w:rsid w:val="00F613ED"/>
    <w:rsid w:val="00F613F8"/>
    <w:rsid w:val="00F614D5"/>
    <w:rsid w:val="00F61871"/>
    <w:rsid w:val="00F61B27"/>
    <w:rsid w:val="00F61C35"/>
    <w:rsid w:val="00F61F55"/>
    <w:rsid w:val="00F621C6"/>
    <w:rsid w:val="00F6221E"/>
    <w:rsid w:val="00F6230F"/>
    <w:rsid w:val="00F623F4"/>
    <w:rsid w:val="00F628B3"/>
    <w:rsid w:val="00F628EF"/>
    <w:rsid w:val="00F62E12"/>
    <w:rsid w:val="00F62ED9"/>
    <w:rsid w:val="00F62F64"/>
    <w:rsid w:val="00F63195"/>
    <w:rsid w:val="00F632B5"/>
    <w:rsid w:val="00F638F1"/>
    <w:rsid w:val="00F63FF7"/>
    <w:rsid w:val="00F64081"/>
    <w:rsid w:val="00F64225"/>
    <w:rsid w:val="00F648B1"/>
    <w:rsid w:val="00F64A59"/>
    <w:rsid w:val="00F64C52"/>
    <w:rsid w:val="00F64D92"/>
    <w:rsid w:val="00F64DD5"/>
    <w:rsid w:val="00F64DE2"/>
    <w:rsid w:val="00F64FD9"/>
    <w:rsid w:val="00F6560A"/>
    <w:rsid w:val="00F658D9"/>
    <w:rsid w:val="00F65B00"/>
    <w:rsid w:val="00F65CF0"/>
    <w:rsid w:val="00F65D4C"/>
    <w:rsid w:val="00F65D93"/>
    <w:rsid w:val="00F6601B"/>
    <w:rsid w:val="00F6602E"/>
    <w:rsid w:val="00F66188"/>
    <w:rsid w:val="00F6658C"/>
    <w:rsid w:val="00F66CDF"/>
    <w:rsid w:val="00F66DAE"/>
    <w:rsid w:val="00F67494"/>
    <w:rsid w:val="00F6753C"/>
    <w:rsid w:val="00F6786D"/>
    <w:rsid w:val="00F70093"/>
    <w:rsid w:val="00F7058A"/>
    <w:rsid w:val="00F707A7"/>
    <w:rsid w:val="00F71080"/>
    <w:rsid w:val="00F71403"/>
    <w:rsid w:val="00F71585"/>
    <w:rsid w:val="00F71847"/>
    <w:rsid w:val="00F71D97"/>
    <w:rsid w:val="00F71F42"/>
    <w:rsid w:val="00F723E4"/>
    <w:rsid w:val="00F7270E"/>
    <w:rsid w:val="00F7273B"/>
    <w:rsid w:val="00F72C0E"/>
    <w:rsid w:val="00F72E19"/>
    <w:rsid w:val="00F72F05"/>
    <w:rsid w:val="00F72FFF"/>
    <w:rsid w:val="00F731ED"/>
    <w:rsid w:val="00F73685"/>
    <w:rsid w:val="00F736CC"/>
    <w:rsid w:val="00F7372E"/>
    <w:rsid w:val="00F73756"/>
    <w:rsid w:val="00F73918"/>
    <w:rsid w:val="00F73979"/>
    <w:rsid w:val="00F73E3A"/>
    <w:rsid w:val="00F73EBD"/>
    <w:rsid w:val="00F74161"/>
    <w:rsid w:val="00F741A4"/>
    <w:rsid w:val="00F7448C"/>
    <w:rsid w:val="00F745C2"/>
    <w:rsid w:val="00F7469D"/>
    <w:rsid w:val="00F74970"/>
    <w:rsid w:val="00F74EBA"/>
    <w:rsid w:val="00F74F50"/>
    <w:rsid w:val="00F75155"/>
    <w:rsid w:val="00F753D3"/>
    <w:rsid w:val="00F7552A"/>
    <w:rsid w:val="00F75545"/>
    <w:rsid w:val="00F756F6"/>
    <w:rsid w:val="00F757FF"/>
    <w:rsid w:val="00F75E0D"/>
    <w:rsid w:val="00F7602B"/>
    <w:rsid w:val="00F76168"/>
    <w:rsid w:val="00F76689"/>
    <w:rsid w:val="00F76861"/>
    <w:rsid w:val="00F76874"/>
    <w:rsid w:val="00F76A3D"/>
    <w:rsid w:val="00F77640"/>
    <w:rsid w:val="00F778AB"/>
    <w:rsid w:val="00F778DD"/>
    <w:rsid w:val="00F77A40"/>
    <w:rsid w:val="00F80268"/>
    <w:rsid w:val="00F804E0"/>
    <w:rsid w:val="00F80741"/>
    <w:rsid w:val="00F80837"/>
    <w:rsid w:val="00F80D44"/>
    <w:rsid w:val="00F8108E"/>
    <w:rsid w:val="00F814A9"/>
    <w:rsid w:val="00F814B4"/>
    <w:rsid w:val="00F81723"/>
    <w:rsid w:val="00F81A46"/>
    <w:rsid w:val="00F81C79"/>
    <w:rsid w:val="00F823B8"/>
    <w:rsid w:val="00F82669"/>
    <w:rsid w:val="00F82A93"/>
    <w:rsid w:val="00F82F2F"/>
    <w:rsid w:val="00F8311E"/>
    <w:rsid w:val="00F83482"/>
    <w:rsid w:val="00F83575"/>
    <w:rsid w:val="00F83864"/>
    <w:rsid w:val="00F84175"/>
    <w:rsid w:val="00F84299"/>
    <w:rsid w:val="00F844CF"/>
    <w:rsid w:val="00F84796"/>
    <w:rsid w:val="00F8491F"/>
    <w:rsid w:val="00F84C6C"/>
    <w:rsid w:val="00F84C84"/>
    <w:rsid w:val="00F84E65"/>
    <w:rsid w:val="00F84FB3"/>
    <w:rsid w:val="00F85209"/>
    <w:rsid w:val="00F8524D"/>
    <w:rsid w:val="00F85275"/>
    <w:rsid w:val="00F858FE"/>
    <w:rsid w:val="00F8630F"/>
    <w:rsid w:val="00F86597"/>
    <w:rsid w:val="00F86960"/>
    <w:rsid w:val="00F86EDD"/>
    <w:rsid w:val="00F8714A"/>
    <w:rsid w:val="00F8720A"/>
    <w:rsid w:val="00F87388"/>
    <w:rsid w:val="00F87581"/>
    <w:rsid w:val="00F87A56"/>
    <w:rsid w:val="00F87BA9"/>
    <w:rsid w:val="00F87CB6"/>
    <w:rsid w:val="00F9018F"/>
    <w:rsid w:val="00F902CE"/>
    <w:rsid w:val="00F90583"/>
    <w:rsid w:val="00F90CB0"/>
    <w:rsid w:val="00F90DEA"/>
    <w:rsid w:val="00F9111D"/>
    <w:rsid w:val="00F91345"/>
    <w:rsid w:val="00F91777"/>
    <w:rsid w:val="00F91C96"/>
    <w:rsid w:val="00F92062"/>
    <w:rsid w:val="00F9226F"/>
    <w:rsid w:val="00F922A2"/>
    <w:rsid w:val="00F92CDD"/>
    <w:rsid w:val="00F92D8A"/>
    <w:rsid w:val="00F931F3"/>
    <w:rsid w:val="00F931F5"/>
    <w:rsid w:val="00F93289"/>
    <w:rsid w:val="00F93470"/>
    <w:rsid w:val="00F9355A"/>
    <w:rsid w:val="00F93756"/>
    <w:rsid w:val="00F93AB1"/>
    <w:rsid w:val="00F93D17"/>
    <w:rsid w:val="00F93DAC"/>
    <w:rsid w:val="00F93FA4"/>
    <w:rsid w:val="00F9400A"/>
    <w:rsid w:val="00F94104"/>
    <w:rsid w:val="00F9438A"/>
    <w:rsid w:val="00F945B6"/>
    <w:rsid w:val="00F94786"/>
    <w:rsid w:val="00F94B5E"/>
    <w:rsid w:val="00F94BED"/>
    <w:rsid w:val="00F94D30"/>
    <w:rsid w:val="00F951F2"/>
    <w:rsid w:val="00F95B6E"/>
    <w:rsid w:val="00F95BA8"/>
    <w:rsid w:val="00F9670D"/>
    <w:rsid w:val="00F96714"/>
    <w:rsid w:val="00F96C3C"/>
    <w:rsid w:val="00F96F8C"/>
    <w:rsid w:val="00F96FEC"/>
    <w:rsid w:val="00F97365"/>
    <w:rsid w:val="00F97610"/>
    <w:rsid w:val="00F977DC"/>
    <w:rsid w:val="00F97807"/>
    <w:rsid w:val="00F97822"/>
    <w:rsid w:val="00F97D06"/>
    <w:rsid w:val="00FA040B"/>
    <w:rsid w:val="00FA0489"/>
    <w:rsid w:val="00FA0581"/>
    <w:rsid w:val="00FA0700"/>
    <w:rsid w:val="00FA0752"/>
    <w:rsid w:val="00FA07AE"/>
    <w:rsid w:val="00FA0A79"/>
    <w:rsid w:val="00FA0ADA"/>
    <w:rsid w:val="00FA1078"/>
    <w:rsid w:val="00FA1081"/>
    <w:rsid w:val="00FA11BB"/>
    <w:rsid w:val="00FA11D8"/>
    <w:rsid w:val="00FA1237"/>
    <w:rsid w:val="00FA12E1"/>
    <w:rsid w:val="00FA158A"/>
    <w:rsid w:val="00FA158D"/>
    <w:rsid w:val="00FA19E1"/>
    <w:rsid w:val="00FA1E9B"/>
    <w:rsid w:val="00FA1ED8"/>
    <w:rsid w:val="00FA24E5"/>
    <w:rsid w:val="00FA27AC"/>
    <w:rsid w:val="00FA27C9"/>
    <w:rsid w:val="00FA28C3"/>
    <w:rsid w:val="00FA2FD2"/>
    <w:rsid w:val="00FA363C"/>
    <w:rsid w:val="00FA366B"/>
    <w:rsid w:val="00FA3757"/>
    <w:rsid w:val="00FA3BF6"/>
    <w:rsid w:val="00FA42E2"/>
    <w:rsid w:val="00FA43E9"/>
    <w:rsid w:val="00FA4806"/>
    <w:rsid w:val="00FA4B4C"/>
    <w:rsid w:val="00FA4D11"/>
    <w:rsid w:val="00FA4D21"/>
    <w:rsid w:val="00FA4E57"/>
    <w:rsid w:val="00FA544D"/>
    <w:rsid w:val="00FA5738"/>
    <w:rsid w:val="00FA57B7"/>
    <w:rsid w:val="00FA5A9E"/>
    <w:rsid w:val="00FA5D98"/>
    <w:rsid w:val="00FA5DA6"/>
    <w:rsid w:val="00FA6433"/>
    <w:rsid w:val="00FA676F"/>
    <w:rsid w:val="00FA67A7"/>
    <w:rsid w:val="00FA6B41"/>
    <w:rsid w:val="00FA6BDA"/>
    <w:rsid w:val="00FA6BE4"/>
    <w:rsid w:val="00FA6D67"/>
    <w:rsid w:val="00FA6D6B"/>
    <w:rsid w:val="00FA6FAE"/>
    <w:rsid w:val="00FA71E5"/>
    <w:rsid w:val="00FA72BE"/>
    <w:rsid w:val="00FA77B1"/>
    <w:rsid w:val="00FA7E2C"/>
    <w:rsid w:val="00FB029C"/>
    <w:rsid w:val="00FB0374"/>
    <w:rsid w:val="00FB0482"/>
    <w:rsid w:val="00FB0CC7"/>
    <w:rsid w:val="00FB128B"/>
    <w:rsid w:val="00FB144A"/>
    <w:rsid w:val="00FB157A"/>
    <w:rsid w:val="00FB1654"/>
    <w:rsid w:val="00FB1AE7"/>
    <w:rsid w:val="00FB1B03"/>
    <w:rsid w:val="00FB1D97"/>
    <w:rsid w:val="00FB1F61"/>
    <w:rsid w:val="00FB279A"/>
    <w:rsid w:val="00FB2AF3"/>
    <w:rsid w:val="00FB2F0A"/>
    <w:rsid w:val="00FB32E6"/>
    <w:rsid w:val="00FB3546"/>
    <w:rsid w:val="00FB3859"/>
    <w:rsid w:val="00FB3D4B"/>
    <w:rsid w:val="00FB3E54"/>
    <w:rsid w:val="00FB3EC3"/>
    <w:rsid w:val="00FB4180"/>
    <w:rsid w:val="00FB4281"/>
    <w:rsid w:val="00FB4500"/>
    <w:rsid w:val="00FB4569"/>
    <w:rsid w:val="00FB45B7"/>
    <w:rsid w:val="00FB45D8"/>
    <w:rsid w:val="00FB4601"/>
    <w:rsid w:val="00FB4613"/>
    <w:rsid w:val="00FB4884"/>
    <w:rsid w:val="00FB4CD4"/>
    <w:rsid w:val="00FB4EDD"/>
    <w:rsid w:val="00FB5017"/>
    <w:rsid w:val="00FB5323"/>
    <w:rsid w:val="00FB57D7"/>
    <w:rsid w:val="00FB5ACC"/>
    <w:rsid w:val="00FB5FBD"/>
    <w:rsid w:val="00FB60D5"/>
    <w:rsid w:val="00FB6113"/>
    <w:rsid w:val="00FB626F"/>
    <w:rsid w:val="00FB67A8"/>
    <w:rsid w:val="00FB6EAE"/>
    <w:rsid w:val="00FB73BE"/>
    <w:rsid w:val="00FB740D"/>
    <w:rsid w:val="00FB74AD"/>
    <w:rsid w:val="00FB75D8"/>
    <w:rsid w:val="00FB7624"/>
    <w:rsid w:val="00FB7682"/>
    <w:rsid w:val="00FB76BE"/>
    <w:rsid w:val="00FB7838"/>
    <w:rsid w:val="00FB79DC"/>
    <w:rsid w:val="00FB79E0"/>
    <w:rsid w:val="00FB7ACD"/>
    <w:rsid w:val="00FB7BE8"/>
    <w:rsid w:val="00FC046E"/>
    <w:rsid w:val="00FC05D5"/>
    <w:rsid w:val="00FC0738"/>
    <w:rsid w:val="00FC07FA"/>
    <w:rsid w:val="00FC0BAE"/>
    <w:rsid w:val="00FC0C2D"/>
    <w:rsid w:val="00FC18C8"/>
    <w:rsid w:val="00FC213D"/>
    <w:rsid w:val="00FC2713"/>
    <w:rsid w:val="00FC283B"/>
    <w:rsid w:val="00FC2C11"/>
    <w:rsid w:val="00FC2F01"/>
    <w:rsid w:val="00FC32F8"/>
    <w:rsid w:val="00FC35F1"/>
    <w:rsid w:val="00FC387A"/>
    <w:rsid w:val="00FC3D17"/>
    <w:rsid w:val="00FC404E"/>
    <w:rsid w:val="00FC4233"/>
    <w:rsid w:val="00FC4BC0"/>
    <w:rsid w:val="00FC4C2E"/>
    <w:rsid w:val="00FC4EC8"/>
    <w:rsid w:val="00FC56C4"/>
    <w:rsid w:val="00FC56D3"/>
    <w:rsid w:val="00FC5764"/>
    <w:rsid w:val="00FC57CA"/>
    <w:rsid w:val="00FC585A"/>
    <w:rsid w:val="00FC59CC"/>
    <w:rsid w:val="00FC5BE4"/>
    <w:rsid w:val="00FC61D2"/>
    <w:rsid w:val="00FC62EE"/>
    <w:rsid w:val="00FC6321"/>
    <w:rsid w:val="00FC6337"/>
    <w:rsid w:val="00FC6502"/>
    <w:rsid w:val="00FC66B8"/>
    <w:rsid w:val="00FC6B3D"/>
    <w:rsid w:val="00FC6CB1"/>
    <w:rsid w:val="00FC7138"/>
    <w:rsid w:val="00FC76B4"/>
    <w:rsid w:val="00FC7A9A"/>
    <w:rsid w:val="00FC7B08"/>
    <w:rsid w:val="00FC7D96"/>
    <w:rsid w:val="00FC7ECE"/>
    <w:rsid w:val="00FD010D"/>
    <w:rsid w:val="00FD0390"/>
    <w:rsid w:val="00FD053F"/>
    <w:rsid w:val="00FD076C"/>
    <w:rsid w:val="00FD14BB"/>
    <w:rsid w:val="00FD2109"/>
    <w:rsid w:val="00FD22F4"/>
    <w:rsid w:val="00FD22FD"/>
    <w:rsid w:val="00FD231A"/>
    <w:rsid w:val="00FD25A8"/>
    <w:rsid w:val="00FD266B"/>
    <w:rsid w:val="00FD2D0D"/>
    <w:rsid w:val="00FD2D27"/>
    <w:rsid w:val="00FD2F10"/>
    <w:rsid w:val="00FD36D7"/>
    <w:rsid w:val="00FD37E6"/>
    <w:rsid w:val="00FD3834"/>
    <w:rsid w:val="00FD3A1D"/>
    <w:rsid w:val="00FD3DE5"/>
    <w:rsid w:val="00FD417B"/>
    <w:rsid w:val="00FD447B"/>
    <w:rsid w:val="00FD4912"/>
    <w:rsid w:val="00FD4B1C"/>
    <w:rsid w:val="00FD4B66"/>
    <w:rsid w:val="00FD4FBC"/>
    <w:rsid w:val="00FD5053"/>
    <w:rsid w:val="00FD50C0"/>
    <w:rsid w:val="00FD5363"/>
    <w:rsid w:val="00FD53F6"/>
    <w:rsid w:val="00FD5573"/>
    <w:rsid w:val="00FD55C3"/>
    <w:rsid w:val="00FD580A"/>
    <w:rsid w:val="00FD5840"/>
    <w:rsid w:val="00FD5D09"/>
    <w:rsid w:val="00FD5D58"/>
    <w:rsid w:val="00FD5EAA"/>
    <w:rsid w:val="00FD615B"/>
    <w:rsid w:val="00FD66E7"/>
    <w:rsid w:val="00FD67D0"/>
    <w:rsid w:val="00FD6A80"/>
    <w:rsid w:val="00FD6D04"/>
    <w:rsid w:val="00FD7137"/>
    <w:rsid w:val="00FD730E"/>
    <w:rsid w:val="00FD75C8"/>
    <w:rsid w:val="00FD77A1"/>
    <w:rsid w:val="00FD7926"/>
    <w:rsid w:val="00FE016A"/>
    <w:rsid w:val="00FE0323"/>
    <w:rsid w:val="00FE0594"/>
    <w:rsid w:val="00FE087D"/>
    <w:rsid w:val="00FE0AF7"/>
    <w:rsid w:val="00FE0D9C"/>
    <w:rsid w:val="00FE0DE5"/>
    <w:rsid w:val="00FE0E3C"/>
    <w:rsid w:val="00FE1047"/>
    <w:rsid w:val="00FE1292"/>
    <w:rsid w:val="00FE191E"/>
    <w:rsid w:val="00FE1A2F"/>
    <w:rsid w:val="00FE25CC"/>
    <w:rsid w:val="00FE26B4"/>
    <w:rsid w:val="00FE28D6"/>
    <w:rsid w:val="00FE2A9D"/>
    <w:rsid w:val="00FE2BDE"/>
    <w:rsid w:val="00FE2C9C"/>
    <w:rsid w:val="00FE2CB4"/>
    <w:rsid w:val="00FE3104"/>
    <w:rsid w:val="00FE33ED"/>
    <w:rsid w:val="00FE34FC"/>
    <w:rsid w:val="00FE36FE"/>
    <w:rsid w:val="00FE3A9F"/>
    <w:rsid w:val="00FE3B0F"/>
    <w:rsid w:val="00FE3F19"/>
    <w:rsid w:val="00FE3FB7"/>
    <w:rsid w:val="00FE40A6"/>
    <w:rsid w:val="00FE41F6"/>
    <w:rsid w:val="00FE4850"/>
    <w:rsid w:val="00FE4992"/>
    <w:rsid w:val="00FE4B3A"/>
    <w:rsid w:val="00FE4D66"/>
    <w:rsid w:val="00FE4E36"/>
    <w:rsid w:val="00FE5542"/>
    <w:rsid w:val="00FE564B"/>
    <w:rsid w:val="00FE564D"/>
    <w:rsid w:val="00FE5963"/>
    <w:rsid w:val="00FE596F"/>
    <w:rsid w:val="00FE5C07"/>
    <w:rsid w:val="00FE5C58"/>
    <w:rsid w:val="00FE5E4F"/>
    <w:rsid w:val="00FE5F80"/>
    <w:rsid w:val="00FE5FE8"/>
    <w:rsid w:val="00FE6208"/>
    <w:rsid w:val="00FE63A5"/>
    <w:rsid w:val="00FE6599"/>
    <w:rsid w:val="00FE679D"/>
    <w:rsid w:val="00FE6B38"/>
    <w:rsid w:val="00FE7239"/>
    <w:rsid w:val="00FE73A1"/>
    <w:rsid w:val="00FE77E5"/>
    <w:rsid w:val="00FE78CE"/>
    <w:rsid w:val="00FE79BC"/>
    <w:rsid w:val="00FE7A17"/>
    <w:rsid w:val="00FE7B54"/>
    <w:rsid w:val="00FE7CC6"/>
    <w:rsid w:val="00FE7D8D"/>
    <w:rsid w:val="00FE7D9F"/>
    <w:rsid w:val="00FE7EE4"/>
    <w:rsid w:val="00FF00D9"/>
    <w:rsid w:val="00FF04CE"/>
    <w:rsid w:val="00FF0615"/>
    <w:rsid w:val="00FF07C1"/>
    <w:rsid w:val="00FF07C5"/>
    <w:rsid w:val="00FF09FD"/>
    <w:rsid w:val="00FF0AF2"/>
    <w:rsid w:val="00FF1275"/>
    <w:rsid w:val="00FF1427"/>
    <w:rsid w:val="00FF1B46"/>
    <w:rsid w:val="00FF1CD3"/>
    <w:rsid w:val="00FF1E53"/>
    <w:rsid w:val="00FF2029"/>
    <w:rsid w:val="00FF2567"/>
    <w:rsid w:val="00FF25D1"/>
    <w:rsid w:val="00FF2BAC"/>
    <w:rsid w:val="00FF2E04"/>
    <w:rsid w:val="00FF2FEF"/>
    <w:rsid w:val="00FF32D2"/>
    <w:rsid w:val="00FF332A"/>
    <w:rsid w:val="00FF3818"/>
    <w:rsid w:val="00FF3838"/>
    <w:rsid w:val="00FF3C82"/>
    <w:rsid w:val="00FF4641"/>
    <w:rsid w:val="00FF4A9A"/>
    <w:rsid w:val="00FF4E47"/>
    <w:rsid w:val="00FF4F1E"/>
    <w:rsid w:val="00FF53B9"/>
    <w:rsid w:val="00FF583E"/>
    <w:rsid w:val="00FF5DCC"/>
    <w:rsid w:val="00FF6B3F"/>
    <w:rsid w:val="00FF6B68"/>
    <w:rsid w:val="00FF6C47"/>
    <w:rsid w:val="00FF6D3F"/>
    <w:rsid w:val="00FF709D"/>
    <w:rsid w:val="00FF724B"/>
    <w:rsid w:val="00FF7494"/>
    <w:rsid w:val="00FF78D8"/>
    <w:rsid w:val="00FF7A56"/>
    <w:rsid w:val="011A0466"/>
    <w:rsid w:val="01702A6E"/>
    <w:rsid w:val="018AEE62"/>
    <w:rsid w:val="01A94BA4"/>
    <w:rsid w:val="01CBE21B"/>
    <w:rsid w:val="01D5D7B6"/>
    <w:rsid w:val="01D63619"/>
    <w:rsid w:val="01DC7197"/>
    <w:rsid w:val="01DD29B2"/>
    <w:rsid w:val="02580B17"/>
    <w:rsid w:val="0269EBBE"/>
    <w:rsid w:val="0279876F"/>
    <w:rsid w:val="0279D610"/>
    <w:rsid w:val="028614F0"/>
    <w:rsid w:val="02C9D639"/>
    <w:rsid w:val="02EC621A"/>
    <w:rsid w:val="0362B837"/>
    <w:rsid w:val="0365A5D8"/>
    <w:rsid w:val="037F8BC4"/>
    <w:rsid w:val="038DB713"/>
    <w:rsid w:val="04071122"/>
    <w:rsid w:val="0428EC49"/>
    <w:rsid w:val="042F0243"/>
    <w:rsid w:val="043CDDAF"/>
    <w:rsid w:val="0480B98F"/>
    <w:rsid w:val="04A98F11"/>
    <w:rsid w:val="04B45719"/>
    <w:rsid w:val="05668C7F"/>
    <w:rsid w:val="05F02C52"/>
    <w:rsid w:val="065D89F7"/>
    <w:rsid w:val="065DB7A1"/>
    <w:rsid w:val="067A6868"/>
    <w:rsid w:val="06AF2529"/>
    <w:rsid w:val="06F279AE"/>
    <w:rsid w:val="070718CE"/>
    <w:rsid w:val="072F11E5"/>
    <w:rsid w:val="07566DF3"/>
    <w:rsid w:val="07AD0FF0"/>
    <w:rsid w:val="07F676D4"/>
    <w:rsid w:val="0852F258"/>
    <w:rsid w:val="08629432"/>
    <w:rsid w:val="089E404F"/>
    <w:rsid w:val="08AB0B6C"/>
    <w:rsid w:val="08B0268B"/>
    <w:rsid w:val="08C23122"/>
    <w:rsid w:val="08D3E16C"/>
    <w:rsid w:val="08E4F466"/>
    <w:rsid w:val="08E510DA"/>
    <w:rsid w:val="093D0F53"/>
    <w:rsid w:val="09529F31"/>
    <w:rsid w:val="09586654"/>
    <w:rsid w:val="09AC948B"/>
    <w:rsid w:val="09B4E220"/>
    <w:rsid w:val="09F67478"/>
    <w:rsid w:val="0A3F7961"/>
    <w:rsid w:val="0A874B07"/>
    <w:rsid w:val="0A8B9A08"/>
    <w:rsid w:val="0AB0F2F5"/>
    <w:rsid w:val="0ABC2EB5"/>
    <w:rsid w:val="0B33BA49"/>
    <w:rsid w:val="0B455CE2"/>
    <w:rsid w:val="0B79FCC4"/>
    <w:rsid w:val="0BB9AE5E"/>
    <w:rsid w:val="0C33AD7A"/>
    <w:rsid w:val="0C366097"/>
    <w:rsid w:val="0CAC0F3E"/>
    <w:rsid w:val="0CD8E48F"/>
    <w:rsid w:val="0D5A80E9"/>
    <w:rsid w:val="0D95F4EA"/>
    <w:rsid w:val="0DACEC29"/>
    <w:rsid w:val="0DF36A03"/>
    <w:rsid w:val="0E070554"/>
    <w:rsid w:val="0E145129"/>
    <w:rsid w:val="0E2A2C0A"/>
    <w:rsid w:val="0E6316F1"/>
    <w:rsid w:val="0E9D2C84"/>
    <w:rsid w:val="0EADC164"/>
    <w:rsid w:val="0EBA6DE2"/>
    <w:rsid w:val="0EEDA885"/>
    <w:rsid w:val="0F5A1041"/>
    <w:rsid w:val="0FA77FA8"/>
    <w:rsid w:val="0FFA78E2"/>
    <w:rsid w:val="101514B6"/>
    <w:rsid w:val="1046D6BB"/>
    <w:rsid w:val="10CB0B9B"/>
    <w:rsid w:val="115CC8DF"/>
    <w:rsid w:val="11721244"/>
    <w:rsid w:val="118F51CD"/>
    <w:rsid w:val="11A4FF76"/>
    <w:rsid w:val="11DB282B"/>
    <w:rsid w:val="11FFDCF4"/>
    <w:rsid w:val="12A800C3"/>
    <w:rsid w:val="13378433"/>
    <w:rsid w:val="133B324D"/>
    <w:rsid w:val="1362F1DC"/>
    <w:rsid w:val="139C75F2"/>
    <w:rsid w:val="13A0C1D0"/>
    <w:rsid w:val="13A315C1"/>
    <w:rsid w:val="13C49D5C"/>
    <w:rsid w:val="13CB8DC8"/>
    <w:rsid w:val="13F7DE3F"/>
    <w:rsid w:val="1422ED1A"/>
    <w:rsid w:val="14451A13"/>
    <w:rsid w:val="1450E227"/>
    <w:rsid w:val="148B9887"/>
    <w:rsid w:val="14BFB0E6"/>
    <w:rsid w:val="14FFC957"/>
    <w:rsid w:val="151200BD"/>
    <w:rsid w:val="1534FB6F"/>
    <w:rsid w:val="157C57A6"/>
    <w:rsid w:val="15E5E0C3"/>
    <w:rsid w:val="1635940E"/>
    <w:rsid w:val="166DCD47"/>
    <w:rsid w:val="16E5A3F5"/>
    <w:rsid w:val="171FC95D"/>
    <w:rsid w:val="172ECB46"/>
    <w:rsid w:val="17719781"/>
    <w:rsid w:val="177B557C"/>
    <w:rsid w:val="17CE21E0"/>
    <w:rsid w:val="17E7176C"/>
    <w:rsid w:val="180728FA"/>
    <w:rsid w:val="180D0D13"/>
    <w:rsid w:val="184398A0"/>
    <w:rsid w:val="18A2442A"/>
    <w:rsid w:val="18BB50A2"/>
    <w:rsid w:val="18BDE771"/>
    <w:rsid w:val="18C3786A"/>
    <w:rsid w:val="18EF896B"/>
    <w:rsid w:val="18F3E237"/>
    <w:rsid w:val="191CF4D0"/>
    <w:rsid w:val="194DFCC5"/>
    <w:rsid w:val="19606046"/>
    <w:rsid w:val="19B458EA"/>
    <w:rsid w:val="19BDF639"/>
    <w:rsid w:val="1A119B08"/>
    <w:rsid w:val="1A3AB2CE"/>
    <w:rsid w:val="1A3CA43C"/>
    <w:rsid w:val="1A59547E"/>
    <w:rsid w:val="1A9124D7"/>
    <w:rsid w:val="1A96C59E"/>
    <w:rsid w:val="1B24B500"/>
    <w:rsid w:val="1B464C4D"/>
    <w:rsid w:val="1BAC5D40"/>
    <w:rsid w:val="1BB2653A"/>
    <w:rsid w:val="1BBA9BD7"/>
    <w:rsid w:val="1BD61C62"/>
    <w:rsid w:val="1BF854D2"/>
    <w:rsid w:val="1C0A2110"/>
    <w:rsid w:val="1C4179B1"/>
    <w:rsid w:val="1C475D9E"/>
    <w:rsid w:val="1C6D7B49"/>
    <w:rsid w:val="1C7FA35B"/>
    <w:rsid w:val="1C84CA5B"/>
    <w:rsid w:val="1CA0D34F"/>
    <w:rsid w:val="1CC900DF"/>
    <w:rsid w:val="1D33D128"/>
    <w:rsid w:val="1D36CDE6"/>
    <w:rsid w:val="1D40E99D"/>
    <w:rsid w:val="1D505AEA"/>
    <w:rsid w:val="1D56ED1D"/>
    <w:rsid w:val="1D7869D1"/>
    <w:rsid w:val="1E2BA69E"/>
    <w:rsid w:val="1E53B10B"/>
    <w:rsid w:val="1E679A42"/>
    <w:rsid w:val="1E83CE5E"/>
    <w:rsid w:val="1E933083"/>
    <w:rsid w:val="1EEDC2FF"/>
    <w:rsid w:val="1F0556CA"/>
    <w:rsid w:val="1F548923"/>
    <w:rsid w:val="1F55198A"/>
    <w:rsid w:val="1FC4E879"/>
    <w:rsid w:val="1FECB159"/>
    <w:rsid w:val="1FEF37ED"/>
    <w:rsid w:val="20B761E9"/>
    <w:rsid w:val="20D3829E"/>
    <w:rsid w:val="20D4B011"/>
    <w:rsid w:val="21022505"/>
    <w:rsid w:val="212F75BF"/>
    <w:rsid w:val="213CAB18"/>
    <w:rsid w:val="21475236"/>
    <w:rsid w:val="214F6B6D"/>
    <w:rsid w:val="2153BC2B"/>
    <w:rsid w:val="21A6AD21"/>
    <w:rsid w:val="21B10248"/>
    <w:rsid w:val="21F93270"/>
    <w:rsid w:val="22035A22"/>
    <w:rsid w:val="2244CADD"/>
    <w:rsid w:val="226CA1BD"/>
    <w:rsid w:val="227B6931"/>
    <w:rsid w:val="22A4209E"/>
    <w:rsid w:val="22D1A275"/>
    <w:rsid w:val="22EEAEB0"/>
    <w:rsid w:val="22FB02C3"/>
    <w:rsid w:val="23244551"/>
    <w:rsid w:val="234F6990"/>
    <w:rsid w:val="23734683"/>
    <w:rsid w:val="23832B83"/>
    <w:rsid w:val="2389059F"/>
    <w:rsid w:val="2399C646"/>
    <w:rsid w:val="23BF35CA"/>
    <w:rsid w:val="23DB9E92"/>
    <w:rsid w:val="23FE3A79"/>
    <w:rsid w:val="2409CC79"/>
    <w:rsid w:val="24258092"/>
    <w:rsid w:val="242B40B3"/>
    <w:rsid w:val="24318C51"/>
    <w:rsid w:val="24C288C5"/>
    <w:rsid w:val="24DACE53"/>
    <w:rsid w:val="24DF8E22"/>
    <w:rsid w:val="24F0A81C"/>
    <w:rsid w:val="251112B7"/>
    <w:rsid w:val="251B1328"/>
    <w:rsid w:val="251BE07C"/>
    <w:rsid w:val="2526ACEE"/>
    <w:rsid w:val="25622E46"/>
    <w:rsid w:val="2563F03B"/>
    <w:rsid w:val="257EBDB6"/>
    <w:rsid w:val="25CCC6C6"/>
    <w:rsid w:val="260A1DB8"/>
    <w:rsid w:val="26239A10"/>
    <w:rsid w:val="2626D191"/>
    <w:rsid w:val="2655240F"/>
    <w:rsid w:val="2664599B"/>
    <w:rsid w:val="267E87D6"/>
    <w:rsid w:val="26C6DE35"/>
    <w:rsid w:val="26FBC567"/>
    <w:rsid w:val="2746D83D"/>
    <w:rsid w:val="27972B06"/>
    <w:rsid w:val="27C47972"/>
    <w:rsid w:val="27FCEE1D"/>
    <w:rsid w:val="281D4072"/>
    <w:rsid w:val="28389D73"/>
    <w:rsid w:val="283A3151"/>
    <w:rsid w:val="285EF94F"/>
    <w:rsid w:val="28770511"/>
    <w:rsid w:val="2879CE24"/>
    <w:rsid w:val="2882CED9"/>
    <w:rsid w:val="288C7B78"/>
    <w:rsid w:val="28A7B8BB"/>
    <w:rsid w:val="28F36CDC"/>
    <w:rsid w:val="28FAB797"/>
    <w:rsid w:val="29131701"/>
    <w:rsid w:val="2962F21B"/>
    <w:rsid w:val="29717690"/>
    <w:rsid w:val="2978E836"/>
    <w:rsid w:val="29B1D612"/>
    <w:rsid w:val="29D2AD0E"/>
    <w:rsid w:val="29EBFF0E"/>
    <w:rsid w:val="2A36665C"/>
    <w:rsid w:val="2A49EEF8"/>
    <w:rsid w:val="2A4F8F2A"/>
    <w:rsid w:val="2A5BC470"/>
    <w:rsid w:val="2A6F553F"/>
    <w:rsid w:val="2A8A4451"/>
    <w:rsid w:val="2ABB42E9"/>
    <w:rsid w:val="2ABFF32A"/>
    <w:rsid w:val="2AE5FD57"/>
    <w:rsid w:val="2B2ADBEC"/>
    <w:rsid w:val="2B34425B"/>
    <w:rsid w:val="2B9B55AA"/>
    <w:rsid w:val="2BA583E1"/>
    <w:rsid w:val="2BB31718"/>
    <w:rsid w:val="2BD4A0BA"/>
    <w:rsid w:val="2BF07BA9"/>
    <w:rsid w:val="2BF8D9CD"/>
    <w:rsid w:val="2C36C334"/>
    <w:rsid w:val="2C4C9261"/>
    <w:rsid w:val="2C65F6FC"/>
    <w:rsid w:val="2C7332E3"/>
    <w:rsid w:val="2C7FDB47"/>
    <w:rsid w:val="2CE09D1A"/>
    <w:rsid w:val="2CE80E4E"/>
    <w:rsid w:val="2CF94F4D"/>
    <w:rsid w:val="2CFF8189"/>
    <w:rsid w:val="2D477DD3"/>
    <w:rsid w:val="2D7AEF6E"/>
    <w:rsid w:val="2DD05EAB"/>
    <w:rsid w:val="2DD61495"/>
    <w:rsid w:val="2E28845C"/>
    <w:rsid w:val="2E7D5B15"/>
    <w:rsid w:val="2EC7A7B3"/>
    <w:rsid w:val="2ECA39AD"/>
    <w:rsid w:val="2F56BFEB"/>
    <w:rsid w:val="2FFF3847"/>
    <w:rsid w:val="300E10AD"/>
    <w:rsid w:val="301AAD7B"/>
    <w:rsid w:val="30573D29"/>
    <w:rsid w:val="30698432"/>
    <w:rsid w:val="308F6029"/>
    <w:rsid w:val="30C52179"/>
    <w:rsid w:val="3127D257"/>
    <w:rsid w:val="317B9CF0"/>
    <w:rsid w:val="31886354"/>
    <w:rsid w:val="3267ED95"/>
    <w:rsid w:val="326E14B3"/>
    <w:rsid w:val="32C13A2C"/>
    <w:rsid w:val="32D5B9AA"/>
    <w:rsid w:val="32DB10F6"/>
    <w:rsid w:val="32EDCF79"/>
    <w:rsid w:val="330AC0B7"/>
    <w:rsid w:val="3319A639"/>
    <w:rsid w:val="3398D88C"/>
    <w:rsid w:val="33B6630B"/>
    <w:rsid w:val="33E37992"/>
    <w:rsid w:val="341CD779"/>
    <w:rsid w:val="341DB526"/>
    <w:rsid w:val="3446B114"/>
    <w:rsid w:val="344C9C00"/>
    <w:rsid w:val="344E0BC7"/>
    <w:rsid w:val="344F3483"/>
    <w:rsid w:val="3454CC33"/>
    <w:rsid w:val="346C663B"/>
    <w:rsid w:val="34725FAC"/>
    <w:rsid w:val="348A1FFF"/>
    <w:rsid w:val="34A75062"/>
    <w:rsid w:val="34D52B1A"/>
    <w:rsid w:val="354D8659"/>
    <w:rsid w:val="3664A3E4"/>
    <w:rsid w:val="36674139"/>
    <w:rsid w:val="366A6560"/>
    <w:rsid w:val="36AC9135"/>
    <w:rsid w:val="36D83F4F"/>
    <w:rsid w:val="3708A8AF"/>
    <w:rsid w:val="3725225D"/>
    <w:rsid w:val="3741F551"/>
    <w:rsid w:val="37525C06"/>
    <w:rsid w:val="37594C72"/>
    <w:rsid w:val="37603CDE"/>
    <w:rsid w:val="37654763"/>
    <w:rsid w:val="37BCC472"/>
    <w:rsid w:val="37DADD8B"/>
    <w:rsid w:val="38411CB6"/>
    <w:rsid w:val="386F0624"/>
    <w:rsid w:val="3884B256"/>
    <w:rsid w:val="391202DB"/>
    <w:rsid w:val="3931F466"/>
    <w:rsid w:val="393F59F1"/>
    <w:rsid w:val="3960B3C6"/>
    <w:rsid w:val="398426B2"/>
    <w:rsid w:val="399754CB"/>
    <w:rsid w:val="39BBCB61"/>
    <w:rsid w:val="39C49FD6"/>
    <w:rsid w:val="39DB188A"/>
    <w:rsid w:val="3A1369C2"/>
    <w:rsid w:val="3A4C05DD"/>
    <w:rsid w:val="3A74311E"/>
    <w:rsid w:val="3A96C107"/>
    <w:rsid w:val="3A9ADA3C"/>
    <w:rsid w:val="3AA9433A"/>
    <w:rsid w:val="3AB46677"/>
    <w:rsid w:val="3AD6C63D"/>
    <w:rsid w:val="3B01B52C"/>
    <w:rsid w:val="3B45133F"/>
    <w:rsid w:val="3B9297BD"/>
    <w:rsid w:val="3BC5F90C"/>
    <w:rsid w:val="3C275AEF"/>
    <w:rsid w:val="3C2B59F4"/>
    <w:rsid w:val="3C4D3609"/>
    <w:rsid w:val="3C4D578F"/>
    <w:rsid w:val="3C994C4A"/>
    <w:rsid w:val="3CECF96E"/>
    <w:rsid w:val="3D09E494"/>
    <w:rsid w:val="3D5AC8E8"/>
    <w:rsid w:val="3D774D64"/>
    <w:rsid w:val="3D9274F9"/>
    <w:rsid w:val="3DB65E15"/>
    <w:rsid w:val="3DC61501"/>
    <w:rsid w:val="3DDEED3F"/>
    <w:rsid w:val="3DE27BC7"/>
    <w:rsid w:val="3DF36B5B"/>
    <w:rsid w:val="3E4E5B0E"/>
    <w:rsid w:val="3E56445C"/>
    <w:rsid w:val="3E85E572"/>
    <w:rsid w:val="3EA7594C"/>
    <w:rsid w:val="3EB24626"/>
    <w:rsid w:val="3EC1902A"/>
    <w:rsid w:val="3F22739F"/>
    <w:rsid w:val="3F367AF0"/>
    <w:rsid w:val="3F3D6C85"/>
    <w:rsid w:val="3F7AA61E"/>
    <w:rsid w:val="3FAACED8"/>
    <w:rsid w:val="3FB43DA4"/>
    <w:rsid w:val="3FB7D8AC"/>
    <w:rsid w:val="3FF432F7"/>
    <w:rsid w:val="4012325A"/>
    <w:rsid w:val="40141544"/>
    <w:rsid w:val="40150851"/>
    <w:rsid w:val="404A52C1"/>
    <w:rsid w:val="404C6D74"/>
    <w:rsid w:val="40559146"/>
    <w:rsid w:val="40A21B14"/>
    <w:rsid w:val="40B4C5CE"/>
    <w:rsid w:val="40BB8573"/>
    <w:rsid w:val="40E3F3D9"/>
    <w:rsid w:val="40EF9873"/>
    <w:rsid w:val="41539DF7"/>
    <w:rsid w:val="4163D29B"/>
    <w:rsid w:val="416FE846"/>
    <w:rsid w:val="4180F4E1"/>
    <w:rsid w:val="4183184B"/>
    <w:rsid w:val="41BB045C"/>
    <w:rsid w:val="41CA21D2"/>
    <w:rsid w:val="4242DAC3"/>
    <w:rsid w:val="4299B7BD"/>
    <w:rsid w:val="430DE8F2"/>
    <w:rsid w:val="4318135A"/>
    <w:rsid w:val="431AA458"/>
    <w:rsid w:val="43680512"/>
    <w:rsid w:val="4377FB70"/>
    <w:rsid w:val="43A0656B"/>
    <w:rsid w:val="43CB77C1"/>
    <w:rsid w:val="43E9BE56"/>
    <w:rsid w:val="43F1642E"/>
    <w:rsid w:val="44047904"/>
    <w:rsid w:val="44092D3B"/>
    <w:rsid w:val="4474B6BD"/>
    <w:rsid w:val="448466C7"/>
    <w:rsid w:val="44A9C3EB"/>
    <w:rsid w:val="44ACC67B"/>
    <w:rsid w:val="44BD2C78"/>
    <w:rsid w:val="44F82A3D"/>
    <w:rsid w:val="45032777"/>
    <w:rsid w:val="45106F4C"/>
    <w:rsid w:val="45439B07"/>
    <w:rsid w:val="45605735"/>
    <w:rsid w:val="45AB030F"/>
    <w:rsid w:val="45C98424"/>
    <w:rsid w:val="45E595E9"/>
    <w:rsid w:val="46285C27"/>
    <w:rsid w:val="46389415"/>
    <w:rsid w:val="4666D450"/>
    <w:rsid w:val="4689FA81"/>
    <w:rsid w:val="46B0985F"/>
    <w:rsid w:val="46B7AC66"/>
    <w:rsid w:val="46CE87B6"/>
    <w:rsid w:val="46FD9C82"/>
    <w:rsid w:val="470A007E"/>
    <w:rsid w:val="47121B39"/>
    <w:rsid w:val="47122712"/>
    <w:rsid w:val="4722B110"/>
    <w:rsid w:val="472D49B5"/>
    <w:rsid w:val="477C4AE7"/>
    <w:rsid w:val="479B64D5"/>
    <w:rsid w:val="47A0C0B4"/>
    <w:rsid w:val="47AC551E"/>
    <w:rsid w:val="47AFA4F1"/>
    <w:rsid w:val="47CB8E34"/>
    <w:rsid w:val="47DA12A9"/>
    <w:rsid w:val="4803C423"/>
    <w:rsid w:val="48816D97"/>
    <w:rsid w:val="489643AA"/>
    <w:rsid w:val="48C2074A"/>
    <w:rsid w:val="491729FF"/>
    <w:rsid w:val="491A90C8"/>
    <w:rsid w:val="49258951"/>
    <w:rsid w:val="4940BAB1"/>
    <w:rsid w:val="49719E7E"/>
    <w:rsid w:val="497D9244"/>
    <w:rsid w:val="497E6F5C"/>
    <w:rsid w:val="499A229C"/>
    <w:rsid w:val="4A2AA77E"/>
    <w:rsid w:val="4A4266E8"/>
    <w:rsid w:val="4A5B123C"/>
    <w:rsid w:val="4A74B541"/>
    <w:rsid w:val="4AEA628D"/>
    <w:rsid w:val="4AF50544"/>
    <w:rsid w:val="4B20CF33"/>
    <w:rsid w:val="4B21C973"/>
    <w:rsid w:val="4B4A46FE"/>
    <w:rsid w:val="4B53EEDB"/>
    <w:rsid w:val="4B8F643D"/>
    <w:rsid w:val="4BF0C9DD"/>
    <w:rsid w:val="4BF70564"/>
    <w:rsid w:val="4C0AC449"/>
    <w:rsid w:val="4C15B787"/>
    <w:rsid w:val="4C5FFE51"/>
    <w:rsid w:val="4CA2FA8D"/>
    <w:rsid w:val="4CCE052E"/>
    <w:rsid w:val="4CE7188E"/>
    <w:rsid w:val="4D097AA6"/>
    <w:rsid w:val="4D1F05DF"/>
    <w:rsid w:val="4D31691F"/>
    <w:rsid w:val="4D3D8044"/>
    <w:rsid w:val="4D590111"/>
    <w:rsid w:val="4D61C72E"/>
    <w:rsid w:val="4DAA70F6"/>
    <w:rsid w:val="4E077F47"/>
    <w:rsid w:val="4E0CF374"/>
    <w:rsid w:val="4E10759A"/>
    <w:rsid w:val="4E946E30"/>
    <w:rsid w:val="4EB45428"/>
    <w:rsid w:val="4EEABF3A"/>
    <w:rsid w:val="4EF173AF"/>
    <w:rsid w:val="4F15F47E"/>
    <w:rsid w:val="4F9A612F"/>
    <w:rsid w:val="4FB9BAC0"/>
    <w:rsid w:val="4FC8E77D"/>
    <w:rsid w:val="504ED175"/>
    <w:rsid w:val="5077558F"/>
    <w:rsid w:val="5086A328"/>
    <w:rsid w:val="50875BB2"/>
    <w:rsid w:val="5091F44A"/>
    <w:rsid w:val="516DB909"/>
    <w:rsid w:val="517908EF"/>
    <w:rsid w:val="51EE7234"/>
    <w:rsid w:val="52083F71"/>
    <w:rsid w:val="525FB63E"/>
    <w:rsid w:val="52D33E46"/>
    <w:rsid w:val="52D468AB"/>
    <w:rsid w:val="52F756EE"/>
    <w:rsid w:val="52FE3E5A"/>
    <w:rsid w:val="539D9338"/>
    <w:rsid w:val="53ACDD31"/>
    <w:rsid w:val="53D88A8C"/>
    <w:rsid w:val="540F58F7"/>
    <w:rsid w:val="544B6DF9"/>
    <w:rsid w:val="545604C6"/>
    <w:rsid w:val="5493A23A"/>
    <w:rsid w:val="549B2D1F"/>
    <w:rsid w:val="549DB66D"/>
    <w:rsid w:val="54E37D08"/>
    <w:rsid w:val="54EFD523"/>
    <w:rsid w:val="5527F596"/>
    <w:rsid w:val="55586608"/>
    <w:rsid w:val="55DCFDE8"/>
    <w:rsid w:val="55DFD349"/>
    <w:rsid w:val="55F74160"/>
    <w:rsid w:val="560B7A9D"/>
    <w:rsid w:val="561D8C7B"/>
    <w:rsid w:val="56227628"/>
    <w:rsid w:val="5641B464"/>
    <w:rsid w:val="5642C77D"/>
    <w:rsid w:val="56800A3A"/>
    <w:rsid w:val="56855C94"/>
    <w:rsid w:val="568A7C00"/>
    <w:rsid w:val="56C5AD15"/>
    <w:rsid w:val="56CF2496"/>
    <w:rsid w:val="5736EA24"/>
    <w:rsid w:val="5784A85C"/>
    <w:rsid w:val="57A2887B"/>
    <w:rsid w:val="57EF91BE"/>
    <w:rsid w:val="57F2725C"/>
    <w:rsid w:val="5826A3F2"/>
    <w:rsid w:val="585161BC"/>
    <w:rsid w:val="58604239"/>
    <w:rsid w:val="587072CA"/>
    <w:rsid w:val="58BF857A"/>
    <w:rsid w:val="58D7DDCB"/>
    <w:rsid w:val="58E73844"/>
    <w:rsid w:val="58E8B021"/>
    <w:rsid w:val="5909A17A"/>
    <w:rsid w:val="5931F2A2"/>
    <w:rsid w:val="594DF2AA"/>
    <w:rsid w:val="596F1A52"/>
    <w:rsid w:val="5981E098"/>
    <w:rsid w:val="599FF70F"/>
    <w:rsid w:val="59DD265B"/>
    <w:rsid w:val="5A3B4320"/>
    <w:rsid w:val="5A41E474"/>
    <w:rsid w:val="5A4C9A7F"/>
    <w:rsid w:val="5AD34C17"/>
    <w:rsid w:val="5AF6E0A1"/>
    <w:rsid w:val="5B1C7955"/>
    <w:rsid w:val="5B297469"/>
    <w:rsid w:val="5B510EE5"/>
    <w:rsid w:val="5B5D51FE"/>
    <w:rsid w:val="5B704915"/>
    <w:rsid w:val="5B7263C8"/>
    <w:rsid w:val="5B7CFAB9"/>
    <w:rsid w:val="5B8C9D80"/>
    <w:rsid w:val="5BC559C0"/>
    <w:rsid w:val="5C6472D6"/>
    <w:rsid w:val="5C6C98EA"/>
    <w:rsid w:val="5C6DA497"/>
    <w:rsid w:val="5C8C1F58"/>
    <w:rsid w:val="5CA00A65"/>
    <w:rsid w:val="5CEC1366"/>
    <w:rsid w:val="5CF805A6"/>
    <w:rsid w:val="5CFD0F72"/>
    <w:rsid w:val="5D1CD885"/>
    <w:rsid w:val="5D3F948C"/>
    <w:rsid w:val="5D411E7D"/>
    <w:rsid w:val="5DBF9E19"/>
    <w:rsid w:val="5DD17946"/>
    <w:rsid w:val="5DD377FA"/>
    <w:rsid w:val="5DD702A4"/>
    <w:rsid w:val="5DED9114"/>
    <w:rsid w:val="5DF5FF2A"/>
    <w:rsid w:val="5E08D2E8"/>
    <w:rsid w:val="5E7636D1"/>
    <w:rsid w:val="5E7B9FA8"/>
    <w:rsid w:val="5E9977C5"/>
    <w:rsid w:val="5EEBD075"/>
    <w:rsid w:val="5EEE703D"/>
    <w:rsid w:val="5F2A1DDE"/>
    <w:rsid w:val="5F312BE5"/>
    <w:rsid w:val="5F526392"/>
    <w:rsid w:val="5F863E47"/>
    <w:rsid w:val="5F8763E9"/>
    <w:rsid w:val="5F8A223D"/>
    <w:rsid w:val="5F92C0B3"/>
    <w:rsid w:val="6006FB12"/>
    <w:rsid w:val="60096D75"/>
    <w:rsid w:val="6009FD8E"/>
    <w:rsid w:val="60197332"/>
    <w:rsid w:val="6049A276"/>
    <w:rsid w:val="605379E5"/>
    <w:rsid w:val="60760A00"/>
    <w:rsid w:val="60B0E771"/>
    <w:rsid w:val="60F52717"/>
    <w:rsid w:val="61093A84"/>
    <w:rsid w:val="61099ADC"/>
    <w:rsid w:val="610E01E7"/>
    <w:rsid w:val="61183A21"/>
    <w:rsid w:val="611B4CDF"/>
    <w:rsid w:val="6128CCA3"/>
    <w:rsid w:val="6149CC76"/>
    <w:rsid w:val="6169A518"/>
    <w:rsid w:val="618975DF"/>
    <w:rsid w:val="619763E6"/>
    <w:rsid w:val="61E5DFAD"/>
    <w:rsid w:val="61F72F60"/>
    <w:rsid w:val="6214ED1E"/>
    <w:rsid w:val="62836504"/>
    <w:rsid w:val="628BC0FB"/>
    <w:rsid w:val="633FE039"/>
    <w:rsid w:val="635B5C8B"/>
    <w:rsid w:val="635C8636"/>
    <w:rsid w:val="63D9F837"/>
    <w:rsid w:val="63E6BC4A"/>
    <w:rsid w:val="641C2BC2"/>
    <w:rsid w:val="645315C6"/>
    <w:rsid w:val="646F365A"/>
    <w:rsid w:val="6496027F"/>
    <w:rsid w:val="64CD5BC7"/>
    <w:rsid w:val="64FE92CC"/>
    <w:rsid w:val="6509A610"/>
    <w:rsid w:val="6512E312"/>
    <w:rsid w:val="65320334"/>
    <w:rsid w:val="6536EE30"/>
    <w:rsid w:val="656C6ED7"/>
    <w:rsid w:val="656ED441"/>
    <w:rsid w:val="659DDF1F"/>
    <w:rsid w:val="65B049AA"/>
    <w:rsid w:val="660FC8B1"/>
    <w:rsid w:val="6610429E"/>
    <w:rsid w:val="6630FDA7"/>
    <w:rsid w:val="6661CFF9"/>
    <w:rsid w:val="670BD2E4"/>
    <w:rsid w:val="67164DD3"/>
    <w:rsid w:val="67783312"/>
    <w:rsid w:val="677A9B77"/>
    <w:rsid w:val="678C8F35"/>
    <w:rsid w:val="67A9E9DC"/>
    <w:rsid w:val="681F8928"/>
    <w:rsid w:val="6823609A"/>
    <w:rsid w:val="68363758"/>
    <w:rsid w:val="6839E075"/>
    <w:rsid w:val="6867429E"/>
    <w:rsid w:val="687534D7"/>
    <w:rsid w:val="689623E1"/>
    <w:rsid w:val="68A33EB6"/>
    <w:rsid w:val="6900B943"/>
    <w:rsid w:val="6900F6A4"/>
    <w:rsid w:val="69140C81"/>
    <w:rsid w:val="692ADB7D"/>
    <w:rsid w:val="699B6713"/>
    <w:rsid w:val="69E2C2C8"/>
    <w:rsid w:val="6A1E695A"/>
    <w:rsid w:val="6A243401"/>
    <w:rsid w:val="6A5A911A"/>
    <w:rsid w:val="6A67DF76"/>
    <w:rsid w:val="6AAA839B"/>
    <w:rsid w:val="6AC5240B"/>
    <w:rsid w:val="6B00790C"/>
    <w:rsid w:val="6B0A3E2E"/>
    <w:rsid w:val="6B0F6047"/>
    <w:rsid w:val="6BB8CB39"/>
    <w:rsid w:val="6BC9B9B3"/>
    <w:rsid w:val="6C23B2CF"/>
    <w:rsid w:val="6C3D5525"/>
    <w:rsid w:val="6C46686F"/>
    <w:rsid w:val="6C70F208"/>
    <w:rsid w:val="6C90AE15"/>
    <w:rsid w:val="6CAA6741"/>
    <w:rsid w:val="6D21F106"/>
    <w:rsid w:val="6D5F6384"/>
    <w:rsid w:val="6D7111FD"/>
    <w:rsid w:val="6D876899"/>
    <w:rsid w:val="6DC8C1E6"/>
    <w:rsid w:val="6DE40971"/>
    <w:rsid w:val="6E1A9C9D"/>
    <w:rsid w:val="6ECD65A5"/>
    <w:rsid w:val="6EE09DA2"/>
    <w:rsid w:val="6F74EE4D"/>
    <w:rsid w:val="6F784334"/>
    <w:rsid w:val="6F81C451"/>
    <w:rsid w:val="6F89FC29"/>
    <w:rsid w:val="6FA915E0"/>
    <w:rsid w:val="6FBD7500"/>
    <w:rsid w:val="6FDB82B4"/>
    <w:rsid w:val="6FFCC8AA"/>
    <w:rsid w:val="70500B14"/>
    <w:rsid w:val="70559408"/>
    <w:rsid w:val="70AA0456"/>
    <w:rsid w:val="70D452D6"/>
    <w:rsid w:val="70EFAB85"/>
    <w:rsid w:val="71003AE7"/>
    <w:rsid w:val="711FC53F"/>
    <w:rsid w:val="713152D4"/>
    <w:rsid w:val="724945BF"/>
    <w:rsid w:val="7256117D"/>
    <w:rsid w:val="72574FF9"/>
    <w:rsid w:val="72765E43"/>
    <w:rsid w:val="72815664"/>
    <w:rsid w:val="72D5468A"/>
    <w:rsid w:val="72E9C395"/>
    <w:rsid w:val="7353F650"/>
    <w:rsid w:val="73C72E6E"/>
    <w:rsid w:val="73E0FFDF"/>
    <w:rsid w:val="73EFFAE0"/>
    <w:rsid w:val="74012B89"/>
    <w:rsid w:val="741A0635"/>
    <w:rsid w:val="74477096"/>
    <w:rsid w:val="7481C95A"/>
    <w:rsid w:val="74ABFEB2"/>
    <w:rsid w:val="7525BB2F"/>
    <w:rsid w:val="75525C49"/>
    <w:rsid w:val="755B060A"/>
    <w:rsid w:val="7569E49D"/>
    <w:rsid w:val="75C0591F"/>
    <w:rsid w:val="76297BB7"/>
    <w:rsid w:val="763B80A1"/>
    <w:rsid w:val="766B1747"/>
    <w:rsid w:val="7670F022"/>
    <w:rsid w:val="77012367"/>
    <w:rsid w:val="775AFC40"/>
    <w:rsid w:val="777B04F6"/>
    <w:rsid w:val="77AEB808"/>
    <w:rsid w:val="77D35535"/>
    <w:rsid w:val="7817F10C"/>
    <w:rsid w:val="782CF755"/>
    <w:rsid w:val="7872B447"/>
    <w:rsid w:val="788E3B54"/>
    <w:rsid w:val="78E026B9"/>
    <w:rsid w:val="79387E9A"/>
    <w:rsid w:val="794FF657"/>
    <w:rsid w:val="798C7BCC"/>
    <w:rsid w:val="79985CF5"/>
    <w:rsid w:val="79B7FF92"/>
    <w:rsid w:val="7A429CF0"/>
    <w:rsid w:val="7A5A4D13"/>
    <w:rsid w:val="7A7BB6CB"/>
    <w:rsid w:val="7AAA430F"/>
    <w:rsid w:val="7AB9913B"/>
    <w:rsid w:val="7AC5046B"/>
    <w:rsid w:val="7B07BD08"/>
    <w:rsid w:val="7B15A84C"/>
    <w:rsid w:val="7B169485"/>
    <w:rsid w:val="7B475C08"/>
    <w:rsid w:val="7B52D282"/>
    <w:rsid w:val="7B7171FC"/>
    <w:rsid w:val="7BC65C18"/>
    <w:rsid w:val="7C32B6E7"/>
    <w:rsid w:val="7C661F81"/>
    <w:rsid w:val="7C838314"/>
    <w:rsid w:val="7C913365"/>
    <w:rsid w:val="7C96F6D2"/>
    <w:rsid w:val="7D4103F5"/>
    <w:rsid w:val="7D77DCE6"/>
    <w:rsid w:val="7D81D746"/>
    <w:rsid w:val="7D93F615"/>
    <w:rsid w:val="7D9D9190"/>
    <w:rsid w:val="7DA589B7"/>
    <w:rsid w:val="7DCABEEE"/>
    <w:rsid w:val="7DF8BB1A"/>
    <w:rsid w:val="7DFEDAFA"/>
    <w:rsid w:val="7E028031"/>
    <w:rsid w:val="7E210A1A"/>
    <w:rsid w:val="7E5FD6EC"/>
    <w:rsid w:val="7E81E711"/>
    <w:rsid w:val="7E8713CA"/>
    <w:rsid w:val="7E97406F"/>
    <w:rsid w:val="7ECD606D"/>
    <w:rsid w:val="7ED5CC90"/>
    <w:rsid w:val="7F15E304"/>
    <w:rsid w:val="7F5181C9"/>
    <w:rsid w:val="7F840BB4"/>
    <w:rsid w:val="7F84F1B1"/>
    <w:rsid w:val="7F9EDCC7"/>
    <w:rsid w:val="7FAE8C4E"/>
    <w:rsid w:val="7FFDE54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A0C86"/>
  <w15:docId w15:val="{8E97DE4F-D00F-4B32-BA66-49EE28DD9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Verdana"/>
        <w:color w:val="404040"/>
        <w:lang w:val="da-DK"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qFormat="1"/>
    <w:lsdException w:name="heading 8" w:semiHidden="1" w:uiPriority="1" w:qFormat="1"/>
    <w:lsdException w:name="heading 9" w:semiHidden="1" w:uiPriority="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7"/>
    <w:lsdException w:name="annotation text" w:semiHidden="1"/>
    <w:lsdException w:name="header" w:semiHidden="1" w:uiPriority="11"/>
    <w:lsdException w:name="footer" w:semiHidden="1"/>
    <w:lsdException w:name="index heading" w:semiHidden="1"/>
    <w:lsdException w:name="caption" w:semiHidden="1" w:uiPriority="4" w:qFormat="1"/>
    <w:lsdException w:name="table of figures" w:semiHidden="1"/>
    <w:lsdException w:name="envelope address" w:semiHidden="1"/>
    <w:lsdException w:name="envelope return" w:semiHidden="1"/>
    <w:lsdException w:name="footnote reference" w:semiHidden="1" w:uiPriority="7"/>
    <w:lsdException w:name="annotation reference" w:semiHidden="1"/>
    <w:lsdException w:name="line number" w:semiHidden="1"/>
    <w:lsdException w:name="page number" w:semiHidden="1" w:uiPriority="21"/>
    <w:lsdException w:name="endnote reference" w:semiHidden="1" w:uiPriority="21"/>
    <w:lsdException w:name="endnote text" w:semiHidden="1" w:uiPriority="21"/>
    <w:lsdException w:name="table of authorities" w:semiHidden="1" w:uiPriority="10"/>
    <w:lsdException w:name="macro" w:semiHidden="1"/>
    <w:lsdException w:name="toa heading" w:semiHidden="1" w:uiPriority="39"/>
    <w:lsdException w:name="List" w:semiHidden="1"/>
    <w:lsdException w:name="List Bullet" w:semiHidden="1" w:uiPriority="3" w:qFormat="1"/>
    <w:lsdException w:name="List Number" w:uiPriority="3" w:qFormat="1"/>
    <w:lsdException w:name="List 2" w:semiHidden="1"/>
    <w:lsdException w:name="List 3" w:semiHidden="1"/>
    <w:lsdException w:name="List 4" w:semiHidden="1"/>
    <w:lsdException w:name="List 5" w:semiHidden="1"/>
    <w:lsdException w:name="List Bullet 2" w:semiHidden="1" w:uiPriority="3" w:qFormat="1"/>
    <w:lsdException w:name="List Bullet 3" w:semiHidden="1" w:uiPriority="3" w:qFormat="1"/>
    <w:lsdException w:name="List Bullet 4" w:semiHidden="1" w:uiPriority="3"/>
    <w:lsdException w:name="List Bullet 5" w:uiPriority="3"/>
    <w:lsdException w:name="List Number 2" w:semiHidden="1" w:uiPriority="3"/>
    <w:lsdException w:name="List Number 3" w:semiHidden="1" w:uiPriority="3"/>
    <w:lsdException w:name="List Number 4" w:semiHidden="1" w:uiPriority="3"/>
    <w:lsdException w:name="List Number 5" w:semiHidden="1"/>
    <w:lsdException w:name="Title" w:uiPriority="19"/>
    <w:lsdException w:name="Closing" w:semiHidden="1"/>
    <w:lsdException w:name="Signature" w:semiHidden="1" w:uiPriority="10"/>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21"/>
    <w:lsdException w:name="Strong" w:semiHidden="1"/>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semiHidden="1"/>
    <w:lsdException w:name="Subtle Reference" w:qFormat="1"/>
    <w:lsdException w:name="Intense Reference" w:qFormat="1"/>
    <w:lsdException w:name="Book Title"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latentStyles>
  <w:style w:type="paragraph" w:default="1" w:styleId="Normal">
    <w:name w:val="Normal"/>
    <w:qFormat/>
    <w:rsid w:val="005D6A62"/>
    <w:rPr>
      <w:lang w:val="en-GB"/>
    </w:rPr>
  </w:style>
  <w:style w:type="paragraph" w:styleId="Heading1">
    <w:name w:val="heading 1"/>
    <w:basedOn w:val="Normal"/>
    <w:next w:val="Normal"/>
    <w:link w:val="Heading1Char"/>
    <w:uiPriority w:val="1"/>
    <w:qFormat/>
    <w:rsid w:val="005D6A62"/>
    <w:pPr>
      <w:keepNext/>
      <w:keepLines/>
      <w:pageBreakBefore/>
      <w:numPr>
        <w:numId w:val="8"/>
      </w:numPr>
      <w:spacing w:line="192" w:lineRule="auto"/>
      <w:outlineLvl w:val="0"/>
    </w:pPr>
    <w:rPr>
      <w:rFonts w:asciiTheme="majorHAnsi" w:eastAsia="Times New Roman" w:hAnsiTheme="majorHAnsi" w:cs="Arial"/>
      <w:b/>
      <w:color w:val="auto"/>
      <w:sz w:val="48"/>
      <w:szCs w:val="40"/>
    </w:rPr>
  </w:style>
  <w:style w:type="paragraph" w:styleId="Heading2">
    <w:name w:val="heading 2"/>
    <w:basedOn w:val="Normal"/>
    <w:next w:val="Normal"/>
    <w:link w:val="Heading2Char"/>
    <w:uiPriority w:val="1"/>
    <w:qFormat/>
    <w:rsid w:val="005D6A62"/>
    <w:pPr>
      <w:keepNext/>
      <w:keepLines/>
      <w:numPr>
        <w:ilvl w:val="1"/>
        <w:numId w:val="8"/>
      </w:numPr>
      <w:spacing w:before="360" w:line="192" w:lineRule="auto"/>
      <w:outlineLvl w:val="1"/>
    </w:pPr>
    <w:rPr>
      <w:rFonts w:asciiTheme="majorHAnsi" w:eastAsia="Times New Roman" w:hAnsiTheme="majorHAnsi" w:cs="Arial"/>
      <w:b/>
      <w:color w:val="auto"/>
      <w:sz w:val="36"/>
      <w:szCs w:val="32"/>
    </w:rPr>
  </w:style>
  <w:style w:type="paragraph" w:styleId="Heading3">
    <w:name w:val="heading 3"/>
    <w:basedOn w:val="Normal"/>
    <w:next w:val="Normal"/>
    <w:link w:val="Heading3Char"/>
    <w:uiPriority w:val="1"/>
    <w:qFormat/>
    <w:rsid w:val="00CF26C4"/>
    <w:pPr>
      <w:keepNext/>
      <w:keepLines/>
      <w:numPr>
        <w:ilvl w:val="2"/>
        <w:numId w:val="8"/>
      </w:numPr>
      <w:spacing w:line="320" w:lineRule="atLeast"/>
      <w:outlineLvl w:val="2"/>
    </w:pPr>
    <w:rPr>
      <w:rFonts w:eastAsia="Times New Roman" w:cs="Courier New"/>
      <w:b/>
      <w:color w:val="auto"/>
      <w:sz w:val="28"/>
      <w:szCs w:val="32"/>
    </w:rPr>
  </w:style>
  <w:style w:type="paragraph" w:styleId="Heading4">
    <w:name w:val="heading 4"/>
    <w:basedOn w:val="Normal"/>
    <w:next w:val="Normal"/>
    <w:link w:val="Heading4Char"/>
    <w:uiPriority w:val="1"/>
    <w:qFormat/>
    <w:rsid w:val="00CF26C4"/>
    <w:pPr>
      <w:keepNext/>
      <w:keepLines/>
      <w:numPr>
        <w:ilvl w:val="3"/>
        <w:numId w:val="8"/>
      </w:numPr>
      <w:spacing w:line="260" w:lineRule="atLeast"/>
      <w:outlineLvl w:val="3"/>
    </w:pPr>
    <w:rPr>
      <w:rFonts w:eastAsia="Times New Roman" w:cs="Courier New"/>
      <w:b/>
      <w:iCs/>
      <w:color w:val="auto"/>
      <w:sz w:val="22"/>
      <w:szCs w:val="30"/>
    </w:rPr>
  </w:style>
  <w:style w:type="paragraph" w:styleId="Heading5">
    <w:name w:val="heading 5"/>
    <w:basedOn w:val="Normal"/>
    <w:next w:val="Normal"/>
    <w:link w:val="Heading5Char"/>
    <w:uiPriority w:val="1"/>
    <w:semiHidden/>
    <w:qFormat/>
    <w:rsid w:val="00CF26C4"/>
    <w:pPr>
      <w:keepNext/>
      <w:keepLines/>
      <w:spacing w:line="260" w:lineRule="atLeast"/>
      <w:outlineLvl w:val="4"/>
    </w:pPr>
    <w:rPr>
      <w:rFonts w:eastAsia="Times New Roman" w:cs="Arial"/>
      <w:b/>
      <w:sz w:val="22"/>
      <w:szCs w:val="28"/>
    </w:rPr>
  </w:style>
  <w:style w:type="paragraph" w:styleId="Heading6">
    <w:name w:val="heading 6"/>
    <w:basedOn w:val="Normal"/>
    <w:next w:val="Normal"/>
    <w:link w:val="Heading6Char"/>
    <w:uiPriority w:val="1"/>
    <w:semiHidden/>
    <w:qFormat/>
    <w:rsid w:val="00CF26C4"/>
    <w:pPr>
      <w:keepNext/>
      <w:keepLines/>
      <w:spacing w:line="260" w:lineRule="atLeast"/>
      <w:outlineLvl w:val="5"/>
    </w:pPr>
    <w:rPr>
      <w:rFonts w:eastAsia="Times New Roman" w:cs="Arial"/>
      <w:b/>
      <w:iCs/>
      <w:sz w:val="22"/>
      <w:szCs w:val="26"/>
    </w:rPr>
  </w:style>
  <w:style w:type="paragraph" w:styleId="Heading7">
    <w:name w:val="heading 7"/>
    <w:basedOn w:val="Normal"/>
    <w:next w:val="Normal"/>
    <w:link w:val="Heading7Char"/>
    <w:uiPriority w:val="1"/>
    <w:semiHidden/>
    <w:qFormat/>
    <w:rsid w:val="00CF26C4"/>
    <w:pPr>
      <w:keepNext/>
      <w:keepLines/>
      <w:spacing w:line="260" w:lineRule="atLeast"/>
      <w:outlineLvl w:val="6"/>
    </w:pPr>
    <w:rPr>
      <w:rFonts w:eastAsia="Times New Roman" w:cs="Arial"/>
      <w:b/>
      <w:sz w:val="22"/>
      <w:szCs w:val="24"/>
    </w:rPr>
  </w:style>
  <w:style w:type="paragraph" w:styleId="Heading8">
    <w:name w:val="heading 8"/>
    <w:basedOn w:val="Normal"/>
    <w:next w:val="Normal"/>
    <w:link w:val="Heading8Char"/>
    <w:uiPriority w:val="1"/>
    <w:semiHidden/>
    <w:qFormat/>
    <w:rsid w:val="00CF26C4"/>
    <w:pPr>
      <w:keepNext/>
      <w:keepLines/>
      <w:spacing w:line="260" w:lineRule="atLeast"/>
      <w:outlineLvl w:val="7"/>
    </w:pPr>
    <w:rPr>
      <w:rFonts w:eastAsia="Times New Roman" w:cs="Arial"/>
      <w:b/>
      <w:iCs/>
      <w:sz w:val="22"/>
      <w:szCs w:val="22"/>
    </w:rPr>
  </w:style>
  <w:style w:type="paragraph" w:styleId="Heading9">
    <w:name w:val="heading 9"/>
    <w:basedOn w:val="Normal"/>
    <w:next w:val="Normal"/>
    <w:link w:val="Heading9Char"/>
    <w:uiPriority w:val="1"/>
    <w:semiHidden/>
    <w:qFormat/>
    <w:rsid w:val="00CF26C4"/>
    <w:pPr>
      <w:keepNext/>
      <w:keepLines/>
      <w:spacing w:line="260" w:lineRule="atLeast"/>
      <w:outlineLvl w:val="8"/>
    </w:pPr>
    <w:rPr>
      <w:rFonts w:eastAsia="Times New Roman" w:cs="Arial"/>
      <w:b/>
      <w:bCs/>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F26C4"/>
    <w:rPr>
      <w:rFonts w:cs="Arial"/>
    </w:rPr>
  </w:style>
  <w:style w:type="character" w:customStyle="1" w:styleId="BalloonTextChar">
    <w:name w:val="Balloon Text Char"/>
    <w:basedOn w:val="DefaultParagraphFont"/>
    <w:link w:val="BalloonText"/>
    <w:uiPriority w:val="99"/>
    <w:semiHidden/>
    <w:rsid w:val="00CF26C4"/>
    <w:rPr>
      <w:rFonts w:cs="Arial"/>
      <w:lang w:val="en-GB"/>
    </w:rPr>
  </w:style>
  <w:style w:type="paragraph" w:styleId="Bibliography">
    <w:name w:val="Bibliography"/>
    <w:basedOn w:val="Normal"/>
    <w:next w:val="Normal"/>
    <w:uiPriority w:val="99"/>
    <w:semiHidden/>
    <w:rsid w:val="00CF26C4"/>
  </w:style>
  <w:style w:type="table" w:customStyle="1" w:styleId="Blank">
    <w:name w:val="Blank"/>
    <w:basedOn w:val="TableNormal"/>
    <w:uiPriority w:val="99"/>
    <w:rsid w:val="00CF26C4"/>
    <w:pPr>
      <w:spacing w:after="0"/>
    </w:pPr>
    <w:rPr>
      <w:rFonts w:eastAsiaTheme="minorHAnsi"/>
      <w:szCs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pPr>
    </w:tblStylePr>
    <w:tblStylePr w:type="lastRow">
      <w:pPr>
        <w:spacing w:before="0" w:after="0" w:line="240" w:lineRule="auto"/>
      </w:pPr>
    </w:tblStylePr>
  </w:style>
  <w:style w:type="character" w:customStyle="1" w:styleId="Heading1Char">
    <w:name w:val="Heading 1 Char"/>
    <w:link w:val="Heading1"/>
    <w:uiPriority w:val="1"/>
    <w:rsid w:val="005D6A62"/>
    <w:rPr>
      <w:rFonts w:asciiTheme="majorHAnsi" w:eastAsia="Times New Roman" w:hAnsiTheme="majorHAnsi" w:cs="Arial"/>
      <w:b/>
      <w:color w:val="auto"/>
      <w:sz w:val="48"/>
      <w:szCs w:val="40"/>
      <w:lang w:val="en-GB"/>
    </w:rPr>
  </w:style>
  <w:style w:type="character" w:customStyle="1" w:styleId="Heading2Char">
    <w:name w:val="Heading 2 Char"/>
    <w:link w:val="Heading2"/>
    <w:uiPriority w:val="1"/>
    <w:rsid w:val="005D6A62"/>
    <w:rPr>
      <w:rFonts w:asciiTheme="majorHAnsi" w:eastAsia="Times New Roman" w:hAnsiTheme="majorHAnsi" w:cs="Arial"/>
      <w:b/>
      <w:color w:val="auto"/>
      <w:sz w:val="36"/>
      <w:szCs w:val="32"/>
      <w:lang w:val="en-GB"/>
    </w:rPr>
  </w:style>
  <w:style w:type="character" w:customStyle="1" w:styleId="Heading3Char">
    <w:name w:val="Heading 3 Char"/>
    <w:link w:val="Heading3"/>
    <w:uiPriority w:val="1"/>
    <w:rsid w:val="00CF26C4"/>
    <w:rPr>
      <w:rFonts w:eastAsia="Times New Roman" w:cs="Courier New"/>
      <w:b/>
      <w:color w:val="auto"/>
      <w:sz w:val="28"/>
      <w:szCs w:val="32"/>
      <w:lang w:val="en-GB"/>
    </w:rPr>
  </w:style>
  <w:style w:type="character" w:customStyle="1" w:styleId="Heading4Char">
    <w:name w:val="Heading 4 Char"/>
    <w:link w:val="Heading4"/>
    <w:uiPriority w:val="1"/>
    <w:rsid w:val="00CF26C4"/>
    <w:rPr>
      <w:rFonts w:eastAsia="Times New Roman" w:cs="Courier New"/>
      <w:b/>
      <w:iCs/>
      <w:color w:val="auto"/>
      <w:sz w:val="22"/>
      <w:szCs w:val="30"/>
      <w:lang w:val="en-GB"/>
    </w:rPr>
  </w:style>
  <w:style w:type="character" w:customStyle="1" w:styleId="Heading5Char">
    <w:name w:val="Heading 5 Char"/>
    <w:link w:val="Heading5"/>
    <w:uiPriority w:val="1"/>
    <w:semiHidden/>
    <w:rsid w:val="00CF26C4"/>
    <w:rPr>
      <w:rFonts w:eastAsia="Times New Roman" w:cs="Arial"/>
      <w:b/>
      <w:sz w:val="22"/>
      <w:szCs w:val="28"/>
      <w:lang w:val="en-GB"/>
    </w:rPr>
  </w:style>
  <w:style w:type="character" w:customStyle="1" w:styleId="Heading6Char">
    <w:name w:val="Heading 6 Char"/>
    <w:link w:val="Heading6"/>
    <w:uiPriority w:val="1"/>
    <w:semiHidden/>
    <w:rsid w:val="00CF26C4"/>
    <w:rPr>
      <w:rFonts w:eastAsia="Times New Roman" w:cs="Arial"/>
      <w:b/>
      <w:iCs/>
      <w:sz w:val="22"/>
      <w:szCs w:val="26"/>
      <w:lang w:val="en-GB"/>
    </w:rPr>
  </w:style>
  <w:style w:type="character" w:customStyle="1" w:styleId="Heading7Char">
    <w:name w:val="Heading 7 Char"/>
    <w:link w:val="Heading7"/>
    <w:uiPriority w:val="1"/>
    <w:semiHidden/>
    <w:rsid w:val="00CF26C4"/>
    <w:rPr>
      <w:rFonts w:eastAsia="Times New Roman" w:cs="Arial"/>
      <w:b/>
      <w:sz w:val="22"/>
      <w:szCs w:val="24"/>
      <w:lang w:val="en-GB"/>
    </w:rPr>
  </w:style>
  <w:style w:type="character" w:customStyle="1" w:styleId="Heading8Char">
    <w:name w:val="Heading 8 Char"/>
    <w:link w:val="Heading8"/>
    <w:uiPriority w:val="1"/>
    <w:semiHidden/>
    <w:rsid w:val="00CF26C4"/>
    <w:rPr>
      <w:rFonts w:eastAsia="Times New Roman" w:cs="Arial"/>
      <w:b/>
      <w:iCs/>
      <w:sz w:val="22"/>
      <w:szCs w:val="22"/>
      <w:lang w:val="en-GB"/>
    </w:rPr>
  </w:style>
  <w:style w:type="character" w:customStyle="1" w:styleId="Heading9Char">
    <w:name w:val="Heading 9 Char"/>
    <w:link w:val="Heading9"/>
    <w:uiPriority w:val="1"/>
    <w:semiHidden/>
    <w:rsid w:val="00CF26C4"/>
    <w:rPr>
      <w:rFonts w:eastAsia="Times New Roman" w:cs="Arial"/>
      <w:b/>
      <w:bCs/>
      <w:iCs/>
      <w:sz w:val="22"/>
      <w:lang w:val="en-GB"/>
    </w:rPr>
  </w:style>
  <w:style w:type="paragraph" w:styleId="BlockText">
    <w:name w:val="Block Text"/>
    <w:basedOn w:val="Normal"/>
    <w:uiPriority w:val="99"/>
    <w:semiHidden/>
    <w:rsid w:val="00CF26C4"/>
    <w:pPr>
      <w:pBdr>
        <w:top w:val="single" w:sz="2" w:space="10" w:color="8E8989" w:themeColor="text1" w:themeTint="80"/>
        <w:left w:val="single" w:sz="2" w:space="10" w:color="8E8989" w:themeColor="text1" w:themeTint="80"/>
        <w:bottom w:val="single" w:sz="2" w:space="10" w:color="8E8989" w:themeColor="text1" w:themeTint="80"/>
        <w:right w:val="single" w:sz="2" w:space="10" w:color="8E8989" w:themeColor="text1" w:themeTint="80"/>
      </w:pBdr>
      <w:ind w:left="1151" w:right="1151"/>
    </w:pPr>
    <w:rPr>
      <w:i/>
      <w:iCs/>
    </w:rPr>
  </w:style>
  <w:style w:type="paragraph" w:styleId="BodyText">
    <w:name w:val="Body Text"/>
    <w:basedOn w:val="Normal"/>
    <w:link w:val="BodyTextChar"/>
    <w:uiPriority w:val="99"/>
    <w:semiHidden/>
    <w:rsid w:val="00CF26C4"/>
    <w:pPr>
      <w:spacing w:after="120"/>
    </w:pPr>
  </w:style>
  <w:style w:type="character" w:customStyle="1" w:styleId="BodyTextChar">
    <w:name w:val="Body Text Char"/>
    <w:basedOn w:val="DefaultParagraphFont"/>
    <w:link w:val="BodyText"/>
    <w:uiPriority w:val="99"/>
    <w:semiHidden/>
    <w:rsid w:val="00CF26C4"/>
    <w:rPr>
      <w:lang w:val="en-GB"/>
    </w:rPr>
  </w:style>
  <w:style w:type="paragraph" w:styleId="BodyText2">
    <w:name w:val="Body Text 2"/>
    <w:basedOn w:val="Normal"/>
    <w:link w:val="BodyText2Char"/>
    <w:uiPriority w:val="99"/>
    <w:semiHidden/>
    <w:rsid w:val="00CF26C4"/>
    <w:pPr>
      <w:spacing w:after="120" w:line="480" w:lineRule="auto"/>
    </w:pPr>
  </w:style>
  <w:style w:type="character" w:customStyle="1" w:styleId="BodyText2Char">
    <w:name w:val="Body Text 2 Char"/>
    <w:basedOn w:val="DefaultParagraphFont"/>
    <w:link w:val="BodyText2"/>
    <w:uiPriority w:val="99"/>
    <w:semiHidden/>
    <w:rsid w:val="00CF26C4"/>
    <w:rPr>
      <w:lang w:val="en-GB"/>
    </w:rPr>
  </w:style>
  <w:style w:type="paragraph" w:styleId="BodyText3">
    <w:name w:val="Body Text 3"/>
    <w:basedOn w:val="Normal"/>
    <w:link w:val="BodyText3Char"/>
    <w:uiPriority w:val="99"/>
    <w:semiHidden/>
    <w:rsid w:val="00CF26C4"/>
    <w:pPr>
      <w:spacing w:after="120"/>
    </w:pPr>
    <w:rPr>
      <w:sz w:val="16"/>
      <w:szCs w:val="16"/>
    </w:rPr>
  </w:style>
  <w:style w:type="character" w:customStyle="1" w:styleId="BodyText3Char">
    <w:name w:val="Body Text 3 Char"/>
    <w:basedOn w:val="DefaultParagraphFont"/>
    <w:link w:val="BodyText3"/>
    <w:uiPriority w:val="99"/>
    <w:semiHidden/>
    <w:rsid w:val="00CF26C4"/>
    <w:rPr>
      <w:sz w:val="16"/>
      <w:szCs w:val="16"/>
      <w:lang w:val="en-GB"/>
    </w:rPr>
  </w:style>
  <w:style w:type="paragraph" w:styleId="BodyTextFirstIndent">
    <w:name w:val="Body Text First Indent"/>
    <w:basedOn w:val="BodyText"/>
    <w:link w:val="BodyTextFirstIndentChar"/>
    <w:uiPriority w:val="99"/>
    <w:semiHidden/>
    <w:rsid w:val="00CF26C4"/>
    <w:pPr>
      <w:spacing w:after="0"/>
      <w:ind w:firstLine="360"/>
    </w:pPr>
  </w:style>
  <w:style w:type="character" w:customStyle="1" w:styleId="BodyTextFirstIndentChar">
    <w:name w:val="Body Text First Indent Char"/>
    <w:basedOn w:val="BodyTextChar"/>
    <w:link w:val="BodyTextFirstIndent"/>
    <w:uiPriority w:val="99"/>
    <w:semiHidden/>
    <w:rsid w:val="00CF26C4"/>
    <w:rPr>
      <w:lang w:val="en-GB"/>
    </w:rPr>
  </w:style>
  <w:style w:type="paragraph" w:styleId="BodyTextIndent">
    <w:name w:val="Body Text Indent"/>
    <w:basedOn w:val="Normal"/>
    <w:link w:val="BodyTextIndentChar"/>
    <w:uiPriority w:val="99"/>
    <w:semiHidden/>
    <w:rsid w:val="00CF26C4"/>
    <w:pPr>
      <w:spacing w:after="120"/>
      <w:ind w:left="283"/>
    </w:pPr>
  </w:style>
  <w:style w:type="character" w:customStyle="1" w:styleId="BodyTextIndentChar">
    <w:name w:val="Body Text Indent Char"/>
    <w:basedOn w:val="DefaultParagraphFont"/>
    <w:link w:val="BodyTextIndent"/>
    <w:uiPriority w:val="99"/>
    <w:semiHidden/>
    <w:rsid w:val="00CF26C4"/>
    <w:rPr>
      <w:lang w:val="en-GB"/>
    </w:rPr>
  </w:style>
  <w:style w:type="paragraph" w:styleId="BodyTextFirstIndent2">
    <w:name w:val="Body Text First Indent 2"/>
    <w:basedOn w:val="BodyTextIndent"/>
    <w:link w:val="BodyTextFirstIndent2Char"/>
    <w:uiPriority w:val="99"/>
    <w:semiHidden/>
    <w:rsid w:val="00CF26C4"/>
    <w:pPr>
      <w:spacing w:after="0"/>
      <w:ind w:left="360" w:firstLine="360"/>
    </w:pPr>
  </w:style>
  <w:style w:type="character" w:customStyle="1" w:styleId="BodyTextFirstIndent2Char">
    <w:name w:val="Body Text First Indent 2 Char"/>
    <w:basedOn w:val="BodyTextIndentChar"/>
    <w:link w:val="BodyTextFirstIndent2"/>
    <w:uiPriority w:val="99"/>
    <w:semiHidden/>
    <w:rsid w:val="00CF26C4"/>
    <w:rPr>
      <w:lang w:val="en-GB"/>
    </w:rPr>
  </w:style>
  <w:style w:type="paragraph" w:styleId="BodyTextIndent2">
    <w:name w:val="Body Text Indent 2"/>
    <w:basedOn w:val="Normal"/>
    <w:link w:val="BodyTextIndent2Char"/>
    <w:uiPriority w:val="99"/>
    <w:semiHidden/>
    <w:rsid w:val="00CF26C4"/>
    <w:pPr>
      <w:spacing w:after="120" w:line="480" w:lineRule="auto"/>
      <w:ind w:left="283"/>
    </w:pPr>
  </w:style>
  <w:style w:type="character" w:customStyle="1" w:styleId="BodyTextIndent2Char">
    <w:name w:val="Body Text Indent 2 Char"/>
    <w:basedOn w:val="DefaultParagraphFont"/>
    <w:link w:val="BodyTextIndent2"/>
    <w:uiPriority w:val="99"/>
    <w:semiHidden/>
    <w:rsid w:val="00CF26C4"/>
    <w:rPr>
      <w:lang w:val="en-GB"/>
    </w:rPr>
  </w:style>
  <w:style w:type="paragraph" w:styleId="BodyTextIndent3">
    <w:name w:val="Body Text Indent 3"/>
    <w:basedOn w:val="Normal"/>
    <w:link w:val="BodyTextIndent3Char"/>
    <w:uiPriority w:val="99"/>
    <w:semiHidden/>
    <w:rsid w:val="00CF26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F26C4"/>
    <w:rPr>
      <w:sz w:val="16"/>
      <w:szCs w:val="16"/>
      <w:lang w:val="en-GB"/>
    </w:rPr>
  </w:style>
  <w:style w:type="character" w:styleId="BookTitle">
    <w:name w:val="Book Title"/>
    <w:basedOn w:val="DefaultParagraphFont"/>
    <w:uiPriority w:val="99"/>
    <w:semiHidden/>
    <w:qFormat/>
    <w:rsid w:val="00CF26C4"/>
    <w:rPr>
      <w:b/>
      <w:bCs/>
      <w:caps w:val="0"/>
      <w:smallCaps w:val="0"/>
      <w:spacing w:val="5"/>
    </w:rPr>
  </w:style>
  <w:style w:type="paragraph" w:styleId="Caption">
    <w:name w:val="caption"/>
    <w:basedOn w:val="Normal"/>
    <w:next w:val="Normal"/>
    <w:uiPriority w:val="4"/>
    <w:qFormat/>
    <w:rsid w:val="008A6E45"/>
    <w:pPr>
      <w:keepNext/>
      <w:spacing w:before="240" w:after="80"/>
    </w:pPr>
    <w:rPr>
      <w:rFonts w:eastAsia="Times New Roman" w:cs="Courier New"/>
    </w:rPr>
  </w:style>
  <w:style w:type="paragraph" w:styleId="Closing">
    <w:name w:val="Closing"/>
    <w:basedOn w:val="Normal"/>
    <w:link w:val="ClosingChar"/>
    <w:uiPriority w:val="99"/>
    <w:semiHidden/>
    <w:rsid w:val="00CF26C4"/>
    <w:pPr>
      <w:ind w:left="4252"/>
    </w:pPr>
  </w:style>
  <w:style w:type="character" w:customStyle="1" w:styleId="ClosingChar">
    <w:name w:val="Closing Char"/>
    <w:basedOn w:val="DefaultParagraphFont"/>
    <w:link w:val="Closing"/>
    <w:uiPriority w:val="99"/>
    <w:semiHidden/>
    <w:rsid w:val="00CF26C4"/>
    <w:rPr>
      <w:lang w:val="en-GB"/>
    </w:rPr>
  </w:style>
  <w:style w:type="table" w:styleId="ColorfulGrid">
    <w:name w:val="Colorful Grid"/>
    <w:basedOn w:val="TableNormal"/>
    <w:uiPriority w:val="73"/>
    <w:semiHidden/>
    <w:unhideWhenUsed/>
    <w:rsid w:val="00CF26C4"/>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D2D0D0" w:themeFill="text1" w:themeFillTint="33"/>
    </w:tcPr>
    <w:tblStylePr w:type="firstRow">
      <w:rPr>
        <w:b/>
        <w:bCs/>
      </w:rPr>
      <w:tblPr/>
      <w:tcPr>
        <w:shd w:val="clear" w:color="auto" w:fill="A5A1A1" w:themeFill="text1" w:themeFillTint="66"/>
      </w:tcPr>
    </w:tblStylePr>
    <w:tblStylePr w:type="lastRow">
      <w:rPr>
        <w:b/>
        <w:bCs/>
        <w:color w:val="1A1919" w:themeColor="text1"/>
      </w:rPr>
      <w:tblPr/>
      <w:tcPr>
        <w:shd w:val="clear" w:color="auto" w:fill="A5A1A1" w:themeFill="text1" w:themeFillTint="66"/>
      </w:tcPr>
    </w:tblStylePr>
    <w:tblStylePr w:type="firstCol">
      <w:rPr>
        <w:color w:val="FFFFFF" w:themeColor="background1"/>
      </w:rPr>
      <w:tblPr/>
      <w:tcPr>
        <w:shd w:val="clear" w:color="auto" w:fill="131212" w:themeFill="text1" w:themeFillShade="BF"/>
      </w:tcPr>
    </w:tblStylePr>
    <w:tblStylePr w:type="lastCol">
      <w:rPr>
        <w:color w:val="FFFFFF" w:themeColor="background1"/>
      </w:rPr>
      <w:tblPr/>
      <w:tcPr>
        <w:shd w:val="clear" w:color="auto" w:fill="131212" w:themeFill="text1" w:themeFillShade="BF"/>
      </w:tcPr>
    </w:tblStylePr>
    <w:tblStylePr w:type="band1Vert">
      <w:tblPr/>
      <w:tcPr>
        <w:shd w:val="clear" w:color="auto" w:fill="8F8A8A" w:themeFill="text1" w:themeFillTint="7F"/>
      </w:tcPr>
    </w:tblStylePr>
    <w:tblStylePr w:type="band1Horz">
      <w:tblPr/>
      <w:tcPr>
        <w:shd w:val="clear" w:color="auto" w:fill="8F8A8A" w:themeFill="text1" w:themeFillTint="7F"/>
      </w:tcPr>
    </w:tblStylePr>
  </w:style>
  <w:style w:type="table" w:styleId="ColorfulGrid-Accent1">
    <w:name w:val="Colorful Grid Accent 1"/>
    <w:basedOn w:val="TableNormal"/>
    <w:uiPriority w:val="73"/>
    <w:semiHidden/>
    <w:unhideWhenUsed/>
    <w:rsid w:val="00CF26C4"/>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0F2F0" w:themeFill="accent1" w:themeFillTint="33"/>
    </w:tcPr>
    <w:tblStylePr w:type="firstRow">
      <w:rPr>
        <w:b/>
        <w:bCs/>
      </w:rPr>
      <w:tblPr/>
      <w:tcPr>
        <w:shd w:val="clear" w:color="auto" w:fill="C2E5E1" w:themeFill="accent1" w:themeFillTint="66"/>
      </w:tcPr>
    </w:tblStylePr>
    <w:tblStylePr w:type="lastRow">
      <w:rPr>
        <w:b/>
        <w:bCs/>
        <w:color w:val="1A1919" w:themeColor="text1"/>
      </w:rPr>
      <w:tblPr/>
      <w:tcPr>
        <w:shd w:val="clear" w:color="auto" w:fill="C2E5E1" w:themeFill="accent1" w:themeFillTint="66"/>
      </w:tcPr>
    </w:tblStylePr>
    <w:tblStylePr w:type="firstCol">
      <w:rPr>
        <w:color w:val="FFFFFF" w:themeColor="background1"/>
      </w:rPr>
      <w:tblPr/>
      <w:tcPr>
        <w:shd w:val="clear" w:color="auto" w:fill="419C90" w:themeFill="accent1" w:themeFillShade="BF"/>
      </w:tcPr>
    </w:tblStylePr>
    <w:tblStylePr w:type="lastCol">
      <w:rPr>
        <w:color w:val="FFFFFF" w:themeColor="background1"/>
      </w:rPr>
      <w:tblPr/>
      <w:tcPr>
        <w:shd w:val="clear" w:color="auto" w:fill="419C90" w:themeFill="accent1" w:themeFillShade="BF"/>
      </w:tcPr>
    </w:tblStylePr>
    <w:tblStylePr w:type="band1Vert">
      <w:tblPr/>
      <w:tcPr>
        <w:shd w:val="clear" w:color="auto" w:fill="B3DFDA" w:themeFill="accent1" w:themeFillTint="7F"/>
      </w:tcPr>
    </w:tblStylePr>
    <w:tblStylePr w:type="band1Horz">
      <w:tblPr/>
      <w:tcPr>
        <w:shd w:val="clear" w:color="auto" w:fill="B3DFDA" w:themeFill="accent1" w:themeFillTint="7F"/>
      </w:tcPr>
    </w:tblStylePr>
  </w:style>
  <w:style w:type="table" w:styleId="ColorfulGrid-Accent2">
    <w:name w:val="Colorful Grid Accent 2"/>
    <w:basedOn w:val="TableNormal"/>
    <w:uiPriority w:val="73"/>
    <w:semiHidden/>
    <w:unhideWhenUsed/>
    <w:rsid w:val="00CF26C4"/>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0EEF8" w:themeFill="accent2" w:themeFillTint="33"/>
    </w:tcPr>
    <w:tblStylePr w:type="firstRow">
      <w:rPr>
        <w:b/>
        <w:bCs/>
      </w:rPr>
      <w:tblPr/>
      <w:tcPr>
        <w:shd w:val="clear" w:color="auto" w:fill="C2DDF2" w:themeFill="accent2" w:themeFillTint="66"/>
      </w:tcPr>
    </w:tblStylePr>
    <w:tblStylePr w:type="lastRow">
      <w:rPr>
        <w:b/>
        <w:bCs/>
        <w:color w:val="1A1919" w:themeColor="text1"/>
      </w:rPr>
      <w:tblPr/>
      <w:tcPr>
        <w:shd w:val="clear" w:color="auto" w:fill="C2DDF2" w:themeFill="accent2" w:themeFillTint="66"/>
      </w:tcPr>
    </w:tblStylePr>
    <w:tblStylePr w:type="firstCol">
      <w:rPr>
        <w:color w:val="FFFFFF" w:themeColor="background1"/>
      </w:rPr>
      <w:tblPr/>
      <w:tcPr>
        <w:shd w:val="clear" w:color="auto" w:fill="2B85CA" w:themeFill="accent2" w:themeFillShade="BF"/>
      </w:tcPr>
    </w:tblStylePr>
    <w:tblStylePr w:type="lastCol">
      <w:rPr>
        <w:color w:val="FFFFFF" w:themeColor="background1"/>
      </w:rPr>
      <w:tblPr/>
      <w:tcPr>
        <w:shd w:val="clear" w:color="auto" w:fill="2B85CA" w:themeFill="accent2" w:themeFillShade="BF"/>
      </w:tcPr>
    </w:tblStylePr>
    <w:tblStylePr w:type="band1Vert">
      <w:tblPr/>
      <w:tcPr>
        <w:shd w:val="clear" w:color="auto" w:fill="B4D5EF" w:themeFill="accent2" w:themeFillTint="7F"/>
      </w:tcPr>
    </w:tblStylePr>
    <w:tblStylePr w:type="band1Horz">
      <w:tblPr/>
      <w:tcPr>
        <w:shd w:val="clear" w:color="auto" w:fill="B4D5EF" w:themeFill="accent2" w:themeFillTint="7F"/>
      </w:tcPr>
    </w:tblStylePr>
  </w:style>
  <w:style w:type="table" w:styleId="ColorfulGrid-Accent3">
    <w:name w:val="Colorful Grid Accent 3"/>
    <w:basedOn w:val="TableNormal"/>
    <w:uiPriority w:val="73"/>
    <w:semiHidden/>
    <w:unhideWhenUsed/>
    <w:rsid w:val="00CF26C4"/>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DFE1EF" w:themeFill="accent3" w:themeFillTint="33"/>
    </w:tcPr>
    <w:tblStylePr w:type="firstRow">
      <w:rPr>
        <w:b/>
        <w:bCs/>
      </w:rPr>
      <w:tblPr/>
      <w:tcPr>
        <w:shd w:val="clear" w:color="auto" w:fill="C0C3DF" w:themeFill="accent3" w:themeFillTint="66"/>
      </w:tcPr>
    </w:tblStylePr>
    <w:tblStylePr w:type="lastRow">
      <w:rPr>
        <w:b/>
        <w:bCs/>
        <w:color w:val="1A1919" w:themeColor="text1"/>
      </w:rPr>
      <w:tblPr/>
      <w:tcPr>
        <w:shd w:val="clear" w:color="auto" w:fill="C0C3DF" w:themeFill="accent3" w:themeFillTint="66"/>
      </w:tcPr>
    </w:tblStylePr>
    <w:tblStylePr w:type="firstCol">
      <w:rPr>
        <w:color w:val="FFFFFF" w:themeColor="background1"/>
      </w:rPr>
      <w:tblPr/>
      <w:tcPr>
        <w:shd w:val="clear" w:color="auto" w:fill="454B87" w:themeFill="accent3" w:themeFillShade="BF"/>
      </w:tcPr>
    </w:tblStylePr>
    <w:tblStylePr w:type="lastCol">
      <w:rPr>
        <w:color w:val="FFFFFF" w:themeColor="background1"/>
      </w:rPr>
      <w:tblPr/>
      <w:tcPr>
        <w:shd w:val="clear" w:color="auto" w:fill="454B87" w:themeFill="accent3" w:themeFillShade="BF"/>
      </w:tcPr>
    </w:tblStylePr>
    <w:tblStylePr w:type="band1Vert">
      <w:tblPr/>
      <w:tcPr>
        <w:shd w:val="clear" w:color="auto" w:fill="B1B4D7" w:themeFill="accent3" w:themeFillTint="7F"/>
      </w:tcPr>
    </w:tblStylePr>
    <w:tblStylePr w:type="band1Horz">
      <w:tblPr/>
      <w:tcPr>
        <w:shd w:val="clear" w:color="auto" w:fill="B1B4D7" w:themeFill="accent3" w:themeFillTint="7F"/>
      </w:tcPr>
    </w:tblStylePr>
  </w:style>
  <w:style w:type="table" w:styleId="ColorfulGrid-Accent4">
    <w:name w:val="Colorful Grid Accent 4"/>
    <w:basedOn w:val="TableNormal"/>
    <w:uiPriority w:val="73"/>
    <w:semiHidden/>
    <w:unhideWhenUsed/>
    <w:rsid w:val="00CF26C4"/>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FE1EE" w:themeFill="accent4" w:themeFillTint="33"/>
    </w:tcPr>
    <w:tblStylePr w:type="firstRow">
      <w:rPr>
        <w:b/>
        <w:bCs/>
      </w:rPr>
      <w:tblPr/>
      <w:tcPr>
        <w:shd w:val="clear" w:color="auto" w:fill="E0C4DD" w:themeFill="accent4" w:themeFillTint="66"/>
      </w:tcPr>
    </w:tblStylePr>
    <w:tblStylePr w:type="lastRow">
      <w:rPr>
        <w:b/>
        <w:bCs/>
        <w:color w:val="1A1919" w:themeColor="text1"/>
      </w:rPr>
      <w:tblPr/>
      <w:tcPr>
        <w:shd w:val="clear" w:color="auto" w:fill="E0C4DD" w:themeFill="accent4" w:themeFillTint="66"/>
      </w:tcPr>
    </w:tblStylePr>
    <w:tblStylePr w:type="firstCol">
      <w:rPr>
        <w:color w:val="FFFFFF" w:themeColor="background1"/>
      </w:rPr>
      <w:tblPr/>
      <w:tcPr>
        <w:shd w:val="clear" w:color="auto" w:fill="8C4A85" w:themeFill="accent4" w:themeFillShade="BF"/>
      </w:tcPr>
    </w:tblStylePr>
    <w:tblStylePr w:type="lastCol">
      <w:rPr>
        <w:color w:val="FFFFFF" w:themeColor="background1"/>
      </w:rPr>
      <w:tblPr/>
      <w:tcPr>
        <w:shd w:val="clear" w:color="auto" w:fill="8C4A85" w:themeFill="accent4" w:themeFillShade="BF"/>
      </w:tcPr>
    </w:tblStylePr>
    <w:tblStylePr w:type="band1Vert">
      <w:tblPr/>
      <w:tcPr>
        <w:shd w:val="clear" w:color="auto" w:fill="D8B6D5" w:themeFill="accent4" w:themeFillTint="7F"/>
      </w:tcPr>
    </w:tblStylePr>
    <w:tblStylePr w:type="band1Horz">
      <w:tblPr/>
      <w:tcPr>
        <w:shd w:val="clear" w:color="auto" w:fill="D8B6D5" w:themeFill="accent4" w:themeFillTint="7F"/>
      </w:tcPr>
    </w:tblStylePr>
  </w:style>
  <w:style w:type="table" w:styleId="ColorfulGrid-Accent5">
    <w:name w:val="Colorful Grid Accent 5"/>
    <w:basedOn w:val="TableNormal"/>
    <w:uiPriority w:val="73"/>
    <w:semiHidden/>
    <w:unhideWhenUsed/>
    <w:rsid w:val="00CF26C4"/>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FAECF3" w:themeFill="accent5" w:themeFillTint="33"/>
    </w:tcPr>
    <w:tblStylePr w:type="firstRow">
      <w:rPr>
        <w:b/>
        <w:bCs/>
      </w:rPr>
      <w:tblPr/>
      <w:tcPr>
        <w:shd w:val="clear" w:color="auto" w:fill="F5D9E8" w:themeFill="accent5" w:themeFillTint="66"/>
      </w:tcPr>
    </w:tblStylePr>
    <w:tblStylePr w:type="lastRow">
      <w:rPr>
        <w:b/>
        <w:bCs/>
        <w:color w:val="1A1919" w:themeColor="text1"/>
      </w:rPr>
      <w:tblPr/>
      <w:tcPr>
        <w:shd w:val="clear" w:color="auto" w:fill="F5D9E8" w:themeFill="accent5" w:themeFillTint="66"/>
      </w:tcPr>
    </w:tblStylePr>
    <w:tblStylePr w:type="firstCol">
      <w:rPr>
        <w:color w:val="FFFFFF" w:themeColor="background1"/>
      </w:rPr>
      <w:tblPr/>
      <w:tcPr>
        <w:shd w:val="clear" w:color="auto" w:fill="D25399" w:themeFill="accent5" w:themeFillShade="BF"/>
      </w:tcPr>
    </w:tblStylePr>
    <w:tblStylePr w:type="lastCol">
      <w:rPr>
        <w:color w:val="FFFFFF" w:themeColor="background1"/>
      </w:rPr>
      <w:tblPr/>
      <w:tcPr>
        <w:shd w:val="clear" w:color="auto" w:fill="D25399" w:themeFill="accent5" w:themeFillShade="BF"/>
      </w:tcPr>
    </w:tblStylePr>
    <w:tblStylePr w:type="band1Vert">
      <w:tblPr/>
      <w:tcPr>
        <w:shd w:val="clear" w:color="auto" w:fill="F3D0E3" w:themeFill="accent5" w:themeFillTint="7F"/>
      </w:tcPr>
    </w:tblStylePr>
    <w:tblStylePr w:type="band1Horz">
      <w:tblPr/>
      <w:tcPr>
        <w:shd w:val="clear" w:color="auto" w:fill="F3D0E3" w:themeFill="accent5" w:themeFillTint="7F"/>
      </w:tcPr>
    </w:tblStylePr>
  </w:style>
  <w:style w:type="table" w:styleId="ColorfulGrid-Accent6">
    <w:name w:val="Colorful Grid Accent 6"/>
    <w:basedOn w:val="TableNormal"/>
    <w:uiPriority w:val="73"/>
    <w:semiHidden/>
    <w:unhideWhenUsed/>
    <w:rsid w:val="00CF26C4"/>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BF5FC" w:themeFill="accent6" w:themeFillTint="33"/>
    </w:tcPr>
    <w:tblStylePr w:type="firstRow">
      <w:rPr>
        <w:b/>
        <w:bCs/>
      </w:rPr>
      <w:tblPr/>
      <w:tcPr>
        <w:shd w:val="clear" w:color="auto" w:fill="D7ECFA" w:themeFill="accent6" w:themeFillTint="66"/>
      </w:tcPr>
    </w:tblStylePr>
    <w:tblStylePr w:type="lastRow">
      <w:rPr>
        <w:b/>
        <w:bCs/>
        <w:color w:val="1A1919" w:themeColor="text1"/>
      </w:rPr>
      <w:tblPr/>
      <w:tcPr>
        <w:shd w:val="clear" w:color="auto" w:fill="D7ECFA" w:themeFill="accent6" w:themeFillTint="66"/>
      </w:tcPr>
    </w:tblStylePr>
    <w:tblStylePr w:type="firstCol">
      <w:rPr>
        <w:color w:val="FFFFFF" w:themeColor="background1"/>
      </w:rPr>
      <w:tblPr/>
      <w:tcPr>
        <w:shd w:val="clear" w:color="auto" w:fill="41A8EA" w:themeFill="accent6" w:themeFillShade="BF"/>
      </w:tcPr>
    </w:tblStylePr>
    <w:tblStylePr w:type="lastCol">
      <w:rPr>
        <w:color w:val="FFFFFF" w:themeColor="background1"/>
      </w:rPr>
      <w:tblPr/>
      <w:tcPr>
        <w:shd w:val="clear" w:color="auto" w:fill="41A8EA" w:themeFill="accent6" w:themeFillShade="BF"/>
      </w:tcPr>
    </w:tblStylePr>
    <w:tblStylePr w:type="band1Vert">
      <w:tblPr/>
      <w:tcPr>
        <w:shd w:val="clear" w:color="auto" w:fill="CDE8F9" w:themeFill="accent6" w:themeFillTint="7F"/>
      </w:tcPr>
    </w:tblStylePr>
    <w:tblStylePr w:type="band1Horz">
      <w:tblPr/>
      <w:tcPr>
        <w:shd w:val="clear" w:color="auto" w:fill="CDE8F9" w:themeFill="accent6" w:themeFillTint="7F"/>
      </w:tcPr>
    </w:tblStylePr>
  </w:style>
  <w:style w:type="table" w:styleId="ColorfulList">
    <w:name w:val="Colorful List"/>
    <w:basedOn w:val="TableNormal"/>
    <w:uiPriority w:val="72"/>
    <w:semiHidden/>
    <w:unhideWhenUsed/>
    <w:rsid w:val="00CF26C4"/>
    <w:pPr>
      <w:spacing w:after="0"/>
    </w:pPr>
    <w:rPr>
      <w:rFonts w:eastAsiaTheme="minorHAnsi" w:cs="Arial"/>
      <w:color w:val="1A1919" w:themeColor="text1"/>
      <w:sz w:val="18"/>
      <w:szCs w:val="18"/>
    </w:rPr>
    <w:tblPr>
      <w:tblStyleRowBandSize w:val="1"/>
      <w:tblStyleColBandSize w:val="1"/>
    </w:tblPr>
    <w:tcPr>
      <w:shd w:val="clear" w:color="auto" w:fill="E9E8E8" w:themeFill="text1"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5C5" w:themeFill="text1" w:themeFillTint="3F"/>
      </w:tcPr>
    </w:tblStylePr>
    <w:tblStylePr w:type="band1Horz">
      <w:tblPr/>
      <w:tcPr>
        <w:shd w:val="clear" w:color="auto" w:fill="D2D0D0" w:themeFill="text1" w:themeFillTint="33"/>
      </w:tcPr>
    </w:tblStylePr>
  </w:style>
  <w:style w:type="table" w:styleId="ColorfulList-Accent1">
    <w:name w:val="Colorful List Accent 1"/>
    <w:basedOn w:val="TableNormal"/>
    <w:uiPriority w:val="72"/>
    <w:semiHidden/>
    <w:unhideWhenUsed/>
    <w:rsid w:val="00CF26C4"/>
    <w:pPr>
      <w:spacing w:after="0"/>
    </w:pPr>
    <w:rPr>
      <w:rFonts w:eastAsiaTheme="minorHAnsi" w:cs="Arial"/>
      <w:color w:val="1A1919" w:themeColor="text1"/>
      <w:sz w:val="18"/>
      <w:szCs w:val="18"/>
    </w:rPr>
    <w:tblPr>
      <w:tblStyleRowBandSize w:val="1"/>
      <w:tblStyleColBandSize w:val="1"/>
    </w:tblPr>
    <w:tcPr>
      <w:shd w:val="clear" w:color="auto" w:fill="F0F8F7" w:themeFill="accent1"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FEC" w:themeFill="accent1" w:themeFillTint="3F"/>
      </w:tcPr>
    </w:tblStylePr>
    <w:tblStylePr w:type="band1Horz">
      <w:tblPr/>
      <w:tcPr>
        <w:shd w:val="clear" w:color="auto" w:fill="E0F2F0" w:themeFill="accent1" w:themeFillTint="33"/>
      </w:tcPr>
    </w:tblStylePr>
  </w:style>
  <w:style w:type="table" w:styleId="ColorfulList-Accent2">
    <w:name w:val="Colorful List Accent 2"/>
    <w:basedOn w:val="TableNormal"/>
    <w:uiPriority w:val="72"/>
    <w:semiHidden/>
    <w:unhideWhenUsed/>
    <w:rsid w:val="00CF26C4"/>
    <w:pPr>
      <w:spacing w:after="0"/>
    </w:pPr>
    <w:rPr>
      <w:rFonts w:eastAsiaTheme="minorHAnsi" w:cs="Arial"/>
      <w:color w:val="1A1919" w:themeColor="text1"/>
      <w:sz w:val="18"/>
      <w:szCs w:val="18"/>
    </w:rPr>
    <w:tblPr>
      <w:tblStyleRowBandSize w:val="1"/>
      <w:tblStyleColBandSize w:val="1"/>
    </w:tblPr>
    <w:tcPr>
      <w:shd w:val="clear" w:color="auto" w:fill="F0F6FB" w:themeFill="accent2"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AF7" w:themeFill="accent2" w:themeFillTint="3F"/>
      </w:tcPr>
    </w:tblStylePr>
    <w:tblStylePr w:type="band1Horz">
      <w:tblPr/>
      <w:tcPr>
        <w:shd w:val="clear" w:color="auto" w:fill="E0EEF8" w:themeFill="accent2" w:themeFillTint="33"/>
      </w:tcPr>
    </w:tblStylePr>
  </w:style>
  <w:style w:type="table" w:styleId="ColorfulList-Accent3">
    <w:name w:val="Colorful List Accent 3"/>
    <w:basedOn w:val="TableNormal"/>
    <w:uiPriority w:val="72"/>
    <w:semiHidden/>
    <w:unhideWhenUsed/>
    <w:rsid w:val="00CF26C4"/>
    <w:pPr>
      <w:spacing w:after="0"/>
    </w:pPr>
    <w:rPr>
      <w:rFonts w:eastAsiaTheme="minorHAnsi" w:cs="Arial"/>
      <w:color w:val="1A1919" w:themeColor="text1"/>
      <w:sz w:val="18"/>
      <w:szCs w:val="18"/>
    </w:rPr>
    <w:tblPr>
      <w:tblStyleRowBandSize w:val="1"/>
      <w:tblStyleColBandSize w:val="1"/>
    </w:tblPr>
    <w:tcPr>
      <w:shd w:val="clear" w:color="auto" w:fill="EFF0F7" w:themeFill="accent3" w:themeFillTint="19"/>
    </w:tcPr>
    <w:tblStylePr w:type="firstRow">
      <w:rPr>
        <w:b/>
        <w:bCs/>
        <w:color w:val="FFFFFF" w:themeColor="background1"/>
      </w:rPr>
      <w:tblPr/>
      <w:tcPr>
        <w:tcBorders>
          <w:bottom w:val="single" w:sz="12" w:space="0" w:color="FFFFFF" w:themeColor="background1"/>
        </w:tcBorders>
        <w:shd w:val="clear" w:color="auto" w:fill="964F8E" w:themeFill="accent4" w:themeFillShade="CC"/>
      </w:tcPr>
    </w:tblStylePr>
    <w:tblStylePr w:type="lastRow">
      <w:rPr>
        <w:b/>
        <w:bCs/>
        <w:color w:val="964F8E" w:themeColor="accent4"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AEB" w:themeFill="accent3" w:themeFillTint="3F"/>
      </w:tcPr>
    </w:tblStylePr>
    <w:tblStylePr w:type="band1Horz">
      <w:tblPr/>
      <w:tcPr>
        <w:shd w:val="clear" w:color="auto" w:fill="DFE1EF" w:themeFill="accent3" w:themeFillTint="33"/>
      </w:tcPr>
    </w:tblStylePr>
  </w:style>
  <w:style w:type="table" w:styleId="ColorfulList-Accent4">
    <w:name w:val="Colorful List Accent 4"/>
    <w:basedOn w:val="TableNormal"/>
    <w:uiPriority w:val="72"/>
    <w:semiHidden/>
    <w:unhideWhenUsed/>
    <w:rsid w:val="00CF26C4"/>
    <w:pPr>
      <w:spacing w:after="0"/>
    </w:pPr>
    <w:rPr>
      <w:rFonts w:eastAsiaTheme="minorHAnsi" w:cs="Arial"/>
      <w:color w:val="1A1919" w:themeColor="text1"/>
      <w:sz w:val="18"/>
      <w:szCs w:val="18"/>
    </w:rPr>
    <w:tblPr>
      <w:tblStyleRowBandSize w:val="1"/>
      <w:tblStyleColBandSize w:val="1"/>
    </w:tblPr>
    <w:tcPr>
      <w:shd w:val="clear" w:color="auto" w:fill="F7F0F6" w:themeFill="accent4" w:themeFillTint="19"/>
    </w:tcPr>
    <w:tblStylePr w:type="firstRow">
      <w:rPr>
        <w:b/>
        <w:bCs/>
        <w:color w:val="FFFFFF" w:themeColor="background1"/>
      </w:rPr>
      <w:tblPr/>
      <w:tcPr>
        <w:tcBorders>
          <w:bottom w:val="single" w:sz="12" w:space="0" w:color="FFFFFF" w:themeColor="background1"/>
        </w:tcBorders>
        <w:shd w:val="clear" w:color="auto" w:fill="4A5090" w:themeFill="accent3" w:themeFillShade="CC"/>
      </w:tcPr>
    </w:tblStylePr>
    <w:tblStylePr w:type="lastRow">
      <w:rPr>
        <w:b/>
        <w:bCs/>
        <w:color w:val="4A5090" w:themeColor="accent3"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AEA" w:themeFill="accent4" w:themeFillTint="3F"/>
      </w:tcPr>
    </w:tblStylePr>
    <w:tblStylePr w:type="band1Horz">
      <w:tblPr/>
      <w:tcPr>
        <w:shd w:val="clear" w:color="auto" w:fill="EFE1EE" w:themeFill="accent4" w:themeFillTint="33"/>
      </w:tcPr>
    </w:tblStylePr>
  </w:style>
  <w:style w:type="table" w:styleId="ColorfulList-Accent5">
    <w:name w:val="Colorful List Accent 5"/>
    <w:basedOn w:val="TableNormal"/>
    <w:uiPriority w:val="72"/>
    <w:semiHidden/>
    <w:unhideWhenUsed/>
    <w:rsid w:val="00CF26C4"/>
    <w:pPr>
      <w:spacing w:after="0"/>
    </w:pPr>
    <w:rPr>
      <w:rFonts w:eastAsiaTheme="minorHAnsi" w:cs="Arial"/>
      <w:color w:val="1A1919" w:themeColor="text1"/>
      <w:sz w:val="18"/>
      <w:szCs w:val="18"/>
    </w:rPr>
    <w:tblPr>
      <w:tblStyleRowBandSize w:val="1"/>
      <w:tblStyleColBandSize w:val="1"/>
    </w:tblPr>
    <w:tcPr>
      <w:shd w:val="clear" w:color="auto" w:fill="FCF5F9" w:themeFill="accent5" w:themeFillTint="19"/>
    </w:tcPr>
    <w:tblStylePr w:type="firstRow">
      <w:rPr>
        <w:b/>
        <w:bCs/>
        <w:color w:val="FFFFFF" w:themeColor="background1"/>
      </w:rPr>
      <w:tblPr/>
      <w:tcPr>
        <w:tcBorders>
          <w:bottom w:val="single" w:sz="12" w:space="0" w:color="FFFFFF" w:themeColor="background1"/>
        </w:tcBorders>
        <w:shd w:val="clear" w:color="auto" w:fill="54B0EC" w:themeFill="accent6" w:themeFillShade="CC"/>
      </w:tcPr>
    </w:tblStylePr>
    <w:tblStylePr w:type="lastRow">
      <w:rPr>
        <w:b/>
        <w:bCs/>
        <w:color w:val="54B0EC" w:themeColor="accent6"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7F1" w:themeFill="accent5" w:themeFillTint="3F"/>
      </w:tcPr>
    </w:tblStylePr>
    <w:tblStylePr w:type="band1Horz">
      <w:tblPr/>
      <w:tcPr>
        <w:shd w:val="clear" w:color="auto" w:fill="FAECF3" w:themeFill="accent5" w:themeFillTint="33"/>
      </w:tcPr>
    </w:tblStylePr>
  </w:style>
  <w:style w:type="table" w:styleId="ColorfulList-Accent6">
    <w:name w:val="Colorful List Accent 6"/>
    <w:basedOn w:val="TableNormal"/>
    <w:uiPriority w:val="72"/>
    <w:semiHidden/>
    <w:unhideWhenUsed/>
    <w:rsid w:val="00CF26C4"/>
    <w:pPr>
      <w:spacing w:after="0"/>
    </w:pPr>
    <w:rPr>
      <w:rFonts w:eastAsiaTheme="minorHAnsi" w:cs="Arial"/>
      <w:color w:val="1A1919" w:themeColor="text1"/>
      <w:sz w:val="18"/>
      <w:szCs w:val="18"/>
    </w:rPr>
    <w:tblPr>
      <w:tblStyleRowBandSize w:val="1"/>
      <w:tblStyleColBandSize w:val="1"/>
    </w:tblPr>
    <w:tcPr>
      <w:shd w:val="clear" w:color="auto" w:fill="F5FAFE" w:themeFill="accent6" w:themeFillTint="19"/>
    </w:tcPr>
    <w:tblStylePr w:type="firstRow">
      <w:rPr>
        <w:b/>
        <w:bCs/>
        <w:color w:val="FFFFFF" w:themeColor="background1"/>
      </w:rPr>
      <w:tblPr/>
      <w:tcPr>
        <w:tcBorders>
          <w:bottom w:val="single" w:sz="12" w:space="0" w:color="FFFFFF" w:themeColor="background1"/>
        </w:tcBorders>
        <w:shd w:val="clear" w:color="auto" w:fill="D763A2" w:themeFill="accent5" w:themeFillShade="CC"/>
      </w:tcPr>
    </w:tblStylePr>
    <w:tblStylePr w:type="lastRow">
      <w:rPr>
        <w:b/>
        <w:bCs/>
        <w:color w:val="D763A2" w:themeColor="accent5"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F3FC" w:themeFill="accent6" w:themeFillTint="3F"/>
      </w:tcPr>
    </w:tblStylePr>
    <w:tblStylePr w:type="band1Horz">
      <w:tblPr/>
      <w:tcPr>
        <w:shd w:val="clear" w:color="auto" w:fill="EBF5FC" w:themeFill="accent6" w:themeFillTint="33"/>
      </w:tcPr>
    </w:tblStylePr>
  </w:style>
  <w:style w:type="table" w:styleId="ColorfulShading">
    <w:name w:val="Colorful Shading"/>
    <w:basedOn w:val="TableNormal"/>
    <w:uiPriority w:val="71"/>
    <w:semiHidden/>
    <w:unhideWhenUsed/>
    <w:rsid w:val="00CF26C4"/>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1A1919" w:themeColor="text1"/>
        <w:bottom w:val="single" w:sz="4" w:space="0" w:color="1A1919" w:themeColor="text1"/>
        <w:right w:val="single" w:sz="4" w:space="0" w:color="1A1919" w:themeColor="text1"/>
        <w:insideH w:val="single" w:sz="4" w:space="0" w:color="FFFFFF" w:themeColor="background1"/>
        <w:insideV w:val="single" w:sz="4" w:space="0" w:color="FFFFFF" w:themeColor="background1"/>
      </w:tblBorders>
    </w:tblPr>
    <w:tcPr>
      <w:shd w:val="clear" w:color="auto" w:fill="E9E8E8" w:themeFill="text1"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0F0F" w:themeFill="text1" w:themeFillShade="99"/>
      </w:tcPr>
    </w:tblStylePr>
    <w:tblStylePr w:type="firstCol">
      <w:rPr>
        <w:color w:val="FFFFFF" w:themeColor="background1"/>
      </w:rPr>
      <w:tblPr/>
      <w:tcPr>
        <w:tcBorders>
          <w:top w:val="nil"/>
          <w:left w:val="nil"/>
          <w:bottom w:val="nil"/>
          <w:right w:val="nil"/>
          <w:insideH w:val="single" w:sz="4" w:space="0" w:color="0F0F0F" w:themeColor="text1" w:themeShade="99"/>
          <w:insideV w:val="nil"/>
        </w:tcBorders>
        <w:shd w:val="clear" w:color="auto" w:fill="0F0F0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31212" w:themeFill="text1" w:themeFillShade="BF"/>
      </w:tcPr>
    </w:tblStylePr>
    <w:tblStylePr w:type="band1Vert">
      <w:tblPr/>
      <w:tcPr>
        <w:shd w:val="clear" w:color="auto" w:fill="A5A1A1" w:themeFill="text1" w:themeFillTint="66"/>
      </w:tcPr>
    </w:tblStylePr>
    <w:tblStylePr w:type="band1Horz">
      <w:tblPr/>
      <w:tcPr>
        <w:shd w:val="clear" w:color="auto" w:fill="8F8A8A" w:themeFill="text1" w:themeFillTint="7F"/>
      </w:tcPr>
    </w:tblStylePr>
    <w:tblStylePr w:type="neCell">
      <w:rPr>
        <w:color w:val="1A1919" w:themeColor="text1"/>
      </w:rPr>
    </w:tblStylePr>
    <w:tblStylePr w:type="nwCell">
      <w:rPr>
        <w:color w:val="1A1919" w:themeColor="text1"/>
      </w:rPr>
    </w:tblStylePr>
  </w:style>
  <w:style w:type="table" w:styleId="ColorfulShading-Accent1">
    <w:name w:val="Colorful Shading Accent 1"/>
    <w:basedOn w:val="TableNormal"/>
    <w:uiPriority w:val="71"/>
    <w:semiHidden/>
    <w:unhideWhenUsed/>
    <w:rsid w:val="00CF26C4"/>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68C0B5" w:themeColor="accent1"/>
        <w:bottom w:val="single" w:sz="4" w:space="0" w:color="68C0B5" w:themeColor="accent1"/>
        <w:right w:val="single" w:sz="4" w:space="0" w:color="68C0B5" w:themeColor="accent1"/>
        <w:insideH w:val="single" w:sz="4" w:space="0" w:color="FFFFFF" w:themeColor="background1"/>
        <w:insideV w:val="single" w:sz="4" w:space="0" w:color="FFFFFF" w:themeColor="background1"/>
      </w:tblBorders>
    </w:tblPr>
    <w:tcPr>
      <w:shd w:val="clear" w:color="auto" w:fill="F0F8F7" w:themeFill="accent1"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7D73" w:themeFill="accent1" w:themeFillShade="99"/>
      </w:tcPr>
    </w:tblStylePr>
    <w:tblStylePr w:type="firstCol">
      <w:rPr>
        <w:color w:val="FFFFFF" w:themeColor="background1"/>
      </w:rPr>
      <w:tblPr/>
      <w:tcPr>
        <w:tcBorders>
          <w:top w:val="nil"/>
          <w:left w:val="nil"/>
          <w:bottom w:val="nil"/>
          <w:right w:val="nil"/>
          <w:insideH w:val="single" w:sz="4" w:space="0" w:color="347D73" w:themeColor="accent1" w:themeShade="99"/>
          <w:insideV w:val="nil"/>
        </w:tcBorders>
        <w:shd w:val="clear" w:color="auto" w:fill="347D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7D73" w:themeFill="accent1" w:themeFillShade="99"/>
      </w:tcPr>
    </w:tblStylePr>
    <w:tblStylePr w:type="band1Vert">
      <w:tblPr/>
      <w:tcPr>
        <w:shd w:val="clear" w:color="auto" w:fill="C2E5E1" w:themeFill="accent1" w:themeFillTint="66"/>
      </w:tcPr>
    </w:tblStylePr>
    <w:tblStylePr w:type="band1Horz">
      <w:tblPr/>
      <w:tcPr>
        <w:shd w:val="clear" w:color="auto" w:fill="B3DFDA" w:themeFill="accent1" w:themeFillTint="7F"/>
      </w:tcPr>
    </w:tblStylePr>
    <w:tblStylePr w:type="neCell">
      <w:rPr>
        <w:color w:val="1A1919" w:themeColor="text1"/>
      </w:rPr>
    </w:tblStylePr>
    <w:tblStylePr w:type="nwCell">
      <w:rPr>
        <w:color w:val="1A1919" w:themeColor="text1"/>
      </w:rPr>
    </w:tblStylePr>
  </w:style>
  <w:style w:type="table" w:styleId="ColorfulShading-Accent2">
    <w:name w:val="Colorful Shading Accent 2"/>
    <w:basedOn w:val="TableNormal"/>
    <w:uiPriority w:val="71"/>
    <w:semiHidden/>
    <w:unhideWhenUsed/>
    <w:rsid w:val="00CF26C4"/>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69ACDF" w:themeColor="accent2"/>
        <w:bottom w:val="single" w:sz="4" w:space="0" w:color="69ACDF" w:themeColor="accent2"/>
        <w:right w:val="single" w:sz="4" w:space="0" w:color="69ACDF" w:themeColor="accent2"/>
        <w:insideH w:val="single" w:sz="4" w:space="0" w:color="FFFFFF" w:themeColor="background1"/>
        <w:insideV w:val="single" w:sz="4" w:space="0" w:color="FFFFFF" w:themeColor="background1"/>
      </w:tblBorders>
    </w:tblPr>
    <w:tcPr>
      <w:shd w:val="clear" w:color="auto" w:fill="F0F6FB" w:themeFill="accent2"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AA2" w:themeFill="accent2" w:themeFillShade="99"/>
      </w:tcPr>
    </w:tblStylePr>
    <w:tblStylePr w:type="firstCol">
      <w:rPr>
        <w:color w:val="FFFFFF" w:themeColor="background1"/>
      </w:rPr>
      <w:tblPr/>
      <w:tcPr>
        <w:tcBorders>
          <w:top w:val="nil"/>
          <w:left w:val="nil"/>
          <w:bottom w:val="nil"/>
          <w:right w:val="nil"/>
          <w:insideH w:val="single" w:sz="4" w:space="0" w:color="226AA2" w:themeColor="accent2" w:themeShade="99"/>
          <w:insideV w:val="nil"/>
        </w:tcBorders>
        <w:shd w:val="clear" w:color="auto" w:fill="226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6AA2" w:themeFill="accent2" w:themeFillShade="99"/>
      </w:tcPr>
    </w:tblStylePr>
    <w:tblStylePr w:type="band1Vert">
      <w:tblPr/>
      <w:tcPr>
        <w:shd w:val="clear" w:color="auto" w:fill="C2DDF2" w:themeFill="accent2" w:themeFillTint="66"/>
      </w:tcPr>
    </w:tblStylePr>
    <w:tblStylePr w:type="band1Horz">
      <w:tblPr/>
      <w:tcPr>
        <w:shd w:val="clear" w:color="auto" w:fill="B4D5EF" w:themeFill="accent2" w:themeFillTint="7F"/>
      </w:tcPr>
    </w:tblStylePr>
    <w:tblStylePr w:type="neCell">
      <w:rPr>
        <w:color w:val="1A1919" w:themeColor="text1"/>
      </w:rPr>
    </w:tblStylePr>
    <w:tblStylePr w:type="nwCell">
      <w:rPr>
        <w:color w:val="1A1919" w:themeColor="text1"/>
      </w:rPr>
    </w:tblStylePr>
  </w:style>
  <w:style w:type="table" w:styleId="ColorfulShading-Accent3">
    <w:name w:val="Colorful Shading Accent 3"/>
    <w:basedOn w:val="TableNormal"/>
    <w:uiPriority w:val="71"/>
    <w:semiHidden/>
    <w:unhideWhenUsed/>
    <w:rsid w:val="00CF26C4"/>
    <w:pPr>
      <w:spacing w:after="0"/>
    </w:pPr>
    <w:rPr>
      <w:rFonts w:eastAsiaTheme="minorHAnsi" w:cs="Arial"/>
      <w:color w:val="1A1919" w:themeColor="text1"/>
      <w:sz w:val="18"/>
      <w:szCs w:val="18"/>
    </w:rPr>
    <w:tblPr>
      <w:tblStyleRowBandSize w:val="1"/>
      <w:tblStyleColBandSize w:val="1"/>
      <w:tblBorders>
        <w:top w:val="single" w:sz="24" w:space="0" w:color="B26DAB" w:themeColor="accent4"/>
        <w:left w:val="single" w:sz="4" w:space="0" w:color="636AAF" w:themeColor="accent3"/>
        <w:bottom w:val="single" w:sz="4" w:space="0" w:color="636AAF" w:themeColor="accent3"/>
        <w:right w:val="single" w:sz="4" w:space="0" w:color="636AAF" w:themeColor="accent3"/>
        <w:insideH w:val="single" w:sz="4" w:space="0" w:color="FFFFFF" w:themeColor="background1"/>
        <w:insideV w:val="single" w:sz="4" w:space="0" w:color="FFFFFF" w:themeColor="background1"/>
      </w:tblBorders>
    </w:tblPr>
    <w:tcPr>
      <w:shd w:val="clear" w:color="auto" w:fill="EFF0F7" w:themeFill="accent3" w:themeFillTint="19"/>
    </w:tcPr>
    <w:tblStylePr w:type="firstRow">
      <w:rPr>
        <w:b/>
        <w:bCs/>
      </w:rPr>
      <w:tblPr/>
      <w:tcPr>
        <w:tcBorders>
          <w:top w:val="nil"/>
          <w:left w:val="nil"/>
          <w:bottom w:val="single" w:sz="24" w:space="0" w:color="B26DA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3C6C" w:themeFill="accent3" w:themeFillShade="99"/>
      </w:tcPr>
    </w:tblStylePr>
    <w:tblStylePr w:type="firstCol">
      <w:rPr>
        <w:color w:val="FFFFFF" w:themeColor="background1"/>
      </w:rPr>
      <w:tblPr/>
      <w:tcPr>
        <w:tcBorders>
          <w:top w:val="nil"/>
          <w:left w:val="nil"/>
          <w:bottom w:val="nil"/>
          <w:right w:val="nil"/>
          <w:insideH w:val="single" w:sz="4" w:space="0" w:color="373C6C" w:themeColor="accent3" w:themeShade="99"/>
          <w:insideV w:val="nil"/>
        </w:tcBorders>
        <w:shd w:val="clear" w:color="auto" w:fill="373C6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73C6C" w:themeFill="accent3" w:themeFillShade="99"/>
      </w:tcPr>
    </w:tblStylePr>
    <w:tblStylePr w:type="band1Vert">
      <w:tblPr/>
      <w:tcPr>
        <w:shd w:val="clear" w:color="auto" w:fill="C0C3DF" w:themeFill="accent3" w:themeFillTint="66"/>
      </w:tcPr>
    </w:tblStylePr>
    <w:tblStylePr w:type="band1Horz">
      <w:tblPr/>
      <w:tcPr>
        <w:shd w:val="clear" w:color="auto" w:fill="B1B4D7" w:themeFill="accent3" w:themeFillTint="7F"/>
      </w:tcPr>
    </w:tblStylePr>
  </w:style>
  <w:style w:type="table" w:styleId="ColorfulShading-Accent4">
    <w:name w:val="Colorful Shading Accent 4"/>
    <w:basedOn w:val="TableNormal"/>
    <w:uiPriority w:val="71"/>
    <w:semiHidden/>
    <w:unhideWhenUsed/>
    <w:rsid w:val="00CF26C4"/>
    <w:pPr>
      <w:spacing w:after="0"/>
    </w:pPr>
    <w:rPr>
      <w:rFonts w:eastAsiaTheme="minorHAnsi" w:cs="Arial"/>
      <w:color w:val="1A1919" w:themeColor="text1"/>
      <w:sz w:val="18"/>
      <w:szCs w:val="18"/>
    </w:rPr>
    <w:tblPr>
      <w:tblStyleRowBandSize w:val="1"/>
      <w:tblStyleColBandSize w:val="1"/>
      <w:tblBorders>
        <w:top w:val="single" w:sz="24" w:space="0" w:color="636AAF" w:themeColor="accent3"/>
        <w:left w:val="single" w:sz="4" w:space="0" w:color="B26DAB" w:themeColor="accent4"/>
        <w:bottom w:val="single" w:sz="4" w:space="0" w:color="B26DAB" w:themeColor="accent4"/>
        <w:right w:val="single" w:sz="4" w:space="0" w:color="B26DAB" w:themeColor="accent4"/>
        <w:insideH w:val="single" w:sz="4" w:space="0" w:color="FFFFFF" w:themeColor="background1"/>
        <w:insideV w:val="single" w:sz="4" w:space="0" w:color="FFFFFF" w:themeColor="background1"/>
      </w:tblBorders>
    </w:tblPr>
    <w:tcPr>
      <w:shd w:val="clear" w:color="auto" w:fill="F7F0F6" w:themeFill="accent4" w:themeFillTint="19"/>
    </w:tcPr>
    <w:tblStylePr w:type="firstRow">
      <w:rPr>
        <w:b/>
        <w:bCs/>
      </w:rPr>
      <w:tblPr/>
      <w:tcPr>
        <w:tcBorders>
          <w:top w:val="nil"/>
          <w:left w:val="nil"/>
          <w:bottom w:val="single" w:sz="24" w:space="0" w:color="636AA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3B6B" w:themeFill="accent4" w:themeFillShade="99"/>
      </w:tcPr>
    </w:tblStylePr>
    <w:tblStylePr w:type="firstCol">
      <w:rPr>
        <w:color w:val="FFFFFF" w:themeColor="background1"/>
      </w:rPr>
      <w:tblPr/>
      <w:tcPr>
        <w:tcBorders>
          <w:top w:val="nil"/>
          <w:left w:val="nil"/>
          <w:bottom w:val="nil"/>
          <w:right w:val="nil"/>
          <w:insideH w:val="single" w:sz="4" w:space="0" w:color="703B6B" w:themeColor="accent4" w:themeShade="99"/>
          <w:insideV w:val="nil"/>
        </w:tcBorders>
        <w:shd w:val="clear" w:color="auto" w:fill="703B6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03B6B" w:themeFill="accent4" w:themeFillShade="99"/>
      </w:tcPr>
    </w:tblStylePr>
    <w:tblStylePr w:type="band1Vert">
      <w:tblPr/>
      <w:tcPr>
        <w:shd w:val="clear" w:color="auto" w:fill="E0C4DD" w:themeFill="accent4" w:themeFillTint="66"/>
      </w:tcPr>
    </w:tblStylePr>
    <w:tblStylePr w:type="band1Horz">
      <w:tblPr/>
      <w:tcPr>
        <w:shd w:val="clear" w:color="auto" w:fill="D8B6D5" w:themeFill="accent4" w:themeFillTint="7F"/>
      </w:tcPr>
    </w:tblStylePr>
    <w:tblStylePr w:type="neCell">
      <w:rPr>
        <w:color w:val="1A1919" w:themeColor="text1"/>
      </w:rPr>
    </w:tblStylePr>
    <w:tblStylePr w:type="nwCell">
      <w:rPr>
        <w:color w:val="1A1919" w:themeColor="text1"/>
      </w:rPr>
    </w:tblStylePr>
  </w:style>
  <w:style w:type="table" w:styleId="ColorfulShading-Accent5">
    <w:name w:val="Colorful Shading Accent 5"/>
    <w:basedOn w:val="TableNormal"/>
    <w:uiPriority w:val="71"/>
    <w:semiHidden/>
    <w:unhideWhenUsed/>
    <w:rsid w:val="00CF26C4"/>
    <w:pPr>
      <w:spacing w:after="0"/>
    </w:pPr>
    <w:rPr>
      <w:rFonts w:eastAsiaTheme="minorHAnsi" w:cs="Arial"/>
      <w:color w:val="1A1919" w:themeColor="text1"/>
      <w:sz w:val="18"/>
      <w:szCs w:val="18"/>
    </w:rPr>
    <w:tblPr>
      <w:tblStyleRowBandSize w:val="1"/>
      <w:tblStyleColBandSize w:val="1"/>
      <w:tblBorders>
        <w:top w:val="single" w:sz="24" w:space="0" w:color="9CD2F4" w:themeColor="accent6"/>
        <w:left w:val="single" w:sz="4" w:space="0" w:color="E7A2C8" w:themeColor="accent5"/>
        <w:bottom w:val="single" w:sz="4" w:space="0" w:color="E7A2C8" w:themeColor="accent5"/>
        <w:right w:val="single" w:sz="4" w:space="0" w:color="E7A2C8" w:themeColor="accent5"/>
        <w:insideH w:val="single" w:sz="4" w:space="0" w:color="FFFFFF" w:themeColor="background1"/>
        <w:insideV w:val="single" w:sz="4" w:space="0" w:color="FFFFFF" w:themeColor="background1"/>
      </w:tblBorders>
    </w:tblPr>
    <w:tcPr>
      <w:shd w:val="clear" w:color="auto" w:fill="FCF5F9" w:themeFill="accent5" w:themeFillTint="19"/>
    </w:tcPr>
    <w:tblStylePr w:type="firstRow">
      <w:rPr>
        <w:b/>
        <w:bCs/>
      </w:rPr>
      <w:tblPr/>
      <w:tcPr>
        <w:tcBorders>
          <w:top w:val="nil"/>
          <w:left w:val="nil"/>
          <w:bottom w:val="single" w:sz="24" w:space="0" w:color="9CD2F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B307C" w:themeFill="accent5" w:themeFillShade="99"/>
      </w:tcPr>
    </w:tblStylePr>
    <w:tblStylePr w:type="firstCol">
      <w:rPr>
        <w:color w:val="FFFFFF" w:themeColor="background1"/>
      </w:rPr>
      <w:tblPr/>
      <w:tcPr>
        <w:tcBorders>
          <w:top w:val="nil"/>
          <w:left w:val="nil"/>
          <w:bottom w:val="nil"/>
          <w:right w:val="nil"/>
          <w:insideH w:val="single" w:sz="4" w:space="0" w:color="BB307C" w:themeColor="accent5" w:themeShade="99"/>
          <w:insideV w:val="nil"/>
        </w:tcBorders>
        <w:shd w:val="clear" w:color="auto" w:fill="BB30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B307C" w:themeFill="accent5" w:themeFillShade="99"/>
      </w:tcPr>
    </w:tblStylePr>
    <w:tblStylePr w:type="band1Vert">
      <w:tblPr/>
      <w:tcPr>
        <w:shd w:val="clear" w:color="auto" w:fill="F5D9E8" w:themeFill="accent5" w:themeFillTint="66"/>
      </w:tcPr>
    </w:tblStylePr>
    <w:tblStylePr w:type="band1Horz">
      <w:tblPr/>
      <w:tcPr>
        <w:shd w:val="clear" w:color="auto" w:fill="F3D0E3" w:themeFill="accent5" w:themeFillTint="7F"/>
      </w:tcPr>
    </w:tblStylePr>
    <w:tblStylePr w:type="neCell">
      <w:rPr>
        <w:color w:val="1A1919" w:themeColor="text1"/>
      </w:rPr>
    </w:tblStylePr>
    <w:tblStylePr w:type="nwCell">
      <w:rPr>
        <w:color w:val="1A1919" w:themeColor="text1"/>
      </w:rPr>
    </w:tblStylePr>
  </w:style>
  <w:style w:type="table" w:styleId="ColorfulShading-Accent6">
    <w:name w:val="Colorful Shading Accent 6"/>
    <w:basedOn w:val="TableNormal"/>
    <w:uiPriority w:val="71"/>
    <w:semiHidden/>
    <w:unhideWhenUsed/>
    <w:rsid w:val="00CF26C4"/>
    <w:pPr>
      <w:spacing w:after="0"/>
    </w:pPr>
    <w:rPr>
      <w:rFonts w:eastAsiaTheme="minorHAnsi" w:cs="Arial"/>
      <w:color w:val="1A1919" w:themeColor="text1"/>
      <w:sz w:val="18"/>
      <w:szCs w:val="18"/>
    </w:rPr>
    <w:tblPr>
      <w:tblStyleRowBandSize w:val="1"/>
      <w:tblStyleColBandSize w:val="1"/>
      <w:tblBorders>
        <w:top w:val="single" w:sz="24" w:space="0" w:color="E7A2C8" w:themeColor="accent5"/>
        <w:left w:val="single" w:sz="4" w:space="0" w:color="9CD2F4" w:themeColor="accent6"/>
        <w:bottom w:val="single" w:sz="4" w:space="0" w:color="9CD2F4" w:themeColor="accent6"/>
        <w:right w:val="single" w:sz="4" w:space="0" w:color="9CD2F4" w:themeColor="accent6"/>
        <w:insideH w:val="single" w:sz="4" w:space="0" w:color="FFFFFF" w:themeColor="background1"/>
        <w:insideV w:val="single" w:sz="4" w:space="0" w:color="FFFFFF" w:themeColor="background1"/>
      </w:tblBorders>
    </w:tblPr>
    <w:tcPr>
      <w:shd w:val="clear" w:color="auto" w:fill="F5FAFE" w:themeFill="accent6" w:themeFillTint="19"/>
    </w:tcPr>
    <w:tblStylePr w:type="firstRow">
      <w:rPr>
        <w:b/>
        <w:bCs/>
      </w:rPr>
      <w:tblPr/>
      <w:tcPr>
        <w:tcBorders>
          <w:top w:val="nil"/>
          <w:left w:val="nil"/>
          <w:bottom w:val="single" w:sz="24" w:space="0" w:color="E7A2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8DD8" w:themeFill="accent6" w:themeFillShade="99"/>
      </w:tcPr>
    </w:tblStylePr>
    <w:tblStylePr w:type="firstCol">
      <w:rPr>
        <w:color w:val="FFFFFF" w:themeColor="background1"/>
      </w:rPr>
      <w:tblPr/>
      <w:tcPr>
        <w:tcBorders>
          <w:top w:val="nil"/>
          <w:left w:val="nil"/>
          <w:bottom w:val="nil"/>
          <w:right w:val="nil"/>
          <w:insideH w:val="single" w:sz="4" w:space="0" w:color="188DD8" w:themeColor="accent6" w:themeShade="99"/>
          <w:insideV w:val="nil"/>
        </w:tcBorders>
        <w:shd w:val="clear" w:color="auto" w:fill="188DD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88DD8" w:themeFill="accent6" w:themeFillShade="99"/>
      </w:tcPr>
    </w:tblStylePr>
    <w:tblStylePr w:type="band1Vert">
      <w:tblPr/>
      <w:tcPr>
        <w:shd w:val="clear" w:color="auto" w:fill="D7ECFA" w:themeFill="accent6" w:themeFillTint="66"/>
      </w:tcPr>
    </w:tblStylePr>
    <w:tblStylePr w:type="band1Horz">
      <w:tblPr/>
      <w:tcPr>
        <w:shd w:val="clear" w:color="auto" w:fill="CDE8F9" w:themeFill="accent6" w:themeFillTint="7F"/>
      </w:tcPr>
    </w:tblStylePr>
    <w:tblStylePr w:type="neCell">
      <w:rPr>
        <w:color w:val="1A1919" w:themeColor="text1"/>
      </w:rPr>
    </w:tblStylePr>
    <w:tblStylePr w:type="nwCell">
      <w:rPr>
        <w:color w:val="1A1919" w:themeColor="text1"/>
      </w:rPr>
    </w:tblStylePr>
  </w:style>
  <w:style w:type="character" w:styleId="CommentReference">
    <w:name w:val="annotation reference"/>
    <w:basedOn w:val="DefaultParagraphFont"/>
    <w:uiPriority w:val="99"/>
    <w:semiHidden/>
    <w:rsid w:val="00CF26C4"/>
    <w:rPr>
      <w:sz w:val="16"/>
      <w:szCs w:val="16"/>
    </w:rPr>
  </w:style>
  <w:style w:type="paragraph" w:styleId="CommentText">
    <w:name w:val="annotation text"/>
    <w:basedOn w:val="Normal"/>
    <w:link w:val="CommentTextChar"/>
    <w:uiPriority w:val="99"/>
    <w:semiHidden/>
    <w:rsid w:val="00CF26C4"/>
  </w:style>
  <w:style w:type="character" w:customStyle="1" w:styleId="CommentTextChar">
    <w:name w:val="Comment Text Char"/>
    <w:basedOn w:val="DefaultParagraphFont"/>
    <w:link w:val="CommentText"/>
    <w:uiPriority w:val="99"/>
    <w:semiHidden/>
    <w:rsid w:val="00CF26C4"/>
    <w:rPr>
      <w:lang w:val="en-GB"/>
    </w:rPr>
  </w:style>
  <w:style w:type="paragraph" w:styleId="CommentSubject">
    <w:name w:val="annotation subject"/>
    <w:basedOn w:val="CommentText"/>
    <w:next w:val="CommentText"/>
    <w:link w:val="CommentSubjectChar"/>
    <w:uiPriority w:val="99"/>
    <w:semiHidden/>
    <w:rsid w:val="00CF26C4"/>
    <w:rPr>
      <w:b/>
      <w:bCs/>
    </w:rPr>
  </w:style>
  <w:style w:type="character" w:customStyle="1" w:styleId="CommentSubjectChar">
    <w:name w:val="Comment Subject Char"/>
    <w:basedOn w:val="CommentTextChar"/>
    <w:link w:val="CommentSubject"/>
    <w:uiPriority w:val="99"/>
    <w:semiHidden/>
    <w:rsid w:val="00CF26C4"/>
    <w:rPr>
      <w:b/>
      <w:bCs/>
      <w:lang w:val="en-GB"/>
    </w:rPr>
  </w:style>
  <w:style w:type="table" w:styleId="DarkList">
    <w:name w:val="Dark List"/>
    <w:basedOn w:val="TableNormal"/>
    <w:uiPriority w:val="70"/>
    <w:semiHidden/>
    <w:unhideWhenUsed/>
    <w:rsid w:val="00CF26C4"/>
    <w:pPr>
      <w:spacing w:after="0"/>
    </w:pPr>
    <w:rPr>
      <w:rFonts w:eastAsiaTheme="minorHAnsi" w:cs="Arial"/>
      <w:color w:val="FFFFFF" w:themeColor="background1"/>
      <w:sz w:val="18"/>
      <w:szCs w:val="18"/>
    </w:rPr>
    <w:tblPr>
      <w:tblStyleRowBandSize w:val="1"/>
      <w:tblStyleColBandSize w:val="1"/>
    </w:tblPr>
    <w:tcPr>
      <w:shd w:val="clear" w:color="auto" w:fill="1A1919" w:themeFill="text1"/>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0C0C0C"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3121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31212" w:themeFill="text1" w:themeFillShade="BF"/>
      </w:tcPr>
    </w:tblStylePr>
    <w:tblStylePr w:type="band1Vert">
      <w:tblPr/>
      <w:tcPr>
        <w:tcBorders>
          <w:top w:val="nil"/>
          <w:left w:val="nil"/>
          <w:bottom w:val="nil"/>
          <w:right w:val="nil"/>
          <w:insideH w:val="nil"/>
          <w:insideV w:val="nil"/>
        </w:tcBorders>
        <w:shd w:val="clear" w:color="auto" w:fill="131212" w:themeFill="text1" w:themeFillShade="BF"/>
      </w:tcPr>
    </w:tblStylePr>
    <w:tblStylePr w:type="band1Horz">
      <w:tblPr/>
      <w:tcPr>
        <w:tcBorders>
          <w:top w:val="nil"/>
          <w:left w:val="nil"/>
          <w:bottom w:val="nil"/>
          <w:right w:val="nil"/>
          <w:insideH w:val="nil"/>
          <w:insideV w:val="nil"/>
        </w:tcBorders>
        <w:shd w:val="clear" w:color="auto" w:fill="131212" w:themeFill="text1" w:themeFillShade="BF"/>
      </w:tcPr>
    </w:tblStylePr>
  </w:style>
  <w:style w:type="table" w:styleId="DarkList-Accent1">
    <w:name w:val="Dark List Accent 1"/>
    <w:basedOn w:val="TableNormal"/>
    <w:uiPriority w:val="70"/>
    <w:semiHidden/>
    <w:unhideWhenUsed/>
    <w:rsid w:val="00CF26C4"/>
    <w:pPr>
      <w:spacing w:after="0"/>
    </w:pPr>
    <w:rPr>
      <w:rFonts w:eastAsiaTheme="minorHAnsi" w:cs="Arial"/>
      <w:color w:val="FFFFFF" w:themeColor="background1"/>
      <w:sz w:val="18"/>
      <w:szCs w:val="18"/>
    </w:rPr>
    <w:tblPr>
      <w:tblStyleRowBandSize w:val="1"/>
      <w:tblStyleColBandSize w:val="1"/>
    </w:tblPr>
    <w:tcPr>
      <w:shd w:val="clear" w:color="auto" w:fill="68C0B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2B67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9C9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9C90" w:themeFill="accent1" w:themeFillShade="BF"/>
      </w:tcPr>
    </w:tblStylePr>
    <w:tblStylePr w:type="band1Vert">
      <w:tblPr/>
      <w:tcPr>
        <w:tcBorders>
          <w:top w:val="nil"/>
          <w:left w:val="nil"/>
          <w:bottom w:val="nil"/>
          <w:right w:val="nil"/>
          <w:insideH w:val="nil"/>
          <w:insideV w:val="nil"/>
        </w:tcBorders>
        <w:shd w:val="clear" w:color="auto" w:fill="419C90" w:themeFill="accent1" w:themeFillShade="BF"/>
      </w:tcPr>
    </w:tblStylePr>
    <w:tblStylePr w:type="band1Horz">
      <w:tblPr/>
      <w:tcPr>
        <w:tcBorders>
          <w:top w:val="nil"/>
          <w:left w:val="nil"/>
          <w:bottom w:val="nil"/>
          <w:right w:val="nil"/>
          <w:insideH w:val="nil"/>
          <w:insideV w:val="nil"/>
        </w:tcBorders>
        <w:shd w:val="clear" w:color="auto" w:fill="419C90" w:themeFill="accent1" w:themeFillShade="BF"/>
      </w:tcPr>
    </w:tblStylePr>
  </w:style>
  <w:style w:type="table" w:styleId="DarkList-Accent2">
    <w:name w:val="Dark List Accent 2"/>
    <w:basedOn w:val="TableNormal"/>
    <w:uiPriority w:val="70"/>
    <w:semiHidden/>
    <w:unhideWhenUsed/>
    <w:rsid w:val="00CF26C4"/>
    <w:pPr>
      <w:spacing w:after="0"/>
    </w:pPr>
    <w:rPr>
      <w:rFonts w:eastAsiaTheme="minorHAnsi" w:cs="Arial"/>
      <w:color w:val="FFFFFF" w:themeColor="background1"/>
      <w:sz w:val="18"/>
      <w:szCs w:val="18"/>
    </w:rPr>
    <w:tblPr>
      <w:tblStyleRowBandSize w:val="1"/>
      <w:tblStyleColBandSize w:val="1"/>
    </w:tblPr>
    <w:tcPr>
      <w:shd w:val="clear" w:color="auto" w:fill="69AC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1C58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B85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B85CA" w:themeFill="accent2" w:themeFillShade="BF"/>
      </w:tcPr>
    </w:tblStylePr>
    <w:tblStylePr w:type="band1Vert">
      <w:tblPr/>
      <w:tcPr>
        <w:tcBorders>
          <w:top w:val="nil"/>
          <w:left w:val="nil"/>
          <w:bottom w:val="nil"/>
          <w:right w:val="nil"/>
          <w:insideH w:val="nil"/>
          <w:insideV w:val="nil"/>
        </w:tcBorders>
        <w:shd w:val="clear" w:color="auto" w:fill="2B85CA" w:themeFill="accent2" w:themeFillShade="BF"/>
      </w:tcPr>
    </w:tblStylePr>
    <w:tblStylePr w:type="band1Horz">
      <w:tblPr/>
      <w:tcPr>
        <w:tcBorders>
          <w:top w:val="nil"/>
          <w:left w:val="nil"/>
          <w:bottom w:val="nil"/>
          <w:right w:val="nil"/>
          <w:insideH w:val="nil"/>
          <w:insideV w:val="nil"/>
        </w:tcBorders>
        <w:shd w:val="clear" w:color="auto" w:fill="2B85CA" w:themeFill="accent2" w:themeFillShade="BF"/>
      </w:tcPr>
    </w:tblStylePr>
  </w:style>
  <w:style w:type="table" w:styleId="DarkList-Accent3">
    <w:name w:val="Dark List Accent 3"/>
    <w:basedOn w:val="TableNormal"/>
    <w:uiPriority w:val="70"/>
    <w:semiHidden/>
    <w:unhideWhenUsed/>
    <w:rsid w:val="00CF26C4"/>
    <w:pPr>
      <w:spacing w:after="0"/>
    </w:pPr>
    <w:rPr>
      <w:rFonts w:eastAsiaTheme="minorHAnsi" w:cs="Arial"/>
      <w:color w:val="FFFFFF" w:themeColor="background1"/>
      <w:sz w:val="18"/>
      <w:szCs w:val="18"/>
    </w:rPr>
    <w:tblPr>
      <w:tblStyleRowBandSize w:val="1"/>
      <w:tblStyleColBandSize w:val="1"/>
    </w:tblPr>
    <w:tcPr>
      <w:shd w:val="clear" w:color="auto" w:fill="636AA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2E32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54B8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54B87" w:themeFill="accent3" w:themeFillShade="BF"/>
      </w:tcPr>
    </w:tblStylePr>
    <w:tblStylePr w:type="band1Vert">
      <w:tblPr/>
      <w:tcPr>
        <w:tcBorders>
          <w:top w:val="nil"/>
          <w:left w:val="nil"/>
          <w:bottom w:val="nil"/>
          <w:right w:val="nil"/>
          <w:insideH w:val="nil"/>
          <w:insideV w:val="nil"/>
        </w:tcBorders>
        <w:shd w:val="clear" w:color="auto" w:fill="454B87" w:themeFill="accent3" w:themeFillShade="BF"/>
      </w:tcPr>
    </w:tblStylePr>
    <w:tblStylePr w:type="band1Horz">
      <w:tblPr/>
      <w:tcPr>
        <w:tcBorders>
          <w:top w:val="nil"/>
          <w:left w:val="nil"/>
          <w:bottom w:val="nil"/>
          <w:right w:val="nil"/>
          <w:insideH w:val="nil"/>
          <w:insideV w:val="nil"/>
        </w:tcBorders>
        <w:shd w:val="clear" w:color="auto" w:fill="454B87" w:themeFill="accent3" w:themeFillShade="BF"/>
      </w:tcPr>
    </w:tblStylePr>
  </w:style>
  <w:style w:type="table" w:styleId="DarkList-Accent4">
    <w:name w:val="Dark List Accent 4"/>
    <w:basedOn w:val="TableNormal"/>
    <w:uiPriority w:val="70"/>
    <w:semiHidden/>
    <w:unhideWhenUsed/>
    <w:rsid w:val="00CF26C4"/>
    <w:pPr>
      <w:spacing w:after="0"/>
    </w:pPr>
    <w:rPr>
      <w:rFonts w:eastAsiaTheme="minorHAnsi" w:cs="Arial"/>
      <w:color w:val="FFFFFF" w:themeColor="background1"/>
      <w:sz w:val="18"/>
      <w:szCs w:val="18"/>
    </w:rPr>
    <w:tblPr>
      <w:tblStyleRowBandSize w:val="1"/>
      <w:tblStyleColBandSize w:val="1"/>
    </w:tblPr>
    <w:tcPr>
      <w:shd w:val="clear" w:color="auto" w:fill="B26DA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5D31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C4A8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C4A85" w:themeFill="accent4" w:themeFillShade="BF"/>
      </w:tcPr>
    </w:tblStylePr>
    <w:tblStylePr w:type="band1Vert">
      <w:tblPr/>
      <w:tcPr>
        <w:tcBorders>
          <w:top w:val="nil"/>
          <w:left w:val="nil"/>
          <w:bottom w:val="nil"/>
          <w:right w:val="nil"/>
          <w:insideH w:val="nil"/>
          <w:insideV w:val="nil"/>
        </w:tcBorders>
        <w:shd w:val="clear" w:color="auto" w:fill="8C4A85" w:themeFill="accent4" w:themeFillShade="BF"/>
      </w:tcPr>
    </w:tblStylePr>
    <w:tblStylePr w:type="band1Horz">
      <w:tblPr/>
      <w:tcPr>
        <w:tcBorders>
          <w:top w:val="nil"/>
          <w:left w:val="nil"/>
          <w:bottom w:val="nil"/>
          <w:right w:val="nil"/>
          <w:insideH w:val="nil"/>
          <w:insideV w:val="nil"/>
        </w:tcBorders>
        <w:shd w:val="clear" w:color="auto" w:fill="8C4A85" w:themeFill="accent4" w:themeFillShade="BF"/>
      </w:tcPr>
    </w:tblStylePr>
  </w:style>
  <w:style w:type="table" w:styleId="DarkList-Accent5">
    <w:name w:val="Dark List Accent 5"/>
    <w:basedOn w:val="TableNormal"/>
    <w:uiPriority w:val="70"/>
    <w:semiHidden/>
    <w:unhideWhenUsed/>
    <w:rsid w:val="00CF26C4"/>
    <w:pPr>
      <w:spacing w:after="0"/>
    </w:pPr>
    <w:rPr>
      <w:rFonts w:eastAsiaTheme="minorHAnsi" w:cs="Arial"/>
      <w:color w:val="FFFFFF" w:themeColor="background1"/>
      <w:sz w:val="18"/>
      <w:szCs w:val="18"/>
    </w:rPr>
    <w:tblPr>
      <w:tblStyleRowBandSize w:val="1"/>
      <w:tblStyleColBandSize w:val="1"/>
    </w:tblPr>
    <w:tcPr>
      <w:shd w:val="clear" w:color="auto" w:fill="E7A2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9B2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2539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25399" w:themeFill="accent5" w:themeFillShade="BF"/>
      </w:tcPr>
    </w:tblStylePr>
    <w:tblStylePr w:type="band1Vert">
      <w:tblPr/>
      <w:tcPr>
        <w:tcBorders>
          <w:top w:val="nil"/>
          <w:left w:val="nil"/>
          <w:bottom w:val="nil"/>
          <w:right w:val="nil"/>
          <w:insideH w:val="nil"/>
          <w:insideV w:val="nil"/>
        </w:tcBorders>
        <w:shd w:val="clear" w:color="auto" w:fill="D25399" w:themeFill="accent5" w:themeFillShade="BF"/>
      </w:tcPr>
    </w:tblStylePr>
    <w:tblStylePr w:type="band1Horz">
      <w:tblPr/>
      <w:tcPr>
        <w:tcBorders>
          <w:top w:val="nil"/>
          <w:left w:val="nil"/>
          <w:bottom w:val="nil"/>
          <w:right w:val="nil"/>
          <w:insideH w:val="nil"/>
          <w:insideV w:val="nil"/>
        </w:tcBorders>
        <w:shd w:val="clear" w:color="auto" w:fill="D25399" w:themeFill="accent5" w:themeFillShade="BF"/>
      </w:tcPr>
    </w:tblStylePr>
  </w:style>
  <w:style w:type="table" w:styleId="DarkList-Accent6">
    <w:name w:val="Dark List Accent 6"/>
    <w:basedOn w:val="TableNormal"/>
    <w:uiPriority w:val="70"/>
    <w:semiHidden/>
    <w:unhideWhenUsed/>
    <w:rsid w:val="00CF26C4"/>
    <w:pPr>
      <w:spacing w:after="0"/>
    </w:pPr>
    <w:rPr>
      <w:rFonts w:eastAsiaTheme="minorHAnsi" w:cs="Arial"/>
      <w:color w:val="FFFFFF" w:themeColor="background1"/>
      <w:sz w:val="18"/>
      <w:szCs w:val="18"/>
    </w:rPr>
    <w:tblPr>
      <w:tblStyleRowBandSize w:val="1"/>
      <w:tblStyleColBandSize w:val="1"/>
    </w:tblPr>
    <w:tcPr>
      <w:shd w:val="clear" w:color="auto" w:fill="9CD2F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1475B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1A8E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1A8EA" w:themeFill="accent6" w:themeFillShade="BF"/>
      </w:tcPr>
    </w:tblStylePr>
    <w:tblStylePr w:type="band1Vert">
      <w:tblPr/>
      <w:tcPr>
        <w:tcBorders>
          <w:top w:val="nil"/>
          <w:left w:val="nil"/>
          <w:bottom w:val="nil"/>
          <w:right w:val="nil"/>
          <w:insideH w:val="nil"/>
          <w:insideV w:val="nil"/>
        </w:tcBorders>
        <w:shd w:val="clear" w:color="auto" w:fill="41A8EA" w:themeFill="accent6" w:themeFillShade="BF"/>
      </w:tcPr>
    </w:tblStylePr>
    <w:tblStylePr w:type="band1Horz">
      <w:tblPr/>
      <w:tcPr>
        <w:tcBorders>
          <w:top w:val="nil"/>
          <w:left w:val="nil"/>
          <w:bottom w:val="nil"/>
          <w:right w:val="nil"/>
          <w:insideH w:val="nil"/>
          <w:insideV w:val="nil"/>
        </w:tcBorders>
        <w:shd w:val="clear" w:color="auto" w:fill="41A8EA" w:themeFill="accent6" w:themeFillShade="BF"/>
      </w:tcPr>
    </w:tblStylePr>
  </w:style>
  <w:style w:type="paragraph" w:styleId="Date">
    <w:name w:val="Date"/>
    <w:basedOn w:val="Normal"/>
    <w:next w:val="Normal"/>
    <w:link w:val="DateChar"/>
    <w:uiPriority w:val="99"/>
    <w:semiHidden/>
    <w:rsid w:val="00CF26C4"/>
  </w:style>
  <w:style w:type="character" w:customStyle="1" w:styleId="DateChar">
    <w:name w:val="Date Char"/>
    <w:basedOn w:val="DefaultParagraphFont"/>
    <w:link w:val="Date"/>
    <w:uiPriority w:val="99"/>
    <w:semiHidden/>
    <w:rsid w:val="00CF26C4"/>
    <w:rPr>
      <w:lang w:val="en-GB"/>
    </w:rPr>
  </w:style>
  <w:style w:type="paragraph" w:customStyle="1" w:styleId="DocumentHeading">
    <w:name w:val="Document Heading"/>
    <w:basedOn w:val="Heading1"/>
    <w:uiPriority w:val="99"/>
    <w:semiHidden/>
    <w:rsid w:val="00CF26C4"/>
    <w:pPr>
      <w:numPr>
        <w:numId w:val="0"/>
      </w:numPr>
      <w:spacing w:after="260" w:line="300" w:lineRule="atLeast"/>
      <w:ind w:left="851" w:hanging="851"/>
    </w:pPr>
    <w:rPr>
      <w:rFonts w:ascii="Arial" w:hAnsi="Arial"/>
    </w:rPr>
  </w:style>
  <w:style w:type="paragraph" w:styleId="DocumentMap">
    <w:name w:val="Document Map"/>
    <w:basedOn w:val="Normal"/>
    <w:link w:val="DocumentMapChar"/>
    <w:uiPriority w:val="99"/>
    <w:semiHidden/>
    <w:rsid w:val="00CF26C4"/>
    <w:rPr>
      <w:rFonts w:cs="Arial"/>
      <w:sz w:val="16"/>
      <w:szCs w:val="16"/>
    </w:rPr>
  </w:style>
  <w:style w:type="character" w:customStyle="1" w:styleId="DocumentMapChar">
    <w:name w:val="Document Map Char"/>
    <w:basedOn w:val="DefaultParagraphFont"/>
    <w:link w:val="DocumentMap"/>
    <w:uiPriority w:val="99"/>
    <w:semiHidden/>
    <w:rsid w:val="00CF26C4"/>
    <w:rPr>
      <w:rFonts w:cs="Arial"/>
      <w:sz w:val="16"/>
      <w:szCs w:val="16"/>
      <w:lang w:val="en-GB"/>
    </w:rPr>
  </w:style>
  <w:style w:type="paragraph" w:styleId="Title">
    <w:name w:val="Title"/>
    <w:basedOn w:val="Normal"/>
    <w:next w:val="Normal"/>
    <w:link w:val="TitleChar"/>
    <w:uiPriority w:val="19"/>
    <w:semiHidden/>
    <w:rsid w:val="00CF26C4"/>
    <w:pPr>
      <w:spacing w:before="220" w:after="220" w:line="840" w:lineRule="atLeast"/>
      <w:contextualSpacing/>
    </w:pPr>
    <w:rPr>
      <w:rFonts w:eastAsiaTheme="majorEastAsia" w:cs="Arial"/>
      <w:caps/>
      <w:color w:val="auto"/>
      <w:spacing w:val="5"/>
      <w:kern w:val="28"/>
      <w:sz w:val="84"/>
      <w:szCs w:val="52"/>
    </w:rPr>
  </w:style>
  <w:style w:type="character" w:customStyle="1" w:styleId="TitleChar">
    <w:name w:val="Title Char"/>
    <w:basedOn w:val="DefaultParagraphFont"/>
    <w:link w:val="Title"/>
    <w:uiPriority w:val="19"/>
    <w:rsid w:val="00CF26C4"/>
    <w:rPr>
      <w:rFonts w:eastAsiaTheme="majorEastAsia" w:cs="Arial"/>
      <w:caps/>
      <w:color w:val="auto"/>
      <w:spacing w:val="5"/>
      <w:kern w:val="28"/>
      <w:sz w:val="84"/>
      <w:szCs w:val="52"/>
      <w:lang w:val="en-GB"/>
    </w:rPr>
  </w:style>
  <w:style w:type="paragraph" w:customStyle="1" w:styleId="DocumentName">
    <w:name w:val="Document Name"/>
    <w:basedOn w:val="Title"/>
    <w:uiPriority w:val="99"/>
    <w:semiHidden/>
    <w:rsid w:val="00CF26C4"/>
    <w:pPr>
      <w:spacing w:line="360" w:lineRule="atLeast"/>
    </w:pPr>
    <w:rPr>
      <w:caps w:val="0"/>
      <w:sz w:val="28"/>
    </w:rPr>
  </w:style>
  <w:style w:type="paragraph" w:styleId="E-mailSignature">
    <w:name w:val="E-mail Signature"/>
    <w:basedOn w:val="Normal"/>
    <w:link w:val="E-mailSignatureChar"/>
    <w:uiPriority w:val="99"/>
    <w:semiHidden/>
    <w:rsid w:val="00CF26C4"/>
  </w:style>
  <w:style w:type="character" w:customStyle="1" w:styleId="E-mailSignatureChar">
    <w:name w:val="E-mail Signature Char"/>
    <w:basedOn w:val="DefaultParagraphFont"/>
    <w:link w:val="E-mailSignature"/>
    <w:uiPriority w:val="99"/>
    <w:semiHidden/>
    <w:rsid w:val="00CF26C4"/>
    <w:rPr>
      <w:lang w:val="en-GB"/>
    </w:rPr>
  </w:style>
  <w:style w:type="character" w:styleId="Emphasis">
    <w:name w:val="Emphasis"/>
    <w:basedOn w:val="DefaultParagraphFont"/>
    <w:uiPriority w:val="19"/>
    <w:semiHidden/>
    <w:rsid w:val="00CF26C4"/>
    <w:rPr>
      <w:i/>
      <w:iCs/>
    </w:rPr>
  </w:style>
  <w:style w:type="character" w:styleId="EndnoteReference">
    <w:name w:val="endnote reference"/>
    <w:basedOn w:val="DefaultParagraphFont"/>
    <w:uiPriority w:val="21"/>
    <w:semiHidden/>
    <w:rsid w:val="00714C22"/>
    <w:rPr>
      <w:color w:val="1D5B8B"/>
      <w:vertAlign w:val="baseline"/>
    </w:rPr>
  </w:style>
  <w:style w:type="paragraph" w:styleId="EndnoteText">
    <w:name w:val="endnote text"/>
    <w:basedOn w:val="Normal"/>
    <w:link w:val="EndnoteTextChar"/>
    <w:uiPriority w:val="21"/>
    <w:semiHidden/>
    <w:rsid w:val="00200CE0"/>
    <w:pPr>
      <w:ind w:left="397" w:hanging="397"/>
    </w:pPr>
  </w:style>
  <w:style w:type="character" w:customStyle="1" w:styleId="EndnoteTextChar">
    <w:name w:val="Endnote Text Char"/>
    <w:basedOn w:val="DefaultParagraphFont"/>
    <w:link w:val="EndnoteText"/>
    <w:uiPriority w:val="21"/>
    <w:semiHidden/>
    <w:rsid w:val="00200CE0"/>
    <w:rPr>
      <w:lang w:val="en-GB"/>
    </w:rPr>
  </w:style>
  <w:style w:type="paragraph" w:styleId="EnvelopeAddress">
    <w:name w:val="envelope address"/>
    <w:basedOn w:val="Normal"/>
    <w:uiPriority w:val="99"/>
    <w:semiHidden/>
    <w:rsid w:val="00CF26C4"/>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CF26C4"/>
    <w:rPr>
      <w:rFonts w:asciiTheme="majorHAnsi" w:eastAsiaTheme="majorEastAsia" w:hAnsiTheme="majorHAnsi" w:cstheme="majorBidi"/>
    </w:rPr>
  </w:style>
  <w:style w:type="character" w:styleId="FollowedHyperlink">
    <w:name w:val="FollowedHyperlink"/>
    <w:basedOn w:val="DefaultParagraphFont"/>
    <w:uiPriority w:val="21"/>
    <w:semiHidden/>
    <w:rsid w:val="00CF26C4"/>
    <w:rPr>
      <w:color w:val="B26DAB" w:themeColor="followedHyperlink"/>
      <w:u w:val="single"/>
    </w:rPr>
  </w:style>
  <w:style w:type="paragraph" w:styleId="Footer">
    <w:name w:val="footer"/>
    <w:basedOn w:val="Normal"/>
    <w:link w:val="FooterChar"/>
    <w:uiPriority w:val="99"/>
    <w:rsid w:val="00CF26C4"/>
    <w:pPr>
      <w:tabs>
        <w:tab w:val="center" w:pos="4513"/>
        <w:tab w:val="right" w:pos="9026"/>
      </w:tabs>
      <w:spacing w:after="0" w:line="280" w:lineRule="exact"/>
    </w:pPr>
    <w:rPr>
      <w:rFonts w:eastAsia="Times New Roman" w:cs="Courier New"/>
    </w:rPr>
  </w:style>
  <w:style w:type="character" w:customStyle="1" w:styleId="FooterChar">
    <w:name w:val="Footer Char"/>
    <w:basedOn w:val="DefaultParagraphFont"/>
    <w:link w:val="Footer"/>
    <w:uiPriority w:val="99"/>
    <w:rsid w:val="00CF26C4"/>
    <w:rPr>
      <w:rFonts w:eastAsia="Times New Roman" w:cs="Courier New"/>
      <w:lang w:val="en-GB"/>
    </w:rPr>
  </w:style>
  <w:style w:type="character" w:styleId="FootnoteReference">
    <w:name w:val="footnote reference"/>
    <w:basedOn w:val="DefaultParagraphFont"/>
    <w:uiPriority w:val="7"/>
    <w:semiHidden/>
    <w:rsid w:val="00603E09"/>
    <w:rPr>
      <w:color w:val="808080" w:themeColor="background1" w:themeShade="80"/>
      <w:sz w:val="20"/>
      <w:vertAlign w:val="baseline"/>
    </w:rPr>
  </w:style>
  <w:style w:type="paragraph" w:styleId="FootnoteText">
    <w:name w:val="footnote text"/>
    <w:basedOn w:val="Normal"/>
    <w:link w:val="FootnoteTextChar"/>
    <w:uiPriority w:val="7"/>
    <w:semiHidden/>
    <w:rsid w:val="00F74161"/>
    <w:pPr>
      <w:spacing w:after="120" w:line="240" w:lineRule="atLeast"/>
      <w:ind w:left="284" w:hanging="284"/>
    </w:pPr>
    <w:rPr>
      <w:rFonts w:eastAsia="Times New Roman" w:cs="Courier New"/>
    </w:rPr>
  </w:style>
  <w:style w:type="character" w:customStyle="1" w:styleId="FootnoteTextChar">
    <w:name w:val="Footnote Text Char"/>
    <w:basedOn w:val="DefaultParagraphFont"/>
    <w:link w:val="FootnoteText"/>
    <w:uiPriority w:val="7"/>
    <w:semiHidden/>
    <w:rsid w:val="00F74161"/>
    <w:rPr>
      <w:rFonts w:eastAsia="Times New Roman" w:cs="Courier New"/>
      <w:lang w:val="en-GB"/>
    </w:rPr>
  </w:style>
  <w:style w:type="table" w:styleId="GridTable1Light">
    <w:name w:val="Grid Table 1 Light"/>
    <w:basedOn w:val="TableNormal"/>
    <w:uiPriority w:val="46"/>
    <w:rsid w:val="00CF26C4"/>
    <w:pPr>
      <w:spacing w:after="0"/>
    </w:pPr>
    <w:rPr>
      <w:rFonts w:eastAsiaTheme="minorHAnsi" w:cs="Arial"/>
      <w:sz w:val="18"/>
      <w:szCs w:val="18"/>
    </w:rPr>
    <w:tblPr>
      <w:tblStyleRowBandSize w:val="1"/>
      <w:tblStyleColBandSize w:val="1"/>
      <w:tblBorders>
        <w:top w:val="single" w:sz="4" w:space="0" w:color="A5A1A1" w:themeColor="text1" w:themeTint="66"/>
        <w:left w:val="single" w:sz="4" w:space="0" w:color="A5A1A1" w:themeColor="text1" w:themeTint="66"/>
        <w:bottom w:val="single" w:sz="4" w:space="0" w:color="A5A1A1" w:themeColor="text1" w:themeTint="66"/>
        <w:right w:val="single" w:sz="4" w:space="0" w:color="A5A1A1" w:themeColor="text1" w:themeTint="66"/>
        <w:insideH w:val="single" w:sz="4" w:space="0" w:color="A5A1A1" w:themeColor="text1" w:themeTint="66"/>
        <w:insideV w:val="single" w:sz="4" w:space="0" w:color="A5A1A1" w:themeColor="text1" w:themeTint="66"/>
      </w:tblBorders>
    </w:tblPr>
    <w:tblStylePr w:type="firstRow">
      <w:rPr>
        <w:b/>
        <w:bCs/>
      </w:rPr>
      <w:tblPr/>
      <w:tcPr>
        <w:tcBorders>
          <w:bottom w:val="single" w:sz="12" w:space="0" w:color="777373" w:themeColor="text1" w:themeTint="99"/>
        </w:tcBorders>
      </w:tcPr>
    </w:tblStylePr>
    <w:tblStylePr w:type="lastRow">
      <w:rPr>
        <w:b/>
        <w:bCs/>
      </w:rPr>
      <w:tblPr/>
      <w:tcPr>
        <w:tcBorders>
          <w:top w:val="double" w:sz="2" w:space="0" w:color="77737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26C4"/>
    <w:pPr>
      <w:spacing w:after="0"/>
    </w:pPr>
    <w:rPr>
      <w:rFonts w:eastAsiaTheme="minorHAnsi" w:cs="Arial"/>
      <w:sz w:val="18"/>
      <w:szCs w:val="18"/>
    </w:rPr>
    <w:tblPr>
      <w:tblStyleRowBandSize w:val="1"/>
      <w:tblStyleColBandSize w:val="1"/>
      <w:tblBorders>
        <w:top w:val="single" w:sz="4" w:space="0" w:color="C2E5E1" w:themeColor="accent1" w:themeTint="66"/>
        <w:left w:val="single" w:sz="4" w:space="0" w:color="C2E5E1" w:themeColor="accent1" w:themeTint="66"/>
        <w:bottom w:val="single" w:sz="4" w:space="0" w:color="C2E5E1" w:themeColor="accent1" w:themeTint="66"/>
        <w:right w:val="single" w:sz="4" w:space="0" w:color="C2E5E1" w:themeColor="accent1" w:themeTint="66"/>
        <w:insideH w:val="single" w:sz="4" w:space="0" w:color="C2E5E1" w:themeColor="accent1" w:themeTint="66"/>
        <w:insideV w:val="single" w:sz="4" w:space="0" w:color="C2E5E1" w:themeColor="accent1" w:themeTint="66"/>
      </w:tblBorders>
    </w:tblPr>
    <w:tblStylePr w:type="firstRow">
      <w:rPr>
        <w:b/>
        <w:bCs/>
      </w:rPr>
      <w:tblPr/>
      <w:tcPr>
        <w:tcBorders>
          <w:bottom w:val="single" w:sz="12" w:space="0" w:color="A4D9D2" w:themeColor="accent1" w:themeTint="99"/>
        </w:tcBorders>
      </w:tcPr>
    </w:tblStylePr>
    <w:tblStylePr w:type="lastRow">
      <w:rPr>
        <w:b/>
        <w:bCs/>
      </w:rPr>
      <w:tblPr/>
      <w:tcPr>
        <w:tcBorders>
          <w:top w:val="double" w:sz="2" w:space="0" w:color="A4D9D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26C4"/>
    <w:pPr>
      <w:spacing w:after="0"/>
    </w:pPr>
    <w:rPr>
      <w:rFonts w:eastAsiaTheme="minorHAnsi" w:cs="Arial"/>
      <w:sz w:val="18"/>
      <w:szCs w:val="18"/>
    </w:rPr>
    <w:tblPr>
      <w:tblStyleRowBandSize w:val="1"/>
      <w:tblStyleColBandSize w:val="1"/>
      <w:tblBorders>
        <w:top w:val="single" w:sz="4" w:space="0" w:color="C2DDF2" w:themeColor="accent2" w:themeTint="66"/>
        <w:left w:val="single" w:sz="4" w:space="0" w:color="C2DDF2" w:themeColor="accent2" w:themeTint="66"/>
        <w:bottom w:val="single" w:sz="4" w:space="0" w:color="C2DDF2" w:themeColor="accent2" w:themeTint="66"/>
        <w:right w:val="single" w:sz="4" w:space="0" w:color="C2DDF2" w:themeColor="accent2" w:themeTint="66"/>
        <w:insideH w:val="single" w:sz="4" w:space="0" w:color="C2DDF2" w:themeColor="accent2" w:themeTint="66"/>
        <w:insideV w:val="single" w:sz="4" w:space="0" w:color="C2DDF2" w:themeColor="accent2" w:themeTint="66"/>
      </w:tblBorders>
    </w:tblPr>
    <w:tblStylePr w:type="firstRow">
      <w:rPr>
        <w:b/>
        <w:bCs/>
      </w:rPr>
      <w:tblPr/>
      <w:tcPr>
        <w:tcBorders>
          <w:bottom w:val="single" w:sz="12" w:space="0" w:color="A4CCEB" w:themeColor="accent2" w:themeTint="99"/>
        </w:tcBorders>
      </w:tcPr>
    </w:tblStylePr>
    <w:tblStylePr w:type="lastRow">
      <w:rPr>
        <w:b/>
        <w:bCs/>
      </w:rPr>
      <w:tblPr/>
      <w:tcPr>
        <w:tcBorders>
          <w:top w:val="double" w:sz="2" w:space="0" w:color="A4CC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26C4"/>
    <w:pPr>
      <w:spacing w:after="0"/>
    </w:pPr>
    <w:rPr>
      <w:rFonts w:eastAsiaTheme="minorHAnsi" w:cs="Arial"/>
      <w:sz w:val="18"/>
      <w:szCs w:val="18"/>
    </w:rPr>
    <w:tblPr>
      <w:tblStyleRowBandSize w:val="1"/>
      <w:tblStyleColBandSize w:val="1"/>
      <w:tblBorders>
        <w:top w:val="single" w:sz="4" w:space="0" w:color="C0C3DF" w:themeColor="accent3" w:themeTint="66"/>
        <w:left w:val="single" w:sz="4" w:space="0" w:color="C0C3DF" w:themeColor="accent3" w:themeTint="66"/>
        <w:bottom w:val="single" w:sz="4" w:space="0" w:color="C0C3DF" w:themeColor="accent3" w:themeTint="66"/>
        <w:right w:val="single" w:sz="4" w:space="0" w:color="C0C3DF" w:themeColor="accent3" w:themeTint="66"/>
        <w:insideH w:val="single" w:sz="4" w:space="0" w:color="C0C3DF" w:themeColor="accent3" w:themeTint="66"/>
        <w:insideV w:val="single" w:sz="4" w:space="0" w:color="C0C3DF" w:themeColor="accent3" w:themeTint="66"/>
      </w:tblBorders>
    </w:tblPr>
    <w:tblStylePr w:type="firstRow">
      <w:rPr>
        <w:b/>
        <w:bCs/>
      </w:rPr>
      <w:tblPr/>
      <w:tcPr>
        <w:tcBorders>
          <w:bottom w:val="single" w:sz="12" w:space="0" w:color="A1A5CF" w:themeColor="accent3" w:themeTint="99"/>
        </w:tcBorders>
      </w:tcPr>
    </w:tblStylePr>
    <w:tblStylePr w:type="lastRow">
      <w:rPr>
        <w:b/>
        <w:bCs/>
      </w:rPr>
      <w:tblPr/>
      <w:tcPr>
        <w:tcBorders>
          <w:top w:val="double" w:sz="2" w:space="0" w:color="A1A5C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26C4"/>
    <w:pPr>
      <w:spacing w:after="0"/>
    </w:pPr>
    <w:rPr>
      <w:rFonts w:eastAsiaTheme="minorHAnsi" w:cs="Arial"/>
      <w:sz w:val="18"/>
      <w:szCs w:val="18"/>
    </w:rPr>
    <w:tblPr>
      <w:tblStyleRowBandSize w:val="1"/>
      <w:tblStyleColBandSize w:val="1"/>
      <w:tblBorders>
        <w:top w:val="single" w:sz="4" w:space="0" w:color="E0C4DD" w:themeColor="accent4" w:themeTint="66"/>
        <w:left w:val="single" w:sz="4" w:space="0" w:color="E0C4DD" w:themeColor="accent4" w:themeTint="66"/>
        <w:bottom w:val="single" w:sz="4" w:space="0" w:color="E0C4DD" w:themeColor="accent4" w:themeTint="66"/>
        <w:right w:val="single" w:sz="4" w:space="0" w:color="E0C4DD" w:themeColor="accent4" w:themeTint="66"/>
        <w:insideH w:val="single" w:sz="4" w:space="0" w:color="E0C4DD" w:themeColor="accent4" w:themeTint="66"/>
        <w:insideV w:val="single" w:sz="4" w:space="0" w:color="E0C4DD" w:themeColor="accent4" w:themeTint="66"/>
      </w:tblBorders>
    </w:tblPr>
    <w:tblStylePr w:type="firstRow">
      <w:rPr>
        <w:b/>
        <w:bCs/>
      </w:rPr>
      <w:tblPr/>
      <w:tcPr>
        <w:tcBorders>
          <w:bottom w:val="single" w:sz="12" w:space="0" w:color="D0A7CC" w:themeColor="accent4" w:themeTint="99"/>
        </w:tcBorders>
      </w:tcPr>
    </w:tblStylePr>
    <w:tblStylePr w:type="lastRow">
      <w:rPr>
        <w:b/>
        <w:bCs/>
      </w:rPr>
      <w:tblPr/>
      <w:tcPr>
        <w:tcBorders>
          <w:top w:val="double" w:sz="2" w:space="0" w:color="D0A7C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26C4"/>
    <w:pPr>
      <w:spacing w:after="0"/>
    </w:pPr>
    <w:rPr>
      <w:rFonts w:eastAsiaTheme="minorHAnsi" w:cs="Arial"/>
      <w:sz w:val="18"/>
      <w:szCs w:val="18"/>
    </w:rPr>
    <w:tblPr>
      <w:tblStyleRowBandSize w:val="1"/>
      <w:tblStyleColBandSize w:val="1"/>
      <w:tblBorders>
        <w:top w:val="single" w:sz="4" w:space="0" w:color="F5D9E8" w:themeColor="accent5" w:themeTint="66"/>
        <w:left w:val="single" w:sz="4" w:space="0" w:color="F5D9E8" w:themeColor="accent5" w:themeTint="66"/>
        <w:bottom w:val="single" w:sz="4" w:space="0" w:color="F5D9E8" w:themeColor="accent5" w:themeTint="66"/>
        <w:right w:val="single" w:sz="4" w:space="0" w:color="F5D9E8" w:themeColor="accent5" w:themeTint="66"/>
        <w:insideH w:val="single" w:sz="4" w:space="0" w:color="F5D9E8" w:themeColor="accent5" w:themeTint="66"/>
        <w:insideV w:val="single" w:sz="4" w:space="0" w:color="F5D9E8" w:themeColor="accent5" w:themeTint="66"/>
      </w:tblBorders>
    </w:tblPr>
    <w:tblStylePr w:type="firstRow">
      <w:rPr>
        <w:b/>
        <w:bCs/>
      </w:rPr>
      <w:tblPr/>
      <w:tcPr>
        <w:tcBorders>
          <w:bottom w:val="single" w:sz="12" w:space="0" w:color="F0C7DD" w:themeColor="accent5" w:themeTint="99"/>
        </w:tcBorders>
      </w:tcPr>
    </w:tblStylePr>
    <w:tblStylePr w:type="lastRow">
      <w:rPr>
        <w:b/>
        <w:bCs/>
      </w:rPr>
      <w:tblPr/>
      <w:tcPr>
        <w:tcBorders>
          <w:top w:val="double" w:sz="2" w:space="0" w:color="F0C7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26C4"/>
    <w:pPr>
      <w:spacing w:after="0"/>
    </w:pPr>
    <w:rPr>
      <w:rFonts w:eastAsiaTheme="minorHAnsi" w:cs="Arial"/>
      <w:sz w:val="18"/>
      <w:szCs w:val="18"/>
    </w:rPr>
    <w:tblPr>
      <w:tblStyleRowBandSize w:val="1"/>
      <w:tblStyleColBandSize w:val="1"/>
      <w:tblBorders>
        <w:top w:val="single" w:sz="4" w:space="0" w:color="D7ECFA" w:themeColor="accent6" w:themeTint="66"/>
        <w:left w:val="single" w:sz="4" w:space="0" w:color="D7ECFA" w:themeColor="accent6" w:themeTint="66"/>
        <w:bottom w:val="single" w:sz="4" w:space="0" w:color="D7ECFA" w:themeColor="accent6" w:themeTint="66"/>
        <w:right w:val="single" w:sz="4" w:space="0" w:color="D7ECFA" w:themeColor="accent6" w:themeTint="66"/>
        <w:insideH w:val="single" w:sz="4" w:space="0" w:color="D7ECFA" w:themeColor="accent6" w:themeTint="66"/>
        <w:insideV w:val="single" w:sz="4" w:space="0" w:color="D7ECFA" w:themeColor="accent6" w:themeTint="66"/>
      </w:tblBorders>
    </w:tblPr>
    <w:tblStylePr w:type="firstRow">
      <w:rPr>
        <w:b/>
        <w:bCs/>
      </w:rPr>
      <w:tblPr/>
      <w:tcPr>
        <w:tcBorders>
          <w:bottom w:val="single" w:sz="12" w:space="0" w:color="C3E3F8" w:themeColor="accent6" w:themeTint="99"/>
        </w:tcBorders>
      </w:tcPr>
    </w:tblStylePr>
    <w:tblStylePr w:type="lastRow">
      <w:rPr>
        <w:b/>
        <w:bCs/>
      </w:rPr>
      <w:tblPr/>
      <w:tcPr>
        <w:tcBorders>
          <w:top w:val="double" w:sz="2" w:space="0" w:color="C3E3F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26C4"/>
    <w:pPr>
      <w:spacing w:after="0"/>
    </w:pPr>
    <w:rPr>
      <w:rFonts w:eastAsiaTheme="minorHAnsi" w:cs="Arial"/>
      <w:sz w:val="18"/>
      <w:szCs w:val="18"/>
    </w:rPr>
    <w:tblPr>
      <w:tblStyleRowBandSize w:val="1"/>
      <w:tblStyleColBandSize w:val="1"/>
      <w:tblBorders>
        <w:top w:val="single" w:sz="2" w:space="0" w:color="777373" w:themeColor="text1" w:themeTint="99"/>
        <w:bottom w:val="single" w:sz="2" w:space="0" w:color="777373" w:themeColor="text1" w:themeTint="99"/>
        <w:insideH w:val="single" w:sz="2" w:space="0" w:color="777373" w:themeColor="text1" w:themeTint="99"/>
        <w:insideV w:val="single" w:sz="2" w:space="0" w:color="777373" w:themeColor="text1" w:themeTint="99"/>
      </w:tblBorders>
    </w:tblPr>
    <w:tblStylePr w:type="firstRow">
      <w:rPr>
        <w:b/>
        <w:bCs/>
      </w:rPr>
      <w:tblPr/>
      <w:tcPr>
        <w:tcBorders>
          <w:top w:val="nil"/>
          <w:bottom w:val="single" w:sz="12" w:space="0" w:color="777373" w:themeColor="text1" w:themeTint="99"/>
          <w:insideH w:val="nil"/>
          <w:insideV w:val="nil"/>
        </w:tcBorders>
        <w:shd w:val="clear" w:color="auto" w:fill="FFFFFF" w:themeFill="background1"/>
      </w:tcPr>
    </w:tblStylePr>
    <w:tblStylePr w:type="lastRow">
      <w:rPr>
        <w:b/>
        <w:bCs/>
      </w:rPr>
      <w:tblPr/>
      <w:tcPr>
        <w:tcBorders>
          <w:top w:val="double" w:sz="2" w:space="0" w:color="77737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2-Accent1">
    <w:name w:val="Grid Table 2 Accent 1"/>
    <w:basedOn w:val="TableNormal"/>
    <w:uiPriority w:val="47"/>
    <w:rsid w:val="00CF26C4"/>
    <w:pPr>
      <w:spacing w:after="0"/>
    </w:pPr>
    <w:rPr>
      <w:rFonts w:eastAsiaTheme="minorHAnsi" w:cs="Arial"/>
      <w:sz w:val="18"/>
      <w:szCs w:val="18"/>
    </w:rPr>
    <w:tblPr>
      <w:tblStyleRowBandSize w:val="1"/>
      <w:tblStyleColBandSize w:val="1"/>
      <w:tblBorders>
        <w:top w:val="single" w:sz="2" w:space="0" w:color="A4D9D2" w:themeColor="accent1" w:themeTint="99"/>
        <w:bottom w:val="single" w:sz="2" w:space="0" w:color="A4D9D2" w:themeColor="accent1" w:themeTint="99"/>
        <w:insideH w:val="single" w:sz="2" w:space="0" w:color="A4D9D2" w:themeColor="accent1" w:themeTint="99"/>
        <w:insideV w:val="single" w:sz="2" w:space="0" w:color="A4D9D2" w:themeColor="accent1" w:themeTint="99"/>
      </w:tblBorders>
    </w:tblPr>
    <w:tblStylePr w:type="firstRow">
      <w:rPr>
        <w:b/>
        <w:bCs/>
      </w:rPr>
      <w:tblPr/>
      <w:tcPr>
        <w:tcBorders>
          <w:top w:val="nil"/>
          <w:bottom w:val="single" w:sz="12" w:space="0" w:color="A4D9D2" w:themeColor="accent1" w:themeTint="99"/>
          <w:insideH w:val="nil"/>
          <w:insideV w:val="nil"/>
        </w:tcBorders>
        <w:shd w:val="clear" w:color="auto" w:fill="FFFFFF" w:themeFill="background1"/>
      </w:tcPr>
    </w:tblStylePr>
    <w:tblStylePr w:type="lastRow">
      <w:rPr>
        <w:b/>
        <w:bCs/>
      </w:rPr>
      <w:tblPr/>
      <w:tcPr>
        <w:tcBorders>
          <w:top w:val="double" w:sz="2" w:space="0" w:color="A4D9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2-Accent2">
    <w:name w:val="Grid Table 2 Accent 2"/>
    <w:basedOn w:val="TableNormal"/>
    <w:uiPriority w:val="47"/>
    <w:rsid w:val="00CF26C4"/>
    <w:pPr>
      <w:spacing w:after="0"/>
    </w:pPr>
    <w:rPr>
      <w:rFonts w:eastAsiaTheme="minorHAnsi" w:cs="Arial"/>
      <w:sz w:val="18"/>
      <w:szCs w:val="18"/>
    </w:rPr>
    <w:tblPr>
      <w:tblStyleRowBandSize w:val="1"/>
      <w:tblStyleColBandSize w:val="1"/>
      <w:tblBorders>
        <w:top w:val="single" w:sz="2" w:space="0" w:color="A4CCEB" w:themeColor="accent2" w:themeTint="99"/>
        <w:bottom w:val="single" w:sz="2" w:space="0" w:color="A4CCEB" w:themeColor="accent2" w:themeTint="99"/>
        <w:insideH w:val="single" w:sz="2" w:space="0" w:color="A4CCEB" w:themeColor="accent2" w:themeTint="99"/>
        <w:insideV w:val="single" w:sz="2" w:space="0" w:color="A4CCEB" w:themeColor="accent2" w:themeTint="99"/>
      </w:tblBorders>
    </w:tblPr>
    <w:tblStylePr w:type="firstRow">
      <w:rPr>
        <w:b/>
        <w:bCs/>
      </w:rPr>
      <w:tblPr/>
      <w:tcPr>
        <w:tcBorders>
          <w:top w:val="nil"/>
          <w:bottom w:val="single" w:sz="12" w:space="0" w:color="A4CCEB" w:themeColor="accent2" w:themeTint="99"/>
          <w:insideH w:val="nil"/>
          <w:insideV w:val="nil"/>
        </w:tcBorders>
        <w:shd w:val="clear" w:color="auto" w:fill="FFFFFF" w:themeFill="background1"/>
      </w:tcPr>
    </w:tblStylePr>
    <w:tblStylePr w:type="lastRow">
      <w:rPr>
        <w:b/>
        <w:bCs/>
      </w:rPr>
      <w:tblPr/>
      <w:tcPr>
        <w:tcBorders>
          <w:top w:val="double" w:sz="2" w:space="0" w:color="A4CC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2-Accent3">
    <w:name w:val="Grid Table 2 Accent 3"/>
    <w:basedOn w:val="TableNormal"/>
    <w:uiPriority w:val="47"/>
    <w:rsid w:val="00CF26C4"/>
    <w:pPr>
      <w:spacing w:after="0"/>
    </w:pPr>
    <w:rPr>
      <w:rFonts w:eastAsiaTheme="minorHAnsi" w:cs="Arial"/>
      <w:sz w:val="18"/>
      <w:szCs w:val="18"/>
    </w:rPr>
    <w:tblPr>
      <w:tblStyleRowBandSize w:val="1"/>
      <w:tblStyleColBandSize w:val="1"/>
      <w:tblBorders>
        <w:top w:val="single" w:sz="2" w:space="0" w:color="A1A5CF" w:themeColor="accent3" w:themeTint="99"/>
        <w:bottom w:val="single" w:sz="2" w:space="0" w:color="A1A5CF" w:themeColor="accent3" w:themeTint="99"/>
        <w:insideH w:val="single" w:sz="2" w:space="0" w:color="A1A5CF" w:themeColor="accent3" w:themeTint="99"/>
        <w:insideV w:val="single" w:sz="2" w:space="0" w:color="A1A5CF" w:themeColor="accent3" w:themeTint="99"/>
      </w:tblBorders>
    </w:tblPr>
    <w:tblStylePr w:type="firstRow">
      <w:rPr>
        <w:b/>
        <w:bCs/>
      </w:rPr>
      <w:tblPr/>
      <w:tcPr>
        <w:tcBorders>
          <w:top w:val="nil"/>
          <w:bottom w:val="single" w:sz="12" w:space="0" w:color="A1A5CF" w:themeColor="accent3" w:themeTint="99"/>
          <w:insideH w:val="nil"/>
          <w:insideV w:val="nil"/>
        </w:tcBorders>
        <w:shd w:val="clear" w:color="auto" w:fill="FFFFFF" w:themeFill="background1"/>
      </w:tcPr>
    </w:tblStylePr>
    <w:tblStylePr w:type="lastRow">
      <w:rPr>
        <w:b/>
        <w:bCs/>
      </w:rPr>
      <w:tblPr/>
      <w:tcPr>
        <w:tcBorders>
          <w:top w:val="double" w:sz="2" w:space="0" w:color="A1A5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2-Accent4">
    <w:name w:val="Grid Table 2 Accent 4"/>
    <w:basedOn w:val="TableNormal"/>
    <w:uiPriority w:val="47"/>
    <w:rsid w:val="00CF26C4"/>
    <w:pPr>
      <w:spacing w:after="0"/>
    </w:pPr>
    <w:rPr>
      <w:rFonts w:eastAsiaTheme="minorHAnsi" w:cs="Arial"/>
      <w:sz w:val="18"/>
      <w:szCs w:val="18"/>
    </w:rPr>
    <w:tblPr>
      <w:tblStyleRowBandSize w:val="1"/>
      <w:tblStyleColBandSize w:val="1"/>
      <w:tblBorders>
        <w:top w:val="single" w:sz="2" w:space="0" w:color="D0A7CC" w:themeColor="accent4" w:themeTint="99"/>
        <w:bottom w:val="single" w:sz="2" w:space="0" w:color="D0A7CC" w:themeColor="accent4" w:themeTint="99"/>
        <w:insideH w:val="single" w:sz="2" w:space="0" w:color="D0A7CC" w:themeColor="accent4" w:themeTint="99"/>
        <w:insideV w:val="single" w:sz="2" w:space="0" w:color="D0A7CC" w:themeColor="accent4" w:themeTint="99"/>
      </w:tblBorders>
    </w:tblPr>
    <w:tblStylePr w:type="firstRow">
      <w:rPr>
        <w:b/>
        <w:bCs/>
      </w:rPr>
      <w:tblPr/>
      <w:tcPr>
        <w:tcBorders>
          <w:top w:val="nil"/>
          <w:bottom w:val="single" w:sz="12" w:space="0" w:color="D0A7CC" w:themeColor="accent4" w:themeTint="99"/>
          <w:insideH w:val="nil"/>
          <w:insideV w:val="nil"/>
        </w:tcBorders>
        <w:shd w:val="clear" w:color="auto" w:fill="FFFFFF" w:themeFill="background1"/>
      </w:tcPr>
    </w:tblStylePr>
    <w:tblStylePr w:type="lastRow">
      <w:rPr>
        <w:b/>
        <w:bCs/>
      </w:rPr>
      <w:tblPr/>
      <w:tcPr>
        <w:tcBorders>
          <w:top w:val="double" w:sz="2" w:space="0" w:color="D0A7C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2-Accent5">
    <w:name w:val="Grid Table 2 Accent 5"/>
    <w:basedOn w:val="TableNormal"/>
    <w:uiPriority w:val="47"/>
    <w:rsid w:val="00CF26C4"/>
    <w:pPr>
      <w:spacing w:after="0"/>
    </w:pPr>
    <w:rPr>
      <w:rFonts w:eastAsiaTheme="minorHAnsi" w:cs="Arial"/>
      <w:sz w:val="18"/>
      <w:szCs w:val="18"/>
    </w:rPr>
    <w:tblPr>
      <w:tblStyleRowBandSize w:val="1"/>
      <w:tblStyleColBandSize w:val="1"/>
      <w:tblBorders>
        <w:top w:val="single" w:sz="2" w:space="0" w:color="F0C7DD" w:themeColor="accent5" w:themeTint="99"/>
        <w:bottom w:val="single" w:sz="2" w:space="0" w:color="F0C7DD" w:themeColor="accent5" w:themeTint="99"/>
        <w:insideH w:val="single" w:sz="2" w:space="0" w:color="F0C7DD" w:themeColor="accent5" w:themeTint="99"/>
        <w:insideV w:val="single" w:sz="2" w:space="0" w:color="F0C7DD" w:themeColor="accent5" w:themeTint="99"/>
      </w:tblBorders>
    </w:tblPr>
    <w:tblStylePr w:type="firstRow">
      <w:rPr>
        <w:b/>
        <w:bCs/>
      </w:rPr>
      <w:tblPr/>
      <w:tcPr>
        <w:tcBorders>
          <w:top w:val="nil"/>
          <w:bottom w:val="single" w:sz="12" w:space="0" w:color="F0C7DD" w:themeColor="accent5" w:themeTint="99"/>
          <w:insideH w:val="nil"/>
          <w:insideV w:val="nil"/>
        </w:tcBorders>
        <w:shd w:val="clear" w:color="auto" w:fill="FFFFFF" w:themeFill="background1"/>
      </w:tcPr>
    </w:tblStylePr>
    <w:tblStylePr w:type="lastRow">
      <w:rPr>
        <w:b/>
        <w:bCs/>
      </w:rPr>
      <w:tblPr/>
      <w:tcPr>
        <w:tcBorders>
          <w:top w:val="double" w:sz="2" w:space="0" w:color="F0C7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2-Accent6">
    <w:name w:val="Grid Table 2 Accent 6"/>
    <w:basedOn w:val="TableNormal"/>
    <w:uiPriority w:val="47"/>
    <w:rsid w:val="00CF26C4"/>
    <w:pPr>
      <w:spacing w:after="0"/>
    </w:pPr>
    <w:rPr>
      <w:rFonts w:eastAsiaTheme="minorHAnsi" w:cs="Arial"/>
      <w:sz w:val="18"/>
      <w:szCs w:val="18"/>
    </w:rPr>
    <w:tblPr>
      <w:tblStyleRowBandSize w:val="1"/>
      <w:tblStyleColBandSize w:val="1"/>
      <w:tblBorders>
        <w:top w:val="single" w:sz="2" w:space="0" w:color="C3E3F8" w:themeColor="accent6" w:themeTint="99"/>
        <w:bottom w:val="single" w:sz="2" w:space="0" w:color="C3E3F8" w:themeColor="accent6" w:themeTint="99"/>
        <w:insideH w:val="single" w:sz="2" w:space="0" w:color="C3E3F8" w:themeColor="accent6" w:themeTint="99"/>
        <w:insideV w:val="single" w:sz="2" w:space="0" w:color="C3E3F8" w:themeColor="accent6" w:themeTint="99"/>
      </w:tblBorders>
    </w:tblPr>
    <w:tblStylePr w:type="firstRow">
      <w:rPr>
        <w:b/>
        <w:bCs/>
      </w:rPr>
      <w:tblPr/>
      <w:tcPr>
        <w:tcBorders>
          <w:top w:val="nil"/>
          <w:bottom w:val="single" w:sz="12" w:space="0" w:color="C3E3F8" w:themeColor="accent6" w:themeTint="99"/>
          <w:insideH w:val="nil"/>
          <w:insideV w:val="nil"/>
        </w:tcBorders>
        <w:shd w:val="clear" w:color="auto" w:fill="FFFFFF" w:themeFill="background1"/>
      </w:tcPr>
    </w:tblStylePr>
    <w:tblStylePr w:type="lastRow">
      <w:rPr>
        <w:b/>
        <w:bCs/>
      </w:rPr>
      <w:tblPr/>
      <w:tcPr>
        <w:tcBorders>
          <w:top w:val="double" w:sz="2" w:space="0" w:color="C3E3F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3">
    <w:name w:val="Grid Table 3"/>
    <w:basedOn w:val="TableNormal"/>
    <w:uiPriority w:val="48"/>
    <w:rsid w:val="00CF26C4"/>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bottom w:val="single" w:sz="4" w:space="0" w:color="777373" w:themeColor="text1" w:themeTint="99"/>
        </w:tcBorders>
      </w:tcPr>
    </w:tblStylePr>
    <w:tblStylePr w:type="nwCell">
      <w:tblPr/>
      <w:tcPr>
        <w:tcBorders>
          <w:bottom w:val="single" w:sz="4" w:space="0" w:color="777373" w:themeColor="text1" w:themeTint="99"/>
        </w:tcBorders>
      </w:tcPr>
    </w:tblStylePr>
    <w:tblStylePr w:type="seCell">
      <w:tblPr/>
      <w:tcPr>
        <w:tcBorders>
          <w:top w:val="single" w:sz="4" w:space="0" w:color="777373" w:themeColor="text1" w:themeTint="99"/>
        </w:tcBorders>
      </w:tcPr>
    </w:tblStylePr>
    <w:tblStylePr w:type="swCell">
      <w:tblPr/>
      <w:tcPr>
        <w:tcBorders>
          <w:top w:val="single" w:sz="4" w:space="0" w:color="777373" w:themeColor="text1" w:themeTint="99"/>
        </w:tcBorders>
      </w:tcPr>
    </w:tblStylePr>
  </w:style>
  <w:style w:type="table" w:styleId="GridTable3-Accent1">
    <w:name w:val="Grid Table 3 Accent 1"/>
    <w:basedOn w:val="TableNormal"/>
    <w:uiPriority w:val="48"/>
    <w:rsid w:val="00CF26C4"/>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bottom w:val="single" w:sz="4" w:space="0" w:color="A4D9D2" w:themeColor="accent1" w:themeTint="99"/>
        </w:tcBorders>
      </w:tcPr>
    </w:tblStylePr>
    <w:tblStylePr w:type="nwCell">
      <w:tblPr/>
      <w:tcPr>
        <w:tcBorders>
          <w:bottom w:val="single" w:sz="4" w:space="0" w:color="A4D9D2" w:themeColor="accent1" w:themeTint="99"/>
        </w:tcBorders>
      </w:tcPr>
    </w:tblStylePr>
    <w:tblStylePr w:type="seCell">
      <w:tblPr/>
      <w:tcPr>
        <w:tcBorders>
          <w:top w:val="single" w:sz="4" w:space="0" w:color="A4D9D2" w:themeColor="accent1" w:themeTint="99"/>
        </w:tcBorders>
      </w:tcPr>
    </w:tblStylePr>
    <w:tblStylePr w:type="swCell">
      <w:tblPr/>
      <w:tcPr>
        <w:tcBorders>
          <w:top w:val="single" w:sz="4" w:space="0" w:color="A4D9D2" w:themeColor="accent1" w:themeTint="99"/>
        </w:tcBorders>
      </w:tcPr>
    </w:tblStylePr>
  </w:style>
  <w:style w:type="table" w:styleId="GridTable3-Accent2">
    <w:name w:val="Grid Table 3 Accent 2"/>
    <w:basedOn w:val="TableNormal"/>
    <w:uiPriority w:val="48"/>
    <w:rsid w:val="00CF26C4"/>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bottom w:val="single" w:sz="4" w:space="0" w:color="A4CCEB" w:themeColor="accent2" w:themeTint="99"/>
        </w:tcBorders>
      </w:tcPr>
    </w:tblStylePr>
    <w:tblStylePr w:type="nwCell">
      <w:tblPr/>
      <w:tcPr>
        <w:tcBorders>
          <w:bottom w:val="single" w:sz="4" w:space="0" w:color="A4CCEB" w:themeColor="accent2" w:themeTint="99"/>
        </w:tcBorders>
      </w:tcPr>
    </w:tblStylePr>
    <w:tblStylePr w:type="seCell">
      <w:tblPr/>
      <w:tcPr>
        <w:tcBorders>
          <w:top w:val="single" w:sz="4" w:space="0" w:color="A4CCEB" w:themeColor="accent2" w:themeTint="99"/>
        </w:tcBorders>
      </w:tcPr>
    </w:tblStylePr>
    <w:tblStylePr w:type="swCell">
      <w:tblPr/>
      <w:tcPr>
        <w:tcBorders>
          <w:top w:val="single" w:sz="4" w:space="0" w:color="A4CCEB" w:themeColor="accent2" w:themeTint="99"/>
        </w:tcBorders>
      </w:tcPr>
    </w:tblStylePr>
  </w:style>
  <w:style w:type="table" w:styleId="GridTable3-Accent3">
    <w:name w:val="Grid Table 3 Accent 3"/>
    <w:basedOn w:val="TableNormal"/>
    <w:uiPriority w:val="48"/>
    <w:rsid w:val="00CF26C4"/>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bottom w:val="single" w:sz="4" w:space="0" w:color="A1A5CF" w:themeColor="accent3" w:themeTint="99"/>
        </w:tcBorders>
      </w:tcPr>
    </w:tblStylePr>
    <w:tblStylePr w:type="nwCell">
      <w:tblPr/>
      <w:tcPr>
        <w:tcBorders>
          <w:bottom w:val="single" w:sz="4" w:space="0" w:color="A1A5CF" w:themeColor="accent3" w:themeTint="99"/>
        </w:tcBorders>
      </w:tcPr>
    </w:tblStylePr>
    <w:tblStylePr w:type="seCell">
      <w:tblPr/>
      <w:tcPr>
        <w:tcBorders>
          <w:top w:val="single" w:sz="4" w:space="0" w:color="A1A5CF" w:themeColor="accent3" w:themeTint="99"/>
        </w:tcBorders>
      </w:tcPr>
    </w:tblStylePr>
    <w:tblStylePr w:type="swCell">
      <w:tblPr/>
      <w:tcPr>
        <w:tcBorders>
          <w:top w:val="single" w:sz="4" w:space="0" w:color="A1A5CF" w:themeColor="accent3" w:themeTint="99"/>
        </w:tcBorders>
      </w:tcPr>
    </w:tblStylePr>
  </w:style>
  <w:style w:type="table" w:styleId="GridTable3-Accent4">
    <w:name w:val="Grid Table 3 Accent 4"/>
    <w:basedOn w:val="TableNormal"/>
    <w:uiPriority w:val="48"/>
    <w:rsid w:val="00CF26C4"/>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bottom w:val="single" w:sz="4" w:space="0" w:color="D0A7CC" w:themeColor="accent4" w:themeTint="99"/>
        </w:tcBorders>
      </w:tcPr>
    </w:tblStylePr>
    <w:tblStylePr w:type="nwCell">
      <w:tblPr/>
      <w:tcPr>
        <w:tcBorders>
          <w:bottom w:val="single" w:sz="4" w:space="0" w:color="D0A7CC" w:themeColor="accent4" w:themeTint="99"/>
        </w:tcBorders>
      </w:tcPr>
    </w:tblStylePr>
    <w:tblStylePr w:type="seCell">
      <w:tblPr/>
      <w:tcPr>
        <w:tcBorders>
          <w:top w:val="single" w:sz="4" w:space="0" w:color="D0A7CC" w:themeColor="accent4" w:themeTint="99"/>
        </w:tcBorders>
      </w:tcPr>
    </w:tblStylePr>
    <w:tblStylePr w:type="swCell">
      <w:tblPr/>
      <w:tcPr>
        <w:tcBorders>
          <w:top w:val="single" w:sz="4" w:space="0" w:color="D0A7CC" w:themeColor="accent4" w:themeTint="99"/>
        </w:tcBorders>
      </w:tcPr>
    </w:tblStylePr>
  </w:style>
  <w:style w:type="table" w:styleId="GridTable3-Accent5">
    <w:name w:val="Grid Table 3 Accent 5"/>
    <w:basedOn w:val="TableNormal"/>
    <w:uiPriority w:val="48"/>
    <w:rsid w:val="00CF26C4"/>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bottom w:val="single" w:sz="4" w:space="0" w:color="F0C7DD" w:themeColor="accent5" w:themeTint="99"/>
        </w:tcBorders>
      </w:tcPr>
    </w:tblStylePr>
    <w:tblStylePr w:type="nwCell">
      <w:tblPr/>
      <w:tcPr>
        <w:tcBorders>
          <w:bottom w:val="single" w:sz="4" w:space="0" w:color="F0C7DD" w:themeColor="accent5" w:themeTint="99"/>
        </w:tcBorders>
      </w:tcPr>
    </w:tblStylePr>
    <w:tblStylePr w:type="seCell">
      <w:tblPr/>
      <w:tcPr>
        <w:tcBorders>
          <w:top w:val="single" w:sz="4" w:space="0" w:color="F0C7DD" w:themeColor="accent5" w:themeTint="99"/>
        </w:tcBorders>
      </w:tcPr>
    </w:tblStylePr>
    <w:tblStylePr w:type="swCell">
      <w:tblPr/>
      <w:tcPr>
        <w:tcBorders>
          <w:top w:val="single" w:sz="4" w:space="0" w:color="F0C7DD" w:themeColor="accent5" w:themeTint="99"/>
        </w:tcBorders>
      </w:tcPr>
    </w:tblStylePr>
  </w:style>
  <w:style w:type="table" w:styleId="GridTable3-Accent6">
    <w:name w:val="Grid Table 3 Accent 6"/>
    <w:basedOn w:val="TableNormal"/>
    <w:uiPriority w:val="48"/>
    <w:rsid w:val="00CF26C4"/>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bottom w:val="single" w:sz="4" w:space="0" w:color="C3E3F8" w:themeColor="accent6" w:themeTint="99"/>
        </w:tcBorders>
      </w:tcPr>
    </w:tblStylePr>
    <w:tblStylePr w:type="nwCell">
      <w:tblPr/>
      <w:tcPr>
        <w:tcBorders>
          <w:bottom w:val="single" w:sz="4" w:space="0" w:color="C3E3F8" w:themeColor="accent6" w:themeTint="99"/>
        </w:tcBorders>
      </w:tcPr>
    </w:tblStylePr>
    <w:tblStylePr w:type="seCell">
      <w:tblPr/>
      <w:tcPr>
        <w:tcBorders>
          <w:top w:val="single" w:sz="4" w:space="0" w:color="C3E3F8" w:themeColor="accent6" w:themeTint="99"/>
        </w:tcBorders>
      </w:tcPr>
    </w:tblStylePr>
    <w:tblStylePr w:type="swCell">
      <w:tblPr/>
      <w:tcPr>
        <w:tcBorders>
          <w:top w:val="single" w:sz="4" w:space="0" w:color="C3E3F8" w:themeColor="accent6" w:themeTint="99"/>
        </w:tcBorders>
      </w:tcPr>
    </w:tblStylePr>
  </w:style>
  <w:style w:type="table" w:styleId="GridTable4">
    <w:name w:val="Grid Table 4"/>
    <w:basedOn w:val="TableNormal"/>
    <w:uiPriority w:val="49"/>
    <w:rsid w:val="00CF26C4"/>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color w:val="FFFFFF" w:themeColor="background1"/>
      </w:rPr>
      <w:tblPr/>
      <w:tcPr>
        <w:tcBorders>
          <w:top w:val="single" w:sz="4" w:space="0" w:color="1A1919" w:themeColor="text1"/>
          <w:left w:val="single" w:sz="4" w:space="0" w:color="1A1919" w:themeColor="text1"/>
          <w:bottom w:val="single" w:sz="4" w:space="0" w:color="1A1919" w:themeColor="text1"/>
          <w:right w:val="single" w:sz="4" w:space="0" w:color="1A1919" w:themeColor="text1"/>
          <w:insideH w:val="nil"/>
          <w:insideV w:val="nil"/>
        </w:tcBorders>
        <w:shd w:val="clear" w:color="auto" w:fill="1A1919" w:themeFill="text1"/>
      </w:tcPr>
    </w:tblStylePr>
    <w:tblStylePr w:type="lastRow">
      <w:rPr>
        <w:b/>
        <w:bCs/>
      </w:rPr>
      <w:tblPr/>
      <w:tcPr>
        <w:tcBorders>
          <w:top w:val="double" w:sz="4" w:space="0" w:color="1A1919" w:themeColor="text1"/>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4-Accent1">
    <w:name w:val="Grid Table 4 Accent 1"/>
    <w:basedOn w:val="TableNormal"/>
    <w:uiPriority w:val="49"/>
    <w:rsid w:val="00CF26C4"/>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color w:val="FFFFFF" w:themeColor="background1"/>
      </w:rPr>
      <w:tblPr/>
      <w:tcPr>
        <w:tcBorders>
          <w:top w:val="single" w:sz="4" w:space="0" w:color="68C0B5" w:themeColor="accent1"/>
          <w:left w:val="single" w:sz="4" w:space="0" w:color="68C0B5" w:themeColor="accent1"/>
          <w:bottom w:val="single" w:sz="4" w:space="0" w:color="68C0B5" w:themeColor="accent1"/>
          <w:right w:val="single" w:sz="4" w:space="0" w:color="68C0B5" w:themeColor="accent1"/>
          <w:insideH w:val="nil"/>
          <w:insideV w:val="nil"/>
        </w:tcBorders>
        <w:shd w:val="clear" w:color="auto" w:fill="68C0B5" w:themeFill="accent1"/>
      </w:tcPr>
    </w:tblStylePr>
    <w:tblStylePr w:type="lastRow">
      <w:rPr>
        <w:b/>
        <w:bCs/>
      </w:rPr>
      <w:tblPr/>
      <w:tcPr>
        <w:tcBorders>
          <w:top w:val="double" w:sz="4" w:space="0" w:color="68C0B5" w:themeColor="accent1"/>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4-Accent2">
    <w:name w:val="Grid Table 4 Accent 2"/>
    <w:basedOn w:val="TableNormal"/>
    <w:uiPriority w:val="49"/>
    <w:rsid w:val="00CF26C4"/>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color w:val="FFFFFF" w:themeColor="background1"/>
      </w:rPr>
      <w:tblPr/>
      <w:tcPr>
        <w:tcBorders>
          <w:top w:val="single" w:sz="4" w:space="0" w:color="69ACDF" w:themeColor="accent2"/>
          <w:left w:val="single" w:sz="4" w:space="0" w:color="69ACDF" w:themeColor="accent2"/>
          <w:bottom w:val="single" w:sz="4" w:space="0" w:color="69ACDF" w:themeColor="accent2"/>
          <w:right w:val="single" w:sz="4" w:space="0" w:color="69ACDF" w:themeColor="accent2"/>
          <w:insideH w:val="nil"/>
          <w:insideV w:val="nil"/>
        </w:tcBorders>
        <w:shd w:val="clear" w:color="auto" w:fill="69ACDF" w:themeFill="accent2"/>
      </w:tcPr>
    </w:tblStylePr>
    <w:tblStylePr w:type="lastRow">
      <w:rPr>
        <w:b/>
        <w:bCs/>
      </w:rPr>
      <w:tblPr/>
      <w:tcPr>
        <w:tcBorders>
          <w:top w:val="double" w:sz="4" w:space="0" w:color="69ACDF" w:themeColor="accent2"/>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4-Accent3">
    <w:name w:val="Grid Table 4 Accent 3"/>
    <w:basedOn w:val="TableNormal"/>
    <w:uiPriority w:val="49"/>
    <w:rsid w:val="00CF26C4"/>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color w:val="FFFFFF" w:themeColor="background1"/>
      </w:rPr>
      <w:tblPr/>
      <w:tcPr>
        <w:tcBorders>
          <w:top w:val="single" w:sz="4" w:space="0" w:color="636AAF" w:themeColor="accent3"/>
          <w:left w:val="single" w:sz="4" w:space="0" w:color="636AAF" w:themeColor="accent3"/>
          <w:bottom w:val="single" w:sz="4" w:space="0" w:color="636AAF" w:themeColor="accent3"/>
          <w:right w:val="single" w:sz="4" w:space="0" w:color="636AAF" w:themeColor="accent3"/>
          <w:insideH w:val="nil"/>
          <w:insideV w:val="nil"/>
        </w:tcBorders>
        <w:shd w:val="clear" w:color="auto" w:fill="636AAF" w:themeFill="accent3"/>
      </w:tcPr>
    </w:tblStylePr>
    <w:tblStylePr w:type="lastRow">
      <w:rPr>
        <w:b/>
        <w:bCs/>
      </w:rPr>
      <w:tblPr/>
      <w:tcPr>
        <w:tcBorders>
          <w:top w:val="double" w:sz="4" w:space="0" w:color="636AAF" w:themeColor="accent3"/>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4-Accent4">
    <w:name w:val="Grid Table 4 Accent 4"/>
    <w:basedOn w:val="TableNormal"/>
    <w:uiPriority w:val="49"/>
    <w:rsid w:val="00CF26C4"/>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color w:val="FFFFFF" w:themeColor="background1"/>
      </w:rPr>
      <w:tblPr/>
      <w:tcPr>
        <w:tcBorders>
          <w:top w:val="single" w:sz="4" w:space="0" w:color="B26DAB" w:themeColor="accent4"/>
          <w:left w:val="single" w:sz="4" w:space="0" w:color="B26DAB" w:themeColor="accent4"/>
          <w:bottom w:val="single" w:sz="4" w:space="0" w:color="B26DAB" w:themeColor="accent4"/>
          <w:right w:val="single" w:sz="4" w:space="0" w:color="B26DAB" w:themeColor="accent4"/>
          <w:insideH w:val="nil"/>
          <w:insideV w:val="nil"/>
        </w:tcBorders>
        <w:shd w:val="clear" w:color="auto" w:fill="B26DAB" w:themeFill="accent4"/>
      </w:tcPr>
    </w:tblStylePr>
    <w:tblStylePr w:type="lastRow">
      <w:rPr>
        <w:b/>
        <w:bCs/>
      </w:rPr>
      <w:tblPr/>
      <w:tcPr>
        <w:tcBorders>
          <w:top w:val="double" w:sz="4" w:space="0" w:color="B26DAB" w:themeColor="accent4"/>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4-Accent5">
    <w:name w:val="Grid Table 4 Accent 5"/>
    <w:basedOn w:val="TableNormal"/>
    <w:uiPriority w:val="49"/>
    <w:rsid w:val="00CF26C4"/>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color w:val="FFFFFF" w:themeColor="background1"/>
      </w:rPr>
      <w:tblPr/>
      <w:tcPr>
        <w:tcBorders>
          <w:top w:val="single" w:sz="4" w:space="0" w:color="E7A2C8" w:themeColor="accent5"/>
          <w:left w:val="single" w:sz="4" w:space="0" w:color="E7A2C8" w:themeColor="accent5"/>
          <w:bottom w:val="single" w:sz="4" w:space="0" w:color="E7A2C8" w:themeColor="accent5"/>
          <w:right w:val="single" w:sz="4" w:space="0" w:color="E7A2C8" w:themeColor="accent5"/>
          <w:insideH w:val="nil"/>
          <w:insideV w:val="nil"/>
        </w:tcBorders>
        <w:shd w:val="clear" w:color="auto" w:fill="E7A2C8" w:themeFill="accent5"/>
      </w:tcPr>
    </w:tblStylePr>
    <w:tblStylePr w:type="lastRow">
      <w:rPr>
        <w:b/>
        <w:bCs/>
      </w:rPr>
      <w:tblPr/>
      <w:tcPr>
        <w:tcBorders>
          <w:top w:val="double" w:sz="4" w:space="0" w:color="E7A2C8" w:themeColor="accent5"/>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4-Accent6">
    <w:name w:val="Grid Table 4 Accent 6"/>
    <w:basedOn w:val="TableNormal"/>
    <w:uiPriority w:val="49"/>
    <w:rsid w:val="00CF26C4"/>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color w:val="FFFFFF" w:themeColor="background1"/>
      </w:rPr>
      <w:tblPr/>
      <w:tcPr>
        <w:tcBorders>
          <w:top w:val="single" w:sz="4" w:space="0" w:color="9CD2F4" w:themeColor="accent6"/>
          <w:left w:val="single" w:sz="4" w:space="0" w:color="9CD2F4" w:themeColor="accent6"/>
          <w:bottom w:val="single" w:sz="4" w:space="0" w:color="9CD2F4" w:themeColor="accent6"/>
          <w:right w:val="single" w:sz="4" w:space="0" w:color="9CD2F4" w:themeColor="accent6"/>
          <w:insideH w:val="nil"/>
          <w:insideV w:val="nil"/>
        </w:tcBorders>
        <w:shd w:val="clear" w:color="auto" w:fill="9CD2F4" w:themeFill="accent6"/>
      </w:tcPr>
    </w:tblStylePr>
    <w:tblStylePr w:type="lastRow">
      <w:rPr>
        <w:b/>
        <w:bCs/>
      </w:rPr>
      <w:tblPr/>
      <w:tcPr>
        <w:tcBorders>
          <w:top w:val="double" w:sz="4" w:space="0" w:color="9CD2F4" w:themeColor="accent6"/>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5Dark">
    <w:name w:val="Grid Table 5 Dark"/>
    <w:basedOn w:val="TableNormal"/>
    <w:uiPriority w:val="50"/>
    <w:rsid w:val="00CF26C4"/>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0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191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191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191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1919" w:themeFill="text1"/>
      </w:tcPr>
    </w:tblStylePr>
    <w:tblStylePr w:type="band1Vert">
      <w:tblPr/>
      <w:tcPr>
        <w:shd w:val="clear" w:color="auto" w:fill="A5A1A1" w:themeFill="text1" w:themeFillTint="66"/>
      </w:tcPr>
    </w:tblStylePr>
    <w:tblStylePr w:type="band1Horz">
      <w:tblPr/>
      <w:tcPr>
        <w:shd w:val="clear" w:color="auto" w:fill="A5A1A1" w:themeFill="text1" w:themeFillTint="66"/>
      </w:tcPr>
    </w:tblStylePr>
  </w:style>
  <w:style w:type="table" w:styleId="GridTable5Dark-Accent1">
    <w:name w:val="Grid Table 5 Dark Accent 1"/>
    <w:basedOn w:val="TableNormal"/>
    <w:uiPriority w:val="50"/>
    <w:rsid w:val="00CF26C4"/>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2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C0B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C0B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C0B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C0B5" w:themeFill="accent1"/>
      </w:tcPr>
    </w:tblStylePr>
    <w:tblStylePr w:type="band1Vert">
      <w:tblPr/>
      <w:tcPr>
        <w:shd w:val="clear" w:color="auto" w:fill="C2E5E1" w:themeFill="accent1" w:themeFillTint="66"/>
      </w:tcPr>
    </w:tblStylePr>
    <w:tblStylePr w:type="band1Horz">
      <w:tblPr/>
      <w:tcPr>
        <w:shd w:val="clear" w:color="auto" w:fill="C2E5E1" w:themeFill="accent1" w:themeFillTint="66"/>
      </w:tcPr>
    </w:tblStylePr>
  </w:style>
  <w:style w:type="table" w:styleId="GridTable5Dark-Accent2">
    <w:name w:val="Grid Table 5 Dark Accent 2"/>
    <w:basedOn w:val="TableNormal"/>
    <w:uiPriority w:val="50"/>
    <w:rsid w:val="00CF26C4"/>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E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AC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AC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AC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ACDF" w:themeFill="accent2"/>
      </w:tcPr>
    </w:tblStylePr>
    <w:tblStylePr w:type="band1Vert">
      <w:tblPr/>
      <w:tcPr>
        <w:shd w:val="clear" w:color="auto" w:fill="C2DDF2" w:themeFill="accent2" w:themeFillTint="66"/>
      </w:tcPr>
    </w:tblStylePr>
    <w:tblStylePr w:type="band1Horz">
      <w:tblPr/>
      <w:tcPr>
        <w:shd w:val="clear" w:color="auto" w:fill="C2DDF2" w:themeFill="accent2" w:themeFillTint="66"/>
      </w:tcPr>
    </w:tblStylePr>
  </w:style>
  <w:style w:type="table" w:styleId="GridTable5Dark-Accent3">
    <w:name w:val="Grid Table 5 Dark Accent 3"/>
    <w:basedOn w:val="TableNormal"/>
    <w:uiPriority w:val="50"/>
    <w:rsid w:val="00CF26C4"/>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6AA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6AA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6AA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6AAF" w:themeFill="accent3"/>
      </w:tcPr>
    </w:tblStylePr>
    <w:tblStylePr w:type="band1Vert">
      <w:tblPr/>
      <w:tcPr>
        <w:shd w:val="clear" w:color="auto" w:fill="C0C3DF" w:themeFill="accent3" w:themeFillTint="66"/>
      </w:tcPr>
    </w:tblStylePr>
    <w:tblStylePr w:type="band1Horz">
      <w:tblPr/>
      <w:tcPr>
        <w:shd w:val="clear" w:color="auto" w:fill="C0C3DF" w:themeFill="accent3" w:themeFillTint="66"/>
      </w:tcPr>
    </w:tblStylePr>
  </w:style>
  <w:style w:type="table" w:styleId="GridTable5Dark-Accent4">
    <w:name w:val="Grid Table 5 Dark Accent 4"/>
    <w:basedOn w:val="TableNormal"/>
    <w:uiPriority w:val="50"/>
    <w:rsid w:val="00CF26C4"/>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1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DA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DA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DA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DAB" w:themeFill="accent4"/>
      </w:tcPr>
    </w:tblStylePr>
    <w:tblStylePr w:type="band1Vert">
      <w:tblPr/>
      <w:tcPr>
        <w:shd w:val="clear" w:color="auto" w:fill="E0C4DD" w:themeFill="accent4" w:themeFillTint="66"/>
      </w:tcPr>
    </w:tblStylePr>
    <w:tblStylePr w:type="band1Horz">
      <w:tblPr/>
      <w:tcPr>
        <w:shd w:val="clear" w:color="auto" w:fill="E0C4DD" w:themeFill="accent4" w:themeFillTint="66"/>
      </w:tcPr>
    </w:tblStylePr>
  </w:style>
  <w:style w:type="table" w:styleId="GridTable5Dark-Accent5">
    <w:name w:val="Grid Table 5 Dark Accent 5"/>
    <w:basedOn w:val="TableNormal"/>
    <w:uiPriority w:val="50"/>
    <w:rsid w:val="00CF26C4"/>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C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A2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A2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A2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A2C8" w:themeFill="accent5"/>
      </w:tcPr>
    </w:tblStylePr>
    <w:tblStylePr w:type="band1Vert">
      <w:tblPr/>
      <w:tcPr>
        <w:shd w:val="clear" w:color="auto" w:fill="F5D9E8" w:themeFill="accent5" w:themeFillTint="66"/>
      </w:tcPr>
    </w:tblStylePr>
    <w:tblStylePr w:type="band1Horz">
      <w:tblPr/>
      <w:tcPr>
        <w:shd w:val="clear" w:color="auto" w:fill="F5D9E8" w:themeFill="accent5" w:themeFillTint="66"/>
      </w:tcPr>
    </w:tblStylePr>
  </w:style>
  <w:style w:type="table" w:styleId="GridTable5Dark-Accent6">
    <w:name w:val="Grid Table 5 Dark Accent 6"/>
    <w:basedOn w:val="TableNormal"/>
    <w:uiPriority w:val="50"/>
    <w:rsid w:val="00CF26C4"/>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5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D2F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D2F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D2F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D2F4" w:themeFill="accent6"/>
      </w:tcPr>
    </w:tblStylePr>
    <w:tblStylePr w:type="band1Vert">
      <w:tblPr/>
      <w:tcPr>
        <w:shd w:val="clear" w:color="auto" w:fill="D7ECFA" w:themeFill="accent6" w:themeFillTint="66"/>
      </w:tcPr>
    </w:tblStylePr>
    <w:tblStylePr w:type="band1Horz">
      <w:tblPr/>
      <w:tcPr>
        <w:shd w:val="clear" w:color="auto" w:fill="D7ECFA" w:themeFill="accent6" w:themeFillTint="66"/>
      </w:tcPr>
    </w:tblStylePr>
  </w:style>
  <w:style w:type="table" w:styleId="GridTable6Colorful">
    <w:name w:val="Grid Table 6 Colorful"/>
    <w:basedOn w:val="TableNormal"/>
    <w:uiPriority w:val="51"/>
    <w:rsid w:val="00CF26C4"/>
    <w:pPr>
      <w:spacing w:after="0"/>
    </w:pPr>
    <w:rPr>
      <w:rFonts w:eastAsiaTheme="minorHAnsi" w:cs="Arial"/>
      <w:color w:val="1A1919" w:themeColor="text1"/>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bottom w:val="single" w:sz="12" w:space="0" w:color="777373" w:themeColor="text1" w:themeTint="99"/>
        </w:tcBorders>
      </w:tcPr>
    </w:tblStylePr>
    <w:tblStylePr w:type="lastRow">
      <w:rPr>
        <w:b/>
        <w:bCs/>
      </w:rPr>
      <w:tblPr/>
      <w:tcPr>
        <w:tcBorders>
          <w:top w:val="doub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6Colorful-Accent1">
    <w:name w:val="Grid Table 6 Colorful Accent 1"/>
    <w:basedOn w:val="TableNormal"/>
    <w:uiPriority w:val="51"/>
    <w:rsid w:val="00CF26C4"/>
    <w:pPr>
      <w:spacing w:after="0"/>
    </w:pPr>
    <w:rPr>
      <w:rFonts w:eastAsiaTheme="minorHAnsi" w:cs="Arial"/>
      <w:color w:val="419C90" w:themeColor="accent1" w:themeShade="BF"/>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bottom w:val="single" w:sz="12" w:space="0" w:color="A4D9D2" w:themeColor="accent1" w:themeTint="99"/>
        </w:tcBorders>
      </w:tcPr>
    </w:tblStylePr>
    <w:tblStylePr w:type="lastRow">
      <w:rPr>
        <w:b/>
        <w:bCs/>
      </w:rPr>
      <w:tblPr/>
      <w:tcPr>
        <w:tcBorders>
          <w:top w:val="doub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6Colorful-Accent2">
    <w:name w:val="Grid Table 6 Colorful Accent 2"/>
    <w:basedOn w:val="TableNormal"/>
    <w:uiPriority w:val="51"/>
    <w:rsid w:val="00CF26C4"/>
    <w:pPr>
      <w:spacing w:after="0"/>
    </w:pPr>
    <w:rPr>
      <w:rFonts w:eastAsiaTheme="minorHAnsi" w:cs="Arial"/>
      <w:color w:val="2B85CA" w:themeColor="accent2" w:themeShade="BF"/>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bottom w:val="single" w:sz="12" w:space="0" w:color="A4CCEB" w:themeColor="accent2" w:themeTint="99"/>
        </w:tcBorders>
      </w:tcPr>
    </w:tblStylePr>
    <w:tblStylePr w:type="lastRow">
      <w:rPr>
        <w:b/>
        <w:bCs/>
      </w:rPr>
      <w:tblPr/>
      <w:tcPr>
        <w:tcBorders>
          <w:top w:val="doub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6Colorful-Accent3">
    <w:name w:val="Grid Table 6 Colorful Accent 3"/>
    <w:basedOn w:val="TableNormal"/>
    <w:uiPriority w:val="51"/>
    <w:rsid w:val="00CF26C4"/>
    <w:pPr>
      <w:spacing w:after="0"/>
    </w:pPr>
    <w:rPr>
      <w:rFonts w:eastAsiaTheme="minorHAnsi" w:cs="Arial"/>
      <w:color w:val="454B87" w:themeColor="accent3" w:themeShade="BF"/>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bottom w:val="single" w:sz="12" w:space="0" w:color="A1A5CF" w:themeColor="accent3" w:themeTint="99"/>
        </w:tcBorders>
      </w:tcPr>
    </w:tblStylePr>
    <w:tblStylePr w:type="lastRow">
      <w:rPr>
        <w:b/>
        <w:bCs/>
      </w:rPr>
      <w:tblPr/>
      <w:tcPr>
        <w:tcBorders>
          <w:top w:val="doub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6Colorful-Accent4">
    <w:name w:val="Grid Table 6 Colorful Accent 4"/>
    <w:basedOn w:val="TableNormal"/>
    <w:uiPriority w:val="51"/>
    <w:rsid w:val="00CF26C4"/>
    <w:pPr>
      <w:spacing w:after="0"/>
    </w:pPr>
    <w:rPr>
      <w:rFonts w:eastAsiaTheme="minorHAnsi" w:cs="Arial"/>
      <w:color w:val="8C4A85" w:themeColor="accent4" w:themeShade="BF"/>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bottom w:val="single" w:sz="12" w:space="0" w:color="D0A7CC" w:themeColor="accent4" w:themeTint="99"/>
        </w:tcBorders>
      </w:tcPr>
    </w:tblStylePr>
    <w:tblStylePr w:type="lastRow">
      <w:rPr>
        <w:b/>
        <w:bCs/>
      </w:rPr>
      <w:tblPr/>
      <w:tcPr>
        <w:tcBorders>
          <w:top w:val="doub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6Colorful-Accent5">
    <w:name w:val="Grid Table 6 Colorful Accent 5"/>
    <w:basedOn w:val="TableNormal"/>
    <w:uiPriority w:val="51"/>
    <w:rsid w:val="00CF26C4"/>
    <w:pPr>
      <w:spacing w:after="0"/>
    </w:pPr>
    <w:rPr>
      <w:rFonts w:eastAsiaTheme="minorHAnsi" w:cs="Arial"/>
      <w:color w:val="D25399" w:themeColor="accent5" w:themeShade="BF"/>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bottom w:val="single" w:sz="12" w:space="0" w:color="F0C7DD" w:themeColor="accent5" w:themeTint="99"/>
        </w:tcBorders>
      </w:tcPr>
    </w:tblStylePr>
    <w:tblStylePr w:type="lastRow">
      <w:rPr>
        <w:b/>
        <w:bCs/>
      </w:rPr>
      <w:tblPr/>
      <w:tcPr>
        <w:tcBorders>
          <w:top w:val="doub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6Colorful-Accent6">
    <w:name w:val="Grid Table 6 Colorful Accent 6"/>
    <w:basedOn w:val="TableNormal"/>
    <w:uiPriority w:val="51"/>
    <w:rsid w:val="00CF26C4"/>
    <w:pPr>
      <w:spacing w:after="0"/>
    </w:pPr>
    <w:rPr>
      <w:rFonts w:eastAsiaTheme="minorHAnsi" w:cs="Arial"/>
      <w:color w:val="41A8EA" w:themeColor="accent6" w:themeShade="BF"/>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bottom w:val="single" w:sz="12" w:space="0" w:color="C3E3F8" w:themeColor="accent6" w:themeTint="99"/>
        </w:tcBorders>
      </w:tcPr>
    </w:tblStylePr>
    <w:tblStylePr w:type="lastRow">
      <w:rPr>
        <w:b/>
        <w:bCs/>
      </w:rPr>
      <w:tblPr/>
      <w:tcPr>
        <w:tcBorders>
          <w:top w:val="doub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7Colorful">
    <w:name w:val="Grid Table 7 Colorful"/>
    <w:basedOn w:val="TableNormal"/>
    <w:uiPriority w:val="52"/>
    <w:rsid w:val="00CF26C4"/>
    <w:pPr>
      <w:spacing w:after="0"/>
    </w:pPr>
    <w:rPr>
      <w:rFonts w:eastAsiaTheme="minorHAnsi" w:cs="Arial"/>
      <w:color w:val="1A1919" w:themeColor="text1"/>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bottom w:val="single" w:sz="4" w:space="0" w:color="777373" w:themeColor="text1" w:themeTint="99"/>
        </w:tcBorders>
      </w:tcPr>
    </w:tblStylePr>
    <w:tblStylePr w:type="nwCell">
      <w:tblPr/>
      <w:tcPr>
        <w:tcBorders>
          <w:bottom w:val="single" w:sz="4" w:space="0" w:color="777373" w:themeColor="text1" w:themeTint="99"/>
        </w:tcBorders>
      </w:tcPr>
    </w:tblStylePr>
    <w:tblStylePr w:type="seCell">
      <w:tblPr/>
      <w:tcPr>
        <w:tcBorders>
          <w:top w:val="single" w:sz="4" w:space="0" w:color="777373" w:themeColor="text1" w:themeTint="99"/>
        </w:tcBorders>
      </w:tcPr>
    </w:tblStylePr>
    <w:tblStylePr w:type="swCell">
      <w:tblPr/>
      <w:tcPr>
        <w:tcBorders>
          <w:top w:val="single" w:sz="4" w:space="0" w:color="777373" w:themeColor="text1" w:themeTint="99"/>
        </w:tcBorders>
      </w:tcPr>
    </w:tblStylePr>
  </w:style>
  <w:style w:type="table" w:styleId="GridTable7Colorful-Accent1">
    <w:name w:val="Grid Table 7 Colorful Accent 1"/>
    <w:basedOn w:val="TableNormal"/>
    <w:uiPriority w:val="52"/>
    <w:rsid w:val="00CF26C4"/>
    <w:pPr>
      <w:spacing w:after="0"/>
    </w:pPr>
    <w:rPr>
      <w:rFonts w:eastAsiaTheme="minorHAnsi" w:cs="Arial"/>
      <w:color w:val="419C90" w:themeColor="accent1" w:themeShade="BF"/>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bottom w:val="single" w:sz="4" w:space="0" w:color="A4D9D2" w:themeColor="accent1" w:themeTint="99"/>
        </w:tcBorders>
      </w:tcPr>
    </w:tblStylePr>
    <w:tblStylePr w:type="nwCell">
      <w:tblPr/>
      <w:tcPr>
        <w:tcBorders>
          <w:bottom w:val="single" w:sz="4" w:space="0" w:color="A4D9D2" w:themeColor="accent1" w:themeTint="99"/>
        </w:tcBorders>
      </w:tcPr>
    </w:tblStylePr>
    <w:tblStylePr w:type="seCell">
      <w:tblPr/>
      <w:tcPr>
        <w:tcBorders>
          <w:top w:val="single" w:sz="4" w:space="0" w:color="A4D9D2" w:themeColor="accent1" w:themeTint="99"/>
        </w:tcBorders>
      </w:tcPr>
    </w:tblStylePr>
    <w:tblStylePr w:type="swCell">
      <w:tblPr/>
      <w:tcPr>
        <w:tcBorders>
          <w:top w:val="single" w:sz="4" w:space="0" w:color="A4D9D2" w:themeColor="accent1" w:themeTint="99"/>
        </w:tcBorders>
      </w:tcPr>
    </w:tblStylePr>
  </w:style>
  <w:style w:type="table" w:styleId="GridTable7Colorful-Accent2">
    <w:name w:val="Grid Table 7 Colorful Accent 2"/>
    <w:basedOn w:val="TableNormal"/>
    <w:uiPriority w:val="52"/>
    <w:rsid w:val="00CF26C4"/>
    <w:pPr>
      <w:spacing w:after="0"/>
    </w:pPr>
    <w:rPr>
      <w:rFonts w:eastAsiaTheme="minorHAnsi" w:cs="Arial"/>
      <w:color w:val="2B85CA" w:themeColor="accent2" w:themeShade="BF"/>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bottom w:val="single" w:sz="4" w:space="0" w:color="A4CCEB" w:themeColor="accent2" w:themeTint="99"/>
        </w:tcBorders>
      </w:tcPr>
    </w:tblStylePr>
    <w:tblStylePr w:type="nwCell">
      <w:tblPr/>
      <w:tcPr>
        <w:tcBorders>
          <w:bottom w:val="single" w:sz="4" w:space="0" w:color="A4CCEB" w:themeColor="accent2" w:themeTint="99"/>
        </w:tcBorders>
      </w:tcPr>
    </w:tblStylePr>
    <w:tblStylePr w:type="seCell">
      <w:tblPr/>
      <w:tcPr>
        <w:tcBorders>
          <w:top w:val="single" w:sz="4" w:space="0" w:color="A4CCEB" w:themeColor="accent2" w:themeTint="99"/>
        </w:tcBorders>
      </w:tcPr>
    </w:tblStylePr>
    <w:tblStylePr w:type="swCell">
      <w:tblPr/>
      <w:tcPr>
        <w:tcBorders>
          <w:top w:val="single" w:sz="4" w:space="0" w:color="A4CCEB" w:themeColor="accent2" w:themeTint="99"/>
        </w:tcBorders>
      </w:tcPr>
    </w:tblStylePr>
  </w:style>
  <w:style w:type="table" w:styleId="GridTable7Colorful-Accent3">
    <w:name w:val="Grid Table 7 Colorful Accent 3"/>
    <w:basedOn w:val="TableNormal"/>
    <w:uiPriority w:val="52"/>
    <w:rsid w:val="00CF26C4"/>
    <w:pPr>
      <w:spacing w:after="0"/>
    </w:pPr>
    <w:rPr>
      <w:rFonts w:eastAsiaTheme="minorHAnsi" w:cs="Arial"/>
      <w:color w:val="454B87" w:themeColor="accent3" w:themeShade="BF"/>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bottom w:val="single" w:sz="4" w:space="0" w:color="A1A5CF" w:themeColor="accent3" w:themeTint="99"/>
        </w:tcBorders>
      </w:tcPr>
    </w:tblStylePr>
    <w:tblStylePr w:type="nwCell">
      <w:tblPr/>
      <w:tcPr>
        <w:tcBorders>
          <w:bottom w:val="single" w:sz="4" w:space="0" w:color="A1A5CF" w:themeColor="accent3" w:themeTint="99"/>
        </w:tcBorders>
      </w:tcPr>
    </w:tblStylePr>
    <w:tblStylePr w:type="seCell">
      <w:tblPr/>
      <w:tcPr>
        <w:tcBorders>
          <w:top w:val="single" w:sz="4" w:space="0" w:color="A1A5CF" w:themeColor="accent3" w:themeTint="99"/>
        </w:tcBorders>
      </w:tcPr>
    </w:tblStylePr>
    <w:tblStylePr w:type="swCell">
      <w:tblPr/>
      <w:tcPr>
        <w:tcBorders>
          <w:top w:val="single" w:sz="4" w:space="0" w:color="A1A5CF" w:themeColor="accent3" w:themeTint="99"/>
        </w:tcBorders>
      </w:tcPr>
    </w:tblStylePr>
  </w:style>
  <w:style w:type="table" w:styleId="GridTable7Colorful-Accent4">
    <w:name w:val="Grid Table 7 Colorful Accent 4"/>
    <w:basedOn w:val="TableNormal"/>
    <w:uiPriority w:val="52"/>
    <w:rsid w:val="00CF26C4"/>
    <w:pPr>
      <w:spacing w:after="0"/>
    </w:pPr>
    <w:rPr>
      <w:rFonts w:eastAsiaTheme="minorHAnsi" w:cs="Arial"/>
      <w:color w:val="8C4A85" w:themeColor="accent4" w:themeShade="BF"/>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bottom w:val="single" w:sz="4" w:space="0" w:color="D0A7CC" w:themeColor="accent4" w:themeTint="99"/>
        </w:tcBorders>
      </w:tcPr>
    </w:tblStylePr>
    <w:tblStylePr w:type="nwCell">
      <w:tblPr/>
      <w:tcPr>
        <w:tcBorders>
          <w:bottom w:val="single" w:sz="4" w:space="0" w:color="D0A7CC" w:themeColor="accent4" w:themeTint="99"/>
        </w:tcBorders>
      </w:tcPr>
    </w:tblStylePr>
    <w:tblStylePr w:type="seCell">
      <w:tblPr/>
      <w:tcPr>
        <w:tcBorders>
          <w:top w:val="single" w:sz="4" w:space="0" w:color="D0A7CC" w:themeColor="accent4" w:themeTint="99"/>
        </w:tcBorders>
      </w:tcPr>
    </w:tblStylePr>
    <w:tblStylePr w:type="swCell">
      <w:tblPr/>
      <w:tcPr>
        <w:tcBorders>
          <w:top w:val="single" w:sz="4" w:space="0" w:color="D0A7CC" w:themeColor="accent4" w:themeTint="99"/>
        </w:tcBorders>
      </w:tcPr>
    </w:tblStylePr>
  </w:style>
  <w:style w:type="table" w:styleId="GridTable7Colorful-Accent5">
    <w:name w:val="Grid Table 7 Colorful Accent 5"/>
    <w:basedOn w:val="TableNormal"/>
    <w:uiPriority w:val="52"/>
    <w:rsid w:val="00CF26C4"/>
    <w:pPr>
      <w:spacing w:after="0"/>
    </w:pPr>
    <w:rPr>
      <w:rFonts w:eastAsiaTheme="minorHAnsi" w:cs="Arial"/>
      <w:color w:val="D25399" w:themeColor="accent5" w:themeShade="BF"/>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bottom w:val="single" w:sz="4" w:space="0" w:color="F0C7DD" w:themeColor="accent5" w:themeTint="99"/>
        </w:tcBorders>
      </w:tcPr>
    </w:tblStylePr>
    <w:tblStylePr w:type="nwCell">
      <w:tblPr/>
      <w:tcPr>
        <w:tcBorders>
          <w:bottom w:val="single" w:sz="4" w:space="0" w:color="F0C7DD" w:themeColor="accent5" w:themeTint="99"/>
        </w:tcBorders>
      </w:tcPr>
    </w:tblStylePr>
    <w:tblStylePr w:type="seCell">
      <w:tblPr/>
      <w:tcPr>
        <w:tcBorders>
          <w:top w:val="single" w:sz="4" w:space="0" w:color="F0C7DD" w:themeColor="accent5" w:themeTint="99"/>
        </w:tcBorders>
      </w:tcPr>
    </w:tblStylePr>
    <w:tblStylePr w:type="swCell">
      <w:tblPr/>
      <w:tcPr>
        <w:tcBorders>
          <w:top w:val="single" w:sz="4" w:space="0" w:color="F0C7DD" w:themeColor="accent5" w:themeTint="99"/>
        </w:tcBorders>
      </w:tcPr>
    </w:tblStylePr>
  </w:style>
  <w:style w:type="table" w:styleId="GridTable7Colorful-Accent6">
    <w:name w:val="Grid Table 7 Colorful Accent 6"/>
    <w:basedOn w:val="TableNormal"/>
    <w:uiPriority w:val="52"/>
    <w:rsid w:val="00CF26C4"/>
    <w:pPr>
      <w:spacing w:after="0"/>
    </w:pPr>
    <w:rPr>
      <w:rFonts w:eastAsiaTheme="minorHAnsi" w:cs="Arial"/>
      <w:color w:val="41A8EA" w:themeColor="accent6" w:themeShade="BF"/>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bottom w:val="single" w:sz="4" w:space="0" w:color="C3E3F8" w:themeColor="accent6" w:themeTint="99"/>
        </w:tcBorders>
      </w:tcPr>
    </w:tblStylePr>
    <w:tblStylePr w:type="nwCell">
      <w:tblPr/>
      <w:tcPr>
        <w:tcBorders>
          <w:bottom w:val="single" w:sz="4" w:space="0" w:color="C3E3F8" w:themeColor="accent6" w:themeTint="99"/>
        </w:tcBorders>
      </w:tcPr>
    </w:tblStylePr>
    <w:tblStylePr w:type="seCell">
      <w:tblPr/>
      <w:tcPr>
        <w:tcBorders>
          <w:top w:val="single" w:sz="4" w:space="0" w:color="C3E3F8" w:themeColor="accent6" w:themeTint="99"/>
        </w:tcBorders>
      </w:tcPr>
    </w:tblStylePr>
    <w:tblStylePr w:type="swCell">
      <w:tblPr/>
      <w:tcPr>
        <w:tcBorders>
          <w:top w:val="single" w:sz="4" w:space="0" w:color="C3E3F8" w:themeColor="accent6" w:themeTint="99"/>
        </w:tcBorders>
      </w:tcPr>
    </w:tblStylePr>
  </w:style>
  <w:style w:type="character" w:styleId="Hashtag">
    <w:name w:val="Hashtag"/>
    <w:basedOn w:val="DefaultParagraphFont"/>
    <w:uiPriority w:val="99"/>
    <w:semiHidden/>
    <w:rsid w:val="00CF26C4"/>
    <w:rPr>
      <w:color w:val="2B579A"/>
      <w:shd w:val="clear" w:color="auto" w:fill="E1DFDD"/>
    </w:rPr>
  </w:style>
  <w:style w:type="paragraph" w:styleId="Header">
    <w:name w:val="header"/>
    <w:basedOn w:val="Normal"/>
    <w:link w:val="HeaderChar"/>
    <w:uiPriority w:val="11"/>
    <w:semiHidden/>
    <w:rsid w:val="00CF26C4"/>
    <w:pPr>
      <w:tabs>
        <w:tab w:val="center" w:pos="4513"/>
        <w:tab w:val="right" w:pos="9026"/>
      </w:tabs>
      <w:spacing w:after="0"/>
    </w:pPr>
    <w:rPr>
      <w:rFonts w:eastAsia="Times New Roman" w:cs="Courier New"/>
    </w:rPr>
  </w:style>
  <w:style w:type="character" w:customStyle="1" w:styleId="HeaderChar">
    <w:name w:val="Header Char"/>
    <w:basedOn w:val="DefaultParagraphFont"/>
    <w:link w:val="Header"/>
    <w:uiPriority w:val="11"/>
    <w:semiHidden/>
    <w:rsid w:val="00CF26C4"/>
    <w:rPr>
      <w:rFonts w:eastAsia="Times New Roman" w:cs="Courier New"/>
      <w:lang w:val="en-GB"/>
    </w:rPr>
  </w:style>
  <w:style w:type="character" w:styleId="HTMLAcronym">
    <w:name w:val="HTML Acronym"/>
    <w:basedOn w:val="DefaultParagraphFont"/>
    <w:uiPriority w:val="99"/>
    <w:semiHidden/>
    <w:rsid w:val="00CF26C4"/>
  </w:style>
  <w:style w:type="paragraph" w:styleId="HTMLAddress">
    <w:name w:val="HTML Address"/>
    <w:basedOn w:val="Normal"/>
    <w:link w:val="HTMLAddressChar"/>
    <w:uiPriority w:val="99"/>
    <w:semiHidden/>
    <w:rsid w:val="00CF26C4"/>
    <w:rPr>
      <w:i/>
      <w:iCs/>
    </w:rPr>
  </w:style>
  <w:style w:type="character" w:customStyle="1" w:styleId="HTMLAddressChar">
    <w:name w:val="HTML Address Char"/>
    <w:basedOn w:val="DefaultParagraphFont"/>
    <w:link w:val="HTMLAddress"/>
    <w:uiPriority w:val="99"/>
    <w:semiHidden/>
    <w:rsid w:val="00CF26C4"/>
    <w:rPr>
      <w:i/>
      <w:iCs/>
      <w:lang w:val="en-GB"/>
    </w:rPr>
  </w:style>
  <w:style w:type="character" w:styleId="HTMLCite">
    <w:name w:val="HTML Cite"/>
    <w:basedOn w:val="DefaultParagraphFont"/>
    <w:uiPriority w:val="99"/>
    <w:semiHidden/>
    <w:rsid w:val="00CF26C4"/>
    <w:rPr>
      <w:i/>
      <w:iCs/>
    </w:rPr>
  </w:style>
  <w:style w:type="character" w:styleId="HTMLCode">
    <w:name w:val="HTML Code"/>
    <w:basedOn w:val="DefaultParagraphFont"/>
    <w:uiPriority w:val="99"/>
    <w:semiHidden/>
    <w:rsid w:val="00CF26C4"/>
    <w:rPr>
      <w:rFonts w:ascii="Arial" w:hAnsi="Arial" w:cs="Arial"/>
      <w:sz w:val="20"/>
      <w:szCs w:val="20"/>
    </w:rPr>
  </w:style>
  <w:style w:type="character" w:styleId="HTMLDefinition">
    <w:name w:val="HTML Definition"/>
    <w:basedOn w:val="DefaultParagraphFont"/>
    <w:uiPriority w:val="99"/>
    <w:semiHidden/>
    <w:rsid w:val="00CF26C4"/>
    <w:rPr>
      <w:i/>
      <w:iCs/>
    </w:rPr>
  </w:style>
  <w:style w:type="character" w:styleId="HTMLKeyboard">
    <w:name w:val="HTML Keyboard"/>
    <w:basedOn w:val="DefaultParagraphFont"/>
    <w:uiPriority w:val="99"/>
    <w:semiHidden/>
    <w:rsid w:val="00CF26C4"/>
    <w:rPr>
      <w:rFonts w:ascii="Arial" w:hAnsi="Arial" w:cs="Arial"/>
      <w:sz w:val="20"/>
      <w:szCs w:val="20"/>
    </w:rPr>
  </w:style>
  <w:style w:type="paragraph" w:styleId="HTMLPreformatted">
    <w:name w:val="HTML Preformatted"/>
    <w:basedOn w:val="Normal"/>
    <w:link w:val="HTMLPreformattedChar"/>
    <w:uiPriority w:val="99"/>
    <w:semiHidden/>
    <w:rsid w:val="00CF26C4"/>
    <w:rPr>
      <w:rFonts w:cs="Arial"/>
    </w:rPr>
  </w:style>
  <w:style w:type="character" w:customStyle="1" w:styleId="HTMLPreformattedChar">
    <w:name w:val="HTML Preformatted Char"/>
    <w:basedOn w:val="DefaultParagraphFont"/>
    <w:link w:val="HTMLPreformatted"/>
    <w:uiPriority w:val="99"/>
    <w:semiHidden/>
    <w:rsid w:val="00CF26C4"/>
    <w:rPr>
      <w:rFonts w:cs="Arial"/>
      <w:lang w:val="en-GB"/>
    </w:rPr>
  </w:style>
  <w:style w:type="character" w:styleId="HTMLSample">
    <w:name w:val="HTML Sample"/>
    <w:basedOn w:val="DefaultParagraphFont"/>
    <w:uiPriority w:val="99"/>
    <w:semiHidden/>
    <w:rsid w:val="00CF26C4"/>
    <w:rPr>
      <w:rFonts w:ascii="Arial" w:hAnsi="Arial" w:cs="Arial"/>
      <w:sz w:val="24"/>
      <w:szCs w:val="24"/>
    </w:rPr>
  </w:style>
  <w:style w:type="character" w:styleId="HTMLTypewriter">
    <w:name w:val="HTML Typewriter"/>
    <w:basedOn w:val="DefaultParagraphFont"/>
    <w:uiPriority w:val="99"/>
    <w:semiHidden/>
    <w:rsid w:val="00CF26C4"/>
    <w:rPr>
      <w:rFonts w:ascii="Arial" w:hAnsi="Arial" w:cs="Arial"/>
      <w:sz w:val="20"/>
      <w:szCs w:val="20"/>
    </w:rPr>
  </w:style>
  <w:style w:type="character" w:styleId="HTMLVariable">
    <w:name w:val="HTML Variable"/>
    <w:basedOn w:val="DefaultParagraphFont"/>
    <w:uiPriority w:val="99"/>
    <w:semiHidden/>
    <w:rsid w:val="00CF26C4"/>
    <w:rPr>
      <w:i/>
      <w:iCs/>
    </w:rPr>
  </w:style>
  <w:style w:type="character" w:styleId="Hyperlink">
    <w:name w:val="Hyperlink"/>
    <w:basedOn w:val="DefaultParagraphFont"/>
    <w:uiPriority w:val="99"/>
    <w:rsid w:val="00CF26C4"/>
    <w:rPr>
      <w:color w:val="69ACDF" w:themeColor="hyperlink"/>
      <w:u w:val="single"/>
    </w:rPr>
  </w:style>
  <w:style w:type="paragraph" w:styleId="Index1">
    <w:name w:val="index 1"/>
    <w:basedOn w:val="Normal"/>
    <w:next w:val="Normal"/>
    <w:autoRedefine/>
    <w:uiPriority w:val="99"/>
    <w:semiHidden/>
    <w:rsid w:val="00CF26C4"/>
    <w:pPr>
      <w:ind w:left="180" w:hanging="180"/>
    </w:pPr>
  </w:style>
  <w:style w:type="paragraph" w:styleId="Index2">
    <w:name w:val="index 2"/>
    <w:basedOn w:val="Normal"/>
    <w:next w:val="Normal"/>
    <w:autoRedefine/>
    <w:uiPriority w:val="99"/>
    <w:semiHidden/>
    <w:rsid w:val="00CF26C4"/>
    <w:pPr>
      <w:ind w:left="360" w:hanging="180"/>
    </w:pPr>
  </w:style>
  <w:style w:type="paragraph" w:styleId="Index3">
    <w:name w:val="index 3"/>
    <w:basedOn w:val="Normal"/>
    <w:next w:val="Normal"/>
    <w:autoRedefine/>
    <w:uiPriority w:val="99"/>
    <w:semiHidden/>
    <w:rsid w:val="00CF26C4"/>
    <w:pPr>
      <w:ind w:left="540" w:hanging="180"/>
    </w:pPr>
  </w:style>
  <w:style w:type="paragraph" w:styleId="Index4">
    <w:name w:val="index 4"/>
    <w:basedOn w:val="Normal"/>
    <w:next w:val="Normal"/>
    <w:autoRedefine/>
    <w:uiPriority w:val="99"/>
    <w:semiHidden/>
    <w:rsid w:val="00CF26C4"/>
    <w:pPr>
      <w:ind w:left="720" w:hanging="180"/>
    </w:pPr>
  </w:style>
  <w:style w:type="paragraph" w:styleId="Index5">
    <w:name w:val="index 5"/>
    <w:basedOn w:val="Normal"/>
    <w:next w:val="Normal"/>
    <w:autoRedefine/>
    <w:uiPriority w:val="99"/>
    <w:semiHidden/>
    <w:rsid w:val="00CF26C4"/>
    <w:pPr>
      <w:ind w:left="900" w:hanging="180"/>
    </w:pPr>
  </w:style>
  <w:style w:type="paragraph" w:styleId="Index6">
    <w:name w:val="index 6"/>
    <w:basedOn w:val="Normal"/>
    <w:next w:val="Normal"/>
    <w:autoRedefine/>
    <w:uiPriority w:val="99"/>
    <w:semiHidden/>
    <w:rsid w:val="00CF26C4"/>
    <w:pPr>
      <w:ind w:left="1080" w:hanging="180"/>
    </w:pPr>
  </w:style>
  <w:style w:type="paragraph" w:styleId="Index7">
    <w:name w:val="index 7"/>
    <w:basedOn w:val="Normal"/>
    <w:next w:val="Normal"/>
    <w:autoRedefine/>
    <w:uiPriority w:val="99"/>
    <w:semiHidden/>
    <w:rsid w:val="00CF26C4"/>
    <w:pPr>
      <w:ind w:left="1260" w:hanging="180"/>
    </w:pPr>
  </w:style>
  <w:style w:type="paragraph" w:styleId="Index8">
    <w:name w:val="index 8"/>
    <w:basedOn w:val="Normal"/>
    <w:next w:val="Normal"/>
    <w:autoRedefine/>
    <w:uiPriority w:val="99"/>
    <w:semiHidden/>
    <w:rsid w:val="00CF26C4"/>
    <w:pPr>
      <w:ind w:left="1440" w:hanging="180"/>
    </w:pPr>
  </w:style>
  <w:style w:type="paragraph" w:styleId="Index9">
    <w:name w:val="index 9"/>
    <w:basedOn w:val="Normal"/>
    <w:next w:val="Normal"/>
    <w:autoRedefine/>
    <w:uiPriority w:val="99"/>
    <w:semiHidden/>
    <w:rsid w:val="00CF26C4"/>
    <w:pPr>
      <w:ind w:left="1620" w:hanging="180"/>
    </w:pPr>
  </w:style>
  <w:style w:type="paragraph" w:styleId="IndexHeading">
    <w:name w:val="index heading"/>
    <w:basedOn w:val="Normal"/>
    <w:next w:val="Index1"/>
    <w:uiPriority w:val="99"/>
    <w:semiHidden/>
    <w:rsid w:val="00CF26C4"/>
    <w:rPr>
      <w:rFonts w:asciiTheme="majorHAnsi" w:eastAsiaTheme="majorEastAsia" w:hAnsiTheme="majorHAnsi" w:cstheme="majorBidi"/>
      <w:b/>
      <w:bCs/>
    </w:rPr>
  </w:style>
  <w:style w:type="character" w:styleId="IntenseEmphasis">
    <w:name w:val="Intense Emphasis"/>
    <w:basedOn w:val="DefaultParagraphFont"/>
    <w:uiPriority w:val="99"/>
    <w:semiHidden/>
    <w:rsid w:val="00CF26C4"/>
    <w:rPr>
      <w:b/>
      <w:bCs/>
      <w:i/>
      <w:iCs/>
      <w:color w:val="auto"/>
    </w:rPr>
  </w:style>
  <w:style w:type="paragraph" w:styleId="IntenseQuote">
    <w:name w:val="Intense Quote"/>
    <w:basedOn w:val="Normal"/>
    <w:next w:val="Normal"/>
    <w:link w:val="IntenseQuoteChar"/>
    <w:uiPriority w:val="99"/>
    <w:semiHidden/>
    <w:rsid w:val="00CF26C4"/>
    <w:pPr>
      <w:spacing w:before="260" w:after="260"/>
      <w:ind w:left="851" w:right="851"/>
    </w:pPr>
    <w:rPr>
      <w:b/>
      <w:bCs/>
      <w:i/>
      <w:iCs/>
    </w:rPr>
  </w:style>
  <w:style w:type="character" w:customStyle="1" w:styleId="IntenseQuoteChar">
    <w:name w:val="Intense Quote Char"/>
    <w:basedOn w:val="DefaultParagraphFont"/>
    <w:link w:val="IntenseQuote"/>
    <w:uiPriority w:val="99"/>
    <w:rsid w:val="00CF26C4"/>
    <w:rPr>
      <w:b/>
      <w:bCs/>
      <w:i/>
      <w:iCs/>
      <w:lang w:val="en-GB"/>
    </w:rPr>
  </w:style>
  <w:style w:type="character" w:styleId="IntenseReference">
    <w:name w:val="Intense Reference"/>
    <w:basedOn w:val="DefaultParagraphFont"/>
    <w:uiPriority w:val="99"/>
    <w:semiHidden/>
    <w:qFormat/>
    <w:rsid w:val="00CF26C4"/>
    <w:rPr>
      <w:b/>
      <w:bCs/>
      <w:caps w:val="0"/>
      <w:smallCaps w:val="0"/>
      <w:color w:val="auto"/>
      <w:spacing w:val="5"/>
      <w:u w:val="single"/>
    </w:rPr>
  </w:style>
  <w:style w:type="table" w:styleId="LightGrid">
    <w:name w:val="Light Grid"/>
    <w:basedOn w:val="TableNormal"/>
    <w:uiPriority w:val="62"/>
    <w:semiHidden/>
    <w:unhideWhenUsed/>
    <w:rsid w:val="00CF26C4"/>
    <w:pPr>
      <w:spacing w:after="0"/>
    </w:pPr>
    <w:rPr>
      <w:rFonts w:eastAsiaTheme="minorHAnsi" w:cs="Arial"/>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insideH w:val="single" w:sz="8" w:space="0" w:color="1A1919" w:themeColor="text1"/>
        <w:insideV w:val="single" w:sz="8" w:space="0" w:color="1A191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1919" w:themeColor="text1"/>
          <w:left w:val="single" w:sz="8" w:space="0" w:color="1A1919" w:themeColor="text1"/>
          <w:bottom w:val="single" w:sz="18" w:space="0" w:color="1A1919" w:themeColor="text1"/>
          <w:right w:val="single" w:sz="8" w:space="0" w:color="1A1919" w:themeColor="text1"/>
          <w:insideH w:val="nil"/>
          <w:insideV w:val="single" w:sz="8" w:space="0" w:color="1A191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1919" w:themeColor="text1"/>
          <w:left w:val="single" w:sz="8" w:space="0" w:color="1A1919" w:themeColor="text1"/>
          <w:bottom w:val="single" w:sz="8" w:space="0" w:color="1A1919" w:themeColor="text1"/>
          <w:right w:val="single" w:sz="8" w:space="0" w:color="1A1919" w:themeColor="text1"/>
          <w:insideH w:val="nil"/>
          <w:insideV w:val="single" w:sz="8" w:space="0" w:color="1A191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tblStylePr w:type="band1Vert">
      <w:tblPr/>
      <w:tcPr>
        <w:tcBorders>
          <w:top w:val="single" w:sz="8" w:space="0" w:color="1A1919" w:themeColor="text1"/>
          <w:left w:val="single" w:sz="8" w:space="0" w:color="1A1919" w:themeColor="text1"/>
          <w:bottom w:val="single" w:sz="8" w:space="0" w:color="1A1919" w:themeColor="text1"/>
          <w:right w:val="single" w:sz="8" w:space="0" w:color="1A1919" w:themeColor="text1"/>
        </w:tcBorders>
        <w:shd w:val="clear" w:color="auto" w:fill="C7C5C5" w:themeFill="text1" w:themeFillTint="3F"/>
      </w:tcPr>
    </w:tblStylePr>
    <w:tblStylePr w:type="band1Horz">
      <w:tblPr/>
      <w:tcPr>
        <w:tcBorders>
          <w:top w:val="single" w:sz="8" w:space="0" w:color="1A1919" w:themeColor="text1"/>
          <w:left w:val="single" w:sz="8" w:space="0" w:color="1A1919" w:themeColor="text1"/>
          <w:bottom w:val="single" w:sz="8" w:space="0" w:color="1A1919" w:themeColor="text1"/>
          <w:right w:val="single" w:sz="8" w:space="0" w:color="1A1919" w:themeColor="text1"/>
          <w:insideV w:val="single" w:sz="8" w:space="0" w:color="1A1919" w:themeColor="text1"/>
        </w:tcBorders>
        <w:shd w:val="clear" w:color="auto" w:fill="C7C5C5" w:themeFill="text1" w:themeFillTint="3F"/>
      </w:tcPr>
    </w:tblStylePr>
    <w:tblStylePr w:type="band2Horz">
      <w:tblPr/>
      <w:tcPr>
        <w:tcBorders>
          <w:top w:val="single" w:sz="8" w:space="0" w:color="1A1919" w:themeColor="text1"/>
          <w:left w:val="single" w:sz="8" w:space="0" w:color="1A1919" w:themeColor="text1"/>
          <w:bottom w:val="single" w:sz="8" w:space="0" w:color="1A1919" w:themeColor="text1"/>
          <w:right w:val="single" w:sz="8" w:space="0" w:color="1A1919" w:themeColor="text1"/>
          <w:insideV w:val="single" w:sz="8" w:space="0" w:color="1A1919" w:themeColor="text1"/>
        </w:tcBorders>
      </w:tcPr>
    </w:tblStylePr>
  </w:style>
  <w:style w:type="table" w:styleId="LightGrid-Accent1">
    <w:name w:val="Light Grid Accent 1"/>
    <w:basedOn w:val="TableNormal"/>
    <w:uiPriority w:val="62"/>
    <w:semiHidden/>
    <w:unhideWhenUsed/>
    <w:rsid w:val="00CF26C4"/>
    <w:pPr>
      <w:spacing w:after="0"/>
    </w:pPr>
    <w:rPr>
      <w:rFonts w:eastAsiaTheme="minorHAnsi" w:cs="Arial"/>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insideH w:val="single" w:sz="8" w:space="0" w:color="68C0B5" w:themeColor="accent1"/>
        <w:insideV w:val="single" w:sz="8" w:space="0" w:color="68C0B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8C0B5" w:themeColor="accent1"/>
          <w:left w:val="single" w:sz="8" w:space="0" w:color="68C0B5" w:themeColor="accent1"/>
          <w:bottom w:val="single" w:sz="18" w:space="0" w:color="68C0B5" w:themeColor="accent1"/>
          <w:right w:val="single" w:sz="8" w:space="0" w:color="68C0B5" w:themeColor="accent1"/>
          <w:insideH w:val="nil"/>
          <w:insideV w:val="single" w:sz="8" w:space="0" w:color="68C0B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8C0B5" w:themeColor="accent1"/>
          <w:left w:val="single" w:sz="8" w:space="0" w:color="68C0B5" w:themeColor="accent1"/>
          <w:bottom w:val="single" w:sz="8" w:space="0" w:color="68C0B5" w:themeColor="accent1"/>
          <w:right w:val="single" w:sz="8" w:space="0" w:color="68C0B5" w:themeColor="accent1"/>
          <w:insideH w:val="nil"/>
          <w:insideV w:val="single" w:sz="8" w:space="0" w:color="68C0B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tblStylePr w:type="band1Vert">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shd w:val="clear" w:color="auto" w:fill="D9EFEC" w:themeFill="accent1" w:themeFillTint="3F"/>
      </w:tcPr>
    </w:tblStylePr>
    <w:tblStylePr w:type="band1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insideV w:val="single" w:sz="8" w:space="0" w:color="68C0B5" w:themeColor="accent1"/>
        </w:tcBorders>
        <w:shd w:val="clear" w:color="auto" w:fill="D9EFEC" w:themeFill="accent1" w:themeFillTint="3F"/>
      </w:tcPr>
    </w:tblStylePr>
    <w:tblStylePr w:type="band2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insideV w:val="single" w:sz="8" w:space="0" w:color="68C0B5" w:themeColor="accent1"/>
        </w:tcBorders>
      </w:tcPr>
    </w:tblStylePr>
  </w:style>
  <w:style w:type="table" w:styleId="LightGrid-Accent2">
    <w:name w:val="Light Grid Accent 2"/>
    <w:basedOn w:val="TableNormal"/>
    <w:uiPriority w:val="62"/>
    <w:semiHidden/>
    <w:unhideWhenUsed/>
    <w:rsid w:val="00CF26C4"/>
    <w:pPr>
      <w:spacing w:after="0"/>
    </w:pPr>
    <w:rPr>
      <w:rFonts w:eastAsiaTheme="minorHAnsi" w:cs="Arial"/>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insideH w:val="single" w:sz="8" w:space="0" w:color="69ACDF" w:themeColor="accent2"/>
        <w:insideV w:val="single" w:sz="8" w:space="0" w:color="69AC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ACDF" w:themeColor="accent2"/>
          <w:left w:val="single" w:sz="8" w:space="0" w:color="69ACDF" w:themeColor="accent2"/>
          <w:bottom w:val="single" w:sz="18" w:space="0" w:color="69ACDF" w:themeColor="accent2"/>
          <w:right w:val="single" w:sz="8" w:space="0" w:color="69ACDF" w:themeColor="accent2"/>
          <w:insideH w:val="nil"/>
          <w:insideV w:val="single" w:sz="8" w:space="0" w:color="69AC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ACDF" w:themeColor="accent2"/>
          <w:left w:val="single" w:sz="8" w:space="0" w:color="69ACDF" w:themeColor="accent2"/>
          <w:bottom w:val="single" w:sz="8" w:space="0" w:color="69ACDF" w:themeColor="accent2"/>
          <w:right w:val="single" w:sz="8" w:space="0" w:color="69ACDF" w:themeColor="accent2"/>
          <w:insideH w:val="nil"/>
          <w:insideV w:val="single" w:sz="8" w:space="0" w:color="69AC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tblStylePr w:type="band1Vert">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shd w:val="clear" w:color="auto" w:fill="D9EAF7" w:themeFill="accent2" w:themeFillTint="3F"/>
      </w:tcPr>
    </w:tblStylePr>
    <w:tblStylePr w:type="band1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insideV w:val="single" w:sz="8" w:space="0" w:color="69ACDF" w:themeColor="accent2"/>
        </w:tcBorders>
        <w:shd w:val="clear" w:color="auto" w:fill="D9EAF7" w:themeFill="accent2" w:themeFillTint="3F"/>
      </w:tcPr>
    </w:tblStylePr>
    <w:tblStylePr w:type="band2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insideV w:val="single" w:sz="8" w:space="0" w:color="69ACDF" w:themeColor="accent2"/>
        </w:tcBorders>
      </w:tcPr>
    </w:tblStylePr>
  </w:style>
  <w:style w:type="table" w:styleId="LightGrid-Accent3">
    <w:name w:val="Light Grid Accent 3"/>
    <w:basedOn w:val="TableNormal"/>
    <w:uiPriority w:val="62"/>
    <w:semiHidden/>
    <w:unhideWhenUsed/>
    <w:rsid w:val="00CF26C4"/>
    <w:pPr>
      <w:spacing w:after="0"/>
    </w:pPr>
    <w:rPr>
      <w:rFonts w:eastAsiaTheme="minorHAnsi" w:cs="Arial"/>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insideH w:val="single" w:sz="8" w:space="0" w:color="636AAF" w:themeColor="accent3"/>
        <w:insideV w:val="single" w:sz="8" w:space="0" w:color="636A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6AAF" w:themeColor="accent3"/>
          <w:left w:val="single" w:sz="8" w:space="0" w:color="636AAF" w:themeColor="accent3"/>
          <w:bottom w:val="single" w:sz="18" w:space="0" w:color="636AAF" w:themeColor="accent3"/>
          <w:right w:val="single" w:sz="8" w:space="0" w:color="636AAF" w:themeColor="accent3"/>
          <w:insideH w:val="nil"/>
          <w:insideV w:val="single" w:sz="8" w:space="0" w:color="636A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6AAF" w:themeColor="accent3"/>
          <w:left w:val="single" w:sz="8" w:space="0" w:color="636AAF" w:themeColor="accent3"/>
          <w:bottom w:val="single" w:sz="8" w:space="0" w:color="636AAF" w:themeColor="accent3"/>
          <w:right w:val="single" w:sz="8" w:space="0" w:color="636AAF" w:themeColor="accent3"/>
          <w:insideH w:val="nil"/>
          <w:insideV w:val="single" w:sz="8" w:space="0" w:color="636A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tblStylePr w:type="band1Vert">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shd w:val="clear" w:color="auto" w:fill="D8DAEB" w:themeFill="accent3" w:themeFillTint="3F"/>
      </w:tcPr>
    </w:tblStylePr>
    <w:tblStylePr w:type="band1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insideV w:val="single" w:sz="8" w:space="0" w:color="636AAF" w:themeColor="accent3"/>
        </w:tcBorders>
        <w:shd w:val="clear" w:color="auto" w:fill="D8DAEB" w:themeFill="accent3" w:themeFillTint="3F"/>
      </w:tcPr>
    </w:tblStylePr>
    <w:tblStylePr w:type="band2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insideV w:val="single" w:sz="8" w:space="0" w:color="636AAF" w:themeColor="accent3"/>
        </w:tcBorders>
      </w:tcPr>
    </w:tblStylePr>
  </w:style>
  <w:style w:type="table" w:styleId="LightGrid-Accent4">
    <w:name w:val="Light Grid Accent 4"/>
    <w:basedOn w:val="TableNormal"/>
    <w:uiPriority w:val="62"/>
    <w:semiHidden/>
    <w:unhideWhenUsed/>
    <w:rsid w:val="00CF26C4"/>
    <w:pPr>
      <w:spacing w:after="0"/>
    </w:pPr>
    <w:rPr>
      <w:rFonts w:eastAsiaTheme="minorHAnsi" w:cs="Arial"/>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insideH w:val="single" w:sz="8" w:space="0" w:color="B26DAB" w:themeColor="accent4"/>
        <w:insideV w:val="single" w:sz="8" w:space="0" w:color="B26DA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DAB" w:themeColor="accent4"/>
          <w:left w:val="single" w:sz="8" w:space="0" w:color="B26DAB" w:themeColor="accent4"/>
          <w:bottom w:val="single" w:sz="18" w:space="0" w:color="B26DAB" w:themeColor="accent4"/>
          <w:right w:val="single" w:sz="8" w:space="0" w:color="B26DAB" w:themeColor="accent4"/>
          <w:insideH w:val="nil"/>
          <w:insideV w:val="single" w:sz="8" w:space="0" w:color="B26DA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DAB" w:themeColor="accent4"/>
          <w:left w:val="single" w:sz="8" w:space="0" w:color="B26DAB" w:themeColor="accent4"/>
          <w:bottom w:val="single" w:sz="8" w:space="0" w:color="B26DAB" w:themeColor="accent4"/>
          <w:right w:val="single" w:sz="8" w:space="0" w:color="B26DAB" w:themeColor="accent4"/>
          <w:insideH w:val="nil"/>
          <w:insideV w:val="single" w:sz="8" w:space="0" w:color="B26DA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tblStylePr w:type="band1Vert">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shd w:val="clear" w:color="auto" w:fill="ECDAEA" w:themeFill="accent4" w:themeFillTint="3F"/>
      </w:tcPr>
    </w:tblStylePr>
    <w:tblStylePr w:type="band1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insideV w:val="single" w:sz="8" w:space="0" w:color="B26DAB" w:themeColor="accent4"/>
        </w:tcBorders>
        <w:shd w:val="clear" w:color="auto" w:fill="ECDAEA" w:themeFill="accent4" w:themeFillTint="3F"/>
      </w:tcPr>
    </w:tblStylePr>
    <w:tblStylePr w:type="band2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insideV w:val="single" w:sz="8" w:space="0" w:color="B26DAB" w:themeColor="accent4"/>
        </w:tcBorders>
      </w:tcPr>
    </w:tblStylePr>
  </w:style>
  <w:style w:type="table" w:styleId="LightGrid-Accent5">
    <w:name w:val="Light Grid Accent 5"/>
    <w:basedOn w:val="TableNormal"/>
    <w:uiPriority w:val="62"/>
    <w:semiHidden/>
    <w:unhideWhenUsed/>
    <w:rsid w:val="00CF26C4"/>
    <w:pPr>
      <w:spacing w:after="0"/>
    </w:pPr>
    <w:rPr>
      <w:rFonts w:eastAsiaTheme="minorHAnsi" w:cs="Arial"/>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insideH w:val="single" w:sz="8" w:space="0" w:color="E7A2C8" w:themeColor="accent5"/>
        <w:insideV w:val="single" w:sz="8" w:space="0" w:color="E7A2C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A2C8" w:themeColor="accent5"/>
          <w:left w:val="single" w:sz="8" w:space="0" w:color="E7A2C8" w:themeColor="accent5"/>
          <w:bottom w:val="single" w:sz="18" w:space="0" w:color="E7A2C8" w:themeColor="accent5"/>
          <w:right w:val="single" w:sz="8" w:space="0" w:color="E7A2C8" w:themeColor="accent5"/>
          <w:insideH w:val="nil"/>
          <w:insideV w:val="single" w:sz="8" w:space="0" w:color="E7A2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A2C8" w:themeColor="accent5"/>
          <w:left w:val="single" w:sz="8" w:space="0" w:color="E7A2C8" w:themeColor="accent5"/>
          <w:bottom w:val="single" w:sz="8" w:space="0" w:color="E7A2C8" w:themeColor="accent5"/>
          <w:right w:val="single" w:sz="8" w:space="0" w:color="E7A2C8" w:themeColor="accent5"/>
          <w:insideH w:val="nil"/>
          <w:insideV w:val="single" w:sz="8" w:space="0" w:color="E7A2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tblStylePr w:type="band1Vert">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shd w:val="clear" w:color="auto" w:fill="F9E7F1" w:themeFill="accent5" w:themeFillTint="3F"/>
      </w:tcPr>
    </w:tblStylePr>
    <w:tblStylePr w:type="band1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insideV w:val="single" w:sz="8" w:space="0" w:color="E7A2C8" w:themeColor="accent5"/>
        </w:tcBorders>
        <w:shd w:val="clear" w:color="auto" w:fill="F9E7F1" w:themeFill="accent5" w:themeFillTint="3F"/>
      </w:tcPr>
    </w:tblStylePr>
    <w:tblStylePr w:type="band2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insideV w:val="single" w:sz="8" w:space="0" w:color="E7A2C8" w:themeColor="accent5"/>
        </w:tcBorders>
      </w:tcPr>
    </w:tblStylePr>
  </w:style>
  <w:style w:type="table" w:styleId="LightGrid-Accent6">
    <w:name w:val="Light Grid Accent 6"/>
    <w:basedOn w:val="TableNormal"/>
    <w:uiPriority w:val="62"/>
    <w:semiHidden/>
    <w:unhideWhenUsed/>
    <w:rsid w:val="00CF26C4"/>
    <w:pPr>
      <w:spacing w:after="0"/>
    </w:pPr>
    <w:rPr>
      <w:rFonts w:eastAsiaTheme="minorHAnsi" w:cs="Arial"/>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insideH w:val="single" w:sz="8" w:space="0" w:color="9CD2F4" w:themeColor="accent6"/>
        <w:insideV w:val="single" w:sz="8" w:space="0" w:color="9CD2F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D2F4" w:themeColor="accent6"/>
          <w:left w:val="single" w:sz="8" w:space="0" w:color="9CD2F4" w:themeColor="accent6"/>
          <w:bottom w:val="single" w:sz="18" w:space="0" w:color="9CD2F4" w:themeColor="accent6"/>
          <w:right w:val="single" w:sz="8" w:space="0" w:color="9CD2F4" w:themeColor="accent6"/>
          <w:insideH w:val="nil"/>
          <w:insideV w:val="single" w:sz="8" w:space="0" w:color="9CD2F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D2F4" w:themeColor="accent6"/>
          <w:left w:val="single" w:sz="8" w:space="0" w:color="9CD2F4" w:themeColor="accent6"/>
          <w:bottom w:val="single" w:sz="8" w:space="0" w:color="9CD2F4" w:themeColor="accent6"/>
          <w:right w:val="single" w:sz="8" w:space="0" w:color="9CD2F4" w:themeColor="accent6"/>
          <w:insideH w:val="nil"/>
          <w:insideV w:val="single" w:sz="8" w:space="0" w:color="9CD2F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tblStylePr w:type="band1Vert">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shd w:val="clear" w:color="auto" w:fill="E6F3FC" w:themeFill="accent6" w:themeFillTint="3F"/>
      </w:tcPr>
    </w:tblStylePr>
    <w:tblStylePr w:type="band1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insideV w:val="single" w:sz="8" w:space="0" w:color="9CD2F4" w:themeColor="accent6"/>
        </w:tcBorders>
        <w:shd w:val="clear" w:color="auto" w:fill="E6F3FC" w:themeFill="accent6" w:themeFillTint="3F"/>
      </w:tcPr>
    </w:tblStylePr>
    <w:tblStylePr w:type="band2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insideV w:val="single" w:sz="8" w:space="0" w:color="9CD2F4" w:themeColor="accent6"/>
        </w:tcBorders>
      </w:tcPr>
    </w:tblStylePr>
  </w:style>
  <w:style w:type="table" w:styleId="LightList">
    <w:name w:val="Light List"/>
    <w:basedOn w:val="TableNormal"/>
    <w:uiPriority w:val="61"/>
    <w:semiHidden/>
    <w:unhideWhenUsed/>
    <w:rsid w:val="00CF26C4"/>
    <w:pPr>
      <w:spacing w:after="0"/>
    </w:pPr>
    <w:rPr>
      <w:rFonts w:eastAsiaTheme="minorHAnsi" w:cs="Arial"/>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tblBorders>
    </w:tblPr>
    <w:tblStylePr w:type="firstRow">
      <w:pPr>
        <w:spacing w:before="0" w:after="0" w:line="240" w:lineRule="auto"/>
      </w:pPr>
      <w:rPr>
        <w:b/>
        <w:bCs/>
        <w:color w:val="FFFFFF" w:themeColor="background1"/>
      </w:rPr>
      <w:tblPr/>
      <w:tcPr>
        <w:shd w:val="clear" w:color="auto" w:fill="1A1919" w:themeFill="text1"/>
      </w:tcPr>
    </w:tblStylePr>
    <w:tblStylePr w:type="lastRow">
      <w:pPr>
        <w:spacing w:before="0" w:after="0" w:line="240" w:lineRule="auto"/>
      </w:pPr>
      <w:rPr>
        <w:b/>
        <w:bCs/>
      </w:rPr>
      <w:tblPr/>
      <w:tcPr>
        <w:tcBorders>
          <w:top w:val="double" w:sz="6" w:space="0" w:color="1A1919" w:themeColor="text1"/>
          <w:left w:val="single" w:sz="8" w:space="0" w:color="1A1919" w:themeColor="text1"/>
          <w:bottom w:val="single" w:sz="8" w:space="0" w:color="1A1919" w:themeColor="text1"/>
          <w:right w:val="single" w:sz="8" w:space="0" w:color="1A1919" w:themeColor="text1"/>
        </w:tcBorders>
      </w:tcPr>
    </w:tblStylePr>
    <w:tblStylePr w:type="firstCol">
      <w:rPr>
        <w:b/>
        <w:bCs/>
      </w:rPr>
    </w:tblStylePr>
    <w:tblStylePr w:type="lastCol">
      <w:rPr>
        <w:b/>
        <w:bCs/>
      </w:rPr>
    </w:tblStylePr>
    <w:tblStylePr w:type="band1Vert">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tblStylePr w:type="band1Horz">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style>
  <w:style w:type="table" w:styleId="LightList-Accent1">
    <w:name w:val="Light List Accent 1"/>
    <w:basedOn w:val="TableNormal"/>
    <w:uiPriority w:val="61"/>
    <w:semiHidden/>
    <w:unhideWhenUsed/>
    <w:rsid w:val="00CF26C4"/>
    <w:pPr>
      <w:spacing w:after="0"/>
    </w:pPr>
    <w:rPr>
      <w:rFonts w:eastAsiaTheme="minorHAnsi" w:cs="Arial"/>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tblBorders>
    </w:tblPr>
    <w:tblStylePr w:type="firstRow">
      <w:pPr>
        <w:spacing w:before="0" w:after="0" w:line="240" w:lineRule="auto"/>
      </w:pPr>
      <w:rPr>
        <w:b/>
        <w:bCs/>
        <w:color w:val="FFFFFF" w:themeColor="background1"/>
      </w:rPr>
      <w:tblPr/>
      <w:tcPr>
        <w:shd w:val="clear" w:color="auto" w:fill="68C0B5" w:themeFill="accent1"/>
      </w:tcPr>
    </w:tblStylePr>
    <w:tblStylePr w:type="lastRow">
      <w:pPr>
        <w:spacing w:before="0" w:after="0" w:line="240" w:lineRule="auto"/>
      </w:pPr>
      <w:rPr>
        <w:b/>
        <w:bCs/>
      </w:rPr>
      <w:tblPr/>
      <w:tcPr>
        <w:tcBorders>
          <w:top w:val="double" w:sz="6" w:space="0" w:color="68C0B5" w:themeColor="accent1"/>
          <w:left w:val="single" w:sz="8" w:space="0" w:color="68C0B5" w:themeColor="accent1"/>
          <w:bottom w:val="single" w:sz="8" w:space="0" w:color="68C0B5" w:themeColor="accent1"/>
          <w:right w:val="single" w:sz="8" w:space="0" w:color="68C0B5" w:themeColor="accent1"/>
        </w:tcBorders>
      </w:tcPr>
    </w:tblStylePr>
    <w:tblStylePr w:type="firstCol">
      <w:rPr>
        <w:b/>
        <w:bCs/>
      </w:rPr>
    </w:tblStylePr>
    <w:tblStylePr w:type="lastCol">
      <w:rPr>
        <w:b/>
        <w:bCs/>
      </w:rPr>
    </w:tblStylePr>
    <w:tblStylePr w:type="band1Vert">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tblStylePr w:type="band1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style>
  <w:style w:type="table" w:styleId="LightList-Accent2">
    <w:name w:val="Light List Accent 2"/>
    <w:basedOn w:val="TableNormal"/>
    <w:uiPriority w:val="61"/>
    <w:semiHidden/>
    <w:unhideWhenUsed/>
    <w:rsid w:val="00CF26C4"/>
    <w:pPr>
      <w:spacing w:after="0"/>
    </w:pPr>
    <w:rPr>
      <w:rFonts w:eastAsiaTheme="minorHAnsi" w:cs="Arial"/>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tblBorders>
    </w:tblPr>
    <w:tblStylePr w:type="firstRow">
      <w:pPr>
        <w:spacing w:before="0" w:after="0" w:line="240" w:lineRule="auto"/>
      </w:pPr>
      <w:rPr>
        <w:b/>
        <w:bCs/>
        <w:color w:val="FFFFFF" w:themeColor="background1"/>
      </w:rPr>
      <w:tblPr/>
      <w:tcPr>
        <w:shd w:val="clear" w:color="auto" w:fill="69ACDF" w:themeFill="accent2"/>
      </w:tcPr>
    </w:tblStylePr>
    <w:tblStylePr w:type="lastRow">
      <w:pPr>
        <w:spacing w:before="0" w:after="0" w:line="240" w:lineRule="auto"/>
      </w:pPr>
      <w:rPr>
        <w:b/>
        <w:bCs/>
      </w:rPr>
      <w:tblPr/>
      <w:tcPr>
        <w:tcBorders>
          <w:top w:val="double" w:sz="6" w:space="0" w:color="69ACDF" w:themeColor="accent2"/>
          <w:left w:val="single" w:sz="8" w:space="0" w:color="69ACDF" w:themeColor="accent2"/>
          <w:bottom w:val="single" w:sz="8" w:space="0" w:color="69ACDF" w:themeColor="accent2"/>
          <w:right w:val="single" w:sz="8" w:space="0" w:color="69ACDF" w:themeColor="accent2"/>
        </w:tcBorders>
      </w:tcPr>
    </w:tblStylePr>
    <w:tblStylePr w:type="firstCol">
      <w:rPr>
        <w:b/>
        <w:bCs/>
      </w:rPr>
    </w:tblStylePr>
    <w:tblStylePr w:type="lastCol">
      <w:rPr>
        <w:b/>
        <w:bCs/>
      </w:rPr>
    </w:tblStylePr>
    <w:tblStylePr w:type="band1Vert">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tblStylePr w:type="band1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style>
  <w:style w:type="table" w:styleId="LightList-Accent3">
    <w:name w:val="Light List Accent 3"/>
    <w:basedOn w:val="TableNormal"/>
    <w:uiPriority w:val="61"/>
    <w:semiHidden/>
    <w:unhideWhenUsed/>
    <w:rsid w:val="00CF26C4"/>
    <w:pPr>
      <w:spacing w:after="0"/>
    </w:pPr>
    <w:rPr>
      <w:rFonts w:eastAsiaTheme="minorHAnsi" w:cs="Arial"/>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tblBorders>
    </w:tblPr>
    <w:tblStylePr w:type="firstRow">
      <w:pPr>
        <w:spacing w:before="0" w:after="0" w:line="240" w:lineRule="auto"/>
      </w:pPr>
      <w:rPr>
        <w:b/>
        <w:bCs/>
        <w:color w:val="FFFFFF" w:themeColor="background1"/>
      </w:rPr>
      <w:tblPr/>
      <w:tcPr>
        <w:shd w:val="clear" w:color="auto" w:fill="636AAF" w:themeFill="accent3"/>
      </w:tcPr>
    </w:tblStylePr>
    <w:tblStylePr w:type="lastRow">
      <w:pPr>
        <w:spacing w:before="0" w:after="0" w:line="240" w:lineRule="auto"/>
      </w:pPr>
      <w:rPr>
        <w:b/>
        <w:bCs/>
      </w:rPr>
      <w:tblPr/>
      <w:tcPr>
        <w:tcBorders>
          <w:top w:val="double" w:sz="6" w:space="0" w:color="636AAF" w:themeColor="accent3"/>
          <w:left w:val="single" w:sz="8" w:space="0" w:color="636AAF" w:themeColor="accent3"/>
          <w:bottom w:val="single" w:sz="8" w:space="0" w:color="636AAF" w:themeColor="accent3"/>
          <w:right w:val="single" w:sz="8" w:space="0" w:color="636AAF" w:themeColor="accent3"/>
        </w:tcBorders>
      </w:tcPr>
    </w:tblStylePr>
    <w:tblStylePr w:type="firstCol">
      <w:rPr>
        <w:b/>
        <w:bCs/>
      </w:rPr>
    </w:tblStylePr>
    <w:tblStylePr w:type="lastCol">
      <w:rPr>
        <w:b/>
        <w:bCs/>
      </w:rPr>
    </w:tblStylePr>
    <w:tblStylePr w:type="band1Vert">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tblStylePr w:type="band1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style>
  <w:style w:type="table" w:styleId="LightList-Accent4">
    <w:name w:val="Light List Accent 4"/>
    <w:basedOn w:val="TableNormal"/>
    <w:uiPriority w:val="61"/>
    <w:semiHidden/>
    <w:unhideWhenUsed/>
    <w:rsid w:val="00CF26C4"/>
    <w:pPr>
      <w:spacing w:after="0"/>
    </w:pPr>
    <w:rPr>
      <w:rFonts w:eastAsiaTheme="minorHAnsi" w:cs="Arial"/>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tblBorders>
    </w:tblPr>
    <w:tblStylePr w:type="firstRow">
      <w:pPr>
        <w:spacing w:before="0" w:after="0" w:line="240" w:lineRule="auto"/>
      </w:pPr>
      <w:rPr>
        <w:b/>
        <w:bCs/>
        <w:color w:val="FFFFFF" w:themeColor="background1"/>
      </w:rPr>
      <w:tblPr/>
      <w:tcPr>
        <w:shd w:val="clear" w:color="auto" w:fill="B26DAB" w:themeFill="accent4"/>
      </w:tcPr>
    </w:tblStylePr>
    <w:tblStylePr w:type="lastRow">
      <w:pPr>
        <w:spacing w:before="0" w:after="0" w:line="240" w:lineRule="auto"/>
      </w:pPr>
      <w:rPr>
        <w:b/>
        <w:bCs/>
      </w:rPr>
      <w:tblPr/>
      <w:tcPr>
        <w:tcBorders>
          <w:top w:val="double" w:sz="6" w:space="0" w:color="B26DAB" w:themeColor="accent4"/>
          <w:left w:val="single" w:sz="8" w:space="0" w:color="B26DAB" w:themeColor="accent4"/>
          <w:bottom w:val="single" w:sz="8" w:space="0" w:color="B26DAB" w:themeColor="accent4"/>
          <w:right w:val="single" w:sz="8" w:space="0" w:color="B26DAB" w:themeColor="accent4"/>
        </w:tcBorders>
      </w:tcPr>
    </w:tblStylePr>
    <w:tblStylePr w:type="firstCol">
      <w:rPr>
        <w:b/>
        <w:bCs/>
      </w:rPr>
    </w:tblStylePr>
    <w:tblStylePr w:type="lastCol">
      <w:rPr>
        <w:b/>
        <w:bCs/>
      </w:rPr>
    </w:tblStylePr>
    <w:tblStylePr w:type="band1Vert">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tblStylePr w:type="band1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style>
  <w:style w:type="table" w:styleId="LightList-Accent5">
    <w:name w:val="Light List Accent 5"/>
    <w:basedOn w:val="TableNormal"/>
    <w:uiPriority w:val="61"/>
    <w:semiHidden/>
    <w:unhideWhenUsed/>
    <w:rsid w:val="00CF26C4"/>
    <w:pPr>
      <w:spacing w:after="0"/>
    </w:pPr>
    <w:rPr>
      <w:rFonts w:eastAsiaTheme="minorHAnsi" w:cs="Arial"/>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tblBorders>
    </w:tblPr>
    <w:tblStylePr w:type="firstRow">
      <w:pPr>
        <w:spacing w:before="0" w:after="0" w:line="240" w:lineRule="auto"/>
      </w:pPr>
      <w:rPr>
        <w:b/>
        <w:bCs/>
        <w:color w:val="FFFFFF" w:themeColor="background1"/>
      </w:rPr>
      <w:tblPr/>
      <w:tcPr>
        <w:shd w:val="clear" w:color="auto" w:fill="E7A2C8" w:themeFill="accent5"/>
      </w:tcPr>
    </w:tblStylePr>
    <w:tblStylePr w:type="lastRow">
      <w:pPr>
        <w:spacing w:before="0" w:after="0" w:line="240" w:lineRule="auto"/>
      </w:pPr>
      <w:rPr>
        <w:b/>
        <w:bCs/>
      </w:rPr>
      <w:tblPr/>
      <w:tcPr>
        <w:tcBorders>
          <w:top w:val="double" w:sz="6" w:space="0" w:color="E7A2C8" w:themeColor="accent5"/>
          <w:left w:val="single" w:sz="8" w:space="0" w:color="E7A2C8" w:themeColor="accent5"/>
          <w:bottom w:val="single" w:sz="8" w:space="0" w:color="E7A2C8" w:themeColor="accent5"/>
          <w:right w:val="single" w:sz="8" w:space="0" w:color="E7A2C8" w:themeColor="accent5"/>
        </w:tcBorders>
      </w:tcPr>
    </w:tblStylePr>
    <w:tblStylePr w:type="firstCol">
      <w:rPr>
        <w:b/>
        <w:bCs/>
      </w:rPr>
    </w:tblStylePr>
    <w:tblStylePr w:type="lastCol">
      <w:rPr>
        <w:b/>
        <w:bCs/>
      </w:rPr>
    </w:tblStylePr>
    <w:tblStylePr w:type="band1Vert">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tblStylePr w:type="band1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style>
  <w:style w:type="table" w:styleId="LightList-Accent6">
    <w:name w:val="Light List Accent 6"/>
    <w:basedOn w:val="TableNormal"/>
    <w:uiPriority w:val="61"/>
    <w:semiHidden/>
    <w:unhideWhenUsed/>
    <w:rsid w:val="00CF26C4"/>
    <w:pPr>
      <w:spacing w:after="0"/>
    </w:pPr>
    <w:rPr>
      <w:rFonts w:eastAsiaTheme="minorHAnsi" w:cs="Arial"/>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tblBorders>
    </w:tblPr>
    <w:tblStylePr w:type="firstRow">
      <w:pPr>
        <w:spacing w:before="0" w:after="0" w:line="240" w:lineRule="auto"/>
      </w:pPr>
      <w:rPr>
        <w:b/>
        <w:bCs/>
        <w:color w:val="FFFFFF" w:themeColor="background1"/>
      </w:rPr>
      <w:tblPr/>
      <w:tcPr>
        <w:shd w:val="clear" w:color="auto" w:fill="9CD2F4" w:themeFill="accent6"/>
      </w:tcPr>
    </w:tblStylePr>
    <w:tblStylePr w:type="lastRow">
      <w:pPr>
        <w:spacing w:before="0" w:after="0" w:line="240" w:lineRule="auto"/>
      </w:pPr>
      <w:rPr>
        <w:b/>
        <w:bCs/>
      </w:rPr>
      <w:tblPr/>
      <w:tcPr>
        <w:tcBorders>
          <w:top w:val="double" w:sz="6" w:space="0" w:color="9CD2F4" w:themeColor="accent6"/>
          <w:left w:val="single" w:sz="8" w:space="0" w:color="9CD2F4" w:themeColor="accent6"/>
          <w:bottom w:val="single" w:sz="8" w:space="0" w:color="9CD2F4" w:themeColor="accent6"/>
          <w:right w:val="single" w:sz="8" w:space="0" w:color="9CD2F4" w:themeColor="accent6"/>
        </w:tcBorders>
      </w:tcPr>
    </w:tblStylePr>
    <w:tblStylePr w:type="firstCol">
      <w:rPr>
        <w:b/>
        <w:bCs/>
      </w:rPr>
    </w:tblStylePr>
    <w:tblStylePr w:type="lastCol">
      <w:rPr>
        <w:b/>
        <w:bCs/>
      </w:rPr>
    </w:tblStylePr>
    <w:tblStylePr w:type="band1Vert">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tblStylePr w:type="band1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style>
  <w:style w:type="table" w:styleId="LightShading">
    <w:name w:val="Light Shading"/>
    <w:basedOn w:val="TableNormal"/>
    <w:uiPriority w:val="60"/>
    <w:semiHidden/>
    <w:unhideWhenUsed/>
    <w:rsid w:val="00CF26C4"/>
    <w:pPr>
      <w:spacing w:after="0"/>
    </w:pPr>
    <w:rPr>
      <w:rFonts w:eastAsiaTheme="minorHAnsi" w:cs="Arial"/>
      <w:color w:val="131212" w:themeColor="text1" w:themeShade="BF"/>
      <w:sz w:val="18"/>
      <w:szCs w:val="18"/>
    </w:rPr>
    <w:tblPr>
      <w:tblStyleRowBandSize w:val="1"/>
      <w:tblStyleColBandSize w:val="1"/>
      <w:tblBorders>
        <w:top w:val="single" w:sz="8" w:space="0" w:color="1A1919" w:themeColor="text1"/>
        <w:bottom w:val="single" w:sz="8" w:space="0" w:color="1A1919" w:themeColor="text1"/>
      </w:tblBorders>
    </w:tblPr>
    <w:tblStylePr w:type="fir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la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5C5" w:themeFill="text1" w:themeFillTint="3F"/>
      </w:tcPr>
    </w:tblStylePr>
    <w:tblStylePr w:type="band1Horz">
      <w:tblPr/>
      <w:tcPr>
        <w:tcBorders>
          <w:left w:val="nil"/>
          <w:right w:val="nil"/>
          <w:insideH w:val="nil"/>
          <w:insideV w:val="nil"/>
        </w:tcBorders>
        <w:shd w:val="clear" w:color="auto" w:fill="C7C5C5" w:themeFill="text1" w:themeFillTint="3F"/>
      </w:tcPr>
    </w:tblStylePr>
  </w:style>
  <w:style w:type="table" w:styleId="LightShading-Accent1">
    <w:name w:val="Light Shading Accent 1"/>
    <w:basedOn w:val="TableNormal"/>
    <w:uiPriority w:val="60"/>
    <w:semiHidden/>
    <w:unhideWhenUsed/>
    <w:rsid w:val="00CF26C4"/>
    <w:pPr>
      <w:spacing w:after="0"/>
    </w:pPr>
    <w:rPr>
      <w:rFonts w:eastAsiaTheme="minorHAnsi" w:cs="Arial"/>
      <w:color w:val="419C90" w:themeColor="accent1" w:themeShade="BF"/>
      <w:sz w:val="18"/>
      <w:szCs w:val="18"/>
    </w:rPr>
    <w:tblPr>
      <w:tblStyleRowBandSize w:val="1"/>
      <w:tblStyleColBandSize w:val="1"/>
      <w:tblBorders>
        <w:top w:val="single" w:sz="8" w:space="0" w:color="68C0B5" w:themeColor="accent1"/>
        <w:bottom w:val="single" w:sz="8" w:space="0" w:color="68C0B5" w:themeColor="accent1"/>
      </w:tblBorders>
    </w:tblPr>
    <w:tblStylePr w:type="firstRow">
      <w:pPr>
        <w:spacing w:before="0" w:after="0" w:line="240" w:lineRule="auto"/>
      </w:pPr>
      <w:rPr>
        <w:b/>
        <w:bCs/>
      </w:rPr>
      <w:tblPr/>
      <w:tcPr>
        <w:tcBorders>
          <w:top w:val="single" w:sz="8" w:space="0" w:color="68C0B5" w:themeColor="accent1"/>
          <w:left w:val="nil"/>
          <w:bottom w:val="single" w:sz="8" w:space="0" w:color="68C0B5" w:themeColor="accent1"/>
          <w:right w:val="nil"/>
          <w:insideH w:val="nil"/>
          <w:insideV w:val="nil"/>
        </w:tcBorders>
      </w:tcPr>
    </w:tblStylePr>
    <w:tblStylePr w:type="lastRow">
      <w:pPr>
        <w:spacing w:before="0" w:after="0" w:line="240" w:lineRule="auto"/>
      </w:pPr>
      <w:rPr>
        <w:b/>
        <w:bCs/>
      </w:rPr>
      <w:tblPr/>
      <w:tcPr>
        <w:tcBorders>
          <w:top w:val="single" w:sz="8" w:space="0" w:color="68C0B5" w:themeColor="accent1"/>
          <w:left w:val="nil"/>
          <w:bottom w:val="single" w:sz="8" w:space="0" w:color="68C0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FEC" w:themeFill="accent1" w:themeFillTint="3F"/>
      </w:tcPr>
    </w:tblStylePr>
    <w:tblStylePr w:type="band1Horz">
      <w:tblPr/>
      <w:tcPr>
        <w:tcBorders>
          <w:left w:val="nil"/>
          <w:right w:val="nil"/>
          <w:insideH w:val="nil"/>
          <w:insideV w:val="nil"/>
        </w:tcBorders>
        <w:shd w:val="clear" w:color="auto" w:fill="D9EFEC" w:themeFill="accent1" w:themeFillTint="3F"/>
      </w:tcPr>
    </w:tblStylePr>
  </w:style>
  <w:style w:type="table" w:styleId="LightShading-Accent2">
    <w:name w:val="Light Shading Accent 2"/>
    <w:basedOn w:val="TableNormal"/>
    <w:uiPriority w:val="60"/>
    <w:semiHidden/>
    <w:unhideWhenUsed/>
    <w:rsid w:val="00CF26C4"/>
    <w:pPr>
      <w:spacing w:after="0"/>
    </w:pPr>
    <w:rPr>
      <w:rFonts w:eastAsiaTheme="minorHAnsi" w:cs="Arial"/>
      <w:color w:val="2B85CA" w:themeColor="accent2" w:themeShade="BF"/>
      <w:sz w:val="18"/>
      <w:szCs w:val="18"/>
    </w:rPr>
    <w:tblPr>
      <w:tblStyleRowBandSize w:val="1"/>
      <w:tblStyleColBandSize w:val="1"/>
      <w:tblBorders>
        <w:top w:val="single" w:sz="8" w:space="0" w:color="69ACDF" w:themeColor="accent2"/>
        <w:bottom w:val="single" w:sz="8" w:space="0" w:color="69ACDF" w:themeColor="accent2"/>
      </w:tblBorders>
    </w:tblPr>
    <w:tblStylePr w:type="firstRow">
      <w:pPr>
        <w:spacing w:before="0" w:after="0" w:line="240" w:lineRule="auto"/>
      </w:pPr>
      <w:rPr>
        <w:b/>
        <w:bCs/>
      </w:rPr>
      <w:tblPr/>
      <w:tcPr>
        <w:tcBorders>
          <w:top w:val="single" w:sz="8" w:space="0" w:color="69ACDF" w:themeColor="accent2"/>
          <w:left w:val="nil"/>
          <w:bottom w:val="single" w:sz="8" w:space="0" w:color="69ACDF" w:themeColor="accent2"/>
          <w:right w:val="nil"/>
          <w:insideH w:val="nil"/>
          <w:insideV w:val="nil"/>
        </w:tcBorders>
      </w:tcPr>
    </w:tblStylePr>
    <w:tblStylePr w:type="lastRow">
      <w:pPr>
        <w:spacing w:before="0" w:after="0" w:line="240" w:lineRule="auto"/>
      </w:pPr>
      <w:rPr>
        <w:b/>
        <w:bCs/>
      </w:rPr>
      <w:tblPr/>
      <w:tcPr>
        <w:tcBorders>
          <w:top w:val="single" w:sz="8" w:space="0" w:color="69ACDF" w:themeColor="accent2"/>
          <w:left w:val="nil"/>
          <w:bottom w:val="single" w:sz="8" w:space="0" w:color="69AC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AF7" w:themeFill="accent2" w:themeFillTint="3F"/>
      </w:tcPr>
    </w:tblStylePr>
    <w:tblStylePr w:type="band1Horz">
      <w:tblPr/>
      <w:tcPr>
        <w:tcBorders>
          <w:left w:val="nil"/>
          <w:right w:val="nil"/>
          <w:insideH w:val="nil"/>
          <w:insideV w:val="nil"/>
        </w:tcBorders>
        <w:shd w:val="clear" w:color="auto" w:fill="D9EAF7" w:themeFill="accent2" w:themeFillTint="3F"/>
      </w:tcPr>
    </w:tblStylePr>
  </w:style>
  <w:style w:type="table" w:styleId="LightShading-Accent3">
    <w:name w:val="Light Shading Accent 3"/>
    <w:basedOn w:val="TableNormal"/>
    <w:uiPriority w:val="60"/>
    <w:semiHidden/>
    <w:unhideWhenUsed/>
    <w:rsid w:val="00CF26C4"/>
    <w:pPr>
      <w:spacing w:after="0"/>
    </w:pPr>
    <w:rPr>
      <w:rFonts w:eastAsiaTheme="minorHAnsi" w:cs="Arial"/>
      <w:color w:val="454B87" w:themeColor="accent3" w:themeShade="BF"/>
      <w:sz w:val="18"/>
      <w:szCs w:val="18"/>
    </w:rPr>
    <w:tblPr>
      <w:tblStyleRowBandSize w:val="1"/>
      <w:tblStyleColBandSize w:val="1"/>
      <w:tblBorders>
        <w:top w:val="single" w:sz="8" w:space="0" w:color="636AAF" w:themeColor="accent3"/>
        <w:bottom w:val="single" w:sz="8" w:space="0" w:color="636AAF" w:themeColor="accent3"/>
      </w:tblBorders>
    </w:tblPr>
    <w:tblStylePr w:type="firstRow">
      <w:pPr>
        <w:spacing w:before="0" w:after="0" w:line="240" w:lineRule="auto"/>
      </w:pPr>
      <w:rPr>
        <w:b/>
        <w:bCs/>
      </w:rPr>
      <w:tblPr/>
      <w:tcPr>
        <w:tcBorders>
          <w:top w:val="single" w:sz="8" w:space="0" w:color="636AAF" w:themeColor="accent3"/>
          <w:left w:val="nil"/>
          <w:bottom w:val="single" w:sz="8" w:space="0" w:color="636AAF" w:themeColor="accent3"/>
          <w:right w:val="nil"/>
          <w:insideH w:val="nil"/>
          <w:insideV w:val="nil"/>
        </w:tcBorders>
      </w:tcPr>
    </w:tblStylePr>
    <w:tblStylePr w:type="lastRow">
      <w:pPr>
        <w:spacing w:before="0" w:after="0" w:line="240" w:lineRule="auto"/>
      </w:pPr>
      <w:rPr>
        <w:b/>
        <w:bCs/>
      </w:rPr>
      <w:tblPr/>
      <w:tcPr>
        <w:tcBorders>
          <w:top w:val="single" w:sz="8" w:space="0" w:color="636AAF" w:themeColor="accent3"/>
          <w:left w:val="nil"/>
          <w:bottom w:val="single" w:sz="8" w:space="0" w:color="636A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AEB" w:themeFill="accent3" w:themeFillTint="3F"/>
      </w:tcPr>
    </w:tblStylePr>
    <w:tblStylePr w:type="band1Horz">
      <w:tblPr/>
      <w:tcPr>
        <w:tcBorders>
          <w:left w:val="nil"/>
          <w:right w:val="nil"/>
          <w:insideH w:val="nil"/>
          <w:insideV w:val="nil"/>
        </w:tcBorders>
        <w:shd w:val="clear" w:color="auto" w:fill="D8DAEB" w:themeFill="accent3" w:themeFillTint="3F"/>
      </w:tcPr>
    </w:tblStylePr>
  </w:style>
  <w:style w:type="table" w:styleId="LightShading-Accent4">
    <w:name w:val="Light Shading Accent 4"/>
    <w:basedOn w:val="TableNormal"/>
    <w:uiPriority w:val="60"/>
    <w:semiHidden/>
    <w:unhideWhenUsed/>
    <w:rsid w:val="00CF26C4"/>
    <w:pPr>
      <w:spacing w:after="0"/>
    </w:pPr>
    <w:rPr>
      <w:rFonts w:eastAsiaTheme="minorHAnsi" w:cs="Arial"/>
      <w:color w:val="8C4A85" w:themeColor="accent4" w:themeShade="BF"/>
      <w:sz w:val="18"/>
      <w:szCs w:val="18"/>
    </w:rPr>
    <w:tblPr>
      <w:tblStyleRowBandSize w:val="1"/>
      <w:tblStyleColBandSize w:val="1"/>
      <w:tblBorders>
        <w:top w:val="single" w:sz="8" w:space="0" w:color="B26DAB" w:themeColor="accent4"/>
        <w:bottom w:val="single" w:sz="8" w:space="0" w:color="B26DAB" w:themeColor="accent4"/>
      </w:tblBorders>
    </w:tblPr>
    <w:tblStylePr w:type="firstRow">
      <w:pPr>
        <w:spacing w:before="0" w:after="0" w:line="240" w:lineRule="auto"/>
      </w:pPr>
      <w:rPr>
        <w:b/>
        <w:bCs/>
      </w:rPr>
      <w:tblPr/>
      <w:tcPr>
        <w:tcBorders>
          <w:top w:val="single" w:sz="8" w:space="0" w:color="B26DAB" w:themeColor="accent4"/>
          <w:left w:val="nil"/>
          <w:bottom w:val="single" w:sz="8" w:space="0" w:color="B26DAB" w:themeColor="accent4"/>
          <w:right w:val="nil"/>
          <w:insideH w:val="nil"/>
          <w:insideV w:val="nil"/>
        </w:tcBorders>
      </w:tcPr>
    </w:tblStylePr>
    <w:tblStylePr w:type="lastRow">
      <w:pPr>
        <w:spacing w:before="0" w:after="0" w:line="240" w:lineRule="auto"/>
      </w:pPr>
      <w:rPr>
        <w:b/>
        <w:bCs/>
      </w:rPr>
      <w:tblPr/>
      <w:tcPr>
        <w:tcBorders>
          <w:top w:val="single" w:sz="8" w:space="0" w:color="B26DAB" w:themeColor="accent4"/>
          <w:left w:val="nil"/>
          <w:bottom w:val="single" w:sz="8" w:space="0" w:color="B26DA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AEA" w:themeFill="accent4" w:themeFillTint="3F"/>
      </w:tcPr>
    </w:tblStylePr>
    <w:tblStylePr w:type="band1Horz">
      <w:tblPr/>
      <w:tcPr>
        <w:tcBorders>
          <w:left w:val="nil"/>
          <w:right w:val="nil"/>
          <w:insideH w:val="nil"/>
          <w:insideV w:val="nil"/>
        </w:tcBorders>
        <w:shd w:val="clear" w:color="auto" w:fill="ECDAEA" w:themeFill="accent4" w:themeFillTint="3F"/>
      </w:tcPr>
    </w:tblStylePr>
  </w:style>
  <w:style w:type="table" w:styleId="LightShading-Accent5">
    <w:name w:val="Light Shading Accent 5"/>
    <w:basedOn w:val="TableNormal"/>
    <w:uiPriority w:val="60"/>
    <w:semiHidden/>
    <w:unhideWhenUsed/>
    <w:rsid w:val="00CF26C4"/>
    <w:pPr>
      <w:spacing w:after="0"/>
    </w:pPr>
    <w:rPr>
      <w:rFonts w:eastAsiaTheme="minorHAnsi" w:cs="Arial"/>
      <w:color w:val="D25399" w:themeColor="accent5" w:themeShade="BF"/>
      <w:sz w:val="18"/>
      <w:szCs w:val="18"/>
    </w:rPr>
    <w:tblPr>
      <w:tblStyleRowBandSize w:val="1"/>
      <w:tblStyleColBandSize w:val="1"/>
      <w:tblBorders>
        <w:top w:val="single" w:sz="8" w:space="0" w:color="E7A2C8" w:themeColor="accent5"/>
        <w:bottom w:val="single" w:sz="8" w:space="0" w:color="E7A2C8" w:themeColor="accent5"/>
      </w:tblBorders>
    </w:tblPr>
    <w:tblStylePr w:type="firstRow">
      <w:pPr>
        <w:spacing w:before="0" w:after="0" w:line="240" w:lineRule="auto"/>
      </w:pPr>
      <w:rPr>
        <w:b/>
        <w:bCs/>
      </w:rPr>
      <w:tblPr/>
      <w:tcPr>
        <w:tcBorders>
          <w:top w:val="single" w:sz="8" w:space="0" w:color="E7A2C8" w:themeColor="accent5"/>
          <w:left w:val="nil"/>
          <w:bottom w:val="single" w:sz="8" w:space="0" w:color="E7A2C8" w:themeColor="accent5"/>
          <w:right w:val="nil"/>
          <w:insideH w:val="nil"/>
          <w:insideV w:val="nil"/>
        </w:tcBorders>
      </w:tcPr>
    </w:tblStylePr>
    <w:tblStylePr w:type="lastRow">
      <w:pPr>
        <w:spacing w:before="0" w:after="0" w:line="240" w:lineRule="auto"/>
      </w:pPr>
      <w:rPr>
        <w:b/>
        <w:bCs/>
      </w:rPr>
      <w:tblPr/>
      <w:tcPr>
        <w:tcBorders>
          <w:top w:val="single" w:sz="8" w:space="0" w:color="E7A2C8" w:themeColor="accent5"/>
          <w:left w:val="nil"/>
          <w:bottom w:val="single" w:sz="8" w:space="0" w:color="E7A2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7F1" w:themeFill="accent5" w:themeFillTint="3F"/>
      </w:tcPr>
    </w:tblStylePr>
    <w:tblStylePr w:type="band1Horz">
      <w:tblPr/>
      <w:tcPr>
        <w:tcBorders>
          <w:left w:val="nil"/>
          <w:right w:val="nil"/>
          <w:insideH w:val="nil"/>
          <w:insideV w:val="nil"/>
        </w:tcBorders>
        <w:shd w:val="clear" w:color="auto" w:fill="F9E7F1" w:themeFill="accent5" w:themeFillTint="3F"/>
      </w:tcPr>
    </w:tblStylePr>
  </w:style>
  <w:style w:type="table" w:styleId="LightShading-Accent6">
    <w:name w:val="Light Shading Accent 6"/>
    <w:basedOn w:val="TableNormal"/>
    <w:uiPriority w:val="60"/>
    <w:semiHidden/>
    <w:unhideWhenUsed/>
    <w:rsid w:val="00CF26C4"/>
    <w:pPr>
      <w:spacing w:after="0"/>
    </w:pPr>
    <w:rPr>
      <w:rFonts w:eastAsiaTheme="minorHAnsi" w:cs="Arial"/>
      <w:color w:val="41A8EA" w:themeColor="accent6" w:themeShade="BF"/>
      <w:sz w:val="18"/>
      <w:szCs w:val="18"/>
    </w:rPr>
    <w:tblPr>
      <w:tblStyleRowBandSize w:val="1"/>
      <w:tblStyleColBandSize w:val="1"/>
      <w:tblBorders>
        <w:top w:val="single" w:sz="8" w:space="0" w:color="9CD2F4" w:themeColor="accent6"/>
        <w:bottom w:val="single" w:sz="8" w:space="0" w:color="9CD2F4" w:themeColor="accent6"/>
      </w:tblBorders>
    </w:tblPr>
    <w:tblStylePr w:type="firstRow">
      <w:pPr>
        <w:spacing w:before="0" w:after="0" w:line="240" w:lineRule="auto"/>
      </w:pPr>
      <w:rPr>
        <w:b/>
        <w:bCs/>
      </w:rPr>
      <w:tblPr/>
      <w:tcPr>
        <w:tcBorders>
          <w:top w:val="single" w:sz="8" w:space="0" w:color="9CD2F4" w:themeColor="accent6"/>
          <w:left w:val="nil"/>
          <w:bottom w:val="single" w:sz="8" w:space="0" w:color="9CD2F4" w:themeColor="accent6"/>
          <w:right w:val="nil"/>
          <w:insideH w:val="nil"/>
          <w:insideV w:val="nil"/>
        </w:tcBorders>
      </w:tcPr>
    </w:tblStylePr>
    <w:tblStylePr w:type="lastRow">
      <w:pPr>
        <w:spacing w:before="0" w:after="0" w:line="240" w:lineRule="auto"/>
      </w:pPr>
      <w:rPr>
        <w:b/>
        <w:bCs/>
      </w:rPr>
      <w:tblPr/>
      <w:tcPr>
        <w:tcBorders>
          <w:top w:val="single" w:sz="8" w:space="0" w:color="9CD2F4" w:themeColor="accent6"/>
          <w:left w:val="nil"/>
          <w:bottom w:val="single" w:sz="8" w:space="0" w:color="9CD2F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3FC" w:themeFill="accent6" w:themeFillTint="3F"/>
      </w:tcPr>
    </w:tblStylePr>
    <w:tblStylePr w:type="band1Horz">
      <w:tblPr/>
      <w:tcPr>
        <w:tcBorders>
          <w:left w:val="nil"/>
          <w:right w:val="nil"/>
          <w:insideH w:val="nil"/>
          <w:insideV w:val="nil"/>
        </w:tcBorders>
        <w:shd w:val="clear" w:color="auto" w:fill="E6F3FC" w:themeFill="accent6" w:themeFillTint="3F"/>
      </w:tcPr>
    </w:tblStylePr>
  </w:style>
  <w:style w:type="character" w:styleId="LineNumber">
    <w:name w:val="line number"/>
    <w:basedOn w:val="DefaultParagraphFont"/>
    <w:uiPriority w:val="99"/>
    <w:semiHidden/>
    <w:rsid w:val="00CF26C4"/>
  </w:style>
  <w:style w:type="paragraph" w:styleId="List">
    <w:name w:val="List"/>
    <w:basedOn w:val="Normal"/>
    <w:uiPriority w:val="99"/>
    <w:semiHidden/>
    <w:rsid w:val="00CF26C4"/>
    <w:pPr>
      <w:ind w:left="283" w:hanging="283"/>
      <w:contextualSpacing/>
    </w:pPr>
  </w:style>
  <w:style w:type="paragraph" w:styleId="List2">
    <w:name w:val="List 2"/>
    <w:basedOn w:val="Normal"/>
    <w:uiPriority w:val="99"/>
    <w:semiHidden/>
    <w:rsid w:val="00CF26C4"/>
    <w:pPr>
      <w:ind w:left="566" w:hanging="283"/>
      <w:contextualSpacing/>
    </w:pPr>
  </w:style>
  <w:style w:type="paragraph" w:styleId="List3">
    <w:name w:val="List 3"/>
    <w:basedOn w:val="Normal"/>
    <w:uiPriority w:val="99"/>
    <w:semiHidden/>
    <w:rsid w:val="00CF26C4"/>
    <w:pPr>
      <w:ind w:left="849" w:hanging="283"/>
      <w:contextualSpacing/>
    </w:pPr>
  </w:style>
  <w:style w:type="paragraph" w:styleId="List4">
    <w:name w:val="List 4"/>
    <w:basedOn w:val="Normal"/>
    <w:uiPriority w:val="99"/>
    <w:semiHidden/>
    <w:rsid w:val="00CF26C4"/>
    <w:pPr>
      <w:ind w:left="1132" w:hanging="283"/>
      <w:contextualSpacing/>
    </w:pPr>
  </w:style>
  <w:style w:type="paragraph" w:styleId="List5">
    <w:name w:val="List 5"/>
    <w:basedOn w:val="Normal"/>
    <w:uiPriority w:val="99"/>
    <w:semiHidden/>
    <w:rsid w:val="00CF26C4"/>
    <w:pPr>
      <w:ind w:left="1415" w:hanging="283"/>
      <w:contextualSpacing/>
    </w:pPr>
  </w:style>
  <w:style w:type="paragraph" w:styleId="ListBullet">
    <w:name w:val="List Bullet"/>
    <w:basedOn w:val="Normal"/>
    <w:uiPriority w:val="3"/>
    <w:qFormat/>
    <w:rsid w:val="00CF26C4"/>
    <w:pPr>
      <w:numPr>
        <w:numId w:val="1"/>
      </w:numPr>
    </w:pPr>
    <w:rPr>
      <w:rFonts w:eastAsia="Times New Roman" w:cs="Times New Roman"/>
    </w:rPr>
  </w:style>
  <w:style w:type="paragraph" w:styleId="ListBullet2">
    <w:name w:val="List Bullet 2"/>
    <w:basedOn w:val="Normal"/>
    <w:uiPriority w:val="3"/>
    <w:qFormat/>
    <w:rsid w:val="00CF26C4"/>
    <w:pPr>
      <w:numPr>
        <w:ilvl w:val="1"/>
        <w:numId w:val="1"/>
      </w:numPr>
    </w:pPr>
    <w:rPr>
      <w:rFonts w:eastAsia="Times New Roman" w:cs="Times New Roman"/>
    </w:rPr>
  </w:style>
  <w:style w:type="paragraph" w:styleId="ListBullet3">
    <w:name w:val="List Bullet 3"/>
    <w:basedOn w:val="Normal"/>
    <w:uiPriority w:val="3"/>
    <w:qFormat/>
    <w:rsid w:val="00CF26C4"/>
    <w:pPr>
      <w:numPr>
        <w:ilvl w:val="2"/>
        <w:numId w:val="1"/>
      </w:numPr>
    </w:pPr>
    <w:rPr>
      <w:rFonts w:eastAsia="Times New Roman" w:cs="Times New Roman"/>
    </w:rPr>
  </w:style>
  <w:style w:type="paragraph" w:styleId="ListBullet4">
    <w:name w:val="List Bullet 4"/>
    <w:basedOn w:val="Normal"/>
    <w:uiPriority w:val="3"/>
    <w:rsid w:val="00CF26C4"/>
    <w:pPr>
      <w:numPr>
        <w:ilvl w:val="3"/>
        <w:numId w:val="1"/>
      </w:numPr>
    </w:pPr>
    <w:rPr>
      <w:rFonts w:eastAsia="Times New Roman" w:cs="Times New Roman"/>
    </w:rPr>
  </w:style>
  <w:style w:type="paragraph" w:styleId="ListBullet5">
    <w:name w:val="List Bullet 5"/>
    <w:basedOn w:val="Normal"/>
    <w:next w:val="Normal"/>
    <w:uiPriority w:val="3"/>
    <w:semiHidden/>
    <w:rsid w:val="00CF26C4"/>
    <w:pPr>
      <w:numPr>
        <w:numId w:val="2"/>
      </w:numPr>
      <w:contextualSpacing/>
    </w:pPr>
    <w:rPr>
      <w:rFonts w:eastAsia="Times New Roman" w:cs="Courier New"/>
    </w:rPr>
  </w:style>
  <w:style w:type="paragraph" w:styleId="ListContinue">
    <w:name w:val="List Continue"/>
    <w:basedOn w:val="Normal"/>
    <w:uiPriority w:val="99"/>
    <w:semiHidden/>
    <w:rsid w:val="00CF26C4"/>
    <w:pPr>
      <w:spacing w:after="120"/>
      <w:ind w:left="283"/>
      <w:contextualSpacing/>
    </w:pPr>
  </w:style>
  <w:style w:type="paragraph" w:styleId="ListContinue2">
    <w:name w:val="List Continue 2"/>
    <w:basedOn w:val="Normal"/>
    <w:uiPriority w:val="99"/>
    <w:semiHidden/>
    <w:rsid w:val="00CF26C4"/>
    <w:pPr>
      <w:spacing w:after="120"/>
      <w:ind w:left="566"/>
      <w:contextualSpacing/>
    </w:pPr>
  </w:style>
  <w:style w:type="paragraph" w:styleId="ListContinue3">
    <w:name w:val="List Continue 3"/>
    <w:basedOn w:val="Normal"/>
    <w:uiPriority w:val="99"/>
    <w:semiHidden/>
    <w:rsid w:val="00CF26C4"/>
    <w:pPr>
      <w:spacing w:after="120"/>
      <w:ind w:left="849"/>
      <w:contextualSpacing/>
    </w:pPr>
  </w:style>
  <w:style w:type="paragraph" w:styleId="ListContinue4">
    <w:name w:val="List Continue 4"/>
    <w:basedOn w:val="Normal"/>
    <w:uiPriority w:val="99"/>
    <w:semiHidden/>
    <w:rsid w:val="00CF26C4"/>
    <w:pPr>
      <w:spacing w:after="120"/>
      <w:ind w:left="1132"/>
      <w:contextualSpacing/>
    </w:pPr>
  </w:style>
  <w:style w:type="paragraph" w:styleId="ListContinue5">
    <w:name w:val="List Continue 5"/>
    <w:basedOn w:val="Normal"/>
    <w:uiPriority w:val="99"/>
    <w:semiHidden/>
    <w:rsid w:val="00CF26C4"/>
    <w:pPr>
      <w:spacing w:after="120"/>
      <w:ind w:left="1415"/>
      <w:contextualSpacing/>
    </w:pPr>
  </w:style>
  <w:style w:type="paragraph" w:styleId="ListNumber">
    <w:name w:val="List Number"/>
    <w:basedOn w:val="Normal"/>
    <w:uiPriority w:val="3"/>
    <w:qFormat/>
    <w:rsid w:val="00CF26C4"/>
    <w:pPr>
      <w:numPr>
        <w:numId w:val="9"/>
      </w:numPr>
    </w:pPr>
  </w:style>
  <w:style w:type="paragraph" w:styleId="ListNumber2">
    <w:name w:val="List Number 2"/>
    <w:basedOn w:val="Normal"/>
    <w:uiPriority w:val="3"/>
    <w:rsid w:val="00CF26C4"/>
    <w:pPr>
      <w:numPr>
        <w:ilvl w:val="1"/>
        <w:numId w:val="9"/>
      </w:numPr>
    </w:pPr>
  </w:style>
  <w:style w:type="paragraph" w:styleId="ListNumber3">
    <w:name w:val="List Number 3"/>
    <w:basedOn w:val="Normal"/>
    <w:uiPriority w:val="3"/>
    <w:rsid w:val="00CF26C4"/>
    <w:pPr>
      <w:numPr>
        <w:ilvl w:val="2"/>
        <w:numId w:val="9"/>
      </w:numPr>
    </w:pPr>
  </w:style>
  <w:style w:type="paragraph" w:styleId="ListNumber4">
    <w:name w:val="List Number 4"/>
    <w:basedOn w:val="Normal"/>
    <w:uiPriority w:val="3"/>
    <w:rsid w:val="00CF26C4"/>
    <w:pPr>
      <w:numPr>
        <w:ilvl w:val="3"/>
        <w:numId w:val="9"/>
      </w:numPr>
    </w:pPr>
  </w:style>
  <w:style w:type="paragraph" w:styleId="ListNumber5">
    <w:name w:val="List Number 5"/>
    <w:basedOn w:val="Normal"/>
    <w:uiPriority w:val="99"/>
    <w:semiHidden/>
    <w:rsid w:val="00CF26C4"/>
    <w:pPr>
      <w:numPr>
        <w:numId w:val="15"/>
      </w:numPr>
      <w:contextualSpacing/>
    </w:pPr>
  </w:style>
  <w:style w:type="paragraph" w:styleId="ListParagraph">
    <w:name w:val="List Paragraph"/>
    <w:aliases w:val="List Paragraph1,List Paragraph11,L,Recommendation,Bullets,#List Paragraph,Bullet point,DDM Gen Text,List Paragraph - bullets,NFP GP Bulleted List,bullet point list,Bullet points,Content descriptions,Bullet Point,Dot Points"/>
    <w:basedOn w:val="Normal"/>
    <w:link w:val="ListParagraphChar"/>
    <w:uiPriority w:val="99"/>
    <w:semiHidden/>
    <w:rsid w:val="00CF26C4"/>
    <w:pPr>
      <w:ind w:left="720"/>
      <w:contextualSpacing/>
    </w:pPr>
  </w:style>
  <w:style w:type="table" w:styleId="ListTable1Light">
    <w:name w:val="List Table 1 Light"/>
    <w:basedOn w:val="TableNormal"/>
    <w:uiPriority w:val="46"/>
    <w:rsid w:val="00CF26C4"/>
    <w:pPr>
      <w:spacing w:after="0"/>
    </w:pPr>
    <w:rPr>
      <w:rFonts w:eastAsiaTheme="minorHAnsi" w:cs="Arial"/>
      <w:sz w:val="18"/>
      <w:szCs w:val="18"/>
    </w:rPr>
    <w:tblPr>
      <w:tblStyleRowBandSize w:val="1"/>
      <w:tblStyleColBandSize w:val="1"/>
    </w:tblPr>
    <w:tblStylePr w:type="firstRow">
      <w:rPr>
        <w:b/>
        <w:bCs/>
      </w:rPr>
      <w:tblPr/>
      <w:tcPr>
        <w:tcBorders>
          <w:bottom w:val="single" w:sz="4" w:space="0" w:color="777373" w:themeColor="text1" w:themeTint="99"/>
        </w:tcBorders>
      </w:tcPr>
    </w:tblStylePr>
    <w:tblStylePr w:type="lastRow">
      <w:rPr>
        <w:b/>
        <w:bCs/>
      </w:rPr>
      <w:tblPr/>
      <w:tcPr>
        <w:tcBorders>
          <w:top w:val="sing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1Light-Accent1">
    <w:name w:val="List Table 1 Light Accent 1"/>
    <w:basedOn w:val="TableNormal"/>
    <w:uiPriority w:val="46"/>
    <w:rsid w:val="00CF26C4"/>
    <w:pPr>
      <w:spacing w:after="0"/>
    </w:pPr>
    <w:rPr>
      <w:rFonts w:eastAsiaTheme="minorHAnsi" w:cs="Arial"/>
      <w:sz w:val="18"/>
      <w:szCs w:val="18"/>
    </w:rPr>
    <w:tblPr>
      <w:tblStyleRowBandSize w:val="1"/>
      <w:tblStyleColBandSize w:val="1"/>
    </w:tblPr>
    <w:tblStylePr w:type="firstRow">
      <w:rPr>
        <w:b/>
        <w:bCs/>
      </w:rPr>
      <w:tblPr/>
      <w:tcPr>
        <w:tcBorders>
          <w:bottom w:val="single" w:sz="4" w:space="0" w:color="A4D9D2" w:themeColor="accent1" w:themeTint="99"/>
        </w:tcBorders>
      </w:tcPr>
    </w:tblStylePr>
    <w:tblStylePr w:type="lastRow">
      <w:rPr>
        <w:b/>
        <w:bCs/>
      </w:rPr>
      <w:tblPr/>
      <w:tcPr>
        <w:tcBorders>
          <w:top w:val="sing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1Light-Accent2">
    <w:name w:val="List Table 1 Light Accent 2"/>
    <w:basedOn w:val="TableNormal"/>
    <w:uiPriority w:val="46"/>
    <w:rsid w:val="00CF26C4"/>
    <w:pPr>
      <w:spacing w:after="0"/>
    </w:pPr>
    <w:rPr>
      <w:rFonts w:eastAsiaTheme="minorHAnsi" w:cs="Arial"/>
      <w:sz w:val="18"/>
      <w:szCs w:val="18"/>
    </w:rPr>
    <w:tblPr>
      <w:tblStyleRowBandSize w:val="1"/>
      <w:tblStyleColBandSize w:val="1"/>
    </w:tblPr>
    <w:tblStylePr w:type="firstRow">
      <w:rPr>
        <w:b/>
        <w:bCs/>
      </w:rPr>
      <w:tblPr/>
      <w:tcPr>
        <w:tcBorders>
          <w:bottom w:val="single" w:sz="4" w:space="0" w:color="A4CCEB" w:themeColor="accent2" w:themeTint="99"/>
        </w:tcBorders>
      </w:tcPr>
    </w:tblStylePr>
    <w:tblStylePr w:type="lastRow">
      <w:rPr>
        <w:b/>
        <w:bCs/>
      </w:rPr>
      <w:tblPr/>
      <w:tcPr>
        <w:tcBorders>
          <w:top w:val="sing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1Light-Accent3">
    <w:name w:val="List Table 1 Light Accent 3"/>
    <w:basedOn w:val="TableNormal"/>
    <w:uiPriority w:val="46"/>
    <w:rsid w:val="00CF26C4"/>
    <w:pPr>
      <w:spacing w:after="0"/>
    </w:pPr>
    <w:rPr>
      <w:rFonts w:eastAsiaTheme="minorHAnsi" w:cs="Arial"/>
      <w:sz w:val="18"/>
      <w:szCs w:val="18"/>
    </w:rPr>
    <w:tblPr>
      <w:tblStyleRowBandSize w:val="1"/>
      <w:tblStyleColBandSize w:val="1"/>
    </w:tblPr>
    <w:tblStylePr w:type="firstRow">
      <w:rPr>
        <w:b/>
        <w:bCs/>
      </w:rPr>
      <w:tblPr/>
      <w:tcPr>
        <w:tcBorders>
          <w:bottom w:val="single" w:sz="4" w:space="0" w:color="A1A5CF" w:themeColor="accent3" w:themeTint="99"/>
        </w:tcBorders>
      </w:tcPr>
    </w:tblStylePr>
    <w:tblStylePr w:type="lastRow">
      <w:rPr>
        <w:b/>
        <w:bCs/>
      </w:rPr>
      <w:tblPr/>
      <w:tcPr>
        <w:tcBorders>
          <w:top w:val="sing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1Light-Accent4">
    <w:name w:val="List Table 1 Light Accent 4"/>
    <w:basedOn w:val="TableNormal"/>
    <w:uiPriority w:val="46"/>
    <w:rsid w:val="00CF26C4"/>
    <w:pPr>
      <w:spacing w:after="0"/>
    </w:pPr>
    <w:rPr>
      <w:rFonts w:eastAsiaTheme="minorHAnsi" w:cs="Arial"/>
      <w:sz w:val="18"/>
      <w:szCs w:val="18"/>
    </w:rPr>
    <w:tblPr>
      <w:tblStyleRowBandSize w:val="1"/>
      <w:tblStyleColBandSize w:val="1"/>
    </w:tblPr>
    <w:tblStylePr w:type="firstRow">
      <w:rPr>
        <w:b/>
        <w:bCs/>
      </w:rPr>
      <w:tblPr/>
      <w:tcPr>
        <w:tcBorders>
          <w:bottom w:val="single" w:sz="4" w:space="0" w:color="D0A7CC" w:themeColor="accent4" w:themeTint="99"/>
        </w:tcBorders>
      </w:tcPr>
    </w:tblStylePr>
    <w:tblStylePr w:type="lastRow">
      <w:rPr>
        <w:b/>
        <w:bCs/>
      </w:rPr>
      <w:tblPr/>
      <w:tcPr>
        <w:tcBorders>
          <w:top w:val="sing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1Light-Accent5">
    <w:name w:val="List Table 1 Light Accent 5"/>
    <w:basedOn w:val="TableNormal"/>
    <w:uiPriority w:val="46"/>
    <w:rsid w:val="00CF26C4"/>
    <w:pPr>
      <w:spacing w:after="0"/>
    </w:pPr>
    <w:rPr>
      <w:rFonts w:eastAsiaTheme="minorHAnsi" w:cs="Arial"/>
      <w:sz w:val="18"/>
      <w:szCs w:val="18"/>
    </w:rPr>
    <w:tblPr>
      <w:tblStyleRowBandSize w:val="1"/>
      <w:tblStyleColBandSize w:val="1"/>
    </w:tblPr>
    <w:tblStylePr w:type="firstRow">
      <w:rPr>
        <w:b/>
        <w:bCs/>
      </w:rPr>
      <w:tblPr/>
      <w:tcPr>
        <w:tcBorders>
          <w:bottom w:val="single" w:sz="4" w:space="0" w:color="F0C7DD" w:themeColor="accent5" w:themeTint="99"/>
        </w:tcBorders>
      </w:tcPr>
    </w:tblStylePr>
    <w:tblStylePr w:type="lastRow">
      <w:rPr>
        <w:b/>
        <w:bCs/>
      </w:rPr>
      <w:tblPr/>
      <w:tcPr>
        <w:tcBorders>
          <w:top w:val="sing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1Light-Accent6">
    <w:name w:val="List Table 1 Light Accent 6"/>
    <w:basedOn w:val="TableNormal"/>
    <w:uiPriority w:val="46"/>
    <w:rsid w:val="00CF26C4"/>
    <w:pPr>
      <w:spacing w:after="0"/>
    </w:pPr>
    <w:rPr>
      <w:rFonts w:eastAsiaTheme="minorHAnsi" w:cs="Arial"/>
      <w:sz w:val="18"/>
      <w:szCs w:val="18"/>
    </w:rPr>
    <w:tblPr>
      <w:tblStyleRowBandSize w:val="1"/>
      <w:tblStyleColBandSize w:val="1"/>
    </w:tblPr>
    <w:tblStylePr w:type="firstRow">
      <w:rPr>
        <w:b/>
        <w:bCs/>
      </w:rPr>
      <w:tblPr/>
      <w:tcPr>
        <w:tcBorders>
          <w:bottom w:val="single" w:sz="4" w:space="0" w:color="C3E3F8" w:themeColor="accent6" w:themeTint="99"/>
        </w:tcBorders>
      </w:tcPr>
    </w:tblStylePr>
    <w:tblStylePr w:type="lastRow">
      <w:rPr>
        <w:b/>
        <w:bCs/>
      </w:rPr>
      <w:tblPr/>
      <w:tcPr>
        <w:tcBorders>
          <w:top w:val="sing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2">
    <w:name w:val="List Table 2"/>
    <w:basedOn w:val="TableNormal"/>
    <w:uiPriority w:val="47"/>
    <w:rsid w:val="00CF26C4"/>
    <w:pPr>
      <w:spacing w:after="0"/>
    </w:pPr>
    <w:rPr>
      <w:rFonts w:eastAsiaTheme="minorHAnsi" w:cs="Arial"/>
      <w:sz w:val="18"/>
      <w:szCs w:val="18"/>
    </w:rPr>
    <w:tblPr>
      <w:tblStyleRowBandSize w:val="1"/>
      <w:tblStyleColBandSize w:val="1"/>
      <w:tblBorders>
        <w:top w:val="single" w:sz="4" w:space="0" w:color="777373" w:themeColor="text1" w:themeTint="99"/>
        <w:bottom w:val="single" w:sz="4" w:space="0" w:color="777373" w:themeColor="text1" w:themeTint="99"/>
        <w:insideH w:val="single" w:sz="4" w:space="0" w:color="77737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2-Accent1">
    <w:name w:val="List Table 2 Accent 1"/>
    <w:basedOn w:val="TableNormal"/>
    <w:uiPriority w:val="47"/>
    <w:rsid w:val="00CF26C4"/>
    <w:pPr>
      <w:spacing w:after="0"/>
    </w:pPr>
    <w:rPr>
      <w:rFonts w:eastAsiaTheme="minorHAnsi" w:cs="Arial"/>
      <w:sz w:val="18"/>
      <w:szCs w:val="18"/>
    </w:rPr>
    <w:tblPr>
      <w:tblStyleRowBandSize w:val="1"/>
      <w:tblStyleColBandSize w:val="1"/>
      <w:tblBorders>
        <w:top w:val="single" w:sz="4" w:space="0" w:color="A4D9D2" w:themeColor="accent1" w:themeTint="99"/>
        <w:bottom w:val="single" w:sz="4" w:space="0" w:color="A4D9D2" w:themeColor="accent1" w:themeTint="99"/>
        <w:insideH w:val="single" w:sz="4" w:space="0" w:color="A4D9D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2-Accent2">
    <w:name w:val="List Table 2 Accent 2"/>
    <w:basedOn w:val="TableNormal"/>
    <w:uiPriority w:val="47"/>
    <w:rsid w:val="00CF26C4"/>
    <w:pPr>
      <w:spacing w:after="0"/>
    </w:pPr>
    <w:rPr>
      <w:rFonts w:eastAsiaTheme="minorHAnsi" w:cs="Arial"/>
      <w:sz w:val="18"/>
      <w:szCs w:val="18"/>
    </w:rPr>
    <w:tblPr>
      <w:tblStyleRowBandSize w:val="1"/>
      <w:tblStyleColBandSize w:val="1"/>
      <w:tblBorders>
        <w:top w:val="single" w:sz="4" w:space="0" w:color="A4CCEB" w:themeColor="accent2" w:themeTint="99"/>
        <w:bottom w:val="single" w:sz="4" w:space="0" w:color="A4CCEB" w:themeColor="accent2" w:themeTint="99"/>
        <w:insideH w:val="single" w:sz="4" w:space="0" w:color="A4CC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2-Accent3">
    <w:name w:val="List Table 2 Accent 3"/>
    <w:basedOn w:val="TableNormal"/>
    <w:uiPriority w:val="47"/>
    <w:rsid w:val="00CF26C4"/>
    <w:pPr>
      <w:spacing w:after="0"/>
    </w:pPr>
    <w:rPr>
      <w:rFonts w:eastAsiaTheme="minorHAnsi" w:cs="Arial"/>
      <w:sz w:val="18"/>
      <w:szCs w:val="18"/>
    </w:rPr>
    <w:tblPr>
      <w:tblStyleRowBandSize w:val="1"/>
      <w:tblStyleColBandSize w:val="1"/>
      <w:tblBorders>
        <w:top w:val="single" w:sz="4" w:space="0" w:color="A1A5CF" w:themeColor="accent3" w:themeTint="99"/>
        <w:bottom w:val="single" w:sz="4" w:space="0" w:color="A1A5CF" w:themeColor="accent3" w:themeTint="99"/>
        <w:insideH w:val="single" w:sz="4" w:space="0" w:color="A1A5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2-Accent4">
    <w:name w:val="List Table 2 Accent 4"/>
    <w:basedOn w:val="TableNormal"/>
    <w:uiPriority w:val="47"/>
    <w:rsid w:val="00CF26C4"/>
    <w:pPr>
      <w:spacing w:after="0"/>
    </w:pPr>
    <w:rPr>
      <w:rFonts w:eastAsiaTheme="minorHAnsi" w:cs="Arial"/>
      <w:sz w:val="18"/>
      <w:szCs w:val="18"/>
    </w:rPr>
    <w:tblPr>
      <w:tblStyleRowBandSize w:val="1"/>
      <w:tblStyleColBandSize w:val="1"/>
      <w:tblBorders>
        <w:top w:val="single" w:sz="4" w:space="0" w:color="D0A7CC" w:themeColor="accent4" w:themeTint="99"/>
        <w:bottom w:val="single" w:sz="4" w:space="0" w:color="D0A7CC" w:themeColor="accent4" w:themeTint="99"/>
        <w:insideH w:val="single" w:sz="4" w:space="0" w:color="D0A7C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2-Accent5">
    <w:name w:val="List Table 2 Accent 5"/>
    <w:basedOn w:val="TableNormal"/>
    <w:uiPriority w:val="47"/>
    <w:rsid w:val="00CF26C4"/>
    <w:pPr>
      <w:spacing w:after="0"/>
    </w:pPr>
    <w:rPr>
      <w:rFonts w:eastAsiaTheme="minorHAnsi" w:cs="Arial"/>
      <w:sz w:val="18"/>
      <w:szCs w:val="18"/>
    </w:rPr>
    <w:tblPr>
      <w:tblStyleRowBandSize w:val="1"/>
      <w:tblStyleColBandSize w:val="1"/>
      <w:tblBorders>
        <w:top w:val="single" w:sz="4" w:space="0" w:color="F0C7DD" w:themeColor="accent5" w:themeTint="99"/>
        <w:bottom w:val="single" w:sz="4" w:space="0" w:color="F0C7DD" w:themeColor="accent5" w:themeTint="99"/>
        <w:insideH w:val="single" w:sz="4" w:space="0" w:color="F0C7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2-Accent6">
    <w:name w:val="List Table 2 Accent 6"/>
    <w:basedOn w:val="TableNormal"/>
    <w:uiPriority w:val="47"/>
    <w:rsid w:val="00CF26C4"/>
    <w:pPr>
      <w:spacing w:after="0"/>
    </w:pPr>
    <w:rPr>
      <w:rFonts w:eastAsiaTheme="minorHAnsi" w:cs="Arial"/>
      <w:sz w:val="18"/>
      <w:szCs w:val="18"/>
    </w:rPr>
    <w:tblPr>
      <w:tblStyleRowBandSize w:val="1"/>
      <w:tblStyleColBandSize w:val="1"/>
      <w:tblBorders>
        <w:top w:val="single" w:sz="4" w:space="0" w:color="C3E3F8" w:themeColor="accent6" w:themeTint="99"/>
        <w:bottom w:val="single" w:sz="4" w:space="0" w:color="C3E3F8" w:themeColor="accent6" w:themeTint="99"/>
        <w:insideH w:val="single" w:sz="4" w:space="0" w:color="C3E3F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3">
    <w:name w:val="List Table 3"/>
    <w:basedOn w:val="TableNormal"/>
    <w:uiPriority w:val="48"/>
    <w:rsid w:val="00CF26C4"/>
    <w:pPr>
      <w:spacing w:after="0"/>
    </w:pPr>
    <w:rPr>
      <w:rFonts w:eastAsiaTheme="minorHAnsi" w:cs="Arial"/>
      <w:sz w:val="18"/>
      <w:szCs w:val="18"/>
    </w:rPr>
    <w:tblPr>
      <w:tblStyleRowBandSize w:val="1"/>
      <w:tblStyleColBandSize w:val="1"/>
      <w:tblBorders>
        <w:top w:val="single" w:sz="4" w:space="0" w:color="1A1919" w:themeColor="text1"/>
        <w:left w:val="single" w:sz="4" w:space="0" w:color="1A1919" w:themeColor="text1"/>
        <w:bottom w:val="single" w:sz="4" w:space="0" w:color="1A1919" w:themeColor="text1"/>
        <w:right w:val="single" w:sz="4" w:space="0" w:color="1A1919" w:themeColor="text1"/>
      </w:tblBorders>
    </w:tblPr>
    <w:tblStylePr w:type="firstRow">
      <w:rPr>
        <w:b/>
        <w:bCs/>
        <w:color w:val="FFFFFF" w:themeColor="background1"/>
      </w:rPr>
      <w:tblPr/>
      <w:tcPr>
        <w:shd w:val="clear" w:color="auto" w:fill="1A1919" w:themeFill="text1"/>
      </w:tcPr>
    </w:tblStylePr>
    <w:tblStylePr w:type="lastRow">
      <w:rPr>
        <w:b/>
        <w:bCs/>
      </w:rPr>
      <w:tblPr/>
      <w:tcPr>
        <w:tcBorders>
          <w:top w:val="double" w:sz="4" w:space="0" w:color="1A191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1919" w:themeColor="text1"/>
          <w:right w:val="single" w:sz="4" w:space="0" w:color="1A1919" w:themeColor="text1"/>
        </w:tcBorders>
      </w:tcPr>
    </w:tblStylePr>
    <w:tblStylePr w:type="band1Horz">
      <w:tblPr/>
      <w:tcPr>
        <w:tcBorders>
          <w:top w:val="single" w:sz="4" w:space="0" w:color="1A1919" w:themeColor="text1"/>
          <w:bottom w:val="single" w:sz="4" w:space="0" w:color="1A191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1919" w:themeColor="text1"/>
          <w:left w:val="nil"/>
        </w:tcBorders>
      </w:tcPr>
    </w:tblStylePr>
    <w:tblStylePr w:type="swCell">
      <w:tblPr/>
      <w:tcPr>
        <w:tcBorders>
          <w:top w:val="double" w:sz="4" w:space="0" w:color="1A1919" w:themeColor="text1"/>
          <w:right w:val="nil"/>
        </w:tcBorders>
      </w:tcPr>
    </w:tblStylePr>
  </w:style>
  <w:style w:type="table" w:styleId="ListTable3-Accent1">
    <w:name w:val="List Table 3 Accent 1"/>
    <w:basedOn w:val="TableNormal"/>
    <w:uiPriority w:val="48"/>
    <w:rsid w:val="00CF26C4"/>
    <w:pPr>
      <w:spacing w:after="0"/>
    </w:pPr>
    <w:rPr>
      <w:rFonts w:eastAsiaTheme="minorHAnsi" w:cs="Arial"/>
      <w:sz w:val="18"/>
      <w:szCs w:val="18"/>
    </w:rPr>
    <w:tblPr>
      <w:tblStyleRowBandSize w:val="1"/>
      <w:tblStyleColBandSize w:val="1"/>
      <w:tblBorders>
        <w:top w:val="single" w:sz="4" w:space="0" w:color="68C0B5" w:themeColor="accent1"/>
        <w:left w:val="single" w:sz="4" w:space="0" w:color="68C0B5" w:themeColor="accent1"/>
        <w:bottom w:val="single" w:sz="4" w:space="0" w:color="68C0B5" w:themeColor="accent1"/>
        <w:right w:val="single" w:sz="4" w:space="0" w:color="68C0B5" w:themeColor="accent1"/>
      </w:tblBorders>
    </w:tblPr>
    <w:tblStylePr w:type="firstRow">
      <w:rPr>
        <w:b/>
        <w:bCs/>
        <w:color w:val="FFFFFF" w:themeColor="background1"/>
      </w:rPr>
      <w:tblPr/>
      <w:tcPr>
        <w:shd w:val="clear" w:color="auto" w:fill="68C0B5" w:themeFill="accent1"/>
      </w:tcPr>
    </w:tblStylePr>
    <w:tblStylePr w:type="lastRow">
      <w:rPr>
        <w:b/>
        <w:bCs/>
      </w:rPr>
      <w:tblPr/>
      <w:tcPr>
        <w:tcBorders>
          <w:top w:val="double" w:sz="4" w:space="0" w:color="68C0B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C0B5" w:themeColor="accent1"/>
          <w:right w:val="single" w:sz="4" w:space="0" w:color="68C0B5" w:themeColor="accent1"/>
        </w:tcBorders>
      </w:tcPr>
    </w:tblStylePr>
    <w:tblStylePr w:type="band1Horz">
      <w:tblPr/>
      <w:tcPr>
        <w:tcBorders>
          <w:top w:val="single" w:sz="4" w:space="0" w:color="68C0B5" w:themeColor="accent1"/>
          <w:bottom w:val="single" w:sz="4" w:space="0" w:color="68C0B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C0B5" w:themeColor="accent1"/>
          <w:left w:val="nil"/>
        </w:tcBorders>
      </w:tcPr>
    </w:tblStylePr>
    <w:tblStylePr w:type="swCell">
      <w:tblPr/>
      <w:tcPr>
        <w:tcBorders>
          <w:top w:val="double" w:sz="4" w:space="0" w:color="68C0B5" w:themeColor="accent1"/>
          <w:right w:val="nil"/>
        </w:tcBorders>
      </w:tcPr>
    </w:tblStylePr>
  </w:style>
  <w:style w:type="table" w:styleId="ListTable3-Accent2">
    <w:name w:val="List Table 3 Accent 2"/>
    <w:basedOn w:val="TableNormal"/>
    <w:uiPriority w:val="48"/>
    <w:rsid w:val="00CF26C4"/>
    <w:pPr>
      <w:spacing w:after="0"/>
    </w:pPr>
    <w:rPr>
      <w:rFonts w:eastAsiaTheme="minorHAnsi" w:cs="Arial"/>
      <w:sz w:val="18"/>
      <w:szCs w:val="18"/>
    </w:rPr>
    <w:tblPr>
      <w:tblStyleRowBandSize w:val="1"/>
      <w:tblStyleColBandSize w:val="1"/>
      <w:tblBorders>
        <w:top w:val="single" w:sz="4" w:space="0" w:color="69ACDF" w:themeColor="accent2"/>
        <w:left w:val="single" w:sz="4" w:space="0" w:color="69ACDF" w:themeColor="accent2"/>
        <w:bottom w:val="single" w:sz="4" w:space="0" w:color="69ACDF" w:themeColor="accent2"/>
        <w:right w:val="single" w:sz="4" w:space="0" w:color="69ACDF" w:themeColor="accent2"/>
      </w:tblBorders>
    </w:tblPr>
    <w:tblStylePr w:type="firstRow">
      <w:rPr>
        <w:b/>
        <w:bCs/>
        <w:color w:val="FFFFFF" w:themeColor="background1"/>
      </w:rPr>
      <w:tblPr/>
      <w:tcPr>
        <w:shd w:val="clear" w:color="auto" w:fill="69ACDF" w:themeFill="accent2"/>
      </w:tcPr>
    </w:tblStylePr>
    <w:tblStylePr w:type="lastRow">
      <w:rPr>
        <w:b/>
        <w:bCs/>
      </w:rPr>
      <w:tblPr/>
      <w:tcPr>
        <w:tcBorders>
          <w:top w:val="double" w:sz="4" w:space="0" w:color="69AC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ACDF" w:themeColor="accent2"/>
          <w:right w:val="single" w:sz="4" w:space="0" w:color="69ACDF" w:themeColor="accent2"/>
        </w:tcBorders>
      </w:tcPr>
    </w:tblStylePr>
    <w:tblStylePr w:type="band1Horz">
      <w:tblPr/>
      <w:tcPr>
        <w:tcBorders>
          <w:top w:val="single" w:sz="4" w:space="0" w:color="69ACDF" w:themeColor="accent2"/>
          <w:bottom w:val="single" w:sz="4" w:space="0" w:color="69AC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ACDF" w:themeColor="accent2"/>
          <w:left w:val="nil"/>
        </w:tcBorders>
      </w:tcPr>
    </w:tblStylePr>
    <w:tblStylePr w:type="swCell">
      <w:tblPr/>
      <w:tcPr>
        <w:tcBorders>
          <w:top w:val="double" w:sz="4" w:space="0" w:color="69ACDF" w:themeColor="accent2"/>
          <w:right w:val="nil"/>
        </w:tcBorders>
      </w:tcPr>
    </w:tblStylePr>
  </w:style>
  <w:style w:type="table" w:styleId="ListTable3-Accent3">
    <w:name w:val="List Table 3 Accent 3"/>
    <w:basedOn w:val="TableNormal"/>
    <w:uiPriority w:val="48"/>
    <w:rsid w:val="00CF26C4"/>
    <w:pPr>
      <w:spacing w:after="0"/>
    </w:pPr>
    <w:rPr>
      <w:rFonts w:eastAsiaTheme="minorHAnsi" w:cs="Arial"/>
      <w:sz w:val="18"/>
      <w:szCs w:val="18"/>
    </w:rPr>
    <w:tblPr>
      <w:tblStyleRowBandSize w:val="1"/>
      <w:tblStyleColBandSize w:val="1"/>
      <w:tblBorders>
        <w:top w:val="single" w:sz="4" w:space="0" w:color="636AAF" w:themeColor="accent3"/>
        <w:left w:val="single" w:sz="4" w:space="0" w:color="636AAF" w:themeColor="accent3"/>
        <w:bottom w:val="single" w:sz="4" w:space="0" w:color="636AAF" w:themeColor="accent3"/>
        <w:right w:val="single" w:sz="4" w:space="0" w:color="636AAF" w:themeColor="accent3"/>
      </w:tblBorders>
    </w:tblPr>
    <w:tblStylePr w:type="firstRow">
      <w:rPr>
        <w:b/>
        <w:bCs/>
        <w:color w:val="FFFFFF" w:themeColor="background1"/>
      </w:rPr>
      <w:tblPr/>
      <w:tcPr>
        <w:shd w:val="clear" w:color="auto" w:fill="636AAF" w:themeFill="accent3"/>
      </w:tcPr>
    </w:tblStylePr>
    <w:tblStylePr w:type="lastRow">
      <w:rPr>
        <w:b/>
        <w:bCs/>
      </w:rPr>
      <w:tblPr/>
      <w:tcPr>
        <w:tcBorders>
          <w:top w:val="double" w:sz="4" w:space="0" w:color="636AA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6AAF" w:themeColor="accent3"/>
          <w:right w:val="single" w:sz="4" w:space="0" w:color="636AAF" w:themeColor="accent3"/>
        </w:tcBorders>
      </w:tcPr>
    </w:tblStylePr>
    <w:tblStylePr w:type="band1Horz">
      <w:tblPr/>
      <w:tcPr>
        <w:tcBorders>
          <w:top w:val="single" w:sz="4" w:space="0" w:color="636AAF" w:themeColor="accent3"/>
          <w:bottom w:val="single" w:sz="4" w:space="0" w:color="636A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6AAF" w:themeColor="accent3"/>
          <w:left w:val="nil"/>
        </w:tcBorders>
      </w:tcPr>
    </w:tblStylePr>
    <w:tblStylePr w:type="swCell">
      <w:tblPr/>
      <w:tcPr>
        <w:tcBorders>
          <w:top w:val="double" w:sz="4" w:space="0" w:color="636AAF" w:themeColor="accent3"/>
          <w:right w:val="nil"/>
        </w:tcBorders>
      </w:tcPr>
    </w:tblStylePr>
  </w:style>
  <w:style w:type="table" w:styleId="ListTable3-Accent4">
    <w:name w:val="List Table 3 Accent 4"/>
    <w:basedOn w:val="TableNormal"/>
    <w:uiPriority w:val="48"/>
    <w:rsid w:val="00CF26C4"/>
    <w:pPr>
      <w:spacing w:after="0"/>
    </w:pPr>
    <w:rPr>
      <w:rFonts w:eastAsiaTheme="minorHAnsi" w:cs="Arial"/>
      <w:sz w:val="18"/>
      <w:szCs w:val="18"/>
    </w:rPr>
    <w:tblPr>
      <w:tblStyleRowBandSize w:val="1"/>
      <w:tblStyleColBandSize w:val="1"/>
      <w:tblBorders>
        <w:top w:val="single" w:sz="4" w:space="0" w:color="B26DAB" w:themeColor="accent4"/>
        <w:left w:val="single" w:sz="4" w:space="0" w:color="B26DAB" w:themeColor="accent4"/>
        <w:bottom w:val="single" w:sz="4" w:space="0" w:color="B26DAB" w:themeColor="accent4"/>
        <w:right w:val="single" w:sz="4" w:space="0" w:color="B26DAB" w:themeColor="accent4"/>
      </w:tblBorders>
    </w:tblPr>
    <w:tblStylePr w:type="firstRow">
      <w:rPr>
        <w:b/>
        <w:bCs/>
        <w:color w:val="FFFFFF" w:themeColor="background1"/>
      </w:rPr>
      <w:tblPr/>
      <w:tcPr>
        <w:shd w:val="clear" w:color="auto" w:fill="B26DAB" w:themeFill="accent4"/>
      </w:tcPr>
    </w:tblStylePr>
    <w:tblStylePr w:type="lastRow">
      <w:rPr>
        <w:b/>
        <w:bCs/>
      </w:rPr>
      <w:tblPr/>
      <w:tcPr>
        <w:tcBorders>
          <w:top w:val="double" w:sz="4" w:space="0" w:color="B26DA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DAB" w:themeColor="accent4"/>
          <w:right w:val="single" w:sz="4" w:space="0" w:color="B26DAB" w:themeColor="accent4"/>
        </w:tcBorders>
      </w:tcPr>
    </w:tblStylePr>
    <w:tblStylePr w:type="band1Horz">
      <w:tblPr/>
      <w:tcPr>
        <w:tcBorders>
          <w:top w:val="single" w:sz="4" w:space="0" w:color="B26DAB" w:themeColor="accent4"/>
          <w:bottom w:val="single" w:sz="4" w:space="0" w:color="B26DA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DAB" w:themeColor="accent4"/>
          <w:left w:val="nil"/>
        </w:tcBorders>
      </w:tcPr>
    </w:tblStylePr>
    <w:tblStylePr w:type="swCell">
      <w:tblPr/>
      <w:tcPr>
        <w:tcBorders>
          <w:top w:val="double" w:sz="4" w:space="0" w:color="B26DAB" w:themeColor="accent4"/>
          <w:right w:val="nil"/>
        </w:tcBorders>
      </w:tcPr>
    </w:tblStylePr>
  </w:style>
  <w:style w:type="table" w:styleId="ListTable3-Accent5">
    <w:name w:val="List Table 3 Accent 5"/>
    <w:basedOn w:val="TableNormal"/>
    <w:uiPriority w:val="48"/>
    <w:rsid w:val="00CF26C4"/>
    <w:pPr>
      <w:spacing w:after="0"/>
    </w:pPr>
    <w:rPr>
      <w:rFonts w:eastAsiaTheme="minorHAnsi" w:cs="Arial"/>
      <w:sz w:val="18"/>
      <w:szCs w:val="18"/>
    </w:rPr>
    <w:tblPr>
      <w:tblStyleRowBandSize w:val="1"/>
      <w:tblStyleColBandSize w:val="1"/>
      <w:tblBorders>
        <w:top w:val="single" w:sz="4" w:space="0" w:color="E7A2C8" w:themeColor="accent5"/>
        <w:left w:val="single" w:sz="4" w:space="0" w:color="E7A2C8" w:themeColor="accent5"/>
        <w:bottom w:val="single" w:sz="4" w:space="0" w:color="E7A2C8" w:themeColor="accent5"/>
        <w:right w:val="single" w:sz="4" w:space="0" w:color="E7A2C8" w:themeColor="accent5"/>
      </w:tblBorders>
    </w:tblPr>
    <w:tblStylePr w:type="firstRow">
      <w:rPr>
        <w:b/>
        <w:bCs/>
        <w:color w:val="FFFFFF" w:themeColor="background1"/>
      </w:rPr>
      <w:tblPr/>
      <w:tcPr>
        <w:shd w:val="clear" w:color="auto" w:fill="E7A2C8" w:themeFill="accent5"/>
      </w:tcPr>
    </w:tblStylePr>
    <w:tblStylePr w:type="lastRow">
      <w:rPr>
        <w:b/>
        <w:bCs/>
      </w:rPr>
      <w:tblPr/>
      <w:tcPr>
        <w:tcBorders>
          <w:top w:val="double" w:sz="4" w:space="0" w:color="E7A2C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A2C8" w:themeColor="accent5"/>
          <w:right w:val="single" w:sz="4" w:space="0" w:color="E7A2C8" w:themeColor="accent5"/>
        </w:tcBorders>
      </w:tcPr>
    </w:tblStylePr>
    <w:tblStylePr w:type="band1Horz">
      <w:tblPr/>
      <w:tcPr>
        <w:tcBorders>
          <w:top w:val="single" w:sz="4" w:space="0" w:color="E7A2C8" w:themeColor="accent5"/>
          <w:bottom w:val="single" w:sz="4" w:space="0" w:color="E7A2C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A2C8" w:themeColor="accent5"/>
          <w:left w:val="nil"/>
        </w:tcBorders>
      </w:tcPr>
    </w:tblStylePr>
    <w:tblStylePr w:type="swCell">
      <w:tblPr/>
      <w:tcPr>
        <w:tcBorders>
          <w:top w:val="double" w:sz="4" w:space="0" w:color="E7A2C8" w:themeColor="accent5"/>
          <w:right w:val="nil"/>
        </w:tcBorders>
      </w:tcPr>
    </w:tblStylePr>
  </w:style>
  <w:style w:type="table" w:styleId="ListTable3-Accent6">
    <w:name w:val="List Table 3 Accent 6"/>
    <w:basedOn w:val="TableNormal"/>
    <w:uiPriority w:val="48"/>
    <w:rsid w:val="00CF26C4"/>
    <w:pPr>
      <w:spacing w:after="0"/>
    </w:pPr>
    <w:rPr>
      <w:rFonts w:eastAsiaTheme="minorHAnsi" w:cs="Arial"/>
      <w:sz w:val="18"/>
      <w:szCs w:val="18"/>
    </w:rPr>
    <w:tblPr>
      <w:tblStyleRowBandSize w:val="1"/>
      <w:tblStyleColBandSize w:val="1"/>
      <w:tblBorders>
        <w:top w:val="single" w:sz="4" w:space="0" w:color="9CD2F4" w:themeColor="accent6"/>
        <w:left w:val="single" w:sz="4" w:space="0" w:color="9CD2F4" w:themeColor="accent6"/>
        <w:bottom w:val="single" w:sz="4" w:space="0" w:color="9CD2F4" w:themeColor="accent6"/>
        <w:right w:val="single" w:sz="4" w:space="0" w:color="9CD2F4" w:themeColor="accent6"/>
      </w:tblBorders>
    </w:tblPr>
    <w:tblStylePr w:type="firstRow">
      <w:rPr>
        <w:b/>
        <w:bCs/>
        <w:color w:val="FFFFFF" w:themeColor="background1"/>
      </w:rPr>
      <w:tblPr/>
      <w:tcPr>
        <w:shd w:val="clear" w:color="auto" w:fill="9CD2F4" w:themeFill="accent6"/>
      </w:tcPr>
    </w:tblStylePr>
    <w:tblStylePr w:type="lastRow">
      <w:rPr>
        <w:b/>
        <w:bCs/>
      </w:rPr>
      <w:tblPr/>
      <w:tcPr>
        <w:tcBorders>
          <w:top w:val="double" w:sz="4" w:space="0" w:color="9CD2F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D2F4" w:themeColor="accent6"/>
          <w:right w:val="single" w:sz="4" w:space="0" w:color="9CD2F4" w:themeColor="accent6"/>
        </w:tcBorders>
      </w:tcPr>
    </w:tblStylePr>
    <w:tblStylePr w:type="band1Horz">
      <w:tblPr/>
      <w:tcPr>
        <w:tcBorders>
          <w:top w:val="single" w:sz="4" w:space="0" w:color="9CD2F4" w:themeColor="accent6"/>
          <w:bottom w:val="single" w:sz="4" w:space="0" w:color="9CD2F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D2F4" w:themeColor="accent6"/>
          <w:left w:val="nil"/>
        </w:tcBorders>
      </w:tcPr>
    </w:tblStylePr>
    <w:tblStylePr w:type="swCell">
      <w:tblPr/>
      <w:tcPr>
        <w:tcBorders>
          <w:top w:val="double" w:sz="4" w:space="0" w:color="9CD2F4" w:themeColor="accent6"/>
          <w:right w:val="nil"/>
        </w:tcBorders>
      </w:tcPr>
    </w:tblStylePr>
  </w:style>
  <w:style w:type="table" w:styleId="ListTable4">
    <w:name w:val="List Table 4"/>
    <w:basedOn w:val="TableNormal"/>
    <w:uiPriority w:val="49"/>
    <w:rsid w:val="00CF26C4"/>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tblBorders>
    </w:tblPr>
    <w:tblStylePr w:type="firstRow">
      <w:rPr>
        <w:b/>
        <w:bCs/>
        <w:color w:val="FFFFFF" w:themeColor="background1"/>
      </w:rPr>
      <w:tblPr/>
      <w:tcPr>
        <w:tcBorders>
          <w:top w:val="single" w:sz="4" w:space="0" w:color="1A1919" w:themeColor="text1"/>
          <w:left w:val="single" w:sz="4" w:space="0" w:color="1A1919" w:themeColor="text1"/>
          <w:bottom w:val="single" w:sz="4" w:space="0" w:color="1A1919" w:themeColor="text1"/>
          <w:right w:val="single" w:sz="4" w:space="0" w:color="1A1919" w:themeColor="text1"/>
          <w:insideH w:val="nil"/>
        </w:tcBorders>
        <w:shd w:val="clear" w:color="auto" w:fill="1A1919" w:themeFill="text1"/>
      </w:tcPr>
    </w:tblStylePr>
    <w:tblStylePr w:type="lastRow">
      <w:rPr>
        <w:b/>
        <w:bCs/>
      </w:rPr>
      <w:tblPr/>
      <w:tcPr>
        <w:tcBorders>
          <w:top w:val="doub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4-Accent1">
    <w:name w:val="List Table 4 Accent 1"/>
    <w:basedOn w:val="TableNormal"/>
    <w:uiPriority w:val="49"/>
    <w:rsid w:val="00CF26C4"/>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tblBorders>
    </w:tblPr>
    <w:tblStylePr w:type="firstRow">
      <w:rPr>
        <w:b/>
        <w:bCs/>
        <w:color w:val="FFFFFF" w:themeColor="background1"/>
      </w:rPr>
      <w:tblPr/>
      <w:tcPr>
        <w:tcBorders>
          <w:top w:val="single" w:sz="4" w:space="0" w:color="68C0B5" w:themeColor="accent1"/>
          <w:left w:val="single" w:sz="4" w:space="0" w:color="68C0B5" w:themeColor="accent1"/>
          <w:bottom w:val="single" w:sz="4" w:space="0" w:color="68C0B5" w:themeColor="accent1"/>
          <w:right w:val="single" w:sz="4" w:space="0" w:color="68C0B5" w:themeColor="accent1"/>
          <w:insideH w:val="nil"/>
        </w:tcBorders>
        <w:shd w:val="clear" w:color="auto" w:fill="68C0B5" w:themeFill="accent1"/>
      </w:tcPr>
    </w:tblStylePr>
    <w:tblStylePr w:type="lastRow">
      <w:rPr>
        <w:b/>
        <w:bCs/>
      </w:rPr>
      <w:tblPr/>
      <w:tcPr>
        <w:tcBorders>
          <w:top w:val="doub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4-Accent2">
    <w:name w:val="List Table 4 Accent 2"/>
    <w:basedOn w:val="TableNormal"/>
    <w:uiPriority w:val="49"/>
    <w:rsid w:val="00CF26C4"/>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tblBorders>
    </w:tblPr>
    <w:tblStylePr w:type="firstRow">
      <w:rPr>
        <w:b/>
        <w:bCs/>
        <w:color w:val="FFFFFF" w:themeColor="background1"/>
      </w:rPr>
      <w:tblPr/>
      <w:tcPr>
        <w:tcBorders>
          <w:top w:val="single" w:sz="4" w:space="0" w:color="69ACDF" w:themeColor="accent2"/>
          <w:left w:val="single" w:sz="4" w:space="0" w:color="69ACDF" w:themeColor="accent2"/>
          <w:bottom w:val="single" w:sz="4" w:space="0" w:color="69ACDF" w:themeColor="accent2"/>
          <w:right w:val="single" w:sz="4" w:space="0" w:color="69ACDF" w:themeColor="accent2"/>
          <w:insideH w:val="nil"/>
        </w:tcBorders>
        <w:shd w:val="clear" w:color="auto" w:fill="69ACDF" w:themeFill="accent2"/>
      </w:tcPr>
    </w:tblStylePr>
    <w:tblStylePr w:type="lastRow">
      <w:rPr>
        <w:b/>
        <w:bCs/>
      </w:rPr>
      <w:tblPr/>
      <w:tcPr>
        <w:tcBorders>
          <w:top w:val="doub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4-Accent3">
    <w:name w:val="List Table 4 Accent 3"/>
    <w:basedOn w:val="TableNormal"/>
    <w:uiPriority w:val="49"/>
    <w:rsid w:val="00CF26C4"/>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tblBorders>
    </w:tblPr>
    <w:tblStylePr w:type="firstRow">
      <w:rPr>
        <w:b/>
        <w:bCs/>
        <w:color w:val="FFFFFF" w:themeColor="background1"/>
      </w:rPr>
      <w:tblPr/>
      <w:tcPr>
        <w:tcBorders>
          <w:top w:val="single" w:sz="4" w:space="0" w:color="636AAF" w:themeColor="accent3"/>
          <w:left w:val="single" w:sz="4" w:space="0" w:color="636AAF" w:themeColor="accent3"/>
          <w:bottom w:val="single" w:sz="4" w:space="0" w:color="636AAF" w:themeColor="accent3"/>
          <w:right w:val="single" w:sz="4" w:space="0" w:color="636AAF" w:themeColor="accent3"/>
          <w:insideH w:val="nil"/>
        </w:tcBorders>
        <w:shd w:val="clear" w:color="auto" w:fill="636AAF" w:themeFill="accent3"/>
      </w:tcPr>
    </w:tblStylePr>
    <w:tblStylePr w:type="lastRow">
      <w:rPr>
        <w:b/>
        <w:bCs/>
      </w:rPr>
      <w:tblPr/>
      <w:tcPr>
        <w:tcBorders>
          <w:top w:val="doub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4-Accent4">
    <w:name w:val="List Table 4 Accent 4"/>
    <w:basedOn w:val="TableNormal"/>
    <w:uiPriority w:val="49"/>
    <w:rsid w:val="00CF26C4"/>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tblBorders>
    </w:tblPr>
    <w:tblStylePr w:type="firstRow">
      <w:rPr>
        <w:b/>
        <w:bCs/>
        <w:color w:val="FFFFFF" w:themeColor="background1"/>
      </w:rPr>
      <w:tblPr/>
      <w:tcPr>
        <w:tcBorders>
          <w:top w:val="single" w:sz="4" w:space="0" w:color="B26DAB" w:themeColor="accent4"/>
          <w:left w:val="single" w:sz="4" w:space="0" w:color="B26DAB" w:themeColor="accent4"/>
          <w:bottom w:val="single" w:sz="4" w:space="0" w:color="B26DAB" w:themeColor="accent4"/>
          <w:right w:val="single" w:sz="4" w:space="0" w:color="B26DAB" w:themeColor="accent4"/>
          <w:insideH w:val="nil"/>
        </w:tcBorders>
        <w:shd w:val="clear" w:color="auto" w:fill="B26DAB" w:themeFill="accent4"/>
      </w:tcPr>
    </w:tblStylePr>
    <w:tblStylePr w:type="lastRow">
      <w:rPr>
        <w:b/>
        <w:bCs/>
      </w:rPr>
      <w:tblPr/>
      <w:tcPr>
        <w:tcBorders>
          <w:top w:val="doub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4-Accent5">
    <w:name w:val="List Table 4 Accent 5"/>
    <w:basedOn w:val="TableNormal"/>
    <w:uiPriority w:val="49"/>
    <w:rsid w:val="00CF26C4"/>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tblBorders>
    </w:tblPr>
    <w:tblStylePr w:type="firstRow">
      <w:rPr>
        <w:b/>
        <w:bCs/>
        <w:color w:val="FFFFFF" w:themeColor="background1"/>
      </w:rPr>
      <w:tblPr/>
      <w:tcPr>
        <w:tcBorders>
          <w:top w:val="single" w:sz="4" w:space="0" w:color="E7A2C8" w:themeColor="accent5"/>
          <w:left w:val="single" w:sz="4" w:space="0" w:color="E7A2C8" w:themeColor="accent5"/>
          <w:bottom w:val="single" w:sz="4" w:space="0" w:color="E7A2C8" w:themeColor="accent5"/>
          <w:right w:val="single" w:sz="4" w:space="0" w:color="E7A2C8" w:themeColor="accent5"/>
          <w:insideH w:val="nil"/>
        </w:tcBorders>
        <w:shd w:val="clear" w:color="auto" w:fill="E7A2C8" w:themeFill="accent5"/>
      </w:tcPr>
    </w:tblStylePr>
    <w:tblStylePr w:type="lastRow">
      <w:rPr>
        <w:b/>
        <w:bCs/>
      </w:rPr>
      <w:tblPr/>
      <w:tcPr>
        <w:tcBorders>
          <w:top w:val="doub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4-Accent6">
    <w:name w:val="List Table 4 Accent 6"/>
    <w:basedOn w:val="TableNormal"/>
    <w:uiPriority w:val="49"/>
    <w:rsid w:val="00CF26C4"/>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tblBorders>
    </w:tblPr>
    <w:tblStylePr w:type="firstRow">
      <w:rPr>
        <w:b/>
        <w:bCs/>
        <w:color w:val="FFFFFF" w:themeColor="background1"/>
      </w:rPr>
      <w:tblPr/>
      <w:tcPr>
        <w:tcBorders>
          <w:top w:val="single" w:sz="4" w:space="0" w:color="9CD2F4" w:themeColor="accent6"/>
          <w:left w:val="single" w:sz="4" w:space="0" w:color="9CD2F4" w:themeColor="accent6"/>
          <w:bottom w:val="single" w:sz="4" w:space="0" w:color="9CD2F4" w:themeColor="accent6"/>
          <w:right w:val="single" w:sz="4" w:space="0" w:color="9CD2F4" w:themeColor="accent6"/>
          <w:insideH w:val="nil"/>
        </w:tcBorders>
        <w:shd w:val="clear" w:color="auto" w:fill="9CD2F4" w:themeFill="accent6"/>
      </w:tcPr>
    </w:tblStylePr>
    <w:tblStylePr w:type="lastRow">
      <w:rPr>
        <w:b/>
        <w:bCs/>
      </w:rPr>
      <w:tblPr/>
      <w:tcPr>
        <w:tcBorders>
          <w:top w:val="doub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5Dark">
    <w:name w:val="List Table 5 Dark"/>
    <w:basedOn w:val="TableNormal"/>
    <w:uiPriority w:val="50"/>
    <w:rsid w:val="00CF26C4"/>
    <w:pPr>
      <w:spacing w:after="0"/>
    </w:pPr>
    <w:rPr>
      <w:rFonts w:eastAsiaTheme="minorHAnsi" w:cs="Arial"/>
      <w:color w:val="FFFFFF" w:themeColor="background1"/>
      <w:sz w:val="18"/>
      <w:szCs w:val="18"/>
    </w:rPr>
    <w:tblPr>
      <w:tblStyleRowBandSize w:val="1"/>
      <w:tblStyleColBandSize w:val="1"/>
      <w:tblBorders>
        <w:top w:val="single" w:sz="24" w:space="0" w:color="1A1919" w:themeColor="text1"/>
        <w:left w:val="single" w:sz="24" w:space="0" w:color="1A1919" w:themeColor="text1"/>
        <w:bottom w:val="single" w:sz="24" w:space="0" w:color="1A1919" w:themeColor="text1"/>
        <w:right w:val="single" w:sz="24" w:space="0" w:color="1A1919" w:themeColor="text1"/>
      </w:tblBorders>
    </w:tblPr>
    <w:tcPr>
      <w:shd w:val="clear" w:color="auto" w:fill="1A191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26C4"/>
    <w:pPr>
      <w:spacing w:after="0"/>
    </w:pPr>
    <w:rPr>
      <w:rFonts w:eastAsiaTheme="minorHAnsi" w:cs="Arial"/>
      <w:color w:val="FFFFFF" w:themeColor="background1"/>
      <w:sz w:val="18"/>
      <w:szCs w:val="18"/>
    </w:rPr>
    <w:tblPr>
      <w:tblStyleRowBandSize w:val="1"/>
      <w:tblStyleColBandSize w:val="1"/>
      <w:tblBorders>
        <w:top w:val="single" w:sz="24" w:space="0" w:color="68C0B5" w:themeColor="accent1"/>
        <w:left w:val="single" w:sz="24" w:space="0" w:color="68C0B5" w:themeColor="accent1"/>
        <w:bottom w:val="single" w:sz="24" w:space="0" w:color="68C0B5" w:themeColor="accent1"/>
        <w:right w:val="single" w:sz="24" w:space="0" w:color="68C0B5" w:themeColor="accent1"/>
      </w:tblBorders>
    </w:tblPr>
    <w:tcPr>
      <w:shd w:val="clear" w:color="auto" w:fill="68C0B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26C4"/>
    <w:pPr>
      <w:spacing w:after="0"/>
    </w:pPr>
    <w:rPr>
      <w:rFonts w:eastAsiaTheme="minorHAnsi" w:cs="Arial"/>
      <w:color w:val="FFFFFF" w:themeColor="background1"/>
      <w:sz w:val="18"/>
      <w:szCs w:val="18"/>
    </w:rPr>
    <w:tblPr>
      <w:tblStyleRowBandSize w:val="1"/>
      <w:tblStyleColBandSize w:val="1"/>
      <w:tblBorders>
        <w:top w:val="single" w:sz="24" w:space="0" w:color="69ACDF" w:themeColor="accent2"/>
        <w:left w:val="single" w:sz="24" w:space="0" w:color="69ACDF" w:themeColor="accent2"/>
        <w:bottom w:val="single" w:sz="24" w:space="0" w:color="69ACDF" w:themeColor="accent2"/>
        <w:right w:val="single" w:sz="24" w:space="0" w:color="69ACDF" w:themeColor="accent2"/>
      </w:tblBorders>
    </w:tblPr>
    <w:tcPr>
      <w:shd w:val="clear" w:color="auto" w:fill="69AC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26C4"/>
    <w:pPr>
      <w:spacing w:after="0"/>
    </w:pPr>
    <w:rPr>
      <w:rFonts w:eastAsiaTheme="minorHAnsi" w:cs="Arial"/>
      <w:color w:val="FFFFFF" w:themeColor="background1"/>
      <w:sz w:val="18"/>
      <w:szCs w:val="18"/>
    </w:rPr>
    <w:tblPr>
      <w:tblStyleRowBandSize w:val="1"/>
      <w:tblStyleColBandSize w:val="1"/>
      <w:tblBorders>
        <w:top w:val="single" w:sz="24" w:space="0" w:color="636AAF" w:themeColor="accent3"/>
        <w:left w:val="single" w:sz="24" w:space="0" w:color="636AAF" w:themeColor="accent3"/>
        <w:bottom w:val="single" w:sz="24" w:space="0" w:color="636AAF" w:themeColor="accent3"/>
        <w:right w:val="single" w:sz="24" w:space="0" w:color="636AAF" w:themeColor="accent3"/>
      </w:tblBorders>
    </w:tblPr>
    <w:tcPr>
      <w:shd w:val="clear" w:color="auto" w:fill="636A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26C4"/>
    <w:pPr>
      <w:spacing w:after="0"/>
    </w:pPr>
    <w:rPr>
      <w:rFonts w:eastAsiaTheme="minorHAnsi" w:cs="Arial"/>
      <w:color w:val="FFFFFF" w:themeColor="background1"/>
      <w:sz w:val="18"/>
      <w:szCs w:val="18"/>
    </w:rPr>
    <w:tblPr>
      <w:tblStyleRowBandSize w:val="1"/>
      <w:tblStyleColBandSize w:val="1"/>
      <w:tblBorders>
        <w:top w:val="single" w:sz="24" w:space="0" w:color="B26DAB" w:themeColor="accent4"/>
        <w:left w:val="single" w:sz="24" w:space="0" w:color="B26DAB" w:themeColor="accent4"/>
        <w:bottom w:val="single" w:sz="24" w:space="0" w:color="B26DAB" w:themeColor="accent4"/>
        <w:right w:val="single" w:sz="24" w:space="0" w:color="B26DAB" w:themeColor="accent4"/>
      </w:tblBorders>
    </w:tblPr>
    <w:tcPr>
      <w:shd w:val="clear" w:color="auto" w:fill="B26DA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26C4"/>
    <w:pPr>
      <w:spacing w:after="0"/>
    </w:pPr>
    <w:rPr>
      <w:rFonts w:eastAsiaTheme="minorHAnsi" w:cs="Arial"/>
      <w:color w:val="FFFFFF" w:themeColor="background1"/>
      <w:sz w:val="18"/>
      <w:szCs w:val="18"/>
    </w:rPr>
    <w:tblPr>
      <w:tblStyleRowBandSize w:val="1"/>
      <w:tblStyleColBandSize w:val="1"/>
      <w:tblBorders>
        <w:top w:val="single" w:sz="24" w:space="0" w:color="E7A2C8" w:themeColor="accent5"/>
        <w:left w:val="single" w:sz="24" w:space="0" w:color="E7A2C8" w:themeColor="accent5"/>
        <w:bottom w:val="single" w:sz="24" w:space="0" w:color="E7A2C8" w:themeColor="accent5"/>
        <w:right w:val="single" w:sz="24" w:space="0" w:color="E7A2C8" w:themeColor="accent5"/>
      </w:tblBorders>
    </w:tblPr>
    <w:tcPr>
      <w:shd w:val="clear" w:color="auto" w:fill="E7A2C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26C4"/>
    <w:pPr>
      <w:spacing w:after="0"/>
    </w:pPr>
    <w:rPr>
      <w:rFonts w:eastAsiaTheme="minorHAnsi" w:cs="Arial"/>
      <w:color w:val="FFFFFF" w:themeColor="background1"/>
      <w:sz w:val="18"/>
      <w:szCs w:val="18"/>
    </w:rPr>
    <w:tblPr>
      <w:tblStyleRowBandSize w:val="1"/>
      <w:tblStyleColBandSize w:val="1"/>
      <w:tblBorders>
        <w:top w:val="single" w:sz="24" w:space="0" w:color="9CD2F4" w:themeColor="accent6"/>
        <w:left w:val="single" w:sz="24" w:space="0" w:color="9CD2F4" w:themeColor="accent6"/>
        <w:bottom w:val="single" w:sz="24" w:space="0" w:color="9CD2F4" w:themeColor="accent6"/>
        <w:right w:val="single" w:sz="24" w:space="0" w:color="9CD2F4" w:themeColor="accent6"/>
      </w:tblBorders>
    </w:tblPr>
    <w:tcPr>
      <w:shd w:val="clear" w:color="auto" w:fill="9CD2F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26C4"/>
    <w:pPr>
      <w:spacing w:after="0"/>
    </w:pPr>
    <w:rPr>
      <w:rFonts w:eastAsiaTheme="minorHAnsi" w:cs="Arial"/>
      <w:color w:val="1A1919" w:themeColor="text1"/>
      <w:sz w:val="18"/>
      <w:szCs w:val="18"/>
    </w:rPr>
    <w:tblPr>
      <w:tblStyleRowBandSize w:val="1"/>
      <w:tblStyleColBandSize w:val="1"/>
      <w:tblBorders>
        <w:top w:val="single" w:sz="4" w:space="0" w:color="1A1919" w:themeColor="text1"/>
        <w:bottom w:val="single" w:sz="4" w:space="0" w:color="1A1919" w:themeColor="text1"/>
      </w:tblBorders>
    </w:tblPr>
    <w:tblStylePr w:type="firstRow">
      <w:rPr>
        <w:b/>
        <w:bCs/>
      </w:rPr>
      <w:tblPr/>
      <w:tcPr>
        <w:tcBorders>
          <w:bottom w:val="single" w:sz="4" w:space="0" w:color="1A1919" w:themeColor="text1"/>
        </w:tcBorders>
      </w:tcPr>
    </w:tblStylePr>
    <w:tblStylePr w:type="lastRow">
      <w:rPr>
        <w:b/>
        <w:bCs/>
      </w:rPr>
      <w:tblPr/>
      <w:tcPr>
        <w:tcBorders>
          <w:top w:val="double" w:sz="4" w:space="0" w:color="1A1919" w:themeColor="text1"/>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6Colorful-Accent1">
    <w:name w:val="List Table 6 Colorful Accent 1"/>
    <w:basedOn w:val="TableNormal"/>
    <w:uiPriority w:val="51"/>
    <w:rsid w:val="00CF26C4"/>
    <w:pPr>
      <w:spacing w:after="0"/>
    </w:pPr>
    <w:rPr>
      <w:rFonts w:eastAsiaTheme="minorHAnsi" w:cs="Arial"/>
      <w:color w:val="419C90" w:themeColor="accent1" w:themeShade="BF"/>
      <w:sz w:val="18"/>
      <w:szCs w:val="18"/>
    </w:rPr>
    <w:tblPr>
      <w:tblStyleRowBandSize w:val="1"/>
      <w:tblStyleColBandSize w:val="1"/>
      <w:tblBorders>
        <w:top w:val="single" w:sz="4" w:space="0" w:color="68C0B5" w:themeColor="accent1"/>
        <w:bottom w:val="single" w:sz="4" w:space="0" w:color="68C0B5" w:themeColor="accent1"/>
      </w:tblBorders>
    </w:tblPr>
    <w:tblStylePr w:type="firstRow">
      <w:rPr>
        <w:b/>
        <w:bCs/>
      </w:rPr>
      <w:tblPr/>
      <w:tcPr>
        <w:tcBorders>
          <w:bottom w:val="single" w:sz="4" w:space="0" w:color="68C0B5" w:themeColor="accent1"/>
        </w:tcBorders>
      </w:tcPr>
    </w:tblStylePr>
    <w:tblStylePr w:type="lastRow">
      <w:rPr>
        <w:b/>
        <w:bCs/>
      </w:rPr>
      <w:tblPr/>
      <w:tcPr>
        <w:tcBorders>
          <w:top w:val="double" w:sz="4" w:space="0" w:color="68C0B5" w:themeColor="accent1"/>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6Colorful-Accent2">
    <w:name w:val="List Table 6 Colorful Accent 2"/>
    <w:basedOn w:val="TableNormal"/>
    <w:uiPriority w:val="51"/>
    <w:rsid w:val="00CF26C4"/>
    <w:pPr>
      <w:spacing w:after="0"/>
    </w:pPr>
    <w:rPr>
      <w:rFonts w:eastAsiaTheme="minorHAnsi" w:cs="Arial"/>
      <w:color w:val="2B85CA" w:themeColor="accent2" w:themeShade="BF"/>
      <w:sz w:val="18"/>
      <w:szCs w:val="18"/>
    </w:rPr>
    <w:tblPr>
      <w:tblStyleRowBandSize w:val="1"/>
      <w:tblStyleColBandSize w:val="1"/>
      <w:tblBorders>
        <w:top w:val="single" w:sz="4" w:space="0" w:color="69ACDF" w:themeColor="accent2"/>
        <w:bottom w:val="single" w:sz="4" w:space="0" w:color="69ACDF" w:themeColor="accent2"/>
      </w:tblBorders>
    </w:tblPr>
    <w:tblStylePr w:type="firstRow">
      <w:rPr>
        <w:b/>
        <w:bCs/>
      </w:rPr>
      <w:tblPr/>
      <w:tcPr>
        <w:tcBorders>
          <w:bottom w:val="single" w:sz="4" w:space="0" w:color="69ACDF" w:themeColor="accent2"/>
        </w:tcBorders>
      </w:tcPr>
    </w:tblStylePr>
    <w:tblStylePr w:type="lastRow">
      <w:rPr>
        <w:b/>
        <w:bCs/>
      </w:rPr>
      <w:tblPr/>
      <w:tcPr>
        <w:tcBorders>
          <w:top w:val="double" w:sz="4" w:space="0" w:color="69ACDF" w:themeColor="accent2"/>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6Colorful-Accent3">
    <w:name w:val="List Table 6 Colorful Accent 3"/>
    <w:basedOn w:val="TableNormal"/>
    <w:uiPriority w:val="51"/>
    <w:rsid w:val="00CF26C4"/>
    <w:pPr>
      <w:spacing w:after="0"/>
    </w:pPr>
    <w:rPr>
      <w:rFonts w:eastAsiaTheme="minorHAnsi" w:cs="Arial"/>
      <w:color w:val="454B87" w:themeColor="accent3" w:themeShade="BF"/>
      <w:sz w:val="18"/>
      <w:szCs w:val="18"/>
    </w:rPr>
    <w:tblPr>
      <w:tblStyleRowBandSize w:val="1"/>
      <w:tblStyleColBandSize w:val="1"/>
      <w:tblBorders>
        <w:top w:val="single" w:sz="4" w:space="0" w:color="636AAF" w:themeColor="accent3"/>
        <w:bottom w:val="single" w:sz="4" w:space="0" w:color="636AAF" w:themeColor="accent3"/>
      </w:tblBorders>
    </w:tblPr>
    <w:tblStylePr w:type="firstRow">
      <w:rPr>
        <w:b/>
        <w:bCs/>
      </w:rPr>
      <w:tblPr/>
      <w:tcPr>
        <w:tcBorders>
          <w:bottom w:val="single" w:sz="4" w:space="0" w:color="636AAF" w:themeColor="accent3"/>
        </w:tcBorders>
      </w:tcPr>
    </w:tblStylePr>
    <w:tblStylePr w:type="lastRow">
      <w:rPr>
        <w:b/>
        <w:bCs/>
      </w:rPr>
      <w:tblPr/>
      <w:tcPr>
        <w:tcBorders>
          <w:top w:val="double" w:sz="4" w:space="0" w:color="636AAF" w:themeColor="accent3"/>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6Colorful-Accent4">
    <w:name w:val="List Table 6 Colorful Accent 4"/>
    <w:basedOn w:val="TableNormal"/>
    <w:uiPriority w:val="51"/>
    <w:rsid w:val="00CF26C4"/>
    <w:pPr>
      <w:spacing w:after="0"/>
    </w:pPr>
    <w:rPr>
      <w:rFonts w:eastAsiaTheme="minorHAnsi" w:cs="Arial"/>
      <w:color w:val="8C4A85" w:themeColor="accent4" w:themeShade="BF"/>
      <w:sz w:val="18"/>
      <w:szCs w:val="18"/>
    </w:rPr>
    <w:tblPr>
      <w:tblStyleRowBandSize w:val="1"/>
      <w:tblStyleColBandSize w:val="1"/>
      <w:tblBorders>
        <w:top w:val="single" w:sz="4" w:space="0" w:color="B26DAB" w:themeColor="accent4"/>
        <w:bottom w:val="single" w:sz="4" w:space="0" w:color="B26DAB" w:themeColor="accent4"/>
      </w:tblBorders>
    </w:tblPr>
    <w:tblStylePr w:type="firstRow">
      <w:rPr>
        <w:b/>
        <w:bCs/>
      </w:rPr>
      <w:tblPr/>
      <w:tcPr>
        <w:tcBorders>
          <w:bottom w:val="single" w:sz="4" w:space="0" w:color="B26DAB" w:themeColor="accent4"/>
        </w:tcBorders>
      </w:tcPr>
    </w:tblStylePr>
    <w:tblStylePr w:type="lastRow">
      <w:rPr>
        <w:b/>
        <w:bCs/>
      </w:rPr>
      <w:tblPr/>
      <w:tcPr>
        <w:tcBorders>
          <w:top w:val="double" w:sz="4" w:space="0" w:color="B26DAB" w:themeColor="accent4"/>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6Colorful-Accent5">
    <w:name w:val="List Table 6 Colorful Accent 5"/>
    <w:basedOn w:val="TableNormal"/>
    <w:uiPriority w:val="51"/>
    <w:rsid w:val="00CF26C4"/>
    <w:pPr>
      <w:spacing w:after="0"/>
    </w:pPr>
    <w:rPr>
      <w:rFonts w:eastAsiaTheme="minorHAnsi" w:cs="Arial"/>
      <w:color w:val="D25399" w:themeColor="accent5" w:themeShade="BF"/>
      <w:sz w:val="18"/>
      <w:szCs w:val="18"/>
    </w:rPr>
    <w:tblPr>
      <w:tblStyleRowBandSize w:val="1"/>
      <w:tblStyleColBandSize w:val="1"/>
      <w:tblBorders>
        <w:top w:val="single" w:sz="4" w:space="0" w:color="E7A2C8" w:themeColor="accent5"/>
        <w:bottom w:val="single" w:sz="4" w:space="0" w:color="E7A2C8" w:themeColor="accent5"/>
      </w:tblBorders>
    </w:tblPr>
    <w:tblStylePr w:type="firstRow">
      <w:rPr>
        <w:b/>
        <w:bCs/>
      </w:rPr>
      <w:tblPr/>
      <w:tcPr>
        <w:tcBorders>
          <w:bottom w:val="single" w:sz="4" w:space="0" w:color="E7A2C8" w:themeColor="accent5"/>
        </w:tcBorders>
      </w:tcPr>
    </w:tblStylePr>
    <w:tblStylePr w:type="lastRow">
      <w:rPr>
        <w:b/>
        <w:bCs/>
      </w:rPr>
      <w:tblPr/>
      <w:tcPr>
        <w:tcBorders>
          <w:top w:val="double" w:sz="4" w:space="0" w:color="E7A2C8" w:themeColor="accent5"/>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6Colorful-Accent6">
    <w:name w:val="List Table 6 Colorful Accent 6"/>
    <w:basedOn w:val="TableNormal"/>
    <w:uiPriority w:val="51"/>
    <w:rsid w:val="00CF26C4"/>
    <w:pPr>
      <w:spacing w:after="0"/>
    </w:pPr>
    <w:rPr>
      <w:rFonts w:eastAsiaTheme="minorHAnsi" w:cs="Arial"/>
      <w:color w:val="41A8EA" w:themeColor="accent6" w:themeShade="BF"/>
      <w:sz w:val="18"/>
      <w:szCs w:val="18"/>
    </w:rPr>
    <w:tblPr>
      <w:tblStyleRowBandSize w:val="1"/>
      <w:tblStyleColBandSize w:val="1"/>
      <w:tblBorders>
        <w:top w:val="single" w:sz="4" w:space="0" w:color="9CD2F4" w:themeColor="accent6"/>
        <w:bottom w:val="single" w:sz="4" w:space="0" w:color="9CD2F4" w:themeColor="accent6"/>
      </w:tblBorders>
    </w:tblPr>
    <w:tblStylePr w:type="firstRow">
      <w:rPr>
        <w:b/>
        <w:bCs/>
      </w:rPr>
      <w:tblPr/>
      <w:tcPr>
        <w:tcBorders>
          <w:bottom w:val="single" w:sz="4" w:space="0" w:color="9CD2F4" w:themeColor="accent6"/>
        </w:tcBorders>
      </w:tcPr>
    </w:tblStylePr>
    <w:tblStylePr w:type="lastRow">
      <w:rPr>
        <w:b/>
        <w:bCs/>
      </w:rPr>
      <w:tblPr/>
      <w:tcPr>
        <w:tcBorders>
          <w:top w:val="double" w:sz="4" w:space="0" w:color="9CD2F4" w:themeColor="accent6"/>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7Colorful">
    <w:name w:val="List Table 7 Colorful"/>
    <w:basedOn w:val="TableNormal"/>
    <w:uiPriority w:val="52"/>
    <w:rsid w:val="00CF26C4"/>
    <w:pPr>
      <w:spacing w:after="0"/>
    </w:pPr>
    <w:rPr>
      <w:rFonts w:eastAsiaTheme="minorHAnsi" w:cs="Arial"/>
      <w:color w:val="1A1919" w:themeColor="text1"/>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A191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A191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A191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A1919" w:themeColor="text1"/>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26C4"/>
    <w:pPr>
      <w:spacing w:after="0"/>
    </w:pPr>
    <w:rPr>
      <w:rFonts w:eastAsiaTheme="minorHAnsi" w:cs="Arial"/>
      <w:color w:val="419C90" w:themeColor="accent1"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C0B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C0B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C0B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C0B5" w:themeColor="accent1"/>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26C4"/>
    <w:pPr>
      <w:spacing w:after="0"/>
    </w:pPr>
    <w:rPr>
      <w:rFonts w:eastAsiaTheme="minorHAnsi" w:cs="Arial"/>
      <w:color w:val="2B85CA" w:themeColor="accent2"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AC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AC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AC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ACDF" w:themeColor="accent2"/>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26C4"/>
    <w:pPr>
      <w:spacing w:after="0"/>
    </w:pPr>
    <w:rPr>
      <w:rFonts w:eastAsiaTheme="minorHAnsi" w:cs="Arial"/>
      <w:color w:val="454B87" w:themeColor="accent3"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6AA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6AA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6AA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6AAF" w:themeColor="accent3"/>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26C4"/>
    <w:pPr>
      <w:spacing w:after="0"/>
    </w:pPr>
    <w:rPr>
      <w:rFonts w:eastAsiaTheme="minorHAnsi" w:cs="Arial"/>
      <w:color w:val="8C4A85" w:themeColor="accent4"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DA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DA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DA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DAB" w:themeColor="accent4"/>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26C4"/>
    <w:pPr>
      <w:spacing w:after="0"/>
    </w:pPr>
    <w:rPr>
      <w:rFonts w:eastAsiaTheme="minorHAnsi" w:cs="Arial"/>
      <w:color w:val="D25399" w:themeColor="accent5"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A2C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A2C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A2C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A2C8" w:themeColor="accent5"/>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26C4"/>
    <w:pPr>
      <w:spacing w:after="0"/>
    </w:pPr>
    <w:rPr>
      <w:rFonts w:eastAsiaTheme="minorHAnsi" w:cs="Arial"/>
      <w:color w:val="41A8EA" w:themeColor="accent6"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D2F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D2F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D2F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D2F4" w:themeColor="accent6"/>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CF26C4"/>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eastAsiaTheme="minorHAnsi" w:cs="Arial"/>
      <w:lang w:val="en-GB"/>
    </w:rPr>
  </w:style>
  <w:style w:type="character" w:customStyle="1" w:styleId="MacroTextChar">
    <w:name w:val="Macro Text Char"/>
    <w:basedOn w:val="DefaultParagraphFont"/>
    <w:link w:val="MacroText"/>
    <w:uiPriority w:val="99"/>
    <w:semiHidden/>
    <w:rsid w:val="00CF26C4"/>
    <w:rPr>
      <w:rFonts w:eastAsiaTheme="minorHAnsi" w:cs="Arial"/>
      <w:lang w:val="en-GB"/>
    </w:rPr>
  </w:style>
  <w:style w:type="table" w:styleId="MediumGrid1">
    <w:name w:val="Medium Grid 1"/>
    <w:basedOn w:val="TableNormal"/>
    <w:uiPriority w:val="67"/>
    <w:semiHidden/>
    <w:unhideWhenUsed/>
    <w:rsid w:val="00CF26C4"/>
    <w:pPr>
      <w:spacing w:after="0"/>
    </w:pPr>
    <w:rPr>
      <w:rFonts w:eastAsiaTheme="minorHAnsi" w:cs="Arial"/>
      <w:sz w:val="18"/>
      <w:szCs w:val="18"/>
    </w:rPr>
    <w:tblPr>
      <w:tblStyleRowBandSize w:val="1"/>
      <w:tblStyleColBandSize w:val="1"/>
      <w:tbl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single" w:sz="8" w:space="0" w:color="545151" w:themeColor="text1" w:themeTint="BF"/>
        <w:insideV w:val="single" w:sz="8" w:space="0" w:color="545151" w:themeColor="text1" w:themeTint="BF"/>
      </w:tblBorders>
    </w:tblPr>
    <w:tcPr>
      <w:shd w:val="clear" w:color="auto" w:fill="C7C5C5" w:themeFill="text1" w:themeFillTint="3F"/>
    </w:tcPr>
    <w:tblStylePr w:type="firstRow">
      <w:rPr>
        <w:b/>
        <w:bCs/>
      </w:rPr>
    </w:tblStylePr>
    <w:tblStylePr w:type="lastRow">
      <w:rPr>
        <w:b/>
        <w:bCs/>
      </w:rPr>
      <w:tblPr/>
      <w:tcPr>
        <w:tcBorders>
          <w:top w:val="single" w:sz="18" w:space="0" w:color="545151" w:themeColor="text1" w:themeTint="BF"/>
        </w:tcBorders>
      </w:tcPr>
    </w:tblStylePr>
    <w:tblStylePr w:type="firstCol">
      <w:rPr>
        <w:b/>
        <w:bCs/>
      </w:rPr>
    </w:tblStylePr>
    <w:tblStylePr w:type="lastCol">
      <w:rPr>
        <w:b/>
        <w:bCs/>
      </w:rPr>
    </w:tblStylePr>
    <w:tblStylePr w:type="band1Vert">
      <w:tblPr/>
      <w:tcPr>
        <w:shd w:val="clear" w:color="auto" w:fill="8F8A8A" w:themeFill="text1" w:themeFillTint="7F"/>
      </w:tcPr>
    </w:tblStylePr>
    <w:tblStylePr w:type="band1Horz">
      <w:tblPr/>
      <w:tcPr>
        <w:shd w:val="clear" w:color="auto" w:fill="8F8A8A" w:themeFill="text1" w:themeFillTint="7F"/>
      </w:tcPr>
    </w:tblStylePr>
  </w:style>
  <w:style w:type="table" w:styleId="MediumGrid1-Accent1">
    <w:name w:val="Medium Grid 1 Accent 1"/>
    <w:basedOn w:val="TableNormal"/>
    <w:uiPriority w:val="67"/>
    <w:semiHidden/>
    <w:unhideWhenUsed/>
    <w:rsid w:val="00CF26C4"/>
    <w:pPr>
      <w:spacing w:after="0"/>
    </w:pPr>
    <w:rPr>
      <w:rFonts w:eastAsiaTheme="minorHAnsi" w:cs="Arial"/>
      <w:sz w:val="18"/>
      <w:szCs w:val="18"/>
    </w:rPr>
    <w:tblPr>
      <w:tblStyleRowBandSize w:val="1"/>
      <w:tblStyleColBandSize w:val="1"/>
      <w:tbl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single" w:sz="8" w:space="0" w:color="8DCFC7" w:themeColor="accent1" w:themeTint="BF"/>
        <w:insideV w:val="single" w:sz="8" w:space="0" w:color="8DCFC7" w:themeColor="accent1" w:themeTint="BF"/>
      </w:tblBorders>
    </w:tblPr>
    <w:tcPr>
      <w:shd w:val="clear" w:color="auto" w:fill="D9EFEC" w:themeFill="accent1" w:themeFillTint="3F"/>
    </w:tcPr>
    <w:tblStylePr w:type="firstRow">
      <w:rPr>
        <w:b/>
        <w:bCs/>
      </w:rPr>
    </w:tblStylePr>
    <w:tblStylePr w:type="lastRow">
      <w:rPr>
        <w:b/>
        <w:bCs/>
      </w:rPr>
      <w:tblPr/>
      <w:tcPr>
        <w:tcBorders>
          <w:top w:val="single" w:sz="18" w:space="0" w:color="8DCFC7" w:themeColor="accent1" w:themeTint="BF"/>
        </w:tcBorders>
      </w:tcPr>
    </w:tblStylePr>
    <w:tblStylePr w:type="firstCol">
      <w:rPr>
        <w:b/>
        <w:bCs/>
      </w:rPr>
    </w:tblStylePr>
    <w:tblStylePr w:type="lastCol">
      <w:rPr>
        <w:b/>
        <w:bCs/>
      </w:rPr>
    </w:tblStylePr>
    <w:tblStylePr w:type="band1Vert">
      <w:tblPr/>
      <w:tcPr>
        <w:shd w:val="clear" w:color="auto" w:fill="B3DFDA" w:themeFill="accent1" w:themeFillTint="7F"/>
      </w:tcPr>
    </w:tblStylePr>
    <w:tblStylePr w:type="band1Horz">
      <w:tblPr/>
      <w:tcPr>
        <w:shd w:val="clear" w:color="auto" w:fill="B3DFDA" w:themeFill="accent1" w:themeFillTint="7F"/>
      </w:tcPr>
    </w:tblStylePr>
  </w:style>
  <w:style w:type="table" w:styleId="MediumGrid1-Accent2">
    <w:name w:val="Medium Grid 1 Accent 2"/>
    <w:basedOn w:val="TableNormal"/>
    <w:uiPriority w:val="67"/>
    <w:semiHidden/>
    <w:unhideWhenUsed/>
    <w:rsid w:val="00CF26C4"/>
    <w:pPr>
      <w:spacing w:after="0"/>
    </w:pPr>
    <w:rPr>
      <w:rFonts w:eastAsiaTheme="minorHAnsi" w:cs="Arial"/>
      <w:sz w:val="18"/>
      <w:szCs w:val="18"/>
    </w:rPr>
    <w:tblPr>
      <w:tblStyleRowBandSize w:val="1"/>
      <w:tblStyleColBandSize w:val="1"/>
      <w:tbl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single" w:sz="8" w:space="0" w:color="8EC0E7" w:themeColor="accent2" w:themeTint="BF"/>
        <w:insideV w:val="single" w:sz="8" w:space="0" w:color="8EC0E7" w:themeColor="accent2" w:themeTint="BF"/>
      </w:tblBorders>
    </w:tblPr>
    <w:tcPr>
      <w:shd w:val="clear" w:color="auto" w:fill="D9EAF7" w:themeFill="accent2" w:themeFillTint="3F"/>
    </w:tcPr>
    <w:tblStylePr w:type="firstRow">
      <w:rPr>
        <w:b/>
        <w:bCs/>
      </w:rPr>
    </w:tblStylePr>
    <w:tblStylePr w:type="lastRow">
      <w:rPr>
        <w:b/>
        <w:bCs/>
      </w:rPr>
      <w:tblPr/>
      <w:tcPr>
        <w:tcBorders>
          <w:top w:val="single" w:sz="18" w:space="0" w:color="8EC0E7" w:themeColor="accent2" w:themeTint="BF"/>
        </w:tcBorders>
      </w:tcPr>
    </w:tblStylePr>
    <w:tblStylePr w:type="firstCol">
      <w:rPr>
        <w:b/>
        <w:bCs/>
      </w:rPr>
    </w:tblStylePr>
    <w:tblStylePr w:type="lastCol">
      <w:rPr>
        <w:b/>
        <w:bCs/>
      </w:rPr>
    </w:tblStylePr>
    <w:tblStylePr w:type="band1Vert">
      <w:tblPr/>
      <w:tcPr>
        <w:shd w:val="clear" w:color="auto" w:fill="B4D5EF" w:themeFill="accent2" w:themeFillTint="7F"/>
      </w:tcPr>
    </w:tblStylePr>
    <w:tblStylePr w:type="band1Horz">
      <w:tblPr/>
      <w:tcPr>
        <w:shd w:val="clear" w:color="auto" w:fill="B4D5EF" w:themeFill="accent2" w:themeFillTint="7F"/>
      </w:tcPr>
    </w:tblStylePr>
  </w:style>
  <w:style w:type="table" w:styleId="MediumGrid1-Accent3">
    <w:name w:val="Medium Grid 1 Accent 3"/>
    <w:basedOn w:val="TableNormal"/>
    <w:uiPriority w:val="67"/>
    <w:semiHidden/>
    <w:unhideWhenUsed/>
    <w:rsid w:val="00CF26C4"/>
    <w:pPr>
      <w:spacing w:after="0"/>
    </w:pPr>
    <w:rPr>
      <w:rFonts w:eastAsiaTheme="minorHAnsi" w:cs="Arial"/>
      <w:sz w:val="18"/>
      <w:szCs w:val="18"/>
    </w:rPr>
    <w:tblPr>
      <w:tblStyleRowBandSize w:val="1"/>
      <w:tblStyleColBandSize w:val="1"/>
      <w:tbl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single" w:sz="8" w:space="0" w:color="8A8FC3" w:themeColor="accent3" w:themeTint="BF"/>
        <w:insideV w:val="single" w:sz="8" w:space="0" w:color="8A8FC3" w:themeColor="accent3" w:themeTint="BF"/>
      </w:tblBorders>
    </w:tblPr>
    <w:tcPr>
      <w:shd w:val="clear" w:color="auto" w:fill="D8DAEB" w:themeFill="accent3" w:themeFillTint="3F"/>
    </w:tcPr>
    <w:tblStylePr w:type="firstRow">
      <w:rPr>
        <w:b/>
        <w:bCs/>
      </w:rPr>
    </w:tblStylePr>
    <w:tblStylePr w:type="lastRow">
      <w:rPr>
        <w:b/>
        <w:bCs/>
      </w:rPr>
      <w:tblPr/>
      <w:tcPr>
        <w:tcBorders>
          <w:top w:val="single" w:sz="18" w:space="0" w:color="8A8FC3" w:themeColor="accent3" w:themeTint="BF"/>
        </w:tcBorders>
      </w:tcPr>
    </w:tblStylePr>
    <w:tblStylePr w:type="firstCol">
      <w:rPr>
        <w:b/>
        <w:bCs/>
      </w:rPr>
    </w:tblStylePr>
    <w:tblStylePr w:type="lastCol">
      <w:rPr>
        <w:b/>
        <w:bCs/>
      </w:rPr>
    </w:tblStylePr>
    <w:tblStylePr w:type="band1Vert">
      <w:tblPr/>
      <w:tcPr>
        <w:shd w:val="clear" w:color="auto" w:fill="B1B4D7" w:themeFill="accent3" w:themeFillTint="7F"/>
      </w:tcPr>
    </w:tblStylePr>
    <w:tblStylePr w:type="band1Horz">
      <w:tblPr/>
      <w:tcPr>
        <w:shd w:val="clear" w:color="auto" w:fill="B1B4D7" w:themeFill="accent3" w:themeFillTint="7F"/>
      </w:tcPr>
    </w:tblStylePr>
  </w:style>
  <w:style w:type="table" w:styleId="MediumGrid1-Accent4">
    <w:name w:val="Medium Grid 1 Accent 4"/>
    <w:basedOn w:val="TableNormal"/>
    <w:uiPriority w:val="67"/>
    <w:semiHidden/>
    <w:unhideWhenUsed/>
    <w:rsid w:val="00CF26C4"/>
    <w:pPr>
      <w:spacing w:after="0"/>
    </w:pPr>
    <w:rPr>
      <w:rFonts w:eastAsiaTheme="minorHAnsi" w:cs="Arial"/>
      <w:sz w:val="18"/>
      <w:szCs w:val="18"/>
    </w:rPr>
    <w:tblPr>
      <w:tblStyleRowBandSize w:val="1"/>
      <w:tblStyleColBandSize w:val="1"/>
      <w:tbl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single" w:sz="8" w:space="0" w:color="C591C0" w:themeColor="accent4" w:themeTint="BF"/>
        <w:insideV w:val="single" w:sz="8" w:space="0" w:color="C591C0" w:themeColor="accent4" w:themeTint="BF"/>
      </w:tblBorders>
    </w:tblPr>
    <w:tcPr>
      <w:shd w:val="clear" w:color="auto" w:fill="ECDAEA" w:themeFill="accent4" w:themeFillTint="3F"/>
    </w:tcPr>
    <w:tblStylePr w:type="firstRow">
      <w:rPr>
        <w:b/>
        <w:bCs/>
      </w:rPr>
    </w:tblStylePr>
    <w:tblStylePr w:type="lastRow">
      <w:rPr>
        <w:b/>
        <w:bCs/>
      </w:rPr>
      <w:tblPr/>
      <w:tcPr>
        <w:tcBorders>
          <w:top w:val="single" w:sz="18" w:space="0" w:color="C591C0" w:themeColor="accent4" w:themeTint="BF"/>
        </w:tcBorders>
      </w:tcPr>
    </w:tblStylePr>
    <w:tblStylePr w:type="firstCol">
      <w:rPr>
        <w:b/>
        <w:bCs/>
      </w:rPr>
    </w:tblStylePr>
    <w:tblStylePr w:type="lastCol">
      <w:rPr>
        <w:b/>
        <w:bCs/>
      </w:rPr>
    </w:tblStylePr>
    <w:tblStylePr w:type="band1Vert">
      <w:tblPr/>
      <w:tcPr>
        <w:shd w:val="clear" w:color="auto" w:fill="D8B6D5" w:themeFill="accent4" w:themeFillTint="7F"/>
      </w:tcPr>
    </w:tblStylePr>
    <w:tblStylePr w:type="band1Horz">
      <w:tblPr/>
      <w:tcPr>
        <w:shd w:val="clear" w:color="auto" w:fill="D8B6D5" w:themeFill="accent4" w:themeFillTint="7F"/>
      </w:tcPr>
    </w:tblStylePr>
  </w:style>
  <w:style w:type="table" w:styleId="MediumGrid1-Accent5">
    <w:name w:val="Medium Grid 1 Accent 5"/>
    <w:basedOn w:val="TableNormal"/>
    <w:uiPriority w:val="67"/>
    <w:semiHidden/>
    <w:unhideWhenUsed/>
    <w:rsid w:val="00CF26C4"/>
    <w:pPr>
      <w:spacing w:after="0"/>
    </w:pPr>
    <w:rPr>
      <w:rFonts w:eastAsiaTheme="minorHAnsi" w:cs="Arial"/>
      <w:sz w:val="18"/>
      <w:szCs w:val="18"/>
    </w:rPr>
    <w:tblPr>
      <w:tblStyleRowBandSize w:val="1"/>
      <w:tblStyleColBandSize w:val="1"/>
      <w:tbl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single" w:sz="8" w:space="0" w:color="EDB9D5" w:themeColor="accent5" w:themeTint="BF"/>
        <w:insideV w:val="single" w:sz="8" w:space="0" w:color="EDB9D5" w:themeColor="accent5" w:themeTint="BF"/>
      </w:tblBorders>
    </w:tblPr>
    <w:tcPr>
      <w:shd w:val="clear" w:color="auto" w:fill="F9E7F1" w:themeFill="accent5" w:themeFillTint="3F"/>
    </w:tcPr>
    <w:tblStylePr w:type="firstRow">
      <w:rPr>
        <w:b/>
        <w:bCs/>
      </w:rPr>
    </w:tblStylePr>
    <w:tblStylePr w:type="lastRow">
      <w:rPr>
        <w:b/>
        <w:bCs/>
      </w:rPr>
      <w:tblPr/>
      <w:tcPr>
        <w:tcBorders>
          <w:top w:val="single" w:sz="18" w:space="0" w:color="EDB9D5" w:themeColor="accent5" w:themeTint="BF"/>
        </w:tcBorders>
      </w:tcPr>
    </w:tblStylePr>
    <w:tblStylePr w:type="firstCol">
      <w:rPr>
        <w:b/>
        <w:bCs/>
      </w:rPr>
    </w:tblStylePr>
    <w:tblStylePr w:type="lastCol">
      <w:rPr>
        <w:b/>
        <w:bCs/>
      </w:rPr>
    </w:tblStylePr>
    <w:tblStylePr w:type="band1Vert">
      <w:tblPr/>
      <w:tcPr>
        <w:shd w:val="clear" w:color="auto" w:fill="F3D0E3" w:themeFill="accent5" w:themeFillTint="7F"/>
      </w:tcPr>
    </w:tblStylePr>
    <w:tblStylePr w:type="band1Horz">
      <w:tblPr/>
      <w:tcPr>
        <w:shd w:val="clear" w:color="auto" w:fill="F3D0E3" w:themeFill="accent5" w:themeFillTint="7F"/>
      </w:tcPr>
    </w:tblStylePr>
  </w:style>
  <w:style w:type="table" w:styleId="MediumGrid1-Accent6">
    <w:name w:val="Medium Grid 1 Accent 6"/>
    <w:basedOn w:val="TableNormal"/>
    <w:uiPriority w:val="67"/>
    <w:semiHidden/>
    <w:unhideWhenUsed/>
    <w:rsid w:val="00CF26C4"/>
    <w:pPr>
      <w:spacing w:after="0"/>
    </w:pPr>
    <w:rPr>
      <w:rFonts w:eastAsiaTheme="minorHAnsi" w:cs="Arial"/>
      <w:sz w:val="18"/>
      <w:szCs w:val="18"/>
    </w:rPr>
    <w:tblPr>
      <w:tblStyleRowBandSize w:val="1"/>
      <w:tblStyleColBandSize w:val="1"/>
      <w:tbl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single" w:sz="8" w:space="0" w:color="B4DDF6" w:themeColor="accent6" w:themeTint="BF"/>
        <w:insideV w:val="single" w:sz="8" w:space="0" w:color="B4DDF6" w:themeColor="accent6" w:themeTint="BF"/>
      </w:tblBorders>
    </w:tblPr>
    <w:tcPr>
      <w:shd w:val="clear" w:color="auto" w:fill="E6F3FC" w:themeFill="accent6" w:themeFillTint="3F"/>
    </w:tcPr>
    <w:tblStylePr w:type="firstRow">
      <w:rPr>
        <w:b/>
        <w:bCs/>
      </w:rPr>
    </w:tblStylePr>
    <w:tblStylePr w:type="lastRow">
      <w:rPr>
        <w:b/>
        <w:bCs/>
      </w:rPr>
      <w:tblPr/>
      <w:tcPr>
        <w:tcBorders>
          <w:top w:val="single" w:sz="18" w:space="0" w:color="B4DDF6" w:themeColor="accent6" w:themeTint="BF"/>
        </w:tcBorders>
      </w:tcPr>
    </w:tblStylePr>
    <w:tblStylePr w:type="firstCol">
      <w:rPr>
        <w:b/>
        <w:bCs/>
      </w:rPr>
    </w:tblStylePr>
    <w:tblStylePr w:type="lastCol">
      <w:rPr>
        <w:b/>
        <w:bCs/>
      </w:rPr>
    </w:tblStylePr>
    <w:tblStylePr w:type="band1Vert">
      <w:tblPr/>
      <w:tcPr>
        <w:shd w:val="clear" w:color="auto" w:fill="CDE8F9" w:themeFill="accent6" w:themeFillTint="7F"/>
      </w:tcPr>
    </w:tblStylePr>
    <w:tblStylePr w:type="band1Horz">
      <w:tblPr/>
      <w:tcPr>
        <w:shd w:val="clear" w:color="auto" w:fill="CDE8F9" w:themeFill="accent6" w:themeFillTint="7F"/>
      </w:tcPr>
    </w:tblStylePr>
  </w:style>
  <w:style w:type="table" w:styleId="MediumGrid2">
    <w:name w:val="Medium Grid 2"/>
    <w:basedOn w:val="TableNormal"/>
    <w:uiPriority w:val="68"/>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insideH w:val="single" w:sz="8" w:space="0" w:color="1A1919" w:themeColor="text1"/>
        <w:insideV w:val="single" w:sz="8" w:space="0" w:color="1A1919" w:themeColor="text1"/>
      </w:tblBorders>
    </w:tblPr>
    <w:tcPr>
      <w:shd w:val="clear" w:color="auto" w:fill="C7C5C5" w:themeFill="text1" w:themeFillTint="3F"/>
    </w:tcPr>
    <w:tblStylePr w:type="firstRow">
      <w:rPr>
        <w:b/>
        <w:bCs/>
        <w:color w:val="1A1919" w:themeColor="text1"/>
      </w:rPr>
      <w:tblPr/>
      <w:tcPr>
        <w:shd w:val="clear" w:color="auto" w:fill="E9E8E8" w:themeFill="text1"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D2D0D0" w:themeFill="text1" w:themeFillTint="33"/>
      </w:tcPr>
    </w:tblStylePr>
    <w:tblStylePr w:type="band1Vert">
      <w:tblPr/>
      <w:tcPr>
        <w:shd w:val="clear" w:color="auto" w:fill="8F8A8A" w:themeFill="text1" w:themeFillTint="7F"/>
      </w:tcPr>
    </w:tblStylePr>
    <w:tblStylePr w:type="band1Horz">
      <w:tblPr/>
      <w:tcPr>
        <w:tcBorders>
          <w:insideH w:val="single" w:sz="6" w:space="0" w:color="1A1919" w:themeColor="text1"/>
          <w:insideV w:val="single" w:sz="6" w:space="0" w:color="1A1919" w:themeColor="text1"/>
        </w:tcBorders>
        <w:shd w:val="clear" w:color="auto" w:fill="8F8A8A"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insideH w:val="single" w:sz="8" w:space="0" w:color="68C0B5" w:themeColor="accent1"/>
        <w:insideV w:val="single" w:sz="8" w:space="0" w:color="68C0B5" w:themeColor="accent1"/>
      </w:tblBorders>
    </w:tblPr>
    <w:tcPr>
      <w:shd w:val="clear" w:color="auto" w:fill="D9EFEC" w:themeFill="accent1" w:themeFillTint="3F"/>
    </w:tcPr>
    <w:tblStylePr w:type="firstRow">
      <w:rPr>
        <w:b/>
        <w:bCs/>
        <w:color w:val="1A1919" w:themeColor="text1"/>
      </w:rPr>
      <w:tblPr/>
      <w:tcPr>
        <w:shd w:val="clear" w:color="auto" w:fill="F0F8F7" w:themeFill="accent1"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0F2F0" w:themeFill="accent1" w:themeFillTint="33"/>
      </w:tcPr>
    </w:tblStylePr>
    <w:tblStylePr w:type="band1Vert">
      <w:tblPr/>
      <w:tcPr>
        <w:shd w:val="clear" w:color="auto" w:fill="B3DFDA" w:themeFill="accent1" w:themeFillTint="7F"/>
      </w:tcPr>
    </w:tblStylePr>
    <w:tblStylePr w:type="band1Horz">
      <w:tblPr/>
      <w:tcPr>
        <w:tcBorders>
          <w:insideH w:val="single" w:sz="6" w:space="0" w:color="68C0B5" w:themeColor="accent1"/>
          <w:insideV w:val="single" w:sz="6" w:space="0" w:color="68C0B5" w:themeColor="accent1"/>
        </w:tcBorders>
        <w:shd w:val="clear" w:color="auto" w:fill="B3DFD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insideH w:val="single" w:sz="8" w:space="0" w:color="69ACDF" w:themeColor="accent2"/>
        <w:insideV w:val="single" w:sz="8" w:space="0" w:color="69ACDF" w:themeColor="accent2"/>
      </w:tblBorders>
    </w:tblPr>
    <w:tcPr>
      <w:shd w:val="clear" w:color="auto" w:fill="D9EAF7" w:themeFill="accent2" w:themeFillTint="3F"/>
    </w:tcPr>
    <w:tblStylePr w:type="firstRow">
      <w:rPr>
        <w:b/>
        <w:bCs/>
        <w:color w:val="1A1919" w:themeColor="text1"/>
      </w:rPr>
      <w:tblPr/>
      <w:tcPr>
        <w:shd w:val="clear" w:color="auto" w:fill="F0F6FB" w:themeFill="accent2"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0EEF8" w:themeFill="accent2" w:themeFillTint="33"/>
      </w:tcPr>
    </w:tblStylePr>
    <w:tblStylePr w:type="band1Vert">
      <w:tblPr/>
      <w:tcPr>
        <w:shd w:val="clear" w:color="auto" w:fill="B4D5EF" w:themeFill="accent2" w:themeFillTint="7F"/>
      </w:tcPr>
    </w:tblStylePr>
    <w:tblStylePr w:type="band1Horz">
      <w:tblPr/>
      <w:tcPr>
        <w:tcBorders>
          <w:insideH w:val="single" w:sz="6" w:space="0" w:color="69ACDF" w:themeColor="accent2"/>
          <w:insideV w:val="single" w:sz="6" w:space="0" w:color="69ACDF" w:themeColor="accent2"/>
        </w:tcBorders>
        <w:shd w:val="clear" w:color="auto" w:fill="B4D5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insideH w:val="single" w:sz="8" w:space="0" w:color="636AAF" w:themeColor="accent3"/>
        <w:insideV w:val="single" w:sz="8" w:space="0" w:color="636AAF" w:themeColor="accent3"/>
      </w:tblBorders>
    </w:tblPr>
    <w:tcPr>
      <w:shd w:val="clear" w:color="auto" w:fill="D8DAEB" w:themeFill="accent3" w:themeFillTint="3F"/>
    </w:tcPr>
    <w:tblStylePr w:type="firstRow">
      <w:rPr>
        <w:b/>
        <w:bCs/>
        <w:color w:val="1A1919" w:themeColor="text1"/>
      </w:rPr>
      <w:tblPr/>
      <w:tcPr>
        <w:shd w:val="clear" w:color="auto" w:fill="EFF0F7" w:themeFill="accent3"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DFE1EF" w:themeFill="accent3" w:themeFillTint="33"/>
      </w:tcPr>
    </w:tblStylePr>
    <w:tblStylePr w:type="band1Vert">
      <w:tblPr/>
      <w:tcPr>
        <w:shd w:val="clear" w:color="auto" w:fill="B1B4D7" w:themeFill="accent3" w:themeFillTint="7F"/>
      </w:tcPr>
    </w:tblStylePr>
    <w:tblStylePr w:type="band1Horz">
      <w:tblPr/>
      <w:tcPr>
        <w:tcBorders>
          <w:insideH w:val="single" w:sz="6" w:space="0" w:color="636AAF" w:themeColor="accent3"/>
          <w:insideV w:val="single" w:sz="6" w:space="0" w:color="636AAF" w:themeColor="accent3"/>
        </w:tcBorders>
        <w:shd w:val="clear" w:color="auto" w:fill="B1B4D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insideH w:val="single" w:sz="8" w:space="0" w:color="B26DAB" w:themeColor="accent4"/>
        <w:insideV w:val="single" w:sz="8" w:space="0" w:color="B26DAB" w:themeColor="accent4"/>
      </w:tblBorders>
    </w:tblPr>
    <w:tcPr>
      <w:shd w:val="clear" w:color="auto" w:fill="ECDAEA" w:themeFill="accent4" w:themeFillTint="3F"/>
    </w:tcPr>
    <w:tblStylePr w:type="firstRow">
      <w:rPr>
        <w:b/>
        <w:bCs/>
        <w:color w:val="1A1919" w:themeColor="text1"/>
      </w:rPr>
      <w:tblPr/>
      <w:tcPr>
        <w:shd w:val="clear" w:color="auto" w:fill="F7F0F6" w:themeFill="accent4"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FE1EE" w:themeFill="accent4" w:themeFillTint="33"/>
      </w:tcPr>
    </w:tblStylePr>
    <w:tblStylePr w:type="band1Vert">
      <w:tblPr/>
      <w:tcPr>
        <w:shd w:val="clear" w:color="auto" w:fill="D8B6D5" w:themeFill="accent4" w:themeFillTint="7F"/>
      </w:tcPr>
    </w:tblStylePr>
    <w:tblStylePr w:type="band1Horz">
      <w:tblPr/>
      <w:tcPr>
        <w:tcBorders>
          <w:insideH w:val="single" w:sz="6" w:space="0" w:color="B26DAB" w:themeColor="accent4"/>
          <w:insideV w:val="single" w:sz="6" w:space="0" w:color="B26DAB" w:themeColor="accent4"/>
        </w:tcBorders>
        <w:shd w:val="clear" w:color="auto" w:fill="D8B6D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insideH w:val="single" w:sz="8" w:space="0" w:color="E7A2C8" w:themeColor="accent5"/>
        <w:insideV w:val="single" w:sz="8" w:space="0" w:color="E7A2C8" w:themeColor="accent5"/>
      </w:tblBorders>
    </w:tblPr>
    <w:tcPr>
      <w:shd w:val="clear" w:color="auto" w:fill="F9E7F1" w:themeFill="accent5" w:themeFillTint="3F"/>
    </w:tcPr>
    <w:tblStylePr w:type="firstRow">
      <w:rPr>
        <w:b/>
        <w:bCs/>
        <w:color w:val="1A1919" w:themeColor="text1"/>
      </w:rPr>
      <w:tblPr/>
      <w:tcPr>
        <w:shd w:val="clear" w:color="auto" w:fill="FCF5F9" w:themeFill="accent5"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FAECF3" w:themeFill="accent5" w:themeFillTint="33"/>
      </w:tcPr>
    </w:tblStylePr>
    <w:tblStylePr w:type="band1Vert">
      <w:tblPr/>
      <w:tcPr>
        <w:shd w:val="clear" w:color="auto" w:fill="F3D0E3" w:themeFill="accent5" w:themeFillTint="7F"/>
      </w:tcPr>
    </w:tblStylePr>
    <w:tblStylePr w:type="band1Horz">
      <w:tblPr/>
      <w:tcPr>
        <w:tcBorders>
          <w:insideH w:val="single" w:sz="6" w:space="0" w:color="E7A2C8" w:themeColor="accent5"/>
          <w:insideV w:val="single" w:sz="6" w:space="0" w:color="E7A2C8" w:themeColor="accent5"/>
        </w:tcBorders>
        <w:shd w:val="clear" w:color="auto" w:fill="F3D0E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insideH w:val="single" w:sz="8" w:space="0" w:color="9CD2F4" w:themeColor="accent6"/>
        <w:insideV w:val="single" w:sz="8" w:space="0" w:color="9CD2F4" w:themeColor="accent6"/>
      </w:tblBorders>
    </w:tblPr>
    <w:tcPr>
      <w:shd w:val="clear" w:color="auto" w:fill="E6F3FC" w:themeFill="accent6" w:themeFillTint="3F"/>
    </w:tcPr>
    <w:tblStylePr w:type="firstRow">
      <w:rPr>
        <w:b/>
        <w:bCs/>
        <w:color w:val="1A1919" w:themeColor="text1"/>
      </w:rPr>
      <w:tblPr/>
      <w:tcPr>
        <w:shd w:val="clear" w:color="auto" w:fill="F5FAFE" w:themeFill="accent6"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BF5FC" w:themeFill="accent6" w:themeFillTint="33"/>
      </w:tcPr>
    </w:tblStylePr>
    <w:tblStylePr w:type="band1Vert">
      <w:tblPr/>
      <w:tcPr>
        <w:shd w:val="clear" w:color="auto" w:fill="CDE8F9" w:themeFill="accent6" w:themeFillTint="7F"/>
      </w:tcPr>
    </w:tblStylePr>
    <w:tblStylePr w:type="band1Horz">
      <w:tblPr/>
      <w:tcPr>
        <w:tcBorders>
          <w:insideH w:val="single" w:sz="6" w:space="0" w:color="9CD2F4" w:themeColor="accent6"/>
          <w:insideV w:val="single" w:sz="6" w:space="0" w:color="9CD2F4" w:themeColor="accent6"/>
        </w:tcBorders>
        <w:shd w:val="clear" w:color="auto" w:fill="CDE8F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26C4"/>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5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191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191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191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191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A8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A8A" w:themeFill="text1" w:themeFillTint="7F"/>
      </w:tcPr>
    </w:tblStylePr>
  </w:style>
  <w:style w:type="table" w:styleId="MediumGrid3-Accent1">
    <w:name w:val="Medium Grid 3 Accent 1"/>
    <w:basedOn w:val="TableNormal"/>
    <w:uiPriority w:val="69"/>
    <w:semiHidden/>
    <w:unhideWhenUsed/>
    <w:rsid w:val="00CF26C4"/>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F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8C0B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8C0B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8C0B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8C0B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DFD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DFDA" w:themeFill="accent1" w:themeFillTint="7F"/>
      </w:tcPr>
    </w:tblStylePr>
  </w:style>
  <w:style w:type="table" w:styleId="MediumGrid3-Accent2">
    <w:name w:val="Medium Grid 3 Accent 2"/>
    <w:basedOn w:val="TableNormal"/>
    <w:uiPriority w:val="69"/>
    <w:semiHidden/>
    <w:unhideWhenUsed/>
    <w:rsid w:val="00CF26C4"/>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A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AC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AC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AC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AC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5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5EF" w:themeFill="accent2" w:themeFillTint="7F"/>
      </w:tcPr>
    </w:tblStylePr>
  </w:style>
  <w:style w:type="table" w:styleId="MediumGrid3-Accent3">
    <w:name w:val="Medium Grid 3 Accent 3"/>
    <w:basedOn w:val="TableNormal"/>
    <w:uiPriority w:val="69"/>
    <w:semiHidden/>
    <w:unhideWhenUsed/>
    <w:rsid w:val="00CF26C4"/>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AA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AA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AA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AA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4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4D7" w:themeFill="accent3" w:themeFillTint="7F"/>
      </w:tcPr>
    </w:tblStylePr>
  </w:style>
  <w:style w:type="table" w:styleId="MediumGrid3-Accent4">
    <w:name w:val="Medium Grid 3 Accent 4"/>
    <w:basedOn w:val="TableNormal"/>
    <w:uiPriority w:val="69"/>
    <w:semiHidden/>
    <w:unhideWhenUsed/>
    <w:rsid w:val="00CF26C4"/>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A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DA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DA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DA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DA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B6D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B6D5" w:themeFill="accent4" w:themeFillTint="7F"/>
      </w:tcPr>
    </w:tblStylePr>
  </w:style>
  <w:style w:type="table" w:styleId="MediumGrid3-Accent5">
    <w:name w:val="Medium Grid 3 Accent 5"/>
    <w:basedOn w:val="TableNormal"/>
    <w:uiPriority w:val="69"/>
    <w:semiHidden/>
    <w:unhideWhenUsed/>
    <w:rsid w:val="00CF26C4"/>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7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A2C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A2C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A2C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A2C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0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0E3" w:themeFill="accent5" w:themeFillTint="7F"/>
      </w:tcPr>
    </w:tblStylePr>
  </w:style>
  <w:style w:type="table" w:styleId="MediumGrid3-Accent6">
    <w:name w:val="Medium Grid 3 Accent 6"/>
    <w:basedOn w:val="TableNormal"/>
    <w:uiPriority w:val="69"/>
    <w:semiHidden/>
    <w:unhideWhenUsed/>
    <w:rsid w:val="00CF26C4"/>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F3F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D2F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D2F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D2F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D2F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E8F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E8F9" w:themeFill="accent6" w:themeFillTint="7F"/>
      </w:tcPr>
    </w:tblStylePr>
  </w:style>
  <w:style w:type="table" w:styleId="MediumList1">
    <w:name w:val="Medium List 1"/>
    <w:basedOn w:val="TableNormal"/>
    <w:uiPriority w:val="65"/>
    <w:semiHidden/>
    <w:unhideWhenUsed/>
    <w:rsid w:val="00CF26C4"/>
    <w:pPr>
      <w:spacing w:after="0"/>
    </w:pPr>
    <w:rPr>
      <w:rFonts w:eastAsiaTheme="minorHAnsi" w:cs="Arial"/>
      <w:color w:val="1A1919" w:themeColor="text1"/>
      <w:sz w:val="18"/>
      <w:szCs w:val="18"/>
    </w:rPr>
    <w:tblPr>
      <w:tblStyleRowBandSize w:val="1"/>
      <w:tblStyleColBandSize w:val="1"/>
      <w:tblBorders>
        <w:top w:val="single" w:sz="8" w:space="0" w:color="1A1919" w:themeColor="text1"/>
        <w:bottom w:val="single" w:sz="8" w:space="0" w:color="1A1919" w:themeColor="text1"/>
      </w:tblBorders>
    </w:tblPr>
    <w:tblStylePr w:type="firstRow">
      <w:rPr>
        <w:rFonts w:asciiTheme="majorHAnsi" w:eastAsiaTheme="majorEastAsia" w:hAnsiTheme="majorHAnsi" w:cstheme="majorBidi"/>
      </w:rPr>
      <w:tblPr/>
      <w:tcPr>
        <w:tcBorders>
          <w:top w:val="nil"/>
          <w:bottom w:val="single" w:sz="8" w:space="0" w:color="1A1919" w:themeColor="text1"/>
        </w:tcBorders>
      </w:tcPr>
    </w:tblStylePr>
    <w:tblStylePr w:type="lastRow">
      <w:rPr>
        <w:b/>
        <w:bCs/>
        <w:color w:val="666666" w:themeColor="text2"/>
      </w:rPr>
      <w:tblPr/>
      <w:tcPr>
        <w:tcBorders>
          <w:top w:val="single" w:sz="8" w:space="0" w:color="1A1919" w:themeColor="text1"/>
          <w:bottom w:val="single" w:sz="8" w:space="0" w:color="1A1919" w:themeColor="text1"/>
        </w:tcBorders>
      </w:tcPr>
    </w:tblStylePr>
    <w:tblStylePr w:type="firstCol">
      <w:rPr>
        <w:b/>
        <w:bCs/>
      </w:rPr>
    </w:tblStylePr>
    <w:tblStylePr w:type="lastCol">
      <w:rPr>
        <w:b/>
        <w:bCs/>
      </w:rPr>
      <w:tblPr/>
      <w:tcPr>
        <w:tcBorders>
          <w:top w:val="single" w:sz="8" w:space="0" w:color="1A1919" w:themeColor="text1"/>
          <w:bottom w:val="single" w:sz="8" w:space="0" w:color="1A1919" w:themeColor="text1"/>
        </w:tcBorders>
      </w:tcPr>
    </w:tblStylePr>
    <w:tblStylePr w:type="band1Vert">
      <w:tblPr/>
      <w:tcPr>
        <w:shd w:val="clear" w:color="auto" w:fill="C7C5C5" w:themeFill="text1" w:themeFillTint="3F"/>
      </w:tcPr>
    </w:tblStylePr>
    <w:tblStylePr w:type="band1Horz">
      <w:tblPr/>
      <w:tcPr>
        <w:shd w:val="clear" w:color="auto" w:fill="C7C5C5" w:themeFill="text1" w:themeFillTint="3F"/>
      </w:tcPr>
    </w:tblStylePr>
  </w:style>
  <w:style w:type="table" w:styleId="MediumList1-Accent1">
    <w:name w:val="Medium List 1 Accent 1"/>
    <w:basedOn w:val="TableNormal"/>
    <w:uiPriority w:val="65"/>
    <w:semiHidden/>
    <w:unhideWhenUsed/>
    <w:rsid w:val="00CF26C4"/>
    <w:pPr>
      <w:spacing w:after="0"/>
    </w:pPr>
    <w:rPr>
      <w:rFonts w:eastAsiaTheme="minorHAnsi" w:cs="Arial"/>
      <w:color w:val="1A1919" w:themeColor="text1"/>
      <w:sz w:val="18"/>
      <w:szCs w:val="18"/>
    </w:rPr>
    <w:tblPr>
      <w:tblStyleRowBandSize w:val="1"/>
      <w:tblStyleColBandSize w:val="1"/>
      <w:tblBorders>
        <w:top w:val="single" w:sz="8" w:space="0" w:color="68C0B5" w:themeColor="accent1"/>
        <w:bottom w:val="single" w:sz="8" w:space="0" w:color="68C0B5" w:themeColor="accent1"/>
      </w:tblBorders>
    </w:tblPr>
    <w:tblStylePr w:type="firstRow">
      <w:rPr>
        <w:rFonts w:asciiTheme="majorHAnsi" w:eastAsiaTheme="majorEastAsia" w:hAnsiTheme="majorHAnsi" w:cstheme="majorBidi"/>
      </w:rPr>
      <w:tblPr/>
      <w:tcPr>
        <w:tcBorders>
          <w:top w:val="nil"/>
          <w:bottom w:val="single" w:sz="8" w:space="0" w:color="68C0B5" w:themeColor="accent1"/>
        </w:tcBorders>
      </w:tcPr>
    </w:tblStylePr>
    <w:tblStylePr w:type="lastRow">
      <w:rPr>
        <w:b/>
        <w:bCs/>
        <w:color w:val="666666" w:themeColor="text2"/>
      </w:rPr>
      <w:tblPr/>
      <w:tcPr>
        <w:tcBorders>
          <w:top w:val="single" w:sz="8" w:space="0" w:color="68C0B5" w:themeColor="accent1"/>
          <w:bottom w:val="single" w:sz="8" w:space="0" w:color="68C0B5" w:themeColor="accent1"/>
        </w:tcBorders>
      </w:tcPr>
    </w:tblStylePr>
    <w:tblStylePr w:type="firstCol">
      <w:rPr>
        <w:b/>
        <w:bCs/>
      </w:rPr>
    </w:tblStylePr>
    <w:tblStylePr w:type="lastCol">
      <w:rPr>
        <w:b/>
        <w:bCs/>
      </w:rPr>
      <w:tblPr/>
      <w:tcPr>
        <w:tcBorders>
          <w:top w:val="single" w:sz="8" w:space="0" w:color="68C0B5" w:themeColor="accent1"/>
          <w:bottom w:val="single" w:sz="8" w:space="0" w:color="68C0B5" w:themeColor="accent1"/>
        </w:tcBorders>
      </w:tcPr>
    </w:tblStylePr>
    <w:tblStylePr w:type="band1Vert">
      <w:tblPr/>
      <w:tcPr>
        <w:shd w:val="clear" w:color="auto" w:fill="D9EFEC" w:themeFill="accent1" w:themeFillTint="3F"/>
      </w:tcPr>
    </w:tblStylePr>
    <w:tblStylePr w:type="band1Horz">
      <w:tblPr/>
      <w:tcPr>
        <w:shd w:val="clear" w:color="auto" w:fill="D9EFEC" w:themeFill="accent1" w:themeFillTint="3F"/>
      </w:tcPr>
    </w:tblStylePr>
  </w:style>
  <w:style w:type="table" w:styleId="MediumList1-Accent2">
    <w:name w:val="Medium List 1 Accent 2"/>
    <w:basedOn w:val="TableNormal"/>
    <w:uiPriority w:val="65"/>
    <w:semiHidden/>
    <w:unhideWhenUsed/>
    <w:rsid w:val="00CF26C4"/>
    <w:pPr>
      <w:spacing w:after="0"/>
    </w:pPr>
    <w:rPr>
      <w:rFonts w:eastAsiaTheme="minorHAnsi" w:cs="Arial"/>
      <w:color w:val="1A1919" w:themeColor="text1"/>
      <w:sz w:val="18"/>
      <w:szCs w:val="18"/>
    </w:rPr>
    <w:tblPr>
      <w:tblStyleRowBandSize w:val="1"/>
      <w:tblStyleColBandSize w:val="1"/>
      <w:tblBorders>
        <w:top w:val="single" w:sz="8" w:space="0" w:color="69ACDF" w:themeColor="accent2"/>
        <w:bottom w:val="single" w:sz="8" w:space="0" w:color="69ACDF" w:themeColor="accent2"/>
      </w:tblBorders>
    </w:tblPr>
    <w:tblStylePr w:type="firstRow">
      <w:rPr>
        <w:rFonts w:asciiTheme="majorHAnsi" w:eastAsiaTheme="majorEastAsia" w:hAnsiTheme="majorHAnsi" w:cstheme="majorBidi"/>
      </w:rPr>
      <w:tblPr/>
      <w:tcPr>
        <w:tcBorders>
          <w:top w:val="nil"/>
          <w:bottom w:val="single" w:sz="8" w:space="0" w:color="69ACDF" w:themeColor="accent2"/>
        </w:tcBorders>
      </w:tcPr>
    </w:tblStylePr>
    <w:tblStylePr w:type="lastRow">
      <w:rPr>
        <w:b/>
        <w:bCs/>
        <w:color w:val="666666" w:themeColor="text2"/>
      </w:rPr>
      <w:tblPr/>
      <w:tcPr>
        <w:tcBorders>
          <w:top w:val="single" w:sz="8" w:space="0" w:color="69ACDF" w:themeColor="accent2"/>
          <w:bottom w:val="single" w:sz="8" w:space="0" w:color="69ACDF" w:themeColor="accent2"/>
        </w:tcBorders>
      </w:tcPr>
    </w:tblStylePr>
    <w:tblStylePr w:type="firstCol">
      <w:rPr>
        <w:b/>
        <w:bCs/>
      </w:rPr>
    </w:tblStylePr>
    <w:tblStylePr w:type="lastCol">
      <w:rPr>
        <w:b/>
        <w:bCs/>
      </w:rPr>
      <w:tblPr/>
      <w:tcPr>
        <w:tcBorders>
          <w:top w:val="single" w:sz="8" w:space="0" w:color="69ACDF" w:themeColor="accent2"/>
          <w:bottom w:val="single" w:sz="8" w:space="0" w:color="69ACDF" w:themeColor="accent2"/>
        </w:tcBorders>
      </w:tcPr>
    </w:tblStylePr>
    <w:tblStylePr w:type="band1Vert">
      <w:tblPr/>
      <w:tcPr>
        <w:shd w:val="clear" w:color="auto" w:fill="D9EAF7" w:themeFill="accent2" w:themeFillTint="3F"/>
      </w:tcPr>
    </w:tblStylePr>
    <w:tblStylePr w:type="band1Horz">
      <w:tblPr/>
      <w:tcPr>
        <w:shd w:val="clear" w:color="auto" w:fill="D9EAF7" w:themeFill="accent2" w:themeFillTint="3F"/>
      </w:tcPr>
    </w:tblStylePr>
  </w:style>
  <w:style w:type="table" w:styleId="MediumList1-Accent3">
    <w:name w:val="Medium List 1 Accent 3"/>
    <w:basedOn w:val="TableNormal"/>
    <w:uiPriority w:val="65"/>
    <w:semiHidden/>
    <w:unhideWhenUsed/>
    <w:rsid w:val="00CF26C4"/>
    <w:pPr>
      <w:spacing w:after="0"/>
    </w:pPr>
    <w:rPr>
      <w:rFonts w:eastAsiaTheme="minorHAnsi" w:cs="Arial"/>
      <w:color w:val="1A1919" w:themeColor="text1"/>
      <w:sz w:val="18"/>
      <w:szCs w:val="18"/>
    </w:rPr>
    <w:tblPr>
      <w:tblStyleRowBandSize w:val="1"/>
      <w:tblStyleColBandSize w:val="1"/>
      <w:tblBorders>
        <w:top w:val="single" w:sz="8" w:space="0" w:color="636AAF" w:themeColor="accent3"/>
        <w:bottom w:val="single" w:sz="8" w:space="0" w:color="636AAF" w:themeColor="accent3"/>
      </w:tblBorders>
    </w:tblPr>
    <w:tblStylePr w:type="firstRow">
      <w:rPr>
        <w:rFonts w:asciiTheme="majorHAnsi" w:eastAsiaTheme="majorEastAsia" w:hAnsiTheme="majorHAnsi" w:cstheme="majorBidi"/>
      </w:rPr>
      <w:tblPr/>
      <w:tcPr>
        <w:tcBorders>
          <w:top w:val="nil"/>
          <w:bottom w:val="single" w:sz="8" w:space="0" w:color="636AAF" w:themeColor="accent3"/>
        </w:tcBorders>
      </w:tcPr>
    </w:tblStylePr>
    <w:tblStylePr w:type="lastRow">
      <w:rPr>
        <w:b/>
        <w:bCs/>
        <w:color w:val="666666" w:themeColor="text2"/>
      </w:rPr>
      <w:tblPr/>
      <w:tcPr>
        <w:tcBorders>
          <w:top w:val="single" w:sz="8" w:space="0" w:color="636AAF" w:themeColor="accent3"/>
          <w:bottom w:val="single" w:sz="8" w:space="0" w:color="636AAF" w:themeColor="accent3"/>
        </w:tcBorders>
      </w:tcPr>
    </w:tblStylePr>
    <w:tblStylePr w:type="firstCol">
      <w:rPr>
        <w:b/>
        <w:bCs/>
      </w:rPr>
    </w:tblStylePr>
    <w:tblStylePr w:type="lastCol">
      <w:rPr>
        <w:b/>
        <w:bCs/>
      </w:rPr>
      <w:tblPr/>
      <w:tcPr>
        <w:tcBorders>
          <w:top w:val="single" w:sz="8" w:space="0" w:color="636AAF" w:themeColor="accent3"/>
          <w:bottom w:val="single" w:sz="8" w:space="0" w:color="636AAF" w:themeColor="accent3"/>
        </w:tcBorders>
      </w:tcPr>
    </w:tblStylePr>
    <w:tblStylePr w:type="band1Vert">
      <w:tblPr/>
      <w:tcPr>
        <w:shd w:val="clear" w:color="auto" w:fill="D8DAEB" w:themeFill="accent3" w:themeFillTint="3F"/>
      </w:tcPr>
    </w:tblStylePr>
    <w:tblStylePr w:type="band1Horz">
      <w:tblPr/>
      <w:tcPr>
        <w:shd w:val="clear" w:color="auto" w:fill="D8DAEB" w:themeFill="accent3" w:themeFillTint="3F"/>
      </w:tcPr>
    </w:tblStylePr>
  </w:style>
  <w:style w:type="table" w:styleId="MediumList1-Accent4">
    <w:name w:val="Medium List 1 Accent 4"/>
    <w:basedOn w:val="TableNormal"/>
    <w:uiPriority w:val="65"/>
    <w:semiHidden/>
    <w:unhideWhenUsed/>
    <w:rsid w:val="00CF26C4"/>
    <w:pPr>
      <w:spacing w:after="0"/>
    </w:pPr>
    <w:rPr>
      <w:rFonts w:eastAsiaTheme="minorHAnsi" w:cs="Arial"/>
      <w:color w:val="1A1919" w:themeColor="text1"/>
      <w:sz w:val="18"/>
      <w:szCs w:val="18"/>
    </w:rPr>
    <w:tblPr>
      <w:tblStyleRowBandSize w:val="1"/>
      <w:tblStyleColBandSize w:val="1"/>
      <w:tblBorders>
        <w:top w:val="single" w:sz="8" w:space="0" w:color="B26DAB" w:themeColor="accent4"/>
        <w:bottom w:val="single" w:sz="8" w:space="0" w:color="B26DAB" w:themeColor="accent4"/>
      </w:tblBorders>
    </w:tblPr>
    <w:tblStylePr w:type="firstRow">
      <w:rPr>
        <w:rFonts w:asciiTheme="majorHAnsi" w:eastAsiaTheme="majorEastAsia" w:hAnsiTheme="majorHAnsi" w:cstheme="majorBidi"/>
      </w:rPr>
      <w:tblPr/>
      <w:tcPr>
        <w:tcBorders>
          <w:top w:val="nil"/>
          <w:bottom w:val="single" w:sz="8" w:space="0" w:color="B26DAB" w:themeColor="accent4"/>
        </w:tcBorders>
      </w:tcPr>
    </w:tblStylePr>
    <w:tblStylePr w:type="lastRow">
      <w:rPr>
        <w:b/>
        <w:bCs/>
        <w:color w:val="666666" w:themeColor="text2"/>
      </w:rPr>
      <w:tblPr/>
      <w:tcPr>
        <w:tcBorders>
          <w:top w:val="single" w:sz="8" w:space="0" w:color="B26DAB" w:themeColor="accent4"/>
          <w:bottom w:val="single" w:sz="8" w:space="0" w:color="B26DAB" w:themeColor="accent4"/>
        </w:tcBorders>
      </w:tcPr>
    </w:tblStylePr>
    <w:tblStylePr w:type="firstCol">
      <w:rPr>
        <w:b/>
        <w:bCs/>
      </w:rPr>
    </w:tblStylePr>
    <w:tblStylePr w:type="lastCol">
      <w:rPr>
        <w:b/>
        <w:bCs/>
      </w:rPr>
      <w:tblPr/>
      <w:tcPr>
        <w:tcBorders>
          <w:top w:val="single" w:sz="8" w:space="0" w:color="B26DAB" w:themeColor="accent4"/>
          <w:bottom w:val="single" w:sz="8" w:space="0" w:color="B26DAB" w:themeColor="accent4"/>
        </w:tcBorders>
      </w:tcPr>
    </w:tblStylePr>
    <w:tblStylePr w:type="band1Vert">
      <w:tblPr/>
      <w:tcPr>
        <w:shd w:val="clear" w:color="auto" w:fill="ECDAEA" w:themeFill="accent4" w:themeFillTint="3F"/>
      </w:tcPr>
    </w:tblStylePr>
    <w:tblStylePr w:type="band1Horz">
      <w:tblPr/>
      <w:tcPr>
        <w:shd w:val="clear" w:color="auto" w:fill="ECDAEA" w:themeFill="accent4" w:themeFillTint="3F"/>
      </w:tcPr>
    </w:tblStylePr>
  </w:style>
  <w:style w:type="table" w:styleId="MediumList1-Accent5">
    <w:name w:val="Medium List 1 Accent 5"/>
    <w:basedOn w:val="TableNormal"/>
    <w:uiPriority w:val="65"/>
    <w:semiHidden/>
    <w:unhideWhenUsed/>
    <w:rsid w:val="00CF26C4"/>
    <w:pPr>
      <w:spacing w:after="0"/>
    </w:pPr>
    <w:rPr>
      <w:rFonts w:eastAsiaTheme="minorHAnsi" w:cs="Arial"/>
      <w:color w:val="1A1919" w:themeColor="text1"/>
      <w:sz w:val="18"/>
      <w:szCs w:val="18"/>
    </w:rPr>
    <w:tblPr>
      <w:tblStyleRowBandSize w:val="1"/>
      <w:tblStyleColBandSize w:val="1"/>
      <w:tblBorders>
        <w:top w:val="single" w:sz="8" w:space="0" w:color="E7A2C8" w:themeColor="accent5"/>
        <w:bottom w:val="single" w:sz="8" w:space="0" w:color="E7A2C8" w:themeColor="accent5"/>
      </w:tblBorders>
    </w:tblPr>
    <w:tblStylePr w:type="firstRow">
      <w:rPr>
        <w:rFonts w:asciiTheme="majorHAnsi" w:eastAsiaTheme="majorEastAsia" w:hAnsiTheme="majorHAnsi" w:cstheme="majorBidi"/>
      </w:rPr>
      <w:tblPr/>
      <w:tcPr>
        <w:tcBorders>
          <w:top w:val="nil"/>
          <w:bottom w:val="single" w:sz="8" w:space="0" w:color="E7A2C8" w:themeColor="accent5"/>
        </w:tcBorders>
      </w:tcPr>
    </w:tblStylePr>
    <w:tblStylePr w:type="lastRow">
      <w:rPr>
        <w:b/>
        <w:bCs/>
        <w:color w:val="666666" w:themeColor="text2"/>
      </w:rPr>
      <w:tblPr/>
      <w:tcPr>
        <w:tcBorders>
          <w:top w:val="single" w:sz="8" w:space="0" w:color="E7A2C8" w:themeColor="accent5"/>
          <w:bottom w:val="single" w:sz="8" w:space="0" w:color="E7A2C8" w:themeColor="accent5"/>
        </w:tcBorders>
      </w:tcPr>
    </w:tblStylePr>
    <w:tblStylePr w:type="firstCol">
      <w:rPr>
        <w:b/>
        <w:bCs/>
      </w:rPr>
    </w:tblStylePr>
    <w:tblStylePr w:type="lastCol">
      <w:rPr>
        <w:b/>
        <w:bCs/>
      </w:rPr>
      <w:tblPr/>
      <w:tcPr>
        <w:tcBorders>
          <w:top w:val="single" w:sz="8" w:space="0" w:color="E7A2C8" w:themeColor="accent5"/>
          <w:bottom w:val="single" w:sz="8" w:space="0" w:color="E7A2C8" w:themeColor="accent5"/>
        </w:tcBorders>
      </w:tcPr>
    </w:tblStylePr>
    <w:tblStylePr w:type="band1Vert">
      <w:tblPr/>
      <w:tcPr>
        <w:shd w:val="clear" w:color="auto" w:fill="F9E7F1" w:themeFill="accent5" w:themeFillTint="3F"/>
      </w:tcPr>
    </w:tblStylePr>
    <w:tblStylePr w:type="band1Horz">
      <w:tblPr/>
      <w:tcPr>
        <w:shd w:val="clear" w:color="auto" w:fill="F9E7F1" w:themeFill="accent5" w:themeFillTint="3F"/>
      </w:tcPr>
    </w:tblStylePr>
  </w:style>
  <w:style w:type="table" w:styleId="MediumList1-Accent6">
    <w:name w:val="Medium List 1 Accent 6"/>
    <w:basedOn w:val="TableNormal"/>
    <w:uiPriority w:val="65"/>
    <w:semiHidden/>
    <w:unhideWhenUsed/>
    <w:rsid w:val="00CF26C4"/>
    <w:pPr>
      <w:spacing w:after="0"/>
    </w:pPr>
    <w:rPr>
      <w:rFonts w:eastAsiaTheme="minorHAnsi" w:cs="Arial"/>
      <w:color w:val="1A1919" w:themeColor="text1"/>
      <w:sz w:val="18"/>
      <w:szCs w:val="18"/>
    </w:rPr>
    <w:tblPr>
      <w:tblStyleRowBandSize w:val="1"/>
      <w:tblStyleColBandSize w:val="1"/>
      <w:tblBorders>
        <w:top w:val="single" w:sz="8" w:space="0" w:color="9CD2F4" w:themeColor="accent6"/>
        <w:bottom w:val="single" w:sz="8" w:space="0" w:color="9CD2F4" w:themeColor="accent6"/>
      </w:tblBorders>
    </w:tblPr>
    <w:tblStylePr w:type="firstRow">
      <w:rPr>
        <w:rFonts w:asciiTheme="majorHAnsi" w:eastAsiaTheme="majorEastAsia" w:hAnsiTheme="majorHAnsi" w:cstheme="majorBidi"/>
      </w:rPr>
      <w:tblPr/>
      <w:tcPr>
        <w:tcBorders>
          <w:top w:val="nil"/>
          <w:bottom w:val="single" w:sz="8" w:space="0" w:color="9CD2F4" w:themeColor="accent6"/>
        </w:tcBorders>
      </w:tcPr>
    </w:tblStylePr>
    <w:tblStylePr w:type="lastRow">
      <w:rPr>
        <w:b/>
        <w:bCs/>
        <w:color w:val="666666" w:themeColor="text2"/>
      </w:rPr>
      <w:tblPr/>
      <w:tcPr>
        <w:tcBorders>
          <w:top w:val="single" w:sz="8" w:space="0" w:color="9CD2F4" w:themeColor="accent6"/>
          <w:bottom w:val="single" w:sz="8" w:space="0" w:color="9CD2F4" w:themeColor="accent6"/>
        </w:tcBorders>
      </w:tcPr>
    </w:tblStylePr>
    <w:tblStylePr w:type="firstCol">
      <w:rPr>
        <w:b/>
        <w:bCs/>
      </w:rPr>
    </w:tblStylePr>
    <w:tblStylePr w:type="lastCol">
      <w:rPr>
        <w:b/>
        <w:bCs/>
      </w:rPr>
      <w:tblPr/>
      <w:tcPr>
        <w:tcBorders>
          <w:top w:val="single" w:sz="8" w:space="0" w:color="9CD2F4" w:themeColor="accent6"/>
          <w:bottom w:val="single" w:sz="8" w:space="0" w:color="9CD2F4" w:themeColor="accent6"/>
        </w:tcBorders>
      </w:tcPr>
    </w:tblStylePr>
    <w:tblStylePr w:type="band1Vert">
      <w:tblPr/>
      <w:tcPr>
        <w:shd w:val="clear" w:color="auto" w:fill="E6F3FC" w:themeFill="accent6" w:themeFillTint="3F"/>
      </w:tcPr>
    </w:tblStylePr>
    <w:tblStylePr w:type="band1Horz">
      <w:tblPr/>
      <w:tcPr>
        <w:shd w:val="clear" w:color="auto" w:fill="E6F3FC" w:themeFill="accent6" w:themeFillTint="3F"/>
      </w:tcPr>
    </w:tblStylePr>
  </w:style>
  <w:style w:type="table" w:styleId="MediumList2">
    <w:name w:val="Medium List 2"/>
    <w:basedOn w:val="TableNormal"/>
    <w:uiPriority w:val="66"/>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tblBorders>
    </w:tblPr>
    <w:tblStylePr w:type="firstRow">
      <w:rPr>
        <w:sz w:val="24"/>
        <w:szCs w:val="24"/>
      </w:rPr>
      <w:tblPr/>
      <w:tcPr>
        <w:tcBorders>
          <w:top w:val="nil"/>
          <w:left w:val="nil"/>
          <w:bottom w:val="single" w:sz="24" w:space="0" w:color="1A191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1919" w:themeColor="text1"/>
          <w:insideH w:val="nil"/>
          <w:insideV w:val="nil"/>
        </w:tcBorders>
        <w:shd w:val="clear" w:color="auto" w:fill="FFFFFF" w:themeFill="background1"/>
      </w:tcPr>
    </w:tblStylePr>
    <w:tblStylePr w:type="lastCol">
      <w:tblPr/>
      <w:tcPr>
        <w:tcBorders>
          <w:top w:val="nil"/>
          <w:left w:val="single" w:sz="8" w:space="0" w:color="1A191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5C5" w:themeFill="text1" w:themeFillTint="3F"/>
      </w:tcPr>
    </w:tblStylePr>
    <w:tblStylePr w:type="band1Horz">
      <w:tblPr/>
      <w:tcPr>
        <w:tcBorders>
          <w:top w:val="nil"/>
          <w:bottom w:val="nil"/>
          <w:insideH w:val="nil"/>
          <w:insideV w:val="nil"/>
        </w:tcBorders>
        <w:shd w:val="clear" w:color="auto" w:fill="C7C5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tblBorders>
    </w:tblPr>
    <w:tblStylePr w:type="firstRow">
      <w:rPr>
        <w:sz w:val="24"/>
        <w:szCs w:val="24"/>
      </w:rPr>
      <w:tblPr/>
      <w:tcPr>
        <w:tcBorders>
          <w:top w:val="nil"/>
          <w:left w:val="nil"/>
          <w:bottom w:val="single" w:sz="24" w:space="0" w:color="68C0B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8C0B5" w:themeColor="accent1"/>
          <w:insideH w:val="nil"/>
          <w:insideV w:val="nil"/>
        </w:tcBorders>
        <w:shd w:val="clear" w:color="auto" w:fill="FFFFFF" w:themeFill="background1"/>
      </w:tcPr>
    </w:tblStylePr>
    <w:tblStylePr w:type="lastCol">
      <w:tblPr/>
      <w:tcPr>
        <w:tcBorders>
          <w:top w:val="nil"/>
          <w:left w:val="single" w:sz="8" w:space="0" w:color="68C0B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FEC" w:themeFill="accent1" w:themeFillTint="3F"/>
      </w:tcPr>
    </w:tblStylePr>
    <w:tblStylePr w:type="band1Horz">
      <w:tblPr/>
      <w:tcPr>
        <w:tcBorders>
          <w:top w:val="nil"/>
          <w:bottom w:val="nil"/>
          <w:insideH w:val="nil"/>
          <w:insideV w:val="nil"/>
        </w:tcBorders>
        <w:shd w:val="clear" w:color="auto" w:fill="D9EF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tblBorders>
    </w:tblPr>
    <w:tblStylePr w:type="firstRow">
      <w:rPr>
        <w:sz w:val="24"/>
        <w:szCs w:val="24"/>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ACDF" w:themeColor="accent2"/>
          <w:insideH w:val="nil"/>
          <w:insideV w:val="nil"/>
        </w:tcBorders>
        <w:shd w:val="clear" w:color="auto" w:fill="FFFFFF" w:themeFill="background1"/>
      </w:tcPr>
    </w:tblStylePr>
    <w:tblStylePr w:type="lastCol">
      <w:tblPr/>
      <w:tcPr>
        <w:tcBorders>
          <w:top w:val="nil"/>
          <w:left w:val="single" w:sz="8" w:space="0" w:color="69AC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AF7" w:themeFill="accent2" w:themeFillTint="3F"/>
      </w:tcPr>
    </w:tblStylePr>
    <w:tblStylePr w:type="band1Horz">
      <w:tblPr/>
      <w:tcPr>
        <w:tcBorders>
          <w:top w:val="nil"/>
          <w:bottom w:val="nil"/>
          <w:insideH w:val="nil"/>
          <w:insideV w:val="nil"/>
        </w:tcBorders>
        <w:shd w:val="clear" w:color="auto" w:fill="D9EA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tblBorders>
    </w:tblPr>
    <w:tblStylePr w:type="firstRow">
      <w:rPr>
        <w:sz w:val="24"/>
        <w:szCs w:val="24"/>
      </w:rPr>
      <w:tblPr/>
      <w:tcPr>
        <w:tcBorders>
          <w:top w:val="nil"/>
          <w:left w:val="nil"/>
          <w:bottom w:val="single" w:sz="24" w:space="0" w:color="636AA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6AAF" w:themeColor="accent3"/>
          <w:insideH w:val="nil"/>
          <w:insideV w:val="nil"/>
        </w:tcBorders>
        <w:shd w:val="clear" w:color="auto" w:fill="FFFFFF" w:themeFill="background1"/>
      </w:tcPr>
    </w:tblStylePr>
    <w:tblStylePr w:type="lastCol">
      <w:tblPr/>
      <w:tcPr>
        <w:tcBorders>
          <w:top w:val="nil"/>
          <w:left w:val="single" w:sz="8" w:space="0" w:color="636AA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AEB" w:themeFill="accent3" w:themeFillTint="3F"/>
      </w:tcPr>
    </w:tblStylePr>
    <w:tblStylePr w:type="band1Horz">
      <w:tblPr/>
      <w:tcPr>
        <w:tcBorders>
          <w:top w:val="nil"/>
          <w:bottom w:val="nil"/>
          <w:insideH w:val="nil"/>
          <w:insideV w:val="nil"/>
        </w:tcBorders>
        <w:shd w:val="clear" w:color="auto" w:fill="D8DA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tblBorders>
    </w:tblPr>
    <w:tblStylePr w:type="firstRow">
      <w:rPr>
        <w:sz w:val="24"/>
        <w:szCs w:val="24"/>
      </w:rPr>
      <w:tblPr/>
      <w:tcPr>
        <w:tcBorders>
          <w:top w:val="nil"/>
          <w:left w:val="nil"/>
          <w:bottom w:val="single" w:sz="24" w:space="0" w:color="B26DA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DAB" w:themeColor="accent4"/>
          <w:insideH w:val="nil"/>
          <w:insideV w:val="nil"/>
        </w:tcBorders>
        <w:shd w:val="clear" w:color="auto" w:fill="FFFFFF" w:themeFill="background1"/>
      </w:tcPr>
    </w:tblStylePr>
    <w:tblStylePr w:type="lastCol">
      <w:tblPr/>
      <w:tcPr>
        <w:tcBorders>
          <w:top w:val="nil"/>
          <w:left w:val="single" w:sz="8" w:space="0" w:color="B26DA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AEA" w:themeFill="accent4" w:themeFillTint="3F"/>
      </w:tcPr>
    </w:tblStylePr>
    <w:tblStylePr w:type="band1Horz">
      <w:tblPr/>
      <w:tcPr>
        <w:tcBorders>
          <w:top w:val="nil"/>
          <w:bottom w:val="nil"/>
          <w:insideH w:val="nil"/>
          <w:insideV w:val="nil"/>
        </w:tcBorders>
        <w:shd w:val="clear" w:color="auto" w:fill="ECDA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tblBorders>
    </w:tblPr>
    <w:tblStylePr w:type="firstRow">
      <w:rPr>
        <w:sz w:val="24"/>
        <w:szCs w:val="24"/>
      </w:rPr>
      <w:tblPr/>
      <w:tcPr>
        <w:tcBorders>
          <w:top w:val="nil"/>
          <w:left w:val="nil"/>
          <w:bottom w:val="single" w:sz="24" w:space="0" w:color="E7A2C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A2C8" w:themeColor="accent5"/>
          <w:insideH w:val="nil"/>
          <w:insideV w:val="nil"/>
        </w:tcBorders>
        <w:shd w:val="clear" w:color="auto" w:fill="FFFFFF" w:themeFill="background1"/>
      </w:tcPr>
    </w:tblStylePr>
    <w:tblStylePr w:type="lastCol">
      <w:tblPr/>
      <w:tcPr>
        <w:tcBorders>
          <w:top w:val="nil"/>
          <w:left w:val="single" w:sz="8" w:space="0" w:color="E7A2C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7F1" w:themeFill="accent5" w:themeFillTint="3F"/>
      </w:tcPr>
    </w:tblStylePr>
    <w:tblStylePr w:type="band1Horz">
      <w:tblPr/>
      <w:tcPr>
        <w:tcBorders>
          <w:top w:val="nil"/>
          <w:bottom w:val="nil"/>
          <w:insideH w:val="nil"/>
          <w:insideV w:val="nil"/>
        </w:tcBorders>
        <w:shd w:val="clear" w:color="auto" w:fill="F9E7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26C4"/>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tblBorders>
    </w:tblPr>
    <w:tblStylePr w:type="firstRow">
      <w:rPr>
        <w:sz w:val="24"/>
        <w:szCs w:val="24"/>
      </w:rPr>
      <w:tblPr/>
      <w:tcPr>
        <w:tcBorders>
          <w:top w:val="nil"/>
          <w:left w:val="nil"/>
          <w:bottom w:val="single" w:sz="24" w:space="0" w:color="9CD2F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D2F4" w:themeColor="accent6"/>
          <w:insideH w:val="nil"/>
          <w:insideV w:val="nil"/>
        </w:tcBorders>
        <w:shd w:val="clear" w:color="auto" w:fill="FFFFFF" w:themeFill="background1"/>
      </w:tcPr>
    </w:tblStylePr>
    <w:tblStylePr w:type="lastCol">
      <w:tblPr/>
      <w:tcPr>
        <w:tcBorders>
          <w:top w:val="nil"/>
          <w:left w:val="single" w:sz="8" w:space="0" w:color="9CD2F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F3FC" w:themeFill="accent6" w:themeFillTint="3F"/>
      </w:tcPr>
    </w:tblStylePr>
    <w:tblStylePr w:type="band1Horz">
      <w:tblPr/>
      <w:tcPr>
        <w:tcBorders>
          <w:top w:val="nil"/>
          <w:bottom w:val="nil"/>
          <w:insideH w:val="nil"/>
          <w:insideV w:val="nil"/>
        </w:tcBorders>
        <w:shd w:val="clear" w:color="auto" w:fill="E6F3F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26C4"/>
    <w:pPr>
      <w:spacing w:after="0"/>
    </w:pPr>
    <w:rPr>
      <w:rFonts w:eastAsiaTheme="minorHAnsi" w:cs="Arial"/>
      <w:sz w:val="18"/>
      <w:szCs w:val="18"/>
    </w:rPr>
    <w:tblPr>
      <w:tblStyleRowBandSize w:val="1"/>
      <w:tblStyleColBandSize w:val="1"/>
      <w:tbl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single" w:sz="8" w:space="0" w:color="545151" w:themeColor="text1" w:themeTint="BF"/>
      </w:tblBorders>
    </w:tblPr>
    <w:tblStylePr w:type="firstRow">
      <w:pPr>
        <w:spacing w:before="0" w:after="0" w:line="240" w:lineRule="auto"/>
      </w:pPr>
      <w:rPr>
        <w:b/>
        <w:bCs/>
        <w:color w:val="FFFFFF" w:themeColor="background1"/>
      </w:rPr>
      <w:tblPr/>
      <w:tcPr>
        <w:tc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nil"/>
          <w:insideV w:val="nil"/>
        </w:tcBorders>
        <w:shd w:val="clear" w:color="auto" w:fill="1A1919" w:themeFill="text1"/>
      </w:tcPr>
    </w:tblStylePr>
    <w:tblStylePr w:type="lastRow">
      <w:pPr>
        <w:spacing w:before="0" w:after="0" w:line="240" w:lineRule="auto"/>
      </w:pPr>
      <w:rPr>
        <w:b/>
        <w:bCs/>
      </w:rPr>
      <w:tblPr/>
      <w:tcPr>
        <w:tcBorders>
          <w:top w:val="double" w:sz="6"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nil"/>
          <w:insideV w:val="nil"/>
        </w:tcBorders>
      </w:tcPr>
    </w:tblStylePr>
    <w:tblStylePr w:type="firstCol">
      <w:rPr>
        <w:b/>
        <w:bCs/>
      </w:rPr>
    </w:tblStylePr>
    <w:tblStylePr w:type="lastCol">
      <w:rPr>
        <w:b/>
        <w:bCs/>
      </w:rPr>
    </w:tblStylePr>
    <w:tblStylePr w:type="band1Vert">
      <w:tblPr/>
      <w:tcPr>
        <w:shd w:val="clear" w:color="auto" w:fill="C7C5C5" w:themeFill="text1" w:themeFillTint="3F"/>
      </w:tcPr>
    </w:tblStylePr>
    <w:tblStylePr w:type="band1Horz">
      <w:tblPr/>
      <w:tcPr>
        <w:tcBorders>
          <w:insideH w:val="nil"/>
          <w:insideV w:val="nil"/>
        </w:tcBorders>
        <w:shd w:val="clear" w:color="auto" w:fill="C7C5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26C4"/>
    <w:pPr>
      <w:spacing w:after="0"/>
    </w:pPr>
    <w:rPr>
      <w:rFonts w:eastAsiaTheme="minorHAnsi" w:cs="Arial"/>
      <w:sz w:val="18"/>
      <w:szCs w:val="18"/>
    </w:rPr>
    <w:tblPr>
      <w:tblStyleRowBandSize w:val="1"/>
      <w:tblStyleColBandSize w:val="1"/>
      <w:tbl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single" w:sz="8" w:space="0" w:color="8DCFC7" w:themeColor="accent1" w:themeTint="BF"/>
      </w:tblBorders>
    </w:tblPr>
    <w:tblStylePr w:type="firstRow">
      <w:pPr>
        <w:spacing w:before="0" w:after="0" w:line="240" w:lineRule="auto"/>
      </w:pPr>
      <w:rPr>
        <w:b/>
        <w:bCs/>
        <w:color w:val="FFFFFF" w:themeColor="background1"/>
      </w:rPr>
      <w:tblPr/>
      <w:tcPr>
        <w:tc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nil"/>
          <w:insideV w:val="nil"/>
        </w:tcBorders>
        <w:shd w:val="clear" w:color="auto" w:fill="68C0B5" w:themeFill="accent1"/>
      </w:tcPr>
    </w:tblStylePr>
    <w:tblStylePr w:type="lastRow">
      <w:pPr>
        <w:spacing w:before="0" w:after="0" w:line="240" w:lineRule="auto"/>
      </w:pPr>
      <w:rPr>
        <w:b/>
        <w:bCs/>
      </w:rPr>
      <w:tblPr/>
      <w:tcPr>
        <w:tcBorders>
          <w:top w:val="double" w:sz="6"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FEC" w:themeFill="accent1" w:themeFillTint="3F"/>
      </w:tcPr>
    </w:tblStylePr>
    <w:tblStylePr w:type="band1Horz">
      <w:tblPr/>
      <w:tcPr>
        <w:tcBorders>
          <w:insideH w:val="nil"/>
          <w:insideV w:val="nil"/>
        </w:tcBorders>
        <w:shd w:val="clear" w:color="auto" w:fill="D9EF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26C4"/>
    <w:pPr>
      <w:spacing w:after="0"/>
    </w:pPr>
    <w:rPr>
      <w:rFonts w:eastAsiaTheme="minorHAnsi" w:cs="Arial"/>
      <w:sz w:val="18"/>
      <w:szCs w:val="18"/>
    </w:rPr>
    <w:tblPr>
      <w:tblStyleRowBandSize w:val="1"/>
      <w:tblStyleColBandSize w:val="1"/>
      <w:tbl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single" w:sz="8" w:space="0" w:color="8EC0E7" w:themeColor="accent2" w:themeTint="BF"/>
      </w:tblBorders>
    </w:tblPr>
    <w:tblStylePr w:type="firstRow">
      <w:pPr>
        <w:spacing w:before="0" w:after="0" w:line="240" w:lineRule="auto"/>
      </w:pPr>
      <w:rPr>
        <w:b/>
        <w:bCs/>
        <w:color w:val="FFFFFF" w:themeColor="background1"/>
      </w:rPr>
      <w:tblPr/>
      <w:tcPr>
        <w:tc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nil"/>
          <w:insideV w:val="nil"/>
        </w:tcBorders>
        <w:shd w:val="clear" w:color="auto" w:fill="69ACDF" w:themeFill="accent2"/>
      </w:tcPr>
    </w:tblStylePr>
    <w:tblStylePr w:type="lastRow">
      <w:pPr>
        <w:spacing w:before="0" w:after="0" w:line="240" w:lineRule="auto"/>
      </w:pPr>
      <w:rPr>
        <w:b/>
        <w:bCs/>
      </w:rPr>
      <w:tblPr/>
      <w:tcPr>
        <w:tcBorders>
          <w:top w:val="double" w:sz="6"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EAF7" w:themeFill="accent2" w:themeFillTint="3F"/>
      </w:tcPr>
    </w:tblStylePr>
    <w:tblStylePr w:type="band1Horz">
      <w:tblPr/>
      <w:tcPr>
        <w:tcBorders>
          <w:insideH w:val="nil"/>
          <w:insideV w:val="nil"/>
        </w:tcBorders>
        <w:shd w:val="clear" w:color="auto" w:fill="D9EA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26C4"/>
    <w:pPr>
      <w:spacing w:after="0"/>
    </w:pPr>
    <w:rPr>
      <w:rFonts w:eastAsiaTheme="minorHAnsi" w:cs="Arial"/>
      <w:sz w:val="18"/>
      <w:szCs w:val="18"/>
    </w:rPr>
    <w:tblPr>
      <w:tblStyleRowBandSize w:val="1"/>
      <w:tblStyleColBandSize w:val="1"/>
      <w:tbl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single" w:sz="8" w:space="0" w:color="8A8FC3" w:themeColor="accent3" w:themeTint="BF"/>
      </w:tblBorders>
    </w:tblPr>
    <w:tblStylePr w:type="firstRow">
      <w:pPr>
        <w:spacing w:before="0" w:after="0" w:line="240" w:lineRule="auto"/>
      </w:pPr>
      <w:rPr>
        <w:b/>
        <w:bCs/>
        <w:color w:val="FFFFFF" w:themeColor="background1"/>
      </w:rPr>
      <w:tblPr/>
      <w:tcPr>
        <w:tc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nil"/>
          <w:insideV w:val="nil"/>
        </w:tcBorders>
        <w:shd w:val="clear" w:color="auto" w:fill="636AAF" w:themeFill="accent3"/>
      </w:tcPr>
    </w:tblStylePr>
    <w:tblStylePr w:type="lastRow">
      <w:pPr>
        <w:spacing w:before="0" w:after="0" w:line="240" w:lineRule="auto"/>
      </w:pPr>
      <w:rPr>
        <w:b/>
        <w:bCs/>
      </w:rPr>
      <w:tblPr/>
      <w:tcPr>
        <w:tcBorders>
          <w:top w:val="double" w:sz="6"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DAEB" w:themeFill="accent3" w:themeFillTint="3F"/>
      </w:tcPr>
    </w:tblStylePr>
    <w:tblStylePr w:type="band1Horz">
      <w:tblPr/>
      <w:tcPr>
        <w:tcBorders>
          <w:insideH w:val="nil"/>
          <w:insideV w:val="nil"/>
        </w:tcBorders>
        <w:shd w:val="clear" w:color="auto" w:fill="D8DA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26C4"/>
    <w:pPr>
      <w:spacing w:after="0"/>
    </w:pPr>
    <w:rPr>
      <w:rFonts w:eastAsiaTheme="minorHAnsi" w:cs="Arial"/>
      <w:sz w:val="18"/>
      <w:szCs w:val="18"/>
    </w:rPr>
    <w:tblPr>
      <w:tblStyleRowBandSize w:val="1"/>
      <w:tblStyleColBandSize w:val="1"/>
      <w:tbl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single" w:sz="8" w:space="0" w:color="C591C0" w:themeColor="accent4" w:themeTint="BF"/>
      </w:tblBorders>
    </w:tblPr>
    <w:tblStylePr w:type="firstRow">
      <w:pPr>
        <w:spacing w:before="0" w:after="0" w:line="240" w:lineRule="auto"/>
      </w:pPr>
      <w:rPr>
        <w:b/>
        <w:bCs/>
        <w:color w:val="FFFFFF" w:themeColor="background1"/>
      </w:rPr>
      <w:tblPr/>
      <w:tcPr>
        <w:tc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nil"/>
          <w:insideV w:val="nil"/>
        </w:tcBorders>
        <w:shd w:val="clear" w:color="auto" w:fill="B26DAB" w:themeFill="accent4"/>
      </w:tcPr>
    </w:tblStylePr>
    <w:tblStylePr w:type="lastRow">
      <w:pPr>
        <w:spacing w:before="0" w:after="0" w:line="240" w:lineRule="auto"/>
      </w:pPr>
      <w:rPr>
        <w:b/>
        <w:bCs/>
      </w:rPr>
      <w:tblPr/>
      <w:tcPr>
        <w:tcBorders>
          <w:top w:val="double" w:sz="6"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AEA" w:themeFill="accent4" w:themeFillTint="3F"/>
      </w:tcPr>
    </w:tblStylePr>
    <w:tblStylePr w:type="band1Horz">
      <w:tblPr/>
      <w:tcPr>
        <w:tcBorders>
          <w:insideH w:val="nil"/>
          <w:insideV w:val="nil"/>
        </w:tcBorders>
        <w:shd w:val="clear" w:color="auto" w:fill="ECDA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26C4"/>
    <w:pPr>
      <w:spacing w:after="0"/>
    </w:pPr>
    <w:rPr>
      <w:rFonts w:eastAsiaTheme="minorHAnsi" w:cs="Arial"/>
      <w:sz w:val="18"/>
      <w:szCs w:val="18"/>
    </w:rPr>
    <w:tblPr>
      <w:tblStyleRowBandSize w:val="1"/>
      <w:tblStyleColBandSize w:val="1"/>
      <w:tbl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single" w:sz="8" w:space="0" w:color="EDB9D5" w:themeColor="accent5" w:themeTint="BF"/>
      </w:tblBorders>
    </w:tblPr>
    <w:tblStylePr w:type="firstRow">
      <w:pPr>
        <w:spacing w:before="0" w:after="0" w:line="240" w:lineRule="auto"/>
      </w:pPr>
      <w:rPr>
        <w:b/>
        <w:bCs/>
        <w:color w:val="FFFFFF" w:themeColor="background1"/>
      </w:rPr>
      <w:tblPr/>
      <w:tcPr>
        <w:tc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nil"/>
          <w:insideV w:val="nil"/>
        </w:tcBorders>
        <w:shd w:val="clear" w:color="auto" w:fill="E7A2C8" w:themeFill="accent5"/>
      </w:tcPr>
    </w:tblStylePr>
    <w:tblStylePr w:type="lastRow">
      <w:pPr>
        <w:spacing w:before="0" w:after="0" w:line="240" w:lineRule="auto"/>
      </w:pPr>
      <w:rPr>
        <w:b/>
        <w:bCs/>
      </w:rPr>
      <w:tblPr/>
      <w:tcPr>
        <w:tcBorders>
          <w:top w:val="double" w:sz="6"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E7F1" w:themeFill="accent5" w:themeFillTint="3F"/>
      </w:tcPr>
    </w:tblStylePr>
    <w:tblStylePr w:type="band1Horz">
      <w:tblPr/>
      <w:tcPr>
        <w:tcBorders>
          <w:insideH w:val="nil"/>
          <w:insideV w:val="nil"/>
        </w:tcBorders>
        <w:shd w:val="clear" w:color="auto" w:fill="F9E7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26C4"/>
    <w:pPr>
      <w:spacing w:after="0"/>
    </w:pPr>
    <w:rPr>
      <w:rFonts w:eastAsiaTheme="minorHAnsi" w:cs="Arial"/>
      <w:sz w:val="18"/>
      <w:szCs w:val="18"/>
    </w:rPr>
    <w:tblPr>
      <w:tblStyleRowBandSize w:val="1"/>
      <w:tblStyleColBandSize w:val="1"/>
      <w:tbl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single" w:sz="8" w:space="0" w:color="B4DDF6" w:themeColor="accent6" w:themeTint="BF"/>
      </w:tblBorders>
    </w:tblPr>
    <w:tblStylePr w:type="firstRow">
      <w:pPr>
        <w:spacing w:before="0" w:after="0" w:line="240" w:lineRule="auto"/>
      </w:pPr>
      <w:rPr>
        <w:b/>
        <w:bCs/>
        <w:color w:val="FFFFFF" w:themeColor="background1"/>
      </w:rPr>
      <w:tblPr/>
      <w:tcPr>
        <w:tc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nil"/>
          <w:insideV w:val="nil"/>
        </w:tcBorders>
        <w:shd w:val="clear" w:color="auto" w:fill="9CD2F4" w:themeFill="accent6"/>
      </w:tcPr>
    </w:tblStylePr>
    <w:tblStylePr w:type="lastRow">
      <w:pPr>
        <w:spacing w:before="0" w:after="0" w:line="240" w:lineRule="auto"/>
      </w:pPr>
      <w:rPr>
        <w:b/>
        <w:bCs/>
      </w:rPr>
      <w:tblPr/>
      <w:tcPr>
        <w:tcBorders>
          <w:top w:val="double" w:sz="6"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F3FC" w:themeFill="accent6" w:themeFillTint="3F"/>
      </w:tcPr>
    </w:tblStylePr>
    <w:tblStylePr w:type="band1Horz">
      <w:tblPr/>
      <w:tcPr>
        <w:tcBorders>
          <w:insideH w:val="nil"/>
          <w:insideV w:val="nil"/>
        </w:tcBorders>
        <w:shd w:val="clear" w:color="auto" w:fill="E6F3F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26C4"/>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191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A1919" w:themeFill="text1"/>
      </w:tcPr>
    </w:tblStylePr>
    <w:tblStylePr w:type="lastCol">
      <w:rPr>
        <w:b/>
        <w:bCs/>
        <w:color w:val="FFFFFF" w:themeColor="background1"/>
      </w:rPr>
      <w:tblPr/>
      <w:tcPr>
        <w:tcBorders>
          <w:left w:val="nil"/>
          <w:right w:val="nil"/>
          <w:insideH w:val="nil"/>
          <w:insideV w:val="nil"/>
        </w:tcBorders>
        <w:shd w:val="clear" w:color="auto" w:fill="1A191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26C4"/>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8C0B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8C0B5" w:themeFill="accent1"/>
      </w:tcPr>
    </w:tblStylePr>
    <w:tblStylePr w:type="lastCol">
      <w:rPr>
        <w:b/>
        <w:bCs/>
        <w:color w:val="FFFFFF" w:themeColor="background1"/>
      </w:rPr>
      <w:tblPr/>
      <w:tcPr>
        <w:tcBorders>
          <w:left w:val="nil"/>
          <w:right w:val="nil"/>
          <w:insideH w:val="nil"/>
          <w:insideV w:val="nil"/>
        </w:tcBorders>
        <w:shd w:val="clear" w:color="auto" w:fill="68C0B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26C4"/>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AC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9ACDF" w:themeFill="accent2"/>
      </w:tcPr>
    </w:tblStylePr>
    <w:tblStylePr w:type="lastCol">
      <w:rPr>
        <w:b/>
        <w:bCs/>
        <w:color w:val="FFFFFF" w:themeColor="background1"/>
      </w:rPr>
      <w:tblPr/>
      <w:tcPr>
        <w:tcBorders>
          <w:left w:val="nil"/>
          <w:right w:val="nil"/>
          <w:insideH w:val="nil"/>
          <w:insideV w:val="nil"/>
        </w:tcBorders>
        <w:shd w:val="clear" w:color="auto" w:fill="69AC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26C4"/>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6A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6AAF" w:themeFill="accent3"/>
      </w:tcPr>
    </w:tblStylePr>
    <w:tblStylePr w:type="lastCol">
      <w:rPr>
        <w:b/>
        <w:bCs/>
        <w:color w:val="FFFFFF" w:themeColor="background1"/>
      </w:rPr>
      <w:tblPr/>
      <w:tcPr>
        <w:tcBorders>
          <w:left w:val="nil"/>
          <w:right w:val="nil"/>
          <w:insideH w:val="nil"/>
          <w:insideV w:val="nil"/>
        </w:tcBorders>
        <w:shd w:val="clear" w:color="auto" w:fill="636AA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26C4"/>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DA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DAB" w:themeFill="accent4"/>
      </w:tcPr>
    </w:tblStylePr>
    <w:tblStylePr w:type="lastCol">
      <w:rPr>
        <w:b/>
        <w:bCs/>
        <w:color w:val="FFFFFF" w:themeColor="background1"/>
      </w:rPr>
      <w:tblPr/>
      <w:tcPr>
        <w:tcBorders>
          <w:left w:val="nil"/>
          <w:right w:val="nil"/>
          <w:insideH w:val="nil"/>
          <w:insideV w:val="nil"/>
        </w:tcBorders>
        <w:shd w:val="clear" w:color="auto" w:fill="B26DA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26C4"/>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A2C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A2C8" w:themeFill="accent5"/>
      </w:tcPr>
    </w:tblStylePr>
    <w:tblStylePr w:type="lastCol">
      <w:rPr>
        <w:b/>
        <w:bCs/>
        <w:color w:val="FFFFFF" w:themeColor="background1"/>
      </w:rPr>
      <w:tblPr/>
      <w:tcPr>
        <w:tcBorders>
          <w:left w:val="nil"/>
          <w:right w:val="nil"/>
          <w:insideH w:val="nil"/>
          <w:insideV w:val="nil"/>
        </w:tcBorders>
        <w:shd w:val="clear" w:color="auto" w:fill="E7A2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26C4"/>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D2F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D2F4" w:themeFill="accent6"/>
      </w:tcPr>
    </w:tblStylePr>
    <w:tblStylePr w:type="lastCol">
      <w:rPr>
        <w:b/>
        <w:bCs/>
        <w:color w:val="FFFFFF" w:themeColor="background1"/>
      </w:rPr>
      <w:tblPr/>
      <w:tcPr>
        <w:tcBorders>
          <w:left w:val="nil"/>
          <w:right w:val="nil"/>
          <w:insideH w:val="nil"/>
          <w:insideV w:val="nil"/>
        </w:tcBorders>
        <w:shd w:val="clear" w:color="auto" w:fill="9CD2F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rsid w:val="00CF26C4"/>
    <w:rPr>
      <w:color w:val="2B579A"/>
      <w:shd w:val="clear" w:color="auto" w:fill="E1DFDD"/>
    </w:rPr>
  </w:style>
  <w:style w:type="paragraph" w:styleId="MessageHeader">
    <w:name w:val="Message Header"/>
    <w:basedOn w:val="Normal"/>
    <w:link w:val="MessageHeaderChar"/>
    <w:uiPriority w:val="99"/>
    <w:semiHidden/>
    <w:rsid w:val="00CF26C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26C4"/>
    <w:rPr>
      <w:rFonts w:asciiTheme="majorHAnsi" w:eastAsiaTheme="majorEastAsia" w:hAnsiTheme="majorHAnsi" w:cstheme="majorBidi"/>
      <w:sz w:val="24"/>
      <w:szCs w:val="24"/>
      <w:shd w:val="pct20" w:color="auto" w:fill="auto"/>
      <w:lang w:val="en-GB"/>
    </w:rPr>
  </w:style>
  <w:style w:type="paragraph" w:styleId="NoSpacing">
    <w:name w:val="No Spacing"/>
    <w:basedOn w:val="Normal"/>
    <w:uiPriority w:val="99"/>
    <w:qFormat/>
    <w:rsid w:val="00CF26C4"/>
    <w:pPr>
      <w:spacing w:after="0"/>
    </w:pPr>
    <w:rPr>
      <w:rFonts w:eastAsiaTheme="minorHAnsi"/>
      <w:szCs w:val="18"/>
    </w:rPr>
  </w:style>
  <w:style w:type="paragraph" w:styleId="NormalWeb">
    <w:name w:val="Normal (Web)"/>
    <w:basedOn w:val="Normal"/>
    <w:uiPriority w:val="99"/>
    <w:semiHidden/>
    <w:rsid w:val="00CF26C4"/>
    <w:rPr>
      <w:rFonts w:cs="Arial"/>
      <w:sz w:val="24"/>
      <w:szCs w:val="24"/>
    </w:rPr>
  </w:style>
  <w:style w:type="paragraph" w:styleId="NormalIndent">
    <w:name w:val="Normal Indent"/>
    <w:basedOn w:val="Normal"/>
    <w:uiPriority w:val="99"/>
    <w:semiHidden/>
    <w:rsid w:val="00CF26C4"/>
    <w:pPr>
      <w:ind w:left="1134"/>
    </w:pPr>
  </w:style>
  <w:style w:type="paragraph" w:styleId="NoteHeading">
    <w:name w:val="Note Heading"/>
    <w:basedOn w:val="Normal"/>
    <w:next w:val="Normal"/>
    <w:link w:val="NoteHeadingChar"/>
    <w:uiPriority w:val="99"/>
    <w:semiHidden/>
    <w:rsid w:val="00CF26C4"/>
  </w:style>
  <w:style w:type="character" w:customStyle="1" w:styleId="NoteHeadingChar">
    <w:name w:val="Note Heading Char"/>
    <w:basedOn w:val="DefaultParagraphFont"/>
    <w:link w:val="NoteHeading"/>
    <w:uiPriority w:val="99"/>
    <w:semiHidden/>
    <w:rsid w:val="00CF26C4"/>
    <w:rPr>
      <w:lang w:val="en-GB"/>
    </w:rPr>
  </w:style>
  <w:style w:type="character" w:styleId="PageNumber">
    <w:name w:val="page number"/>
    <w:basedOn w:val="DefaultParagraphFont"/>
    <w:uiPriority w:val="21"/>
    <w:semiHidden/>
    <w:rsid w:val="00CF26C4"/>
    <w:rPr>
      <w:color w:val="404040"/>
      <w:sz w:val="28"/>
    </w:rPr>
  </w:style>
  <w:style w:type="character" w:styleId="PlaceholderText">
    <w:name w:val="Placeholder Text"/>
    <w:basedOn w:val="DefaultParagraphFont"/>
    <w:uiPriority w:val="99"/>
    <w:semiHidden/>
    <w:rsid w:val="00CF26C4"/>
    <w:rPr>
      <w:color w:val="auto"/>
    </w:rPr>
  </w:style>
  <w:style w:type="table" w:styleId="PlainTable1">
    <w:name w:val="Plain Table 1"/>
    <w:basedOn w:val="TableNormal"/>
    <w:uiPriority w:val="41"/>
    <w:rsid w:val="00CF26C4"/>
    <w:pPr>
      <w:spacing w:after="0"/>
    </w:pPr>
    <w:rPr>
      <w:rFonts w:eastAsiaTheme="minorHAnsi" w:cs="Arial"/>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26C4"/>
    <w:pPr>
      <w:spacing w:after="0"/>
    </w:pPr>
    <w:rPr>
      <w:rFonts w:eastAsiaTheme="minorHAnsi" w:cs="Arial"/>
      <w:sz w:val="18"/>
      <w:szCs w:val="18"/>
    </w:rPr>
    <w:tblPr>
      <w:tblStyleRowBandSize w:val="1"/>
      <w:tblStyleColBandSize w:val="1"/>
      <w:tblBorders>
        <w:top w:val="single" w:sz="4" w:space="0" w:color="8E8989" w:themeColor="text1" w:themeTint="80"/>
        <w:bottom w:val="single" w:sz="4" w:space="0" w:color="8E8989" w:themeColor="text1" w:themeTint="80"/>
      </w:tblBorders>
    </w:tblPr>
    <w:tblStylePr w:type="firstRow">
      <w:rPr>
        <w:b/>
        <w:bCs/>
      </w:rPr>
      <w:tblPr/>
      <w:tcPr>
        <w:tcBorders>
          <w:bottom w:val="single" w:sz="4" w:space="0" w:color="8E8989" w:themeColor="text1" w:themeTint="80"/>
        </w:tcBorders>
      </w:tcPr>
    </w:tblStylePr>
    <w:tblStylePr w:type="lastRow">
      <w:rPr>
        <w:b/>
        <w:bCs/>
      </w:rPr>
      <w:tblPr/>
      <w:tcPr>
        <w:tcBorders>
          <w:top w:val="single" w:sz="4" w:space="0" w:color="8E8989" w:themeColor="text1" w:themeTint="80"/>
        </w:tcBorders>
      </w:tcPr>
    </w:tblStylePr>
    <w:tblStylePr w:type="firstCol">
      <w:rPr>
        <w:b/>
        <w:bCs/>
      </w:rPr>
    </w:tblStylePr>
    <w:tblStylePr w:type="lastCol">
      <w:rPr>
        <w:b/>
        <w:bCs/>
      </w:rPr>
    </w:tblStylePr>
    <w:tblStylePr w:type="band1Vert">
      <w:tblPr/>
      <w:tcPr>
        <w:tcBorders>
          <w:left w:val="single" w:sz="4" w:space="0" w:color="8E8989" w:themeColor="text1" w:themeTint="80"/>
          <w:right w:val="single" w:sz="4" w:space="0" w:color="8E8989" w:themeColor="text1" w:themeTint="80"/>
        </w:tcBorders>
      </w:tcPr>
    </w:tblStylePr>
    <w:tblStylePr w:type="band2Vert">
      <w:tblPr/>
      <w:tcPr>
        <w:tcBorders>
          <w:left w:val="single" w:sz="4" w:space="0" w:color="8E8989" w:themeColor="text1" w:themeTint="80"/>
          <w:right w:val="single" w:sz="4" w:space="0" w:color="8E8989" w:themeColor="text1" w:themeTint="80"/>
        </w:tcBorders>
      </w:tcPr>
    </w:tblStylePr>
    <w:tblStylePr w:type="band1Horz">
      <w:tblPr/>
      <w:tcPr>
        <w:tcBorders>
          <w:top w:val="single" w:sz="4" w:space="0" w:color="8E8989" w:themeColor="text1" w:themeTint="80"/>
          <w:bottom w:val="single" w:sz="4" w:space="0" w:color="8E8989" w:themeColor="text1" w:themeTint="80"/>
        </w:tcBorders>
      </w:tcPr>
    </w:tblStylePr>
  </w:style>
  <w:style w:type="table" w:styleId="PlainTable3">
    <w:name w:val="Plain Table 3"/>
    <w:basedOn w:val="TableNormal"/>
    <w:uiPriority w:val="43"/>
    <w:rsid w:val="00CF26C4"/>
    <w:pPr>
      <w:spacing w:after="0"/>
    </w:pPr>
    <w:rPr>
      <w:rFonts w:eastAsiaTheme="minorHAnsi" w:cs="Arial"/>
      <w:sz w:val="18"/>
      <w:szCs w:val="18"/>
    </w:rPr>
    <w:tblPr>
      <w:tblStyleRowBandSize w:val="1"/>
      <w:tblStyleColBandSize w:val="1"/>
    </w:tblPr>
    <w:tblStylePr w:type="firstRow">
      <w:rPr>
        <w:b/>
        <w:bCs/>
        <w:caps/>
      </w:rPr>
      <w:tblPr/>
      <w:tcPr>
        <w:tcBorders>
          <w:bottom w:val="single" w:sz="4" w:space="0" w:color="8E898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E898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26C4"/>
    <w:pPr>
      <w:spacing w:after="0"/>
    </w:pPr>
    <w:rPr>
      <w:rFonts w:eastAsiaTheme="minorHAnsi" w:cs="Arial"/>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26C4"/>
    <w:pPr>
      <w:spacing w:after="0"/>
    </w:pPr>
    <w:rPr>
      <w:rFonts w:eastAsiaTheme="minorHAnsi" w:cs="Arial"/>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98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98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98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98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CF26C4"/>
    <w:rPr>
      <w:rFonts w:cs="Arial"/>
      <w:sz w:val="21"/>
      <w:szCs w:val="21"/>
    </w:rPr>
  </w:style>
  <w:style w:type="character" w:customStyle="1" w:styleId="PlainTextChar">
    <w:name w:val="Plain Text Char"/>
    <w:basedOn w:val="DefaultParagraphFont"/>
    <w:link w:val="PlainText"/>
    <w:uiPriority w:val="99"/>
    <w:semiHidden/>
    <w:rsid w:val="00CF26C4"/>
    <w:rPr>
      <w:rFonts w:cs="Arial"/>
      <w:sz w:val="21"/>
      <w:szCs w:val="21"/>
      <w:lang w:val="en-GB"/>
    </w:rPr>
  </w:style>
  <w:style w:type="paragraph" w:styleId="Quote">
    <w:name w:val="Quote"/>
    <w:basedOn w:val="Normal"/>
    <w:next w:val="Normal"/>
    <w:link w:val="QuoteChar"/>
    <w:uiPriority w:val="99"/>
    <w:semiHidden/>
    <w:rsid w:val="00CF26C4"/>
    <w:pPr>
      <w:spacing w:before="260" w:after="260"/>
      <w:ind w:left="567" w:right="567"/>
    </w:pPr>
    <w:rPr>
      <w:b/>
      <w:iCs/>
      <w:color w:val="1A1919" w:themeColor="text1"/>
    </w:rPr>
  </w:style>
  <w:style w:type="character" w:customStyle="1" w:styleId="QuoteChar">
    <w:name w:val="Quote Char"/>
    <w:basedOn w:val="DefaultParagraphFont"/>
    <w:link w:val="Quote"/>
    <w:uiPriority w:val="99"/>
    <w:rsid w:val="00CF26C4"/>
    <w:rPr>
      <w:b/>
      <w:iCs/>
      <w:color w:val="1A1919" w:themeColor="text1"/>
      <w:lang w:val="en-GB"/>
    </w:rPr>
  </w:style>
  <w:style w:type="paragraph" w:customStyle="1" w:styleId="Recipient">
    <w:name w:val="Recipient"/>
    <w:basedOn w:val="Normal"/>
    <w:uiPriority w:val="9"/>
    <w:semiHidden/>
    <w:rsid w:val="00CF26C4"/>
    <w:pPr>
      <w:spacing w:after="480"/>
      <w:contextualSpacing/>
    </w:pPr>
  </w:style>
  <w:style w:type="paragraph" w:styleId="Salutation">
    <w:name w:val="Salutation"/>
    <w:basedOn w:val="Normal"/>
    <w:next w:val="Normal"/>
    <w:link w:val="SalutationChar"/>
    <w:uiPriority w:val="99"/>
    <w:semiHidden/>
    <w:rsid w:val="00CF26C4"/>
  </w:style>
  <w:style w:type="character" w:customStyle="1" w:styleId="SalutationChar">
    <w:name w:val="Salutation Char"/>
    <w:basedOn w:val="DefaultParagraphFont"/>
    <w:link w:val="Salutation"/>
    <w:uiPriority w:val="99"/>
    <w:semiHidden/>
    <w:rsid w:val="00CF26C4"/>
    <w:rPr>
      <w:lang w:val="en-GB"/>
    </w:rPr>
  </w:style>
  <w:style w:type="paragraph" w:styleId="Signature">
    <w:name w:val="Signature"/>
    <w:basedOn w:val="Normal"/>
    <w:link w:val="SignatureChar"/>
    <w:uiPriority w:val="10"/>
    <w:semiHidden/>
    <w:rsid w:val="00CF26C4"/>
    <w:pPr>
      <w:spacing w:after="240"/>
      <w:contextualSpacing/>
    </w:pPr>
  </w:style>
  <w:style w:type="character" w:customStyle="1" w:styleId="SignatureChar">
    <w:name w:val="Signature Char"/>
    <w:basedOn w:val="DefaultParagraphFont"/>
    <w:link w:val="Signature"/>
    <w:uiPriority w:val="10"/>
    <w:semiHidden/>
    <w:rsid w:val="00CF26C4"/>
    <w:rPr>
      <w:lang w:val="en-GB"/>
    </w:rPr>
  </w:style>
  <w:style w:type="character" w:styleId="SmartHyperlink">
    <w:name w:val="Smart Hyperlink"/>
    <w:basedOn w:val="DefaultParagraphFont"/>
    <w:uiPriority w:val="99"/>
    <w:semiHidden/>
    <w:rsid w:val="00CF26C4"/>
    <w:rPr>
      <w:u w:val="dotted"/>
    </w:rPr>
  </w:style>
  <w:style w:type="character" w:styleId="Strong">
    <w:name w:val="Strong"/>
    <w:basedOn w:val="DefaultParagraphFont"/>
    <w:uiPriority w:val="99"/>
    <w:semiHidden/>
    <w:rsid w:val="00CF26C4"/>
    <w:rPr>
      <w:b/>
      <w:bCs/>
    </w:rPr>
  </w:style>
  <w:style w:type="paragraph" w:styleId="Subtitle">
    <w:name w:val="Subtitle"/>
    <w:basedOn w:val="Normal"/>
    <w:next w:val="Normal"/>
    <w:link w:val="SubtitleChar"/>
    <w:uiPriority w:val="19"/>
    <w:semiHidden/>
    <w:rsid w:val="00CF26C4"/>
    <w:pPr>
      <w:numPr>
        <w:ilvl w:val="1"/>
      </w:numPr>
      <w:spacing w:after="220" w:line="840" w:lineRule="atLeast"/>
      <w:contextualSpacing/>
    </w:pPr>
    <w:rPr>
      <w:rFonts w:eastAsiaTheme="majorEastAsia" w:cs="Arial"/>
      <w:iCs/>
      <w:caps/>
      <w:color w:val="auto"/>
      <w:spacing w:val="15"/>
      <w:kern w:val="28"/>
      <w:sz w:val="84"/>
      <w:szCs w:val="24"/>
    </w:rPr>
  </w:style>
  <w:style w:type="character" w:customStyle="1" w:styleId="SubtitleChar">
    <w:name w:val="Subtitle Char"/>
    <w:basedOn w:val="DefaultParagraphFont"/>
    <w:link w:val="Subtitle"/>
    <w:uiPriority w:val="19"/>
    <w:rsid w:val="00CF26C4"/>
    <w:rPr>
      <w:rFonts w:eastAsiaTheme="majorEastAsia" w:cs="Arial"/>
      <w:iCs/>
      <w:caps/>
      <w:color w:val="auto"/>
      <w:spacing w:val="15"/>
      <w:kern w:val="28"/>
      <w:sz w:val="84"/>
      <w:szCs w:val="24"/>
      <w:lang w:val="en-GB"/>
    </w:rPr>
  </w:style>
  <w:style w:type="character" w:styleId="SubtleEmphasis">
    <w:name w:val="Subtle Emphasis"/>
    <w:basedOn w:val="DefaultParagraphFont"/>
    <w:uiPriority w:val="99"/>
    <w:semiHidden/>
    <w:qFormat/>
    <w:rsid w:val="00CF26C4"/>
    <w:rPr>
      <w:i/>
      <w:iCs/>
      <w:color w:val="8F8A8A" w:themeColor="text1" w:themeTint="7F"/>
    </w:rPr>
  </w:style>
  <w:style w:type="character" w:styleId="SubtleReference">
    <w:name w:val="Subtle Reference"/>
    <w:basedOn w:val="DefaultParagraphFont"/>
    <w:uiPriority w:val="99"/>
    <w:semiHidden/>
    <w:qFormat/>
    <w:rsid w:val="00CF26C4"/>
    <w:rPr>
      <w:caps w:val="0"/>
      <w:smallCaps w:val="0"/>
      <w:color w:val="auto"/>
      <w:u w:val="single"/>
    </w:rPr>
  </w:style>
  <w:style w:type="paragraph" w:customStyle="1" w:styleId="Table">
    <w:name w:val="Table"/>
    <w:uiPriority w:val="4"/>
    <w:semiHidden/>
    <w:rsid w:val="00CF26C4"/>
    <w:pPr>
      <w:spacing w:before="40" w:line="280" w:lineRule="atLeast"/>
      <w:ind w:left="113" w:right="113"/>
    </w:pPr>
    <w:rPr>
      <w:rFonts w:eastAsiaTheme="minorHAnsi"/>
      <w:szCs w:val="18"/>
      <w:lang w:val="en-GB"/>
    </w:rPr>
  </w:style>
  <w:style w:type="paragraph" w:customStyle="1" w:styleId="Table-Heading">
    <w:name w:val="Table - Heading"/>
    <w:basedOn w:val="Table"/>
    <w:uiPriority w:val="5"/>
    <w:rsid w:val="00CF26C4"/>
    <w:rPr>
      <w:b/>
      <w:color w:val="auto"/>
    </w:rPr>
  </w:style>
  <w:style w:type="paragraph" w:customStyle="1" w:styleId="Table-HeadingRight">
    <w:name w:val="Table - Heading Right"/>
    <w:basedOn w:val="Table"/>
    <w:uiPriority w:val="6"/>
    <w:rsid w:val="00CF26C4"/>
    <w:pPr>
      <w:jc w:val="right"/>
    </w:pPr>
    <w:rPr>
      <w:b/>
      <w:color w:val="1A1919" w:themeColor="text1"/>
    </w:rPr>
  </w:style>
  <w:style w:type="paragraph" w:customStyle="1" w:styleId="Table-TextRight">
    <w:name w:val="Table - Text Right"/>
    <w:basedOn w:val="Table"/>
    <w:uiPriority w:val="6"/>
    <w:rsid w:val="00CF26C4"/>
    <w:pPr>
      <w:jc w:val="right"/>
    </w:pPr>
  </w:style>
  <w:style w:type="paragraph" w:customStyle="1" w:styleId="Table-TextTotalRight">
    <w:name w:val="Table - Text Total Right"/>
    <w:basedOn w:val="Table-TextRight"/>
    <w:uiPriority w:val="6"/>
    <w:rsid w:val="00CF26C4"/>
    <w:rPr>
      <w:b/>
    </w:rPr>
  </w:style>
  <w:style w:type="paragraph" w:customStyle="1" w:styleId="Table-Text">
    <w:name w:val="Table - Text"/>
    <w:basedOn w:val="Table"/>
    <w:uiPriority w:val="5"/>
    <w:rsid w:val="00CF26C4"/>
  </w:style>
  <w:style w:type="paragraph" w:customStyle="1" w:styleId="Table-TextTotal">
    <w:name w:val="Table - Text Total"/>
    <w:basedOn w:val="Table-Text"/>
    <w:uiPriority w:val="5"/>
    <w:rsid w:val="00CF26C4"/>
    <w:rPr>
      <w:b/>
    </w:rPr>
  </w:style>
  <w:style w:type="table" w:styleId="Table3Deffects1">
    <w:name w:val="Table 3D effects 1"/>
    <w:basedOn w:val="TableNormal"/>
    <w:uiPriority w:val="99"/>
    <w:semiHidden/>
    <w:unhideWhenUsed/>
    <w:rsid w:val="00CF26C4"/>
    <w:pPr>
      <w:spacing w:after="0" w:line="260" w:lineRule="atLeast"/>
    </w:pPr>
    <w:rPr>
      <w:rFonts w:eastAsiaTheme="minorHAnsi" w:cs="Arial"/>
      <w:sz w:val="18"/>
      <w:szCs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26C4"/>
    <w:pPr>
      <w:spacing w:after="0" w:line="260" w:lineRule="atLeast"/>
    </w:pPr>
    <w:rPr>
      <w:rFonts w:eastAsiaTheme="minorHAnsi" w:cs="Arial"/>
      <w:sz w:val="18"/>
      <w:szCs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26C4"/>
    <w:pPr>
      <w:spacing w:after="0" w:line="260" w:lineRule="atLeast"/>
    </w:pPr>
    <w:rPr>
      <w:rFonts w:eastAsiaTheme="minorHAnsi" w:cs="Arial"/>
      <w:sz w:val="18"/>
      <w:szCs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26C4"/>
    <w:pPr>
      <w:spacing w:after="0" w:line="260" w:lineRule="atLeast"/>
    </w:pPr>
    <w:rPr>
      <w:rFonts w:eastAsiaTheme="minorHAnsi" w:cs="Arial"/>
      <w:sz w:val="18"/>
      <w:szCs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26C4"/>
    <w:pPr>
      <w:spacing w:after="0" w:line="260" w:lineRule="atLeast"/>
    </w:pPr>
    <w:rPr>
      <w:rFonts w:eastAsiaTheme="minorHAnsi" w:cs="Arial"/>
      <w:sz w:val="18"/>
      <w:szCs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26C4"/>
    <w:pPr>
      <w:spacing w:after="0" w:line="260" w:lineRule="atLeast"/>
    </w:pPr>
    <w:rPr>
      <w:rFonts w:eastAsiaTheme="minorHAnsi" w:cs="Arial"/>
      <w:color w:val="000080"/>
      <w:sz w:val="18"/>
      <w:szCs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26C4"/>
    <w:pPr>
      <w:spacing w:after="0" w:line="260" w:lineRule="atLeast"/>
    </w:pPr>
    <w:rPr>
      <w:rFonts w:eastAsiaTheme="minorHAnsi" w:cs="Arial"/>
      <w:sz w:val="18"/>
      <w:szCs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26C4"/>
    <w:pPr>
      <w:spacing w:after="0" w:line="260" w:lineRule="atLeast"/>
    </w:pPr>
    <w:rPr>
      <w:rFonts w:eastAsiaTheme="minorHAnsi" w:cs="Arial"/>
      <w:color w:val="FFFFFF"/>
      <w:sz w:val="18"/>
      <w:szCs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26C4"/>
    <w:pPr>
      <w:spacing w:after="0" w:line="260" w:lineRule="atLeast"/>
    </w:pPr>
    <w:rPr>
      <w:rFonts w:eastAsiaTheme="minorHAnsi" w:cs="Arial"/>
      <w:sz w:val="18"/>
      <w:szCs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26C4"/>
    <w:pPr>
      <w:spacing w:after="0" w:line="260" w:lineRule="atLeast"/>
    </w:pPr>
    <w:rPr>
      <w:rFonts w:eastAsiaTheme="minorHAnsi" w:cs="Arial"/>
      <w:sz w:val="18"/>
      <w:szCs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26C4"/>
    <w:pPr>
      <w:spacing w:after="0" w:line="260" w:lineRule="atLeast"/>
    </w:pPr>
    <w:rPr>
      <w:rFonts w:eastAsiaTheme="minorHAnsi" w:cs="Arial"/>
      <w:b/>
      <w:bCs/>
      <w:sz w:val="18"/>
      <w:szCs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26C4"/>
    <w:pPr>
      <w:spacing w:after="0" w:line="260" w:lineRule="atLeast"/>
    </w:pPr>
    <w:rPr>
      <w:rFonts w:eastAsiaTheme="minorHAnsi" w:cs="Arial"/>
      <w:b/>
      <w:bCs/>
      <w:sz w:val="18"/>
      <w:szCs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26C4"/>
    <w:pPr>
      <w:spacing w:after="0" w:line="260" w:lineRule="atLeast"/>
    </w:pPr>
    <w:rPr>
      <w:rFonts w:eastAsiaTheme="minorHAnsi" w:cs="Arial"/>
      <w:b/>
      <w:bCs/>
      <w:sz w:val="18"/>
      <w:szCs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26C4"/>
    <w:pPr>
      <w:spacing w:after="0" w:line="260" w:lineRule="atLeast"/>
    </w:pPr>
    <w:rPr>
      <w:rFonts w:eastAsiaTheme="minorHAnsi" w:cs="Arial"/>
      <w:sz w:val="18"/>
      <w:szCs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26C4"/>
    <w:pPr>
      <w:spacing w:after="0" w:line="260" w:lineRule="atLeast"/>
    </w:pPr>
    <w:rPr>
      <w:rFonts w:eastAsiaTheme="minorHAnsi" w:cs="Arial"/>
      <w:sz w:val="18"/>
      <w:szCs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26C4"/>
    <w:pPr>
      <w:spacing w:after="0" w:line="260" w:lineRule="atLeast"/>
    </w:pPr>
    <w:rPr>
      <w:rFonts w:eastAsiaTheme="minorHAnsi" w:cs="Arial"/>
      <w:sz w:val="18"/>
      <w:szCs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26C4"/>
    <w:pPr>
      <w:spacing w:after="0" w:line="260" w:lineRule="atLeast"/>
    </w:pPr>
    <w:rPr>
      <w:rFonts w:eastAsiaTheme="minorHAnsi" w:cs="Arial"/>
      <w:sz w:val="18"/>
      <w:szCs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26C4"/>
    <w:pPr>
      <w:spacing w:after="0" w:line="260" w:lineRule="atLeast"/>
    </w:pPr>
    <w:rPr>
      <w:rFonts w:eastAsiaTheme="minorHAnsi"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26C4"/>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26C4"/>
    <w:pPr>
      <w:spacing w:after="0" w:line="260" w:lineRule="atLeast"/>
    </w:pPr>
    <w:rPr>
      <w:rFonts w:eastAsiaTheme="minorHAnsi" w:cs="Arial"/>
      <w:sz w:val="18"/>
      <w:szCs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26C4"/>
    <w:pPr>
      <w:spacing w:after="0" w:line="260" w:lineRule="atLeast"/>
    </w:pPr>
    <w:rPr>
      <w:rFonts w:eastAsiaTheme="minorHAnsi" w:cs="Arial"/>
      <w:sz w:val="18"/>
      <w:szCs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26C4"/>
    <w:pPr>
      <w:spacing w:after="0" w:line="260" w:lineRule="atLeast"/>
    </w:pPr>
    <w:rPr>
      <w:rFonts w:eastAsiaTheme="minorHAnsi" w:cs="Arial"/>
      <w:sz w:val="18"/>
      <w:szCs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26C4"/>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26C4"/>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26C4"/>
    <w:pPr>
      <w:spacing w:after="0" w:line="260" w:lineRule="atLeast"/>
    </w:pPr>
    <w:rPr>
      <w:rFonts w:eastAsiaTheme="minorHAnsi" w:cs="Arial"/>
      <w:b/>
      <w:bCs/>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26C4"/>
    <w:pPr>
      <w:spacing w:after="0" w:line="260" w:lineRule="atLeast"/>
    </w:pPr>
    <w:rPr>
      <w:rFonts w:eastAsiaTheme="minorHAnsi" w:cs="Arial"/>
      <w:sz w:val="18"/>
      <w:szCs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26C4"/>
    <w:pPr>
      <w:spacing w:after="0"/>
    </w:pPr>
    <w:rPr>
      <w:rFonts w:eastAsiaTheme="minorHAnsi" w:cs="Arial"/>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26C4"/>
    <w:pPr>
      <w:spacing w:after="0" w:line="260" w:lineRule="atLeast"/>
    </w:pPr>
    <w:rPr>
      <w:rFonts w:eastAsiaTheme="minorHAnsi" w:cs="Arial"/>
      <w:sz w:val="18"/>
      <w:szCs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26C4"/>
    <w:pPr>
      <w:spacing w:after="0" w:line="260" w:lineRule="atLeast"/>
    </w:pPr>
    <w:rPr>
      <w:rFonts w:eastAsiaTheme="minorHAnsi" w:cs="Arial"/>
      <w:sz w:val="18"/>
      <w:szCs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26C4"/>
    <w:pPr>
      <w:spacing w:after="0" w:line="260" w:lineRule="atLeast"/>
    </w:pPr>
    <w:rPr>
      <w:rFonts w:eastAsiaTheme="minorHAnsi" w:cs="Arial"/>
      <w:sz w:val="18"/>
      <w:szCs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26C4"/>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26C4"/>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26C4"/>
    <w:pPr>
      <w:spacing w:after="0" w:line="260" w:lineRule="atLeast"/>
    </w:pPr>
    <w:rPr>
      <w:rFonts w:eastAsiaTheme="minorHAnsi" w:cs="Arial"/>
      <w:sz w:val="18"/>
      <w:szCs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26C4"/>
    <w:pPr>
      <w:spacing w:after="0" w:line="260" w:lineRule="atLeast"/>
    </w:pPr>
    <w:rPr>
      <w:rFonts w:eastAsiaTheme="minorHAnsi" w:cs="Arial"/>
      <w:sz w:val="18"/>
      <w:szCs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26C4"/>
    <w:pPr>
      <w:spacing w:after="0" w:line="260" w:lineRule="atLeast"/>
    </w:pPr>
    <w:rPr>
      <w:rFonts w:eastAsiaTheme="minorHAnsi" w:cs="Arial"/>
      <w:sz w:val="18"/>
      <w:szCs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0"/>
    <w:semiHidden/>
    <w:rsid w:val="00CF26C4"/>
    <w:pPr>
      <w:ind w:right="567"/>
    </w:pPr>
  </w:style>
  <w:style w:type="paragraph" w:styleId="TableofFigures">
    <w:name w:val="table of figures"/>
    <w:basedOn w:val="Normal"/>
    <w:next w:val="Normal"/>
    <w:uiPriority w:val="99"/>
    <w:rsid w:val="00CF26C4"/>
    <w:pPr>
      <w:spacing w:after="60"/>
      <w:ind w:right="567"/>
    </w:pPr>
  </w:style>
  <w:style w:type="table" w:styleId="TableProfessional">
    <w:name w:val="Table Professional"/>
    <w:basedOn w:val="TableNormal"/>
    <w:uiPriority w:val="99"/>
    <w:semiHidden/>
    <w:unhideWhenUsed/>
    <w:rsid w:val="00CF26C4"/>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26C4"/>
    <w:pPr>
      <w:spacing w:after="0" w:line="260" w:lineRule="atLeast"/>
    </w:pPr>
    <w:rPr>
      <w:rFonts w:eastAsiaTheme="minorHAnsi" w:cs="Arial"/>
      <w:sz w:val="18"/>
      <w:szCs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26C4"/>
    <w:pPr>
      <w:spacing w:after="0" w:line="260" w:lineRule="atLeast"/>
    </w:pPr>
    <w:rPr>
      <w:rFonts w:eastAsiaTheme="minorHAnsi" w:cs="Arial"/>
      <w:sz w:val="18"/>
      <w:szCs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26C4"/>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26C4"/>
    <w:pPr>
      <w:spacing w:after="0" w:line="260" w:lineRule="atLeast"/>
    </w:pPr>
    <w:rPr>
      <w:rFonts w:eastAsiaTheme="minorHAnsi" w:cs="Arial"/>
      <w:sz w:val="18"/>
      <w:szCs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26C4"/>
    <w:pPr>
      <w:spacing w:after="0" w:line="260" w:lineRule="atLeast"/>
    </w:pPr>
    <w:rPr>
      <w:rFonts w:eastAsiaTheme="minorHAnsi" w:cs="Arial"/>
      <w:sz w:val="18"/>
      <w:szCs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26C4"/>
    <w:pPr>
      <w:spacing w:after="0" w:line="260" w:lineRule="atLeast"/>
    </w:pPr>
    <w:rPr>
      <w:rFonts w:eastAsiaTheme="minorHAnsi"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26C4"/>
    <w:pPr>
      <w:spacing w:after="0" w:line="260" w:lineRule="atLeast"/>
    </w:pPr>
    <w:rPr>
      <w:rFonts w:eastAsiaTheme="minorHAnsi" w:cs="Arial"/>
      <w:sz w:val="18"/>
      <w:szCs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26C4"/>
    <w:pPr>
      <w:spacing w:after="0" w:line="260" w:lineRule="atLeast"/>
    </w:pPr>
    <w:rPr>
      <w:rFonts w:eastAsiaTheme="minorHAnsi" w:cs="Arial"/>
      <w:sz w:val="18"/>
      <w:szCs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26C4"/>
    <w:pPr>
      <w:spacing w:after="0" w:line="260" w:lineRule="atLeast"/>
    </w:pPr>
    <w:rPr>
      <w:rFonts w:eastAsiaTheme="minorHAnsi" w:cs="Arial"/>
      <w:sz w:val="18"/>
      <w:szCs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
    <w:name w:val="Template"/>
    <w:uiPriority w:val="9"/>
    <w:semiHidden/>
    <w:rsid w:val="00CF26C4"/>
    <w:pPr>
      <w:spacing w:after="0" w:line="260" w:lineRule="atLeast"/>
    </w:pPr>
    <w:rPr>
      <w:rFonts w:eastAsiaTheme="minorHAnsi" w:cs="Arial"/>
      <w:noProof/>
      <w:sz w:val="16"/>
      <w:szCs w:val="18"/>
      <w:lang w:val="en-GB"/>
    </w:rPr>
  </w:style>
  <w:style w:type="paragraph" w:customStyle="1" w:styleId="Template-Address">
    <w:name w:val="Template - Address"/>
    <w:basedOn w:val="Template"/>
    <w:uiPriority w:val="9"/>
    <w:semiHidden/>
    <w:rsid w:val="00CF26C4"/>
    <w:pPr>
      <w:tabs>
        <w:tab w:val="left" w:pos="567"/>
      </w:tabs>
      <w:suppressAutoHyphens/>
    </w:pPr>
  </w:style>
  <w:style w:type="paragraph" w:customStyle="1" w:styleId="Template-CompanyName">
    <w:name w:val="Template - Company Name"/>
    <w:basedOn w:val="Template-Address"/>
    <w:next w:val="Template-Address"/>
    <w:uiPriority w:val="9"/>
    <w:semiHidden/>
    <w:rsid w:val="00CF26C4"/>
    <w:pPr>
      <w:spacing w:line="200" w:lineRule="atLeast"/>
    </w:pPr>
    <w:rPr>
      <w:b/>
    </w:rPr>
  </w:style>
  <w:style w:type="paragraph" w:customStyle="1" w:styleId="Template-Date">
    <w:name w:val="Template - Date"/>
    <w:basedOn w:val="Template"/>
    <w:uiPriority w:val="9"/>
    <w:semiHidden/>
    <w:rsid w:val="00CF26C4"/>
    <w:pPr>
      <w:spacing w:after="480" w:line="240" w:lineRule="auto"/>
    </w:pPr>
    <w:rPr>
      <w:rFonts w:eastAsiaTheme="minorEastAsia"/>
      <w:sz w:val="20"/>
      <w:szCs w:val="20"/>
    </w:rPr>
  </w:style>
  <w:style w:type="paragraph" w:styleId="TOAHeading">
    <w:name w:val="toa heading"/>
    <w:basedOn w:val="Normal"/>
    <w:next w:val="Normal"/>
    <w:uiPriority w:val="39"/>
    <w:semiHidden/>
    <w:rsid w:val="00CF26C4"/>
    <w:pPr>
      <w:spacing w:after="520" w:line="360" w:lineRule="atLeast"/>
    </w:pPr>
    <w:rPr>
      <w:rFonts w:eastAsiaTheme="majorEastAsia" w:cstheme="majorBidi"/>
      <w:b/>
      <w:bCs/>
      <w:sz w:val="28"/>
      <w:szCs w:val="24"/>
    </w:rPr>
  </w:style>
  <w:style w:type="paragraph" w:styleId="TOC1">
    <w:name w:val="toc 1"/>
    <w:basedOn w:val="Normal"/>
    <w:next w:val="Normal"/>
    <w:uiPriority w:val="39"/>
    <w:rsid w:val="00DC2C09"/>
    <w:pPr>
      <w:tabs>
        <w:tab w:val="left" w:pos="851"/>
        <w:tab w:val="right" w:leader="dot" w:pos="9633"/>
      </w:tabs>
      <w:spacing w:before="180" w:after="0" w:line="260" w:lineRule="atLeast"/>
      <w:ind w:right="567"/>
    </w:pPr>
    <w:rPr>
      <w:b/>
      <w:bCs/>
    </w:rPr>
  </w:style>
  <w:style w:type="paragraph" w:styleId="TOC2">
    <w:name w:val="toc 2"/>
    <w:basedOn w:val="Normal"/>
    <w:next w:val="Normal"/>
    <w:uiPriority w:val="39"/>
    <w:rsid w:val="00CF26C4"/>
    <w:pPr>
      <w:tabs>
        <w:tab w:val="left" w:pos="1701"/>
        <w:tab w:val="right" w:leader="dot" w:pos="9633"/>
      </w:tabs>
      <w:spacing w:after="0" w:line="240" w:lineRule="atLeast"/>
      <w:ind w:left="1702" w:right="567" w:hanging="851"/>
    </w:pPr>
  </w:style>
  <w:style w:type="paragraph" w:styleId="TOC3">
    <w:name w:val="toc 3"/>
    <w:basedOn w:val="Normal"/>
    <w:next w:val="Normal"/>
    <w:uiPriority w:val="39"/>
    <w:rsid w:val="00CF26C4"/>
    <w:pPr>
      <w:tabs>
        <w:tab w:val="left" w:pos="2552"/>
        <w:tab w:val="right" w:leader="dot" w:pos="9633"/>
      </w:tabs>
      <w:spacing w:after="0" w:line="240" w:lineRule="atLeast"/>
      <w:ind w:left="2552" w:right="567" w:hanging="851"/>
    </w:pPr>
  </w:style>
  <w:style w:type="paragraph" w:styleId="TOC4">
    <w:name w:val="toc 4"/>
    <w:basedOn w:val="Normal"/>
    <w:next w:val="Normal"/>
    <w:uiPriority w:val="39"/>
    <w:rsid w:val="00CF26C4"/>
    <w:pPr>
      <w:tabs>
        <w:tab w:val="left" w:pos="2552"/>
        <w:tab w:val="right" w:leader="dot" w:pos="9633"/>
      </w:tabs>
      <w:spacing w:after="0" w:line="240" w:lineRule="atLeast"/>
      <w:ind w:left="2552" w:right="567" w:hanging="851"/>
    </w:pPr>
  </w:style>
  <w:style w:type="paragraph" w:styleId="TOC5">
    <w:name w:val="toc 5"/>
    <w:basedOn w:val="TOC1"/>
    <w:next w:val="Normal"/>
    <w:uiPriority w:val="39"/>
    <w:rsid w:val="00CF26C4"/>
    <w:pPr>
      <w:tabs>
        <w:tab w:val="clear" w:pos="851"/>
      </w:tabs>
    </w:pPr>
  </w:style>
  <w:style w:type="paragraph" w:styleId="TOC6">
    <w:name w:val="toc 6"/>
    <w:basedOn w:val="TOC2"/>
    <w:next w:val="Normal"/>
    <w:uiPriority w:val="39"/>
    <w:rsid w:val="00CF26C4"/>
    <w:pPr>
      <w:tabs>
        <w:tab w:val="clear" w:pos="1701"/>
      </w:tabs>
      <w:ind w:left="851" w:firstLine="0"/>
    </w:pPr>
  </w:style>
  <w:style w:type="paragraph" w:styleId="TOC7">
    <w:name w:val="toc 7"/>
    <w:basedOn w:val="TOC3"/>
    <w:next w:val="Normal"/>
    <w:uiPriority w:val="39"/>
    <w:rsid w:val="00CF26C4"/>
    <w:pPr>
      <w:tabs>
        <w:tab w:val="clear" w:pos="2552"/>
      </w:tabs>
      <w:ind w:left="1701" w:firstLine="0"/>
    </w:pPr>
  </w:style>
  <w:style w:type="paragraph" w:styleId="TOC8">
    <w:name w:val="toc 8"/>
    <w:basedOn w:val="TOC4"/>
    <w:next w:val="Normal"/>
    <w:uiPriority w:val="39"/>
    <w:rsid w:val="00CF26C4"/>
    <w:pPr>
      <w:tabs>
        <w:tab w:val="clear" w:pos="2552"/>
      </w:tabs>
      <w:ind w:left="1701" w:firstLine="0"/>
    </w:pPr>
  </w:style>
  <w:style w:type="paragraph" w:styleId="TOC9">
    <w:name w:val="toc 9"/>
    <w:basedOn w:val="Normal"/>
    <w:next w:val="Normal"/>
    <w:uiPriority w:val="39"/>
    <w:rsid w:val="00CF26C4"/>
    <w:pPr>
      <w:spacing w:before="180" w:after="0" w:line="240" w:lineRule="atLeast"/>
      <w:ind w:left="1418" w:hanging="1418"/>
      <w:contextualSpacing/>
    </w:pPr>
    <w:rPr>
      <w:b/>
    </w:rPr>
  </w:style>
  <w:style w:type="paragraph" w:styleId="TOCHeading">
    <w:name w:val="TOC Heading"/>
    <w:basedOn w:val="Normal"/>
    <w:next w:val="Normal"/>
    <w:uiPriority w:val="39"/>
    <w:qFormat/>
    <w:rsid w:val="00DC2C09"/>
    <w:pPr>
      <w:spacing w:before="100" w:beforeAutospacing="1" w:after="100" w:afterAutospacing="1"/>
    </w:pPr>
    <w:rPr>
      <w:sz w:val="28"/>
    </w:rPr>
  </w:style>
  <w:style w:type="character" w:styleId="UnresolvedMention">
    <w:name w:val="Unresolved Mention"/>
    <w:basedOn w:val="DefaultParagraphFont"/>
    <w:uiPriority w:val="99"/>
    <w:semiHidden/>
    <w:rsid w:val="00CF26C4"/>
    <w:rPr>
      <w:color w:val="605E5C"/>
      <w:shd w:val="clear" w:color="auto" w:fill="E1DFDD"/>
    </w:rPr>
  </w:style>
  <w:style w:type="paragraph" w:customStyle="1" w:styleId="NormalNumbered">
    <w:name w:val="Normal Numbered"/>
    <w:basedOn w:val="Normal"/>
    <w:rsid w:val="00CF26C4"/>
    <w:pPr>
      <w:numPr>
        <w:numId w:val="3"/>
      </w:numPr>
      <w:tabs>
        <w:tab w:val="clear" w:pos="714"/>
      </w:tabs>
      <w:ind w:left="851" w:hanging="851"/>
    </w:pPr>
    <w:rPr>
      <w:rFonts w:eastAsia="Times New Roman" w:cs="Times New Roman"/>
    </w:rPr>
  </w:style>
  <w:style w:type="paragraph" w:customStyle="1" w:styleId="Head1">
    <w:name w:val="Head1"/>
    <w:basedOn w:val="Normal"/>
    <w:next w:val="Normal"/>
    <w:uiPriority w:val="2"/>
    <w:qFormat/>
    <w:rsid w:val="002A1911"/>
    <w:pPr>
      <w:pBdr>
        <w:bottom w:val="single" w:sz="24" w:space="6" w:color="69ACDF" w:themeColor="accent2"/>
      </w:pBdr>
      <w:spacing w:line="192" w:lineRule="auto"/>
      <w:outlineLvl w:val="0"/>
    </w:pPr>
    <w:rPr>
      <w:rFonts w:asciiTheme="majorHAnsi" w:eastAsia="Times New Roman" w:hAnsiTheme="majorHAnsi" w:cstheme="majorHAnsi"/>
      <w:b/>
      <w:bCs/>
      <w:color w:val="auto"/>
      <w:sz w:val="48"/>
    </w:rPr>
  </w:style>
  <w:style w:type="paragraph" w:customStyle="1" w:styleId="Head2">
    <w:name w:val="Head2"/>
    <w:basedOn w:val="Normal"/>
    <w:next w:val="Normal"/>
    <w:uiPriority w:val="2"/>
    <w:qFormat/>
    <w:rsid w:val="00CB39C4"/>
    <w:pPr>
      <w:spacing w:before="360"/>
      <w:outlineLvl w:val="1"/>
    </w:pPr>
    <w:rPr>
      <w:rFonts w:asciiTheme="majorHAnsi" w:hAnsiTheme="majorHAnsi" w:cstheme="majorHAnsi"/>
      <w:b/>
      <w:bCs/>
      <w:color w:val="auto"/>
      <w:sz w:val="36"/>
    </w:rPr>
  </w:style>
  <w:style w:type="paragraph" w:customStyle="1" w:styleId="Head3">
    <w:name w:val="Head3"/>
    <w:basedOn w:val="Normal"/>
    <w:next w:val="Normal"/>
    <w:uiPriority w:val="2"/>
    <w:qFormat/>
    <w:rsid w:val="00E40E70"/>
    <w:pPr>
      <w:spacing w:before="360" w:after="240" w:line="320" w:lineRule="atLeast"/>
      <w:outlineLvl w:val="2"/>
    </w:pPr>
    <w:rPr>
      <w:rFonts w:eastAsia="Times New Roman" w:cs="Courier New"/>
      <w:b/>
      <w:color w:val="auto"/>
      <w:sz w:val="28"/>
    </w:rPr>
  </w:style>
  <w:style w:type="paragraph" w:customStyle="1" w:styleId="Head4">
    <w:name w:val="Head4"/>
    <w:basedOn w:val="Normal"/>
    <w:next w:val="Normal"/>
    <w:uiPriority w:val="2"/>
    <w:qFormat/>
    <w:rsid w:val="004B0E82"/>
    <w:pPr>
      <w:spacing w:line="260" w:lineRule="atLeast"/>
      <w:outlineLvl w:val="3"/>
    </w:pPr>
    <w:rPr>
      <w:rFonts w:eastAsia="Times New Roman" w:cs="Courier New"/>
      <w:b/>
      <w:color w:val="auto"/>
      <w:szCs w:val="18"/>
    </w:rPr>
  </w:style>
  <w:style w:type="paragraph" w:customStyle="1" w:styleId="Subject">
    <w:name w:val="Subject"/>
    <w:basedOn w:val="Normal"/>
    <w:next w:val="Normal"/>
    <w:uiPriority w:val="2"/>
    <w:semiHidden/>
    <w:rsid w:val="00CF26C4"/>
    <w:pPr>
      <w:spacing w:before="400" w:after="360"/>
    </w:pPr>
    <w:rPr>
      <w:rFonts w:eastAsia="Times New Roman" w:cs="Arial"/>
      <w:caps/>
      <w:color w:val="1A1919" w:themeColor="text1"/>
      <w:sz w:val="36"/>
    </w:rPr>
  </w:style>
  <w:style w:type="numbering" w:customStyle="1" w:styleId="ListTableBullets">
    <w:name w:val="List Table Bullets"/>
    <w:uiPriority w:val="99"/>
    <w:rsid w:val="00CF26C4"/>
    <w:pPr>
      <w:numPr>
        <w:numId w:val="10"/>
      </w:numPr>
    </w:pPr>
  </w:style>
  <w:style w:type="numbering" w:customStyle="1" w:styleId="ListLetters">
    <w:name w:val="List Letters"/>
    <w:uiPriority w:val="99"/>
    <w:rsid w:val="00CF26C4"/>
    <w:pPr>
      <w:numPr>
        <w:numId w:val="4"/>
      </w:numPr>
    </w:pPr>
  </w:style>
  <w:style w:type="numbering" w:customStyle="1" w:styleId="ListHeadings">
    <w:name w:val="List Headings"/>
    <w:uiPriority w:val="99"/>
    <w:rsid w:val="00CF26C4"/>
    <w:pPr>
      <w:numPr>
        <w:numId w:val="7"/>
      </w:numPr>
    </w:pPr>
  </w:style>
  <w:style w:type="paragraph" w:customStyle="1" w:styleId="ExcelTableDescription">
    <w:name w:val="Excel Table Description"/>
    <w:basedOn w:val="Normal"/>
    <w:uiPriority w:val="5"/>
    <w:semiHidden/>
    <w:rsid w:val="00CF26C4"/>
    <w:pPr>
      <w:spacing w:after="0"/>
    </w:pPr>
    <w:rPr>
      <w:rFonts w:eastAsia="Times New Roman" w:cs="Times New Roman"/>
      <w:lang w:eastAsia="en-AU"/>
    </w:rPr>
  </w:style>
  <w:style w:type="paragraph" w:customStyle="1" w:styleId="ExcelTableDescriptionRight">
    <w:name w:val="Excel Table Description Right"/>
    <w:basedOn w:val="ExcelTableDescription"/>
    <w:uiPriority w:val="5"/>
    <w:semiHidden/>
    <w:rsid w:val="00CF26C4"/>
    <w:pPr>
      <w:jc w:val="right"/>
    </w:pPr>
  </w:style>
  <w:style w:type="paragraph" w:customStyle="1" w:styleId="HangingQuote">
    <w:name w:val="Hanging Quote"/>
    <w:basedOn w:val="Normal"/>
    <w:uiPriority w:val="5"/>
    <w:rsid w:val="00030565"/>
    <w:pPr>
      <w:pBdr>
        <w:top w:val="single" w:sz="36" w:space="4" w:color="69ACDF" w:themeColor="accent2"/>
      </w:pBdr>
      <w:spacing w:before="360" w:after="360"/>
      <w:ind w:left="1134" w:right="1134"/>
    </w:pPr>
    <w:rPr>
      <w:rFonts w:eastAsia="Times New Roman" w:cs="Times New Roman"/>
      <w:szCs w:val="24"/>
    </w:rPr>
  </w:style>
  <w:style w:type="paragraph" w:customStyle="1" w:styleId="PageNo">
    <w:name w:val="Page No"/>
    <w:basedOn w:val="Normal"/>
    <w:uiPriority w:val="99"/>
    <w:semiHidden/>
    <w:rsid w:val="00CF26C4"/>
    <w:pPr>
      <w:spacing w:after="200" w:line="280" w:lineRule="exact"/>
      <w:jc w:val="right"/>
    </w:pPr>
    <w:rPr>
      <w:rFonts w:eastAsia="Times New Roman" w:cs="Courier New"/>
    </w:rPr>
  </w:style>
  <w:style w:type="paragraph" w:customStyle="1" w:styleId="Table-Bullet">
    <w:name w:val="Table - Bullet"/>
    <w:basedOn w:val="Table"/>
    <w:uiPriority w:val="5"/>
    <w:rsid w:val="00E763AC"/>
    <w:pPr>
      <w:numPr>
        <w:numId w:val="5"/>
      </w:numPr>
      <w:spacing w:line="240" w:lineRule="auto"/>
      <w:ind w:left="316" w:hanging="203"/>
    </w:pPr>
  </w:style>
  <w:style w:type="paragraph" w:customStyle="1" w:styleId="Appendix1">
    <w:name w:val="Appendix 1"/>
    <w:basedOn w:val="Normal"/>
    <w:next w:val="Normal"/>
    <w:uiPriority w:val="18"/>
    <w:rsid w:val="00677DFC"/>
    <w:pPr>
      <w:pageBreakBefore/>
      <w:framePr w:w="9639" w:wrap="around" w:hAnchor="margin" w:yAlign="top"/>
      <w:numPr>
        <w:numId w:val="12"/>
      </w:numPr>
      <w:tabs>
        <w:tab w:val="num" w:pos="3402"/>
      </w:tabs>
      <w:spacing w:before="3000" w:after="120" w:line="192" w:lineRule="auto"/>
      <w:ind w:left="3402" w:hanging="3402"/>
      <w:outlineLvl w:val="8"/>
    </w:pPr>
    <w:rPr>
      <w:rFonts w:asciiTheme="majorHAnsi" w:eastAsia="Times New Roman" w:hAnsiTheme="majorHAnsi" w:cs="Arial"/>
      <w:b/>
      <w:bCs/>
      <w:color w:val="auto"/>
      <w:sz w:val="48"/>
    </w:rPr>
  </w:style>
  <w:style w:type="numbering" w:customStyle="1" w:styleId="ListAppendix">
    <w:name w:val="List Appendix"/>
    <w:uiPriority w:val="99"/>
    <w:rsid w:val="00CF26C4"/>
  </w:style>
  <w:style w:type="paragraph" w:customStyle="1" w:styleId="CoverText">
    <w:name w:val="Cover Text"/>
    <w:basedOn w:val="Normal"/>
    <w:uiPriority w:val="19"/>
    <w:unhideWhenUsed/>
    <w:rsid w:val="0037519E"/>
    <w:rPr>
      <w:b/>
      <w:bCs/>
    </w:rPr>
  </w:style>
  <w:style w:type="paragraph" w:customStyle="1" w:styleId="Stafflisttitle">
    <w:name w:val="Staff list title"/>
    <w:basedOn w:val="Normal"/>
    <w:uiPriority w:val="8"/>
    <w:rsid w:val="0037519E"/>
    <w:pPr>
      <w:spacing w:after="120"/>
    </w:pPr>
    <w:rPr>
      <w:b/>
      <w:bCs/>
      <w:color w:val="auto"/>
      <w:szCs w:val="22"/>
    </w:rPr>
  </w:style>
  <w:style w:type="paragraph" w:customStyle="1" w:styleId="StaffListtext">
    <w:name w:val="Staff List text"/>
    <w:basedOn w:val="Normal"/>
    <w:uiPriority w:val="8"/>
    <w:rsid w:val="0037519E"/>
    <w:pPr>
      <w:spacing w:after="80"/>
    </w:pPr>
    <w:rPr>
      <w:color w:val="auto"/>
      <w:szCs w:val="22"/>
    </w:rPr>
  </w:style>
  <w:style w:type="paragraph" w:customStyle="1" w:styleId="Copyright">
    <w:name w:val="Copyright"/>
    <w:basedOn w:val="Normal"/>
    <w:uiPriority w:val="8"/>
    <w:rsid w:val="00CF26C4"/>
    <w:pPr>
      <w:spacing w:after="0"/>
    </w:pPr>
    <w:rPr>
      <w:color w:val="auto"/>
      <w:sz w:val="16"/>
    </w:rPr>
  </w:style>
  <w:style w:type="paragraph" w:customStyle="1" w:styleId="Footertextleft">
    <w:name w:val="Footer text left"/>
    <w:basedOn w:val="Footer"/>
    <w:uiPriority w:val="7"/>
    <w:semiHidden/>
    <w:rsid w:val="00CF26C4"/>
    <w:pPr>
      <w:spacing w:after="40" w:line="240" w:lineRule="auto"/>
    </w:pPr>
    <w:rPr>
      <w:caps/>
      <w:sz w:val="12"/>
    </w:rPr>
  </w:style>
  <w:style w:type="paragraph" w:customStyle="1" w:styleId="Footertextright">
    <w:name w:val="Footer text right"/>
    <w:basedOn w:val="Footertextleft"/>
    <w:uiPriority w:val="7"/>
    <w:semiHidden/>
    <w:rsid w:val="00CF26C4"/>
    <w:pPr>
      <w:jc w:val="right"/>
    </w:pPr>
    <w:rPr>
      <w:szCs w:val="18"/>
    </w:rPr>
  </w:style>
  <w:style w:type="paragraph" w:customStyle="1" w:styleId="ListLetter">
    <w:name w:val="List Letter"/>
    <w:basedOn w:val="Normal"/>
    <w:uiPriority w:val="3"/>
    <w:qFormat/>
    <w:rsid w:val="00CF26C4"/>
    <w:pPr>
      <w:numPr>
        <w:numId w:val="14"/>
      </w:numPr>
    </w:pPr>
  </w:style>
  <w:style w:type="paragraph" w:customStyle="1" w:styleId="ListLetter2">
    <w:name w:val="List Letter 2"/>
    <w:basedOn w:val="ListLetter"/>
    <w:uiPriority w:val="3"/>
    <w:qFormat/>
    <w:rsid w:val="00CF26C4"/>
    <w:pPr>
      <w:numPr>
        <w:ilvl w:val="1"/>
      </w:numPr>
    </w:pPr>
  </w:style>
  <w:style w:type="numbering" w:customStyle="1" w:styleId="ListNumberList">
    <w:name w:val="List Number List"/>
    <w:uiPriority w:val="99"/>
    <w:rsid w:val="00CF26C4"/>
    <w:pPr>
      <w:numPr>
        <w:numId w:val="9"/>
      </w:numPr>
    </w:pPr>
  </w:style>
  <w:style w:type="numbering" w:customStyle="1" w:styleId="ListBullets">
    <w:name w:val="List Bullets"/>
    <w:uiPriority w:val="99"/>
    <w:rsid w:val="00CF26C4"/>
    <w:pPr>
      <w:numPr>
        <w:numId w:val="1"/>
      </w:numPr>
    </w:pPr>
  </w:style>
  <w:style w:type="paragraph" w:customStyle="1" w:styleId="TOCSubheading">
    <w:name w:val="TOC Subheading"/>
    <w:basedOn w:val="Normal"/>
    <w:next w:val="Normal"/>
    <w:uiPriority w:val="39"/>
    <w:qFormat/>
    <w:rsid w:val="00DC2C09"/>
    <w:pPr>
      <w:spacing w:before="80" w:after="80"/>
    </w:pPr>
    <w:rPr>
      <w:b/>
    </w:rPr>
  </w:style>
  <w:style w:type="paragraph" w:customStyle="1" w:styleId="FootnoteSeparator">
    <w:name w:val="Footnote Separator"/>
    <w:basedOn w:val="Normal"/>
    <w:uiPriority w:val="7"/>
    <w:semiHidden/>
    <w:rsid w:val="00CF26C4"/>
    <w:pPr>
      <w:pBdr>
        <w:bottom w:val="single" w:sz="4" w:space="1" w:color="414956"/>
      </w:pBdr>
      <w:spacing w:before="120" w:after="120" w:line="180" w:lineRule="atLeast"/>
    </w:pPr>
    <w:rPr>
      <w:rFonts w:eastAsiaTheme="minorHAnsi"/>
      <w:sz w:val="14"/>
    </w:rPr>
  </w:style>
  <w:style w:type="paragraph" w:customStyle="1" w:styleId="CoverPageSubtitle">
    <w:name w:val="Cover Page Subtitle"/>
    <w:basedOn w:val="Normal"/>
    <w:next w:val="Normal"/>
    <w:uiPriority w:val="19"/>
    <w:unhideWhenUsed/>
    <w:qFormat/>
    <w:rsid w:val="0037519E"/>
    <w:pPr>
      <w:spacing w:before="480"/>
    </w:pPr>
    <w:rPr>
      <w:b/>
      <w:bCs/>
      <w:sz w:val="48"/>
      <w:szCs w:val="48"/>
    </w:rPr>
  </w:style>
  <w:style w:type="paragraph" w:customStyle="1" w:styleId="CoverPageTitle">
    <w:name w:val="Cover Page Title"/>
    <w:basedOn w:val="Normal"/>
    <w:next w:val="CoverPageSubtitle"/>
    <w:uiPriority w:val="19"/>
    <w:unhideWhenUsed/>
    <w:qFormat/>
    <w:rsid w:val="0037519E"/>
    <w:pPr>
      <w:spacing w:before="7560" w:after="240"/>
    </w:pPr>
    <w:rPr>
      <w:b/>
      <w:bCs/>
      <w:noProof/>
      <w:sz w:val="72"/>
      <w:szCs w:val="72"/>
    </w:rPr>
  </w:style>
  <w:style w:type="paragraph" w:customStyle="1" w:styleId="CoverClient">
    <w:name w:val="Cover Client"/>
    <w:basedOn w:val="Normal"/>
    <w:uiPriority w:val="19"/>
    <w:unhideWhenUsed/>
    <w:qFormat/>
    <w:rsid w:val="0037519E"/>
    <w:pPr>
      <w:spacing w:before="960"/>
    </w:pPr>
    <w:rPr>
      <w:b/>
      <w:bCs/>
    </w:rPr>
  </w:style>
  <w:style w:type="paragraph" w:customStyle="1" w:styleId="CoverPageTitle-White">
    <w:name w:val="Cover Page Title - White"/>
    <w:basedOn w:val="CoverPageTitle"/>
    <w:uiPriority w:val="19"/>
    <w:unhideWhenUsed/>
    <w:qFormat/>
    <w:rsid w:val="00CF26C4"/>
    <w:rPr>
      <w:color w:val="FFFFFF" w:themeColor="background1"/>
    </w:rPr>
  </w:style>
  <w:style w:type="paragraph" w:customStyle="1" w:styleId="CoverPageSubtitle-White">
    <w:name w:val="Cover Page Subtitle - White"/>
    <w:basedOn w:val="CoverPageSubtitle"/>
    <w:uiPriority w:val="19"/>
    <w:unhideWhenUsed/>
    <w:qFormat/>
    <w:rsid w:val="00CF26C4"/>
    <w:rPr>
      <w:color w:val="FFFFFF" w:themeColor="background1"/>
    </w:rPr>
  </w:style>
  <w:style w:type="paragraph" w:customStyle="1" w:styleId="CoverClient-White">
    <w:name w:val="Cover Client - White"/>
    <w:basedOn w:val="CoverClient"/>
    <w:uiPriority w:val="19"/>
    <w:unhideWhenUsed/>
    <w:qFormat/>
    <w:rsid w:val="00CF26C4"/>
    <w:rPr>
      <w:color w:val="FFFFFF" w:themeColor="background1"/>
    </w:rPr>
  </w:style>
  <w:style w:type="paragraph" w:customStyle="1" w:styleId="CoverText-White">
    <w:name w:val="Cover Text - White"/>
    <w:basedOn w:val="CoverText"/>
    <w:uiPriority w:val="19"/>
    <w:unhideWhenUsed/>
    <w:qFormat/>
    <w:rsid w:val="00CF26C4"/>
    <w:rPr>
      <w:color w:val="FFFFFF" w:themeColor="background1"/>
    </w:rPr>
  </w:style>
  <w:style w:type="paragraph" w:customStyle="1" w:styleId="Appendix2">
    <w:name w:val="Appendix 2"/>
    <w:basedOn w:val="Normal"/>
    <w:uiPriority w:val="18"/>
    <w:qFormat/>
    <w:rsid w:val="00CF26C4"/>
    <w:pPr>
      <w:numPr>
        <w:ilvl w:val="1"/>
        <w:numId w:val="16"/>
      </w:numPr>
      <w:spacing w:before="400" w:after="120"/>
      <w:ind w:left="1701" w:hanging="1701"/>
    </w:pPr>
    <w:rPr>
      <w:b/>
      <w:caps/>
      <w:color w:val="auto"/>
      <w:sz w:val="26"/>
    </w:rPr>
  </w:style>
  <w:style w:type="paragraph" w:customStyle="1" w:styleId="Appendix3">
    <w:name w:val="Appendix 3"/>
    <w:basedOn w:val="Normal"/>
    <w:uiPriority w:val="18"/>
    <w:qFormat/>
    <w:rsid w:val="00CF26C4"/>
    <w:pPr>
      <w:numPr>
        <w:ilvl w:val="2"/>
        <w:numId w:val="16"/>
      </w:numPr>
      <w:spacing w:before="300" w:after="120"/>
      <w:ind w:left="1701" w:hanging="1701"/>
    </w:pPr>
    <w:rPr>
      <w:b/>
      <w:caps/>
      <w:color w:val="auto"/>
      <w:sz w:val="24"/>
    </w:rPr>
  </w:style>
  <w:style w:type="paragraph" w:customStyle="1" w:styleId="Appendix4">
    <w:name w:val="Appendix 4"/>
    <w:basedOn w:val="Normal"/>
    <w:uiPriority w:val="18"/>
    <w:qFormat/>
    <w:rsid w:val="00CF26C4"/>
    <w:pPr>
      <w:numPr>
        <w:ilvl w:val="3"/>
        <w:numId w:val="16"/>
      </w:numPr>
      <w:spacing w:before="300" w:after="120"/>
      <w:ind w:left="1701" w:hanging="1701"/>
    </w:pPr>
    <w:rPr>
      <w:b/>
      <w:caps/>
      <w:color w:val="auto"/>
      <w:sz w:val="22"/>
    </w:rPr>
  </w:style>
  <w:style w:type="numbering" w:styleId="111111">
    <w:name w:val="Outline List 2"/>
    <w:basedOn w:val="NoList"/>
    <w:semiHidden/>
    <w:unhideWhenUsed/>
    <w:rsid w:val="00CF26C4"/>
    <w:pPr>
      <w:numPr>
        <w:numId w:val="17"/>
      </w:numPr>
    </w:pPr>
  </w:style>
  <w:style w:type="numbering" w:styleId="1ai">
    <w:name w:val="Outline List 1"/>
    <w:basedOn w:val="NoList"/>
    <w:semiHidden/>
    <w:unhideWhenUsed/>
    <w:rsid w:val="00CF26C4"/>
    <w:pPr>
      <w:numPr>
        <w:numId w:val="18"/>
      </w:numPr>
    </w:pPr>
  </w:style>
  <w:style w:type="character" w:styleId="SmartLink">
    <w:name w:val="Smart Link"/>
    <w:basedOn w:val="DefaultParagraphFont"/>
    <w:uiPriority w:val="99"/>
    <w:semiHidden/>
    <w:rsid w:val="00CF26C4"/>
    <w:rPr>
      <w:color w:val="69ACDF" w:themeColor="hyperlink"/>
      <w:u w:val="single"/>
      <w:shd w:val="clear" w:color="auto" w:fill="E1DFDD"/>
    </w:rPr>
  </w:style>
  <w:style w:type="paragraph" w:customStyle="1" w:styleId="ImageSource">
    <w:name w:val="Image Source"/>
    <w:basedOn w:val="Normal"/>
    <w:uiPriority w:val="4"/>
    <w:qFormat/>
    <w:rsid w:val="006D5B2B"/>
    <w:pPr>
      <w:spacing w:before="80" w:after="360"/>
    </w:pPr>
    <w:rPr>
      <w:i/>
    </w:rPr>
  </w:style>
  <w:style w:type="paragraph" w:customStyle="1" w:styleId="Table-NumberBullet">
    <w:name w:val="Table - Number Bullet"/>
    <w:basedOn w:val="Table"/>
    <w:uiPriority w:val="5"/>
    <w:rsid w:val="00CF26C4"/>
    <w:pPr>
      <w:numPr>
        <w:numId w:val="11"/>
      </w:numPr>
    </w:pPr>
  </w:style>
  <w:style w:type="paragraph" w:customStyle="1" w:styleId="Table-NumberBullet2">
    <w:name w:val="Table - Number Bullet 2"/>
    <w:basedOn w:val="Table"/>
    <w:uiPriority w:val="5"/>
    <w:rsid w:val="00CF26C4"/>
    <w:pPr>
      <w:numPr>
        <w:ilvl w:val="1"/>
        <w:numId w:val="11"/>
      </w:numPr>
    </w:pPr>
  </w:style>
  <w:style w:type="paragraph" w:customStyle="1" w:styleId="Table-NumberBullet3">
    <w:name w:val="Table - Number Bullet 3"/>
    <w:basedOn w:val="Table"/>
    <w:uiPriority w:val="5"/>
    <w:rsid w:val="00CF26C4"/>
    <w:pPr>
      <w:numPr>
        <w:ilvl w:val="2"/>
        <w:numId w:val="11"/>
      </w:numPr>
    </w:pPr>
  </w:style>
  <w:style w:type="numbering" w:customStyle="1" w:styleId="ListTableNumberBullets">
    <w:name w:val="List Table Number Bullets"/>
    <w:uiPriority w:val="99"/>
    <w:rsid w:val="00CF26C4"/>
    <w:pPr>
      <w:numPr>
        <w:numId w:val="11"/>
      </w:numPr>
    </w:pPr>
  </w:style>
  <w:style w:type="paragraph" w:customStyle="1" w:styleId="Tablespacer">
    <w:name w:val="Table spacer"/>
    <w:basedOn w:val="Normal"/>
    <w:uiPriority w:val="99"/>
    <w:semiHidden/>
    <w:qFormat/>
    <w:rsid w:val="00CF26C4"/>
    <w:pPr>
      <w:spacing w:after="0"/>
    </w:pPr>
    <w:rPr>
      <w:sz w:val="12"/>
    </w:rPr>
  </w:style>
  <w:style w:type="numbering" w:customStyle="1" w:styleId="Listbullets0">
    <w:name w:val="List bullets"/>
    <w:uiPriority w:val="99"/>
    <w:rsid w:val="00603EA1"/>
  </w:style>
  <w:style w:type="paragraph" w:customStyle="1" w:styleId="Urbisdisclaimer">
    <w:name w:val="Urbis disclaimer"/>
    <w:basedOn w:val="Normal"/>
    <w:uiPriority w:val="8"/>
    <w:rsid w:val="00603EA1"/>
    <w:pPr>
      <w:spacing w:after="80"/>
    </w:pPr>
    <w:rPr>
      <w:color w:val="auto"/>
      <w:sz w:val="18"/>
    </w:rPr>
  </w:style>
  <w:style w:type="paragraph" w:customStyle="1" w:styleId="Urbisdisclaimertitle">
    <w:name w:val="Urbis disclaimer title"/>
    <w:basedOn w:val="Normal"/>
    <w:uiPriority w:val="8"/>
    <w:rsid w:val="00603EA1"/>
    <w:pPr>
      <w:spacing w:after="120"/>
    </w:pPr>
    <w:rPr>
      <w:b/>
      <w:bCs/>
      <w:caps/>
      <w:color w:val="auto"/>
      <w:sz w:val="18"/>
    </w:rPr>
  </w:style>
  <w:style w:type="table" w:customStyle="1" w:styleId="UrbisTable1">
    <w:name w:val="Urbis Table 1"/>
    <w:basedOn w:val="TableNormal"/>
    <w:rsid w:val="00603EA1"/>
    <w:pPr>
      <w:spacing w:after="200" w:line="280" w:lineRule="atLeast"/>
    </w:pPr>
    <w:rPr>
      <w:rFonts w:eastAsia="Times New Roman" w:cs="Times New Roman"/>
      <w:lang w:eastAsia="en-AU"/>
    </w:rPr>
    <w:tblPr>
      <w:tblStyleRowBandSize w:val="1"/>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CellMar>
        <w:left w:w="0" w:type="dxa"/>
        <w:right w:w="0" w:type="dxa"/>
      </w:tblCellMar>
    </w:tblPr>
    <w:tcPr>
      <w:shd w:val="clear" w:color="auto" w:fill="auto"/>
      <w:vAlign w:val="bottom"/>
    </w:tcPr>
    <w:tblStylePr w:type="firstRow">
      <w:pPr>
        <w:wordWrap/>
        <w:spacing w:beforeLines="0" w:before="0" w:beforeAutospacing="0" w:afterLines="0" w:after="200" w:afterAutospacing="0" w:line="280" w:lineRule="atLeast"/>
        <w:ind w:leftChars="0" w:left="0" w:rightChars="0" w:right="0" w:firstLineChars="0" w:firstLine="0"/>
      </w:pPr>
      <w:rPr>
        <w:rFonts w:ascii="Arial" w:hAnsi="Arial"/>
        <w:color w:val="auto"/>
        <w:sz w:val="20"/>
      </w:rPr>
      <w:tblPr/>
      <w:tcPr>
        <w:tcBorders>
          <w:top w:val="single" w:sz="4" w:space="0" w:color="D9D9D9" w:themeColor="background1" w:themeShade="D9"/>
          <w:left w:val="single" w:sz="4" w:space="0" w:color="D9D9D9" w:themeColor="background1" w:themeShade="D9"/>
          <w:bottom w:val="nil"/>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caps/>
        <w:smallCaps w:val="0"/>
        <w:color w:val="7F7F7F"/>
        <w:sz w:val="16"/>
      </w:rPr>
      <w:tblPr/>
      <w:tcPr>
        <w:tcBorders>
          <w:top w:val="nil"/>
          <w:bottom w:val="dotted" w:sz="4" w:space="0" w:color="0092D2"/>
        </w:tcBorders>
        <w:shd w:val="clear" w:color="auto" w:fill="auto"/>
      </w:tcPr>
    </w:tblStylePr>
    <w:tblStylePr w:type="band1Horz">
      <w:tblPr/>
      <w:tcPr>
        <w:shd w:val="clear" w:color="auto" w:fill="F2F2F2" w:themeFill="background1" w:themeFillShade="F2"/>
      </w:tcPr>
    </w:tblStylePr>
  </w:style>
  <w:style w:type="paragraph" w:customStyle="1" w:styleId="UrbisTableHeading">
    <w:name w:val="Urbis_Table_Heading"/>
    <w:basedOn w:val="Normal"/>
    <w:qFormat/>
    <w:rsid w:val="00134BA7"/>
    <w:pPr>
      <w:spacing w:line="280" w:lineRule="exact"/>
      <w:ind w:left="113"/>
    </w:pPr>
    <w:rPr>
      <w:rFonts w:eastAsia="Times New Roman" w:cs="Times New Roman"/>
      <w:b/>
      <w:color w:val="1A1919" w:themeColor="text1"/>
      <w:lang w:eastAsia="en-AU"/>
    </w:rPr>
  </w:style>
  <w:style w:type="paragraph" w:customStyle="1" w:styleId="UrbisTableText">
    <w:name w:val="Urbis_Table_Text"/>
    <w:basedOn w:val="Normal"/>
    <w:qFormat/>
    <w:rsid w:val="00134BA7"/>
    <w:pPr>
      <w:spacing w:line="280" w:lineRule="exact"/>
      <w:ind w:left="113"/>
    </w:pPr>
    <w:rPr>
      <w:rFonts w:eastAsia="Times New Roman" w:cs="Times New Roman"/>
      <w:lang w:eastAsia="en-AU"/>
    </w:rPr>
  </w:style>
  <w:style w:type="paragraph" w:customStyle="1" w:styleId="TableCaption">
    <w:name w:val="Table Caption"/>
    <w:basedOn w:val="Normal"/>
    <w:link w:val="TableCaptionChar"/>
    <w:qFormat/>
    <w:rsid w:val="00134BA7"/>
    <w:pPr>
      <w:spacing w:before="60" w:after="60"/>
      <w:ind w:left="907" w:hanging="907"/>
    </w:pPr>
    <w:rPr>
      <w:rFonts w:eastAsia="Times New Roman" w:cs="Courier New"/>
      <w:sz w:val="18"/>
    </w:rPr>
  </w:style>
  <w:style w:type="character" w:customStyle="1" w:styleId="TableCaptionChar">
    <w:name w:val="Table Caption Char"/>
    <w:link w:val="TableCaption"/>
    <w:rsid w:val="00134BA7"/>
    <w:rPr>
      <w:rFonts w:eastAsia="Times New Roman" w:cs="Courier New"/>
      <w:sz w:val="18"/>
      <w:lang w:val="en-AU"/>
    </w:rPr>
  </w:style>
  <w:style w:type="table" w:customStyle="1" w:styleId="CaptionTable">
    <w:name w:val="Caption_Table"/>
    <w:basedOn w:val="TableNormal"/>
    <w:rsid w:val="00134BA7"/>
    <w:pPr>
      <w:spacing w:after="0"/>
    </w:pPr>
    <w:rPr>
      <w:rFonts w:eastAsia="Times New Roman" w:cs="Times New Roman"/>
      <w:color w:val="auto"/>
      <w:lang w:val="en-AU" w:eastAsia="en-AU"/>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bottom"/>
    </w:tcPr>
    <w:tblStylePr w:type="firstRow">
      <w:rPr>
        <w:rFonts w:ascii="Arial" w:hAnsi="Arial"/>
        <w:color w:val="009FE3"/>
        <w:sz w:val="24"/>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caps/>
        <w:smallCaps w:val="0"/>
        <w:color w:val="7F7F7F"/>
        <w:sz w:val="16"/>
      </w:rPr>
      <w:tblPr/>
      <w:tcPr>
        <w:tcBorders>
          <w:bottom w:val="dotted" w:sz="4" w:space="0" w:color="0092D2"/>
        </w:tcBorders>
      </w:tcPr>
    </w:tblStylePr>
    <w:tblStylePr w:type="band1Horz">
      <w:tblPr/>
      <w:tcPr>
        <w:shd w:val="clear" w:color="auto" w:fill="F2F2F2" w:themeFill="background1" w:themeFillShade="F2"/>
      </w:tcPr>
    </w:tblStylePr>
  </w:style>
  <w:style w:type="paragraph" w:customStyle="1" w:styleId="UrbisTableBullet">
    <w:name w:val="Urbis_Table_Bullet"/>
    <w:basedOn w:val="UrbisTableText"/>
    <w:qFormat/>
    <w:rsid w:val="00134BA7"/>
    <w:pPr>
      <w:numPr>
        <w:numId w:val="6"/>
      </w:numPr>
    </w:pPr>
    <w:rPr>
      <w:rFonts w:asciiTheme="minorHAnsi" w:hAnsiTheme="minorHAnsi" w:cstheme="minorHAnsi"/>
    </w:rPr>
  </w:style>
  <w:style w:type="paragraph" w:customStyle="1" w:styleId="UrbisDisclaimer0">
    <w:name w:val="Urbis Disclaimer"/>
    <w:basedOn w:val="Normal"/>
    <w:rsid w:val="00ED2E7D"/>
    <w:pPr>
      <w:spacing w:after="80"/>
    </w:pPr>
    <w:rPr>
      <w:rFonts w:eastAsia="Times New Roman" w:cs="Times New Roman"/>
      <w:color w:val="auto"/>
      <w:sz w:val="18"/>
      <w:szCs w:val="18"/>
    </w:rPr>
  </w:style>
  <w:style w:type="character" w:customStyle="1" w:styleId="ListParagraphChar">
    <w:name w:val="List Paragraph Char"/>
    <w:aliases w:val="List Paragraph1 Char,List Paragraph11 Char,L Char,Recommendation Char,Bullets Char,#List Paragraph Char,Bullet point Char,DDM Gen Text Char,List Paragraph - bullets Char,NFP GP Bulleted List Char,bullet point list Char"/>
    <w:link w:val="ListParagraph"/>
    <w:uiPriority w:val="99"/>
    <w:rsid w:val="00ED2E7D"/>
    <w:rPr>
      <w:lang w:val="en-GB"/>
    </w:rPr>
  </w:style>
  <w:style w:type="table" w:customStyle="1" w:styleId="Urbis-Default">
    <w:name w:val="Urbis-Default"/>
    <w:basedOn w:val="TableNormal"/>
    <w:rsid w:val="00ED2E7D"/>
    <w:pPr>
      <w:spacing w:after="0"/>
    </w:pPr>
    <w:rPr>
      <w:rFonts w:eastAsia="Times New Roman" w:cs="Times New Roman"/>
      <w:color w:val="auto"/>
      <w:lang w:val="en-AU" w:eastAsia="en-AU"/>
    </w:rPr>
    <w:tblPr>
      <w:tblStyleRowBandSize w:val="1"/>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Pr>
    <w:tcPr>
      <w:shd w:val="clear" w:color="auto" w:fill="auto"/>
      <w:vAlign w:val="bottom"/>
    </w:tcPr>
    <w:tblStylePr w:type="firstRow">
      <w:rPr>
        <w:rFonts w:ascii="Arial" w:hAnsi="Arial"/>
        <w:color w:val="009FE3"/>
        <w:sz w:val="20"/>
      </w:rPr>
      <w:tblPr/>
      <w:tcPr>
        <w:tcBorders>
          <w:top w:val="single" w:sz="4" w:space="0" w:color="D9D9D9" w:themeColor="background1" w:themeShade="D9"/>
          <w:left w:val="single" w:sz="4" w:space="0" w:color="D9D9D9" w:themeColor="background1" w:themeShade="D9"/>
          <w:bottom w:val="nil"/>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caps/>
        <w:smallCaps w:val="0"/>
        <w:color w:val="7F7F7F"/>
        <w:sz w:val="16"/>
      </w:rPr>
      <w:tblPr/>
      <w:tcPr>
        <w:tcBorders>
          <w:top w:val="nil"/>
          <w:bottom w:val="dotted" w:sz="4" w:space="0" w:color="0092D2"/>
        </w:tcBorders>
        <w:shd w:val="clear" w:color="auto" w:fill="auto"/>
      </w:tcPr>
    </w:tblStylePr>
    <w:tblStylePr w:type="band1Horz">
      <w:tblPr/>
      <w:tcPr>
        <w:shd w:val="clear" w:color="auto" w:fill="F2F2F2" w:themeFill="background1" w:themeFillShade="F2"/>
      </w:tcPr>
    </w:tblStylePr>
  </w:style>
  <w:style w:type="table" w:customStyle="1" w:styleId="CaptionTable1">
    <w:name w:val="Caption_Table1"/>
    <w:basedOn w:val="TableNormal"/>
    <w:rsid w:val="00ED2E7D"/>
    <w:pPr>
      <w:spacing w:after="0"/>
    </w:pPr>
    <w:rPr>
      <w:rFonts w:eastAsia="Times New Roman" w:cs="Times New Roman"/>
      <w:color w:val="auto"/>
      <w:lang w:val="en-AU" w:eastAsia="en-AU"/>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vAlign w:val="bottom"/>
    </w:tcPr>
    <w:tblStylePr w:type="firstRow">
      <w:rPr>
        <w:rFonts w:ascii="Arial" w:hAnsi="Arial"/>
        <w:color w:val="009FE3"/>
        <w:sz w:val="24"/>
      </w:rPr>
      <w:tblPr/>
      <w:tcPr>
        <w:tcBorders>
          <w:top w:val="single" w:sz="4" w:space="0" w:color="D9D9D9"/>
          <w:left w:val="single" w:sz="4" w:space="0" w:color="D9D9D9"/>
          <w:bottom w:val="single" w:sz="4" w:space="0" w:color="D9D9D9"/>
          <w:right w:val="single" w:sz="4" w:space="0" w:color="D9D9D9"/>
          <w:insideH w:val="single" w:sz="4" w:space="0" w:color="D9D9D9"/>
          <w:insideV w:val="single" w:sz="4" w:space="0" w:color="D9D9D9"/>
          <w:tl2br w:val="nil"/>
          <w:tr2bl w:val="nil"/>
        </w:tcBorders>
        <w:shd w:val="clear" w:color="auto" w:fill="auto"/>
      </w:tcPr>
    </w:tblStylePr>
    <w:tblStylePr w:type="lastRow">
      <w:rPr>
        <w:rFonts w:ascii="Arial" w:hAnsi="Arial"/>
        <w:caps/>
        <w:smallCaps w:val="0"/>
        <w:color w:val="7F7F7F"/>
        <w:sz w:val="16"/>
      </w:rPr>
      <w:tblPr/>
      <w:tcPr>
        <w:tcBorders>
          <w:bottom w:val="dotted" w:sz="4" w:space="0" w:color="0092D2"/>
        </w:tcBorders>
      </w:tcPr>
    </w:tblStylePr>
    <w:tblStylePr w:type="band1Horz">
      <w:tblPr/>
      <w:tcPr>
        <w:shd w:val="clear" w:color="auto" w:fill="F2F2F2"/>
      </w:tcPr>
    </w:tblStylePr>
  </w:style>
  <w:style w:type="paragraph" w:customStyle="1" w:styleId="Default">
    <w:name w:val="Default"/>
    <w:rsid w:val="00C02BA5"/>
    <w:pPr>
      <w:autoSpaceDE w:val="0"/>
      <w:autoSpaceDN w:val="0"/>
      <w:adjustRightInd w:val="0"/>
      <w:spacing w:after="0"/>
    </w:pPr>
    <w:rPr>
      <w:rFonts w:cs="Arial"/>
      <w:color w:val="000000"/>
      <w:sz w:val="24"/>
      <w:szCs w:val="24"/>
      <w:lang w:val="en-AU"/>
    </w:rPr>
  </w:style>
  <w:style w:type="paragraph" w:styleId="Revision">
    <w:name w:val="Revision"/>
    <w:hidden/>
    <w:uiPriority w:val="99"/>
    <w:semiHidden/>
    <w:rsid w:val="00C4247A"/>
    <w:pPr>
      <w:spacing w:after="0"/>
    </w:pPr>
    <w:rPr>
      <w:lang w:val="en-GB"/>
    </w:rPr>
  </w:style>
  <w:style w:type="paragraph" w:customStyle="1" w:styleId="Level4">
    <w:name w:val="Level 4"/>
    <w:basedOn w:val="Head4"/>
    <w:link w:val="Level4Char"/>
    <w:qFormat/>
    <w:rsid w:val="00327110"/>
    <w:pPr>
      <w:spacing w:after="0"/>
      <w:outlineLvl w:val="9"/>
    </w:pPr>
  </w:style>
  <w:style w:type="character" w:customStyle="1" w:styleId="Level4Char">
    <w:name w:val="Level 4 Char"/>
    <w:basedOn w:val="DefaultParagraphFont"/>
    <w:link w:val="Level4"/>
    <w:rsid w:val="00327110"/>
    <w:rPr>
      <w:rFonts w:eastAsia="Times New Roman" w:cs="Courier New"/>
      <w:b/>
      <w:color w:val="auto"/>
      <w:sz w:val="22"/>
      <w:lang w:val="en-AU"/>
    </w:rPr>
  </w:style>
  <w:style w:type="paragraph" w:customStyle="1" w:styleId="Levle4">
    <w:name w:val="Levle 4"/>
    <w:basedOn w:val="Head4"/>
    <w:link w:val="Levle4Char"/>
    <w:qFormat/>
    <w:rsid w:val="00327110"/>
    <w:pPr>
      <w:spacing w:after="0"/>
      <w:ind w:left="-120"/>
      <w:outlineLvl w:val="9"/>
    </w:pPr>
  </w:style>
  <w:style w:type="character" w:customStyle="1" w:styleId="Levle4Char">
    <w:name w:val="Levle 4 Char"/>
    <w:basedOn w:val="DefaultParagraphFont"/>
    <w:link w:val="Levle4"/>
    <w:rsid w:val="00327110"/>
    <w:rPr>
      <w:rFonts w:eastAsia="Times New Roman" w:cs="Courier New"/>
      <w:b/>
      <w:color w:val="auto"/>
      <w:sz w:val="22"/>
      <w:lang w:val="en-AU"/>
    </w:rPr>
  </w:style>
  <w:style w:type="paragraph" w:customStyle="1" w:styleId="Head4White">
    <w:name w:val="Head 4 White"/>
    <w:basedOn w:val="Head4"/>
    <w:link w:val="Head4WhiteChar"/>
    <w:qFormat/>
    <w:rsid w:val="00FE40A6"/>
    <w:pPr>
      <w:spacing w:after="0"/>
      <w:outlineLvl w:val="9"/>
    </w:pPr>
    <w:rPr>
      <w:color w:val="FFFFFF" w:themeColor="background1"/>
    </w:rPr>
  </w:style>
  <w:style w:type="character" w:customStyle="1" w:styleId="Head4WhiteChar">
    <w:name w:val="Head 4 White Char"/>
    <w:basedOn w:val="DefaultParagraphFont"/>
    <w:link w:val="Head4White"/>
    <w:rsid w:val="00FE40A6"/>
    <w:rPr>
      <w:rFonts w:eastAsia="Times New Roman" w:cs="Courier New"/>
      <w:b/>
      <w:color w:val="FFFFFF" w:themeColor="background1"/>
      <w:sz w:val="22"/>
      <w:lang w:val="en-AU"/>
    </w:rPr>
  </w:style>
  <w:style w:type="table" w:customStyle="1" w:styleId="CaptionTable11">
    <w:name w:val="Caption_Table11"/>
    <w:basedOn w:val="TableNormal"/>
    <w:rsid w:val="00DD773B"/>
    <w:pPr>
      <w:spacing w:after="0"/>
    </w:pPr>
    <w:rPr>
      <w:rFonts w:eastAsia="Times New Roman" w:cs="Times New Roman"/>
      <w:color w:val="auto"/>
      <w:lang w:val="en-AU" w:eastAsia="en-AU"/>
    </w:rPr>
    <w:tblPr>
      <w:tblStyleRow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vAlign w:val="bottom"/>
    </w:tcPr>
    <w:tblStylePr w:type="firstRow">
      <w:rPr>
        <w:rFonts w:ascii="Arial" w:hAnsi="Arial"/>
        <w:color w:val="009FE3"/>
        <w:sz w:val="24"/>
      </w:rPr>
      <w:tblPr/>
      <w:tcPr>
        <w:tcBorders>
          <w:top w:val="single" w:sz="4" w:space="0" w:color="D9D9D9"/>
          <w:left w:val="single" w:sz="4" w:space="0" w:color="D9D9D9"/>
          <w:bottom w:val="single" w:sz="4" w:space="0" w:color="D9D9D9"/>
          <w:right w:val="single" w:sz="4" w:space="0" w:color="D9D9D9"/>
          <w:insideH w:val="single" w:sz="4" w:space="0" w:color="D9D9D9"/>
          <w:insideV w:val="single" w:sz="4" w:space="0" w:color="D9D9D9"/>
          <w:tl2br w:val="nil"/>
          <w:tr2bl w:val="nil"/>
        </w:tcBorders>
        <w:shd w:val="clear" w:color="auto" w:fill="auto"/>
      </w:tcPr>
    </w:tblStylePr>
    <w:tblStylePr w:type="lastRow">
      <w:rPr>
        <w:rFonts w:ascii="Arial" w:hAnsi="Arial"/>
        <w:caps/>
        <w:smallCaps w:val="0"/>
        <w:color w:val="7F7F7F"/>
        <w:sz w:val="16"/>
      </w:rPr>
      <w:tblPr/>
      <w:tcPr>
        <w:tcBorders>
          <w:bottom w:val="dotted" w:sz="4" w:space="0" w:color="0092D2"/>
        </w:tcBorders>
      </w:tcPr>
    </w:tblStylePr>
    <w:tblStylePr w:type="band1Horz">
      <w:tblPr/>
      <w:tcPr>
        <w:shd w:val="clear" w:color="auto" w:fill="F2F2F2"/>
      </w:tcPr>
    </w:tblStylePr>
  </w:style>
  <w:style w:type="numbering" w:customStyle="1" w:styleId="ListAppendix1">
    <w:name w:val="List Appendix1"/>
    <w:uiPriority w:val="99"/>
    <w:rsid w:val="009E4B5B"/>
    <w:pPr>
      <w:numPr>
        <w:numId w:val="13"/>
      </w:numPr>
    </w:pPr>
  </w:style>
  <w:style w:type="paragraph" w:customStyle="1" w:styleId="AppendixA">
    <w:name w:val="Appendix A"/>
    <w:basedOn w:val="Appendix1"/>
    <w:qFormat/>
    <w:rsid w:val="00481713"/>
    <w:pPr>
      <w:framePr w:wrap="around"/>
      <w:numPr>
        <w:numId w:val="19"/>
      </w:numPr>
      <w:ind w:left="3261" w:hanging="3261"/>
    </w:pPr>
    <w:rPr>
      <w:rFonts w:cstheme="majorHAnsi"/>
      <w:color w:val="1A1919" w:themeColor="text1"/>
    </w:rPr>
  </w:style>
  <w:style w:type="paragraph" w:customStyle="1" w:styleId="NormalBodyIntro">
    <w:name w:val="Normal Body Intro"/>
    <w:basedOn w:val="Normal"/>
    <w:qFormat/>
    <w:rsid w:val="0095659E"/>
    <w:pPr>
      <w:spacing w:before="240"/>
    </w:pPr>
    <w:rPr>
      <w:b/>
      <w:sz w:val="24"/>
    </w:rPr>
  </w:style>
  <w:style w:type="paragraph" w:customStyle="1" w:styleId="EndnoteList">
    <w:name w:val="Endnote List"/>
    <w:basedOn w:val="ListNumber"/>
    <w:qFormat/>
    <w:rsid w:val="00220C5F"/>
    <w:pPr>
      <w:numPr>
        <w:numId w:val="21"/>
      </w:numPr>
    </w:pPr>
  </w:style>
  <w:style w:type="character" w:customStyle="1" w:styleId="EndnoteRef">
    <w:name w:val="Endnote Ref"/>
    <w:basedOn w:val="DefaultParagraphFont"/>
    <w:uiPriority w:val="1"/>
    <w:qFormat/>
    <w:rsid w:val="00AF04C1"/>
    <w:rPr>
      <w:color w:val="1D5B8B"/>
    </w:rPr>
  </w:style>
  <w:style w:type="paragraph" w:customStyle="1" w:styleId="AccessibleAppendix1">
    <w:name w:val="Accessible Appendix 1"/>
    <w:basedOn w:val="Normal"/>
    <w:next w:val="Normal"/>
    <w:qFormat/>
    <w:rsid w:val="00725CB5"/>
    <w:pPr>
      <w:pageBreakBefore/>
      <w:numPr>
        <w:numId w:val="23"/>
      </w:numPr>
      <w:pBdr>
        <w:bottom w:val="single" w:sz="36" w:space="4" w:color="69ACDF" w:themeColor="accent2"/>
      </w:pBdr>
      <w:spacing w:before="11200"/>
      <w:ind w:left="3402" w:right="-2" w:hanging="3402"/>
    </w:pPr>
    <w:rPr>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41349">
      <w:bodyDiv w:val="1"/>
      <w:marLeft w:val="0"/>
      <w:marRight w:val="0"/>
      <w:marTop w:val="0"/>
      <w:marBottom w:val="0"/>
      <w:divBdr>
        <w:top w:val="none" w:sz="0" w:space="0" w:color="auto"/>
        <w:left w:val="none" w:sz="0" w:space="0" w:color="auto"/>
        <w:bottom w:val="none" w:sz="0" w:space="0" w:color="auto"/>
        <w:right w:val="none" w:sz="0" w:space="0" w:color="auto"/>
      </w:divBdr>
    </w:div>
    <w:div w:id="229389130">
      <w:bodyDiv w:val="1"/>
      <w:marLeft w:val="0"/>
      <w:marRight w:val="0"/>
      <w:marTop w:val="0"/>
      <w:marBottom w:val="0"/>
      <w:divBdr>
        <w:top w:val="none" w:sz="0" w:space="0" w:color="auto"/>
        <w:left w:val="none" w:sz="0" w:space="0" w:color="auto"/>
        <w:bottom w:val="none" w:sz="0" w:space="0" w:color="auto"/>
        <w:right w:val="none" w:sz="0" w:space="0" w:color="auto"/>
      </w:divBdr>
      <w:divsChild>
        <w:div w:id="142818392">
          <w:marLeft w:val="965"/>
          <w:marRight w:val="0"/>
          <w:marTop w:val="0"/>
          <w:marBottom w:val="0"/>
          <w:divBdr>
            <w:top w:val="none" w:sz="0" w:space="0" w:color="auto"/>
            <w:left w:val="none" w:sz="0" w:space="0" w:color="auto"/>
            <w:bottom w:val="none" w:sz="0" w:space="0" w:color="auto"/>
            <w:right w:val="none" w:sz="0" w:space="0" w:color="auto"/>
          </w:divBdr>
        </w:div>
        <w:div w:id="531066553">
          <w:marLeft w:val="965"/>
          <w:marRight w:val="0"/>
          <w:marTop w:val="0"/>
          <w:marBottom w:val="0"/>
          <w:divBdr>
            <w:top w:val="none" w:sz="0" w:space="0" w:color="auto"/>
            <w:left w:val="none" w:sz="0" w:space="0" w:color="auto"/>
            <w:bottom w:val="none" w:sz="0" w:space="0" w:color="auto"/>
            <w:right w:val="none" w:sz="0" w:space="0" w:color="auto"/>
          </w:divBdr>
        </w:div>
        <w:div w:id="650863386">
          <w:marLeft w:val="965"/>
          <w:marRight w:val="0"/>
          <w:marTop w:val="0"/>
          <w:marBottom w:val="0"/>
          <w:divBdr>
            <w:top w:val="none" w:sz="0" w:space="0" w:color="auto"/>
            <w:left w:val="none" w:sz="0" w:space="0" w:color="auto"/>
            <w:bottom w:val="none" w:sz="0" w:space="0" w:color="auto"/>
            <w:right w:val="none" w:sz="0" w:space="0" w:color="auto"/>
          </w:divBdr>
        </w:div>
        <w:div w:id="745492328">
          <w:marLeft w:val="965"/>
          <w:marRight w:val="0"/>
          <w:marTop w:val="0"/>
          <w:marBottom w:val="0"/>
          <w:divBdr>
            <w:top w:val="none" w:sz="0" w:space="0" w:color="auto"/>
            <w:left w:val="none" w:sz="0" w:space="0" w:color="auto"/>
            <w:bottom w:val="none" w:sz="0" w:space="0" w:color="auto"/>
            <w:right w:val="none" w:sz="0" w:space="0" w:color="auto"/>
          </w:divBdr>
        </w:div>
        <w:div w:id="1468545999">
          <w:marLeft w:val="965"/>
          <w:marRight w:val="0"/>
          <w:marTop w:val="0"/>
          <w:marBottom w:val="0"/>
          <w:divBdr>
            <w:top w:val="none" w:sz="0" w:space="0" w:color="auto"/>
            <w:left w:val="none" w:sz="0" w:space="0" w:color="auto"/>
            <w:bottom w:val="none" w:sz="0" w:space="0" w:color="auto"/>
            <w:right w:val="none" w:sz="0" w:space="0" w:color="auto"/>
          </w:divBdr>
        </w:div>
        <w:div w:id="1705329900">
          <w:marLeft w:val="965"/>
          <w:marRight w:val="0"/>
          <w:marTop w:val="0"/>
          <w:marBottom w:val="0"/>
          <w:divBdr>
            <w:top w:val="none" w:sz="0" w:space="0" w:color="auto"/>
            <w:left w:val="none" w:sz="0" w:space="0" w:color="auto"/>
            <w:bottom w:val="none" w:sz="0" w:space="0" w:color="auto"/>
            <w:right w:val="none" w:sz="0" w:space="0" w:color="auto"/>
          </w:divBdr>
        </w:div>
        <w:div w:id="1717848088">
          <w:marLeft w:val="446"/>
          <w:marRight w:val="0"/>
          <w:marTop w:val="0"/>
          <w:marBottom w:val="0"/>
          <w:divBdr>
            <w:top w:val="none" w:sz="0" w:space="0" w:color="auto"/>
            <w:left w:val="none" w:sz="0" w:space="0" w:color="auto"/>
            <w:bottom w:val="none" w:sz="0" w:space="0" w:color="auto"/>
            <w:right w:val="none" w:sz="0" w:space="0" w:color="auto"/>
          </w:divBdr>
        </w:div>
        <w:div w:id="1816951101">
          <w:marLeft w:val="965"/>
          <w:marRight w:val="0"/>
          <w:marTop w:val="0"/>
          <w:marBottom w:val="0"/>
          <w:divBdr>
            <w:top w:val="none" w:sz="0" w:space="0" w:color="auto"/>
            <w:left w:val="none" w:sz="0" w:space="0" w:color="auto"/>
            <w:bottom w:val="none" w:sz="0" w:space="0" w:color="auto"/>
            <w:right w:val="none" w:sz="0" w:space="0" w:color="auto"/>
          </w:divBdr>
        </w:div>
        <w:div w:id="1822114890">
          <w:marLeft w:val="965"/>
          <w:marRight w:val="0"/>
          <w:marTop w:val="0"/>
          <w:marBottom w:val="0"/>
          <w:divBdr>
            <w:top w:val="none" w:sz="0" w:space="0" w:color="auto"/>
            <w:left w:val="none" w:sz="0" w:space="0" w:color="auto"/>
            <w:bottom w:val="none" w:sz="0" w:space="0" w:color="auto"/>
            <w:right w:val="none" w:sz="0" w:space="0" w:color="auto"/>
          </w:divBdr>
        </w:div>
      </w:divsChild>
    </w:div>
    <w:div w:id="348139927">
      <w:bodyDiv w:val="1"/>
      <w:marLeft w:val="0"/>
      <w:marRight w:val="0"/>
      <w:marTop w:val="0"/>
      <w:marBottom w:val="0"/>
      <w:divBdr>
        <w:top w:val="none" w:sz="0" w:space="0" w:color="auto"/>
        <w:left w:val="none" w:sz="0" w:space="0" w:color="auto"/>
        <w:bottom w:val="none" w:sz="0" w:space="0" w:color="auto"/>
        <w:right w:val="none" w:sz="0" w:space="0" w:color="auto"/>
      </w:divBdr>
    </w:div>
    <w:div w:id="374233053">
      <w:bodyDiv w:val="1"/>
      <w:marLeft w:val="0"/>
      <w:marRight w:val="0"/>
      <w:marTop w:val="0"/>
      <w:marBottom w:val="0"/>
      <w:divBdr>
        <w:top w:val="none" w:sz="0" w:space="0" w:color="auto"/>
        <w:left w:val="none" w:sz="0" w:space="0" w:color="auto"/>
        <w:bottom w:val="none" w:sz="0" w:space="0" w:color="auto"/>
        <w:right w:val="none" w:sz="0" w:space="0" w:color="auto"/>
      </w:divBdr>
    </w:div>
    <w:div w:id="472255403">
      <w:bodyDiv w:val="1"/>
      <w:marLeft w:val="0"/>
      <w:marRight w:val="0"/>
      <w:marTop w:val="0"/>
      <w:marBottom w:val="0"/>
      <w:divBdr>
        <w:top w:val="none" w:sz="0" w:space="0" w:color="auto"/>
        <w:left w:val="none" w:sz="0" w:space="0" w:color="auto"/>
        <w:bottom w:val="none" w:sz="0" w:space="0" w:color="auto"/>
        <w:right w:val="none" w:sz="0" w:space="0" w:color="auto"/>
      </w:divBdr>
    </w:div>
    <w:div w:id="497430603">
      <w:bodyDiv w:val="1"/>
      <w:marLeft w:val="0"/>
      <w:marRight w:val="0"/>
      <w:marTop w:val="0"/>
      <w:marBottom w:val="0"/>
      <w:divBdr>
        <w:top w:val="none" w:sz="0" w:space="0" w:color="auto"/>
        <w:left w:val="none" w:sz="0" w:space="0" w:color="auto"/>
        <w:bottom w:val="none" w:sz="0" w:space="0" w:color="auto"/>
        <w:right w:val="none" w:sz="0" w:space="0" w:color="auto"/>
      </w:divBdr>
    </w:div>
    <w:div w:id="568662359">
      <w:bodyDiv w:val="1"/>
      <w:marLeft w:val="0"/>
      <w:marRight w:val="0"/>
      <w:marTop w:val="0"/>
      <w:marBottom w:val="0"/>
      <w:divBdr>
        <w:top w:val="none" w:sz="0" w:space="0" w:color="auto"/>
        <w:left w:val="none" w:sz="0" w:space="0" w:color="auto"/>
        <w:bottom w:val="none" w:sz="0" w:space="0" w:color="auto"/>
        <w:right w:val="none" w:sz="0" w:space="0" w:color="auto"/>
      </w:divBdr>
      <w:divsChild>
        <w:div w:id="508569967">
          <w:marLeft w:val="446"/>
          <w:marRight w:val="0"/>
          <w:marTop w:val="0"/>
          <w:marBottom w:val="0"/>
          <w:divBdr>
            <w:top w:val="none" w:sz="0" w:space="0" w:color="auto"/>
            <w:left w:val="none" w:sz="0" w:space="0" w:color="auto"/>
            <w:bottom w:val="none" w:sz="0" w:space="0" w:color="auto"/>
            <w:right w:val="none" w:sz="0" w:space="0" w:color="auto"/>
          </w:divBdr>
        </w:div>
        <w:div w:id="702286446">
          <w:marLeft w:val="446"/>
          <w:marRight w:val="0"/>
          <w:marTop w:val="0"/>
          <w:marBottom w:val="0"/>
          <w:divBdr>
            <w:top w:val="none" w:sz="0" w:space="0" w:color="auto"/>
            <w:left w:val="none" w:sz="0" w:space="0" w:color="auto"/>
            <w:bottom w:val="none" w:sz="0" w:space="0" w:color="auto"/>
            <w:right w:val="none" w:sz="0" w:space="0" w:color="auto"/>
          </w:divBdr>
        </w:div>
        <w:div w:id="1058241205">
          <w:marLeft w:val="446"/>
          <w:marRight w:val="0"/>
          <w:marTop w:val="0"/>
          <w:marBottom w:val="0"/>
          <w:divBdr>
            <w:top w:val="none" w:sz="0" w:space="0" w:color="auto"/>
            <w:left w:val="none" w:sz="0" w:space="0" w:color="auto"/>
            <w:bottom w:val="none" w:sz="0" w:space="0" w:color="auto"/>
            <w:right w:val="none" w:sz="0" w:space="0" w:color="auto"/>
          </w:divBdr>
        </w:div>
        <w:div w:id="1519613856">
          <w:marLeft w:val="446"/>
          <w:marRight w:val="0"/>
          <w:marTop w:val="0"/>
          <w:marBottom w:val="0"/>
          <w:divBdr>
            <w:top w:val="none" w:sz="0" w:space="0" w:color="auto"/>
            <w:left w:val="none" w:sz="0" w:space="0" w:color="auto"/>
            <w:bottom w:val="none" w:sz="0" w:space="0" w:color="auto"/>
            <w:right w:val="none" w:sz="0" w:space="0" w:color="auto"/>
          </w:divBdr>
        </w:div>
        <w:div w:id="1684624706">
          <w:marLeft w:val="446"/>
          <w:marRight w:val="0"/>
          <w:marTop w:val="0"/>
          <w:marBottom w:val="0"/>
          <w:divBdr>
            <w:top w:val="none" w:sz="0" w:space="0" w:color="auto"/>
            <w:left w:val="none" w:sz="0" w:space="0" w:color="auto"/>
            <w:bottom w:val="none" w:sz="0" w:space="0" w:color="auto"/>
            <w:right w:val="none" w:sz="0" w:space="0" w:color="auto"/>
          </w:divBdr>
        </w:div>
      </w:divsChild>
    </w:div>
    <w:div w:id="586110688">
      <w:bodyDiv w:val="1"/>
      <w:marLeft w:val="0"/>
      <w:marRight w:val="0"/>
      <w:marTop w:val="0"/>
      <w:marBottom w:val="0"/>
      <w:divBdr>
        <w:top w:val="none" w:sz="0" w:space="0" w:color="auto"/>
        <w:left w:val="none" w:sz="0" w:space="0" w:color="auto"/>
        <w:bottom w:val="none" w:sz="0" w:space="0" w:color="auto"/>
        <w:right w:val="none" w:sz="0" w:space="0" w:color="auto"/>
      </w:divBdr>
    </w:div>
    <w:div w:id="639268931">
      <w:bodyDiv w:val="1"/>
      <w:marLeft w:val="0"/>
      <w:marRight w:val="0"/>
      <w:marTop w:val="0"/>
      <w:marBottom w:val="0"/>
      <w:divBdr>
        <w:top w:val="none" w:sz="0" w:space="0" w:color="auto"/>
        <w:left w:val="none" w:sz="0" w:space="0" w:color="auto"/>
        <w:bottom w:val="none" w:sz="0" w:space="0" w:color="auto"/>
        <w:right w:val="none" w:sz="0" w:space="0" w:color="auto"/>
      </w:divBdr>
      <w:divsChild>
        <w:div w:id="443765093">
          <w:marLeft w:val="274"/>
          <w:marRight w:val="0"/>
          <w:marTop w:val="0"/>
          <w:marBottom w:val="0"/>
          <w:divBdr>
            <w:top w:val="none" w:sz="0" w:space="0" w:color="auto"/>
            <w:left w:val="none" w:sz="0" w:space="0" w:color="auto"/>
            <w:bottom w:val="none" w:sz="0" w:space="0" w:color="auto"/>
            <w:right w:val="none" w:sz="0" w:space="0" w:color="auto"/>
          </w:divBdr>
        </w:div>
        <w:div w:id="840657848">
          <w:marLeft w:val="274"/>
          <w:marRight w:val="0"/>
          <w:marTop w:val="0"/>
          <w:marBottom w:val="0"/>
          <w:divBdr>
            <w:top w:val="none" w:sz="0" w:space="0" w:color="auto"/>
            <w:left w:val="none" w:sz="0" w:space="0" w:color="auto"/>
            <w:bottom w:val="none" w:sz="0" w:space="0" w:color="auto"/>
            <w:right w:val="none" w:sz="0" w:space="0" w:color="auto"/>
          </w:divBdr>
        </w:div>
        <w:div w:id="1088768716">
          <w:marLeft w:val="274"/>
          <w:marRight w:val="0"/>
          <w:marTop w:val="0"/>
          <w:marBottom w:val="0"/>
          <w:divBdr>
            <w:top w:val="none" w:sz="0" w:space="0" w:color="auto"/>
            <w:left w:val="none" w:sz="0" w:space="0" w:color="auto"/>
            <w:bottom w:val="none" w:sz="0" w:space="0" w:color="auto"/>
            <w:right w:val="none" w:sz="0" w:space="0" w:color="auto"/>
          </w:divBdr>
        </w:div>
      </w:divsChild>
    </w:div>
    <w:div w:id="786974567">
      <w:bodyDiv w:val="1"/>
      <w:marLeft w:val="0"/>
      <w:marRight w:val="0"/>
      <w:marTop w:val="0"/>
      <w:marBottom w:val="0"/>
      <w:divBdr>
        <w:top w:val="none" w:sz="0" w:space="0" w:color="auto"/>
        <w:left w:val="none" w:sz="0" w:space="0" w:color="auto"/>
        <w:bottom w:val="none" w:sz="0" w:space="0" w:color="auto"/>
        <w:right w:val="none" w:sz="0" w:space="0" w:color="auto"/>
      </w:divBdr>
      <w:divsChild>
        <w:div w:id="709689969">
          <w:marLeft w:val="274"/>
          <w:marRight w:val="0"/>
          <w:marTop w:val="0"/>
          <w:marBottom w:val="0"/>
          <w:divBdr>
            <w:top w:val="none" w:sz="0" w:space="0" w:color="auto"/>
            <w:left w:val="none" w:sz="0" w:space="0" w:color="auto"/>
            <w:bottom w:val="none" w:sz="0" w:space="0" w:color="auto"/>
            <w:right w:val="none" w:sz="0" w:space="0" w:color="auto"/>
          </w:divBdr>
        </w:div>
      </w:divsChild>
    </w:div>
    <w:div w:id="816922173">
      <w:bodyDiv w:val="1"/>
      <w:marLeft w:val="0"/>
      <w:marRight w:val="0"/>
      <w:marTop w:val="0"/>
      <w:marBottom w:val="0"/>
      <w:divBdr>
        <w:top w:val="none" w:sz="0" w:space="0" w:color="auto"/>
        <w:left w:val="none" w:sz="0" w:space="0" w:color="auto"/>
        <w:bottom w:val="none" w:sz="0" w:space="0" w:color="auto"/>
        <w:right w:val="none" w:sz="0" w:space="0" w:color="auto"/>
      </w:divBdr>
      <w:divsChild>
        <w:div w:id="24406795">
          <w:marLeft w:val="446"/>
          <w:marRight w:val="0"/>
          <w:marTop w:val="0"/>
          <w:marBottom w:val="0"/>
          <w:divBdr>
            <w:top w:val="none" w:sz="0" w:space="0" w:color="auto"/>
            <w:left w:val="none" w:sz="0" w:space="0" w:color="auto"/>
            <w:bottom w:val="none" w:sz="0" w:space="0" w:color="auto"/>
            <w:right w:val="none" w:sz="0" w:space="0" w:color="auto"/>
          </w:divBdr>
        </w:div>
      </w:divsChild>
    </w:div>
    <w:div w:id="821312894">
      <w:bodyDiv w:val="1"/>
      <w:marLeft w:val="0"/>
      <w:marRight w:val="0"/>
      <w:marTop w:val="0"/>
      <w:marBottom w:val="0"/>
      <w:divBdr>
        <w:top w:val="none" w:sz="0" w:space="0" w:color="auto"/>
        <w:left w:val="none" w:sz="0" w:space="0" w:color="auto"/>
        <w:bottom w:val="none" w:sz="0" w:space="0" w:color="auto"/>
        <w:right w:val="none" w:sz="0" w:space="0" w:color="auto"/>
      </w:divBdr>
    </w:div>
    <w:div w:id="974019677">
      <w:bodyDiv w:val="1"/>
      <w:marLeft w:val="0"/>
      <w:marRight w:val="0"/>
      <w:marTop w:val="0"/>
      <w:marBottom w:val="0"/>
      <w:divBdr>
        <w:top w:val="none" w:sz="0" w:space="0" w:color="auto"/>
        <w:left w:val="none" w:sz="0" w:space="0" w:color="auto"/>
        <w:bottom w:val="none" w:sz="0" w:space="0" w:color="auto"/>
        <w:right w:val="none" w:sz="0" w:space="0" w:color="auto"/>
      </w:divBdr>
    </w:div>
    <w:div w:id="1032804044">
      <w:bodyDiv w:val="1"/>
      <w:marLeft w:val="0"/>
      <w:marRight w:val="0"/>
      <w:marTop w:val="0"/>
      <w:marBottom w:val="0"/>
      <w:divBdr>
        <w:top w:val="none" w:sz="0" w:space="0" w:color="auto"/>
        <w:left w:val="none" w:sz="0" w:space="0" w:color="auto"/>
        <w:bottom w:val="none" w:sz="0" w:space="0" w:color="auto"/>
        <w:right w:val="none" w:sz="0" w:space="0" w:color="auto"/>
      </w:divBdr>
      <w:divsChild>
        <w:div w:id="883176653">
          <w:marLeft w:val="446"/>
          <w:marRight w:val="0"/>
          <w:marTop w:val="0"/>
          <w:marBottom w:val="0"/>
          <w:divBdr>
            <w:top w:val="none" w:sz="0" w:space="0" w:color="auto"/>
            <w:left w:val="none" w:sz="0" w:space="0" w:color="auto"/>
            <w:bottom w:val="none" w:sz="0" w:space="0" w:color="auto"/>
            <w:right w:val="none" w:sz="0" w:space="0" w:color="auto"/>
          </w:divBdr>
        </w:div>
      </w:divsChild>
    </w:div>
    <w:div w:id="1067263084">
      <w:bodyDiv w:val="1"/>
      <w:marLeft w:val="0"/>
      <w:marRight w:val="0"/>
      <w:marTop w:val="0"/>
      <w:marBottom w:val="0"/>
      <w:divBdr>
        <w:top w:val="none" w:sz="0" w:space="0" w:color="auto"/>
        <w:left w:val="none" w:sz="0" w:space="0" w:color="auto"/>
        <w:bottom w:val="none" w:sz="0" w:space="0" w:color="auto"/>
        <w:right w:val="none" w:sz="0" w:space="0" w:color="auto"/>
      </w:divBdr>
    </w:div>
    <w:div w:id="1400709229">
      <w:bodyDiv w:val="1"/>
      <w:marLeft w:val="0"/>
      <w:marRight w:val="0"/>
      <w:marTop w:val="0"/>
      <w:marBottom w:val="0"/>
      <w:divBdr>
        <w:top w:val="none" w:sz="0" w:space="0" w:color="auto"/>
        <w:left w:val="none" w:sz="0" w:space="0" w:color="auto"/>
        <w:bottom w:val="none" w:sz="0" w:space="0" w:color="auto"/>
        <w:right w:val="none" w:sz="0" w:space="0" w:color="auto"/>
      </w:divBdr>
    </w:div>
    <w:div w:id="1461340644">
      <w:bodyDiv w:val="1"/>
      <w:marLeft w:val="0"/>
      <w:marRight w:val="0"/>
      <w:marTop w:val="0"/>
      <w:marBottom w:val="0"/>
      <w:divBdr>
        <w:top w:val="none" w:sz="0" w:space="0" w:color="auto"/>
        <w:left w:val="none" w:sz="0" w:space="0" w:color="auto"/>
        <w:bottom w:val="none" w:sz="0" w:space="0" w:color="auto"/>
        <w:right w:val="none" w:sz="0" w:space="0" w:color="auto"/>
      </w:divBdr>
    </w:div>
    <w:div w:id="1550268284">
      <w:bodyDiv w:val="1"/>
      <w:marLeft w:val="0"/>
      <w:marRight w:val="0"/>
      <w:marTop w:val="0"/>
      <w:marBottom w:val="0"/>
      <w:divBdr>
        <w:top w:val="none" w:sz="0" w:space="0" w:color="auto"/>
        <w:left w:val="none" w:sz="0" w:space="0" w:color="auto"/>
        <w:bottom w:val="none" w:sz="0" w:space="0" w:color="auto"/>
        <w:right w:val="none" w:sz="0" w:space="0" w:color="auto"/>
      </w:divBdr>
    </w:div>
    <w:div w:id="1560282064">
      <w:bodyDiv w:val="1"/>
      <w:marLeft w:val="0"/>
      <w:marRight w:val="0"/>
      <w:marTop w:val="0"/>
      <w:marBottom w:val="0"/>
      <w:divBdr>
        <w:top w:val="none" w:sz="0" w:space="0" w:color="auto"/>
        <w:left w:val="none" w:sz="0" w:space="0" w:color="auto"/>
        <w:bottom w:val="none" w:sz="0" w:space="0" w:color="auto"/>
        <w:right w:val="none" w:sz="0" w:space="0" w:color="auto"/>
      </w:divBdr>
    </w:div>
    <w:div w:id="1635598142">
      <w:bodyDiv w:val="1"/>
      <w:marLeft w:val="0"/>
      <w:marRight w:val="0"/>
      <w:marTop w:val="0"/>
      <w:marBottom w:val="0"/>
      <w:divBdr>
        <w:top w:val="none" w:sz="0" w:space="0" w:color="auto"/>
        <w:left w:val="none" w:sz="0" w:space="0" w:color="auto"/>
        <w:bottom w:val="none" w:sz="0" w:space="0" w:color="auto"/>
        <w:right w:val="none" w:sz="0" w:space="0" w:color="auto"/>
      </w:divBdr>
    </w:div>
    <w:div w:id="1711490205">
      <w:bodyDiv w:val="1"/>
      <w:marLeft w:val="0"/>
      <w:marRight w:val="0"/>
      <w:marTop w:val="0"/>
      <w:marBottom w:val="0"/>
      <w:divBdr>
        <w:top w:val="none" w:sz="0" w:space="0" w:color="auto"/>
        <w:left w:val="none" w:sz="0" w:space="0" w:color="auto"/>
        <w:bottom w:val="none" w:sz="0" w:space="0" w:color="auto"/>
        <w:right w:val="none" w:sz="0" w:space="0" w:color="auto"/>
      </w:divBdr>
      <w:divsChild>
        <w:div w:id="170872710">
          <w:marLeft w:val="965"/>
          <w:marRight w:val="0"/>
          <w:marTop w:val="0"/>
          <w:marBottom w:val="0"/>
          <w:divBdr>
            <w:top w:val="none" w:sz="0" w:space="0" w:color="auto"/>
            <w:left w:val="none" w:sz="0" w:space="0" w:color="auto"/>
            <w:bottom w:val="none" w:sz="0" w:space="0" w:color="auto"/>
            <w:right w:val="none" w:sz="0" w:space="0" w:color="auto"/>
          </w:divBdr>
        </w:div>
        <w:div w:id="489834207">
          <w:marLeft w:val="965"/>
          <w:marRight w:val="0"/>
          <w:marTop w:val="0"/>
          <w:marBottom w:val="0"/>
          <w:divBdr>
            <w:top w:val="none" w:sz="0" w:space="0" w:color="auto"/>
            <w:left w:val="none" w:sz="0" w:space="0" w:color="auto"/>
            <w:bottom w:val="none" w:sz="0" w:space="0" w:color="auto"/>
            <w:right w:val="none" w:sz="0" w:space="0" w:color="auto"/>
          </w:divBdr>
        </w:div>
        <w:div w:id="546112450">
          <w:marLeft w:val="965"/>
          <w:marRight w:val="0"/>
          <w:marTop w:val="0"/>
          <w:marBottom w:val="0"/>
          <w:divBdr>
            <w:top w:val="none" w:sz="0" w:space="0" w:color="auto"/>
            <w:left w:val="none" w:sz="0" w:space="0" w:color="auto"/>
            <w:bottom w:val="none" w:sz="0" w:space="0" w:color="auto"/>
            <w:right w:val="none" w:sz="0" w:space="0" w:color="auto"/>
          </w:divBdr>
        </w:div>
        <w:div w:id="767383637">
          <w:marLeft w:val="965"/>
          <w:marRight w:val="0"/>
          <w:marTop w:val="0"/>
          <w:marBottom w:val="0"/>
          <w:divBdr>
            <w:top w:val="none" w:sz="0" w:space="0" w:color="auto"/>
            <w:left w:val="none" w:sz="0" w:space="0" w:color="auto"/>
            <w:bottom w:val="none" w:sz="0" w:space="0" w:color="auto"/>
            <w:right w:val="none" w:sz="0" w:space="0" w:color="auto"/>
          </w:divBdr>
        </w:div>
        <w:div w:id="1183011412">
          <w:marLeft w:val="446"/>
          <w:marRight w:val="0"/>
          <w:marTop w:val="0"/>
          <w:marBottom w:val="0"/>
          <w:divBdr>
            <w:top w:val="none" w:sz="0" w:space="0" w:color="auto"/>
            <w:left w:val="none" w:sz="0" w:space="0" w:color="auto"/>
            <w:bottom w:val="none" w:sz="0" w:space="0" w:color="auto"/>
            <w:right w:val="none" w:sz="0" w:space="0" w:color="auto"/>
          </w:divBdr>
        </w:div>
      </w:divsChild>
    </w:div>
    <w:div w:id="1712798539">
      <w:bodyDiv w:val="1"/>
      <w:marLeft w:val="0"/>
      <w:marRight w:val="0"/>
      <w:marTop w:val="0"/>
      <w:marBottom w:val="0"/>
      <w:divBdr>
        <w:top w:val="none" w:sz="0" w:space="0" w:color="auto"/>
        <w:left w:val="none" w:sz="0" w:space="0" w:color="auto"/>
        <w:bottom w:val="none" w:sz="0" w:space="0" w:color="auto"/>
        <w:right w:val="none" w:sz="0" w:space="0" w:color="auto"/>
      </w:divBdr>
      <w:divsChild>
        <w:div w:id="392001547">
          <w:marLeft w:val="965"/>
          <w:marRight w:val="0"/>
          <w:marTop w:val="0"/>
          <w:marBottom w:val="0"/>
          <w:divBdr>
            <w:top w:val="none" w:sz="0" w:space="0" w:color="auto"/>
            <w:left w:val="none" w:sz="0" w:space="0" w:color="auto"/>
            <w:bottom w:val="none" w:sz="0" w:space="0" w:color="auto"/>
            <w:right w:val="none" w:sz="0" w:space="0" w:color="auto"/>
          </w:divBdr>
        </w:div>
        <w:div w:id="1992707574">
          <w:marLeft w:val="965"/>
          <w:marRight w:val="0"/>
          <w:marTop w:val="0"/>
          <w:marBottom w:val="0"/>
          <w:divBdr>
            <w:top w:val="none" w:sz="0" w:space="0" w:color="auto"/>
            <w:left w:val="none" w:sz="0" w:space="0" w:color="auto"/>
            <w:bottom w:val="none" w:sz="0" w:space="0" w:color="auto"/>
            <w:right w:val="none" w:sz="0" w:space="0" w:color="auto"/>
          </w:divBdr>
        </w:div>
      </w:divsChild>
    </w:div>
    <w:div w:id="1717662646">
      <w:bodyDiv w:val="1"/>
      <w:marLeft w:val="0"/>
      <w:marRight w:val="0"/>
      <w:marTop w:val="0"/>
      <w:marBottom w:val="0"/>
      <w:divBdr>
        <w:top w:val="none" w:sz="0" w:space="0" w:color="auto"/>
        <w:left w:val="none" w:sz="0" w:space="0" w:color="auto"/>
        <w:bottom w:val="none" w:sz="0" w:space="0" w:color="auto"/>
        <w:right w:val="none" w:sz="0" w:space="0" w:color="auto"/>
      </w:divBdr>
    </w:div>
    <w:div w:id="1739355634">
      <w:bodyDiv w:val="1"/>
      <w:marLeft w:val="0"/>
      <w:marRight w:val="0"/>
      <w:marTop w:val="0"/>
      <w:marBottom w:val="0"/>
      <w:divBdr>
        <w:top w:val="none" w:sz="0" w:space="0" w:color="auto"/>
        <w:left w:val="none" w:sz="0" w:space="0" w:color="auto"/>
        <w:bottom w:val="none" w:sz="0" w:space="0" w:color="auto"/>
        <w:right w:val="none" w:sz="0" w:space="0" w:color="auto"/>
      </w:divBdr>
    </w:div>
    <w:div w:id="1814713948">
      <w:bodyDiv w:val="1"/>
      <w:marLeft w:val="0"/>
      <w:marRight w:val="0"/>
      <w:marTop w:val="0"/>
      <w:marBottom w:val="0"/>
      <w:divBdr>
        <w:top w:val="none" w:sz="0" w:space="0" w:color="auto"/>
        <w:left w:val="none" w:sz="0" w:space="0" w:color="auto"/>
        <w:bottom w:val="none" w:sz="0" w:space="0" w:color="auto"/>
        <w:right w:val="none" w:sz="0" w:space="0" w:color="auto"/>
      </w:divBdr>
    </w:div>
    <w:div w:id="1815176116">
      <w:bodyDiv w:val="1"/>
      <w:marLeft w:val="0"/>
      <w:marRight w:val="0"/>
      <w:marTop w:val="0"/>
      <w:marBottom w:val="0"/>
      <w:divBdr>
        <w:top w:val="none" w:sz="0" w:space="0" w:color="auto"/>
        <w:left w:val="none" w:sz="0" w:space="0" w:color="auto"/>
        <w:bottom w:val="none" w:sz="0" w:space="0" w:color="auto"/>
        <w:right w:val="none" w:sz="0" w:space="0" w:color="auto"/>
      </w:divBdr>
      <w:divsChild>
        <w:div w:id="1157720338">
          <w:marLeft w:val="547"/>
          <w:marRight w:val="0"/>
          <w:marTop w:val="0"/>
          <w:marBottom w:val="0"/>
          <w:divBdr>
            <w:top w:val="none" w:sz="0" w:space="0" w:color="auto"/>
            <w:left w:val="none" w:sz="0" w:space="0" w:color="auto"/>
            <w:bottom w:val="none" w:sz="0" w:space="0" w:color="auto"/>
            <w:right w:val="none" w:sz="0" w:space="0" w:color="auto"/>
          </w:divBdr>
        </w:div>
      </w:divsChild>
    </w:div>
    <w:div w:id="1893227765">
      <w:bodyDiv w:val="1"/>
      <w:marLeft w:val="0"/>
      <w:marRight w:val="0"/>
      <w:marTop w:val="0"/>
      <w:marBottom w:val="0"/>
      <w:divBdr>
        <w:top w:val="none" w:sz="0" w:space="0" w:color="auto"/>
        <w:left w:val="none" w:sz="0" w:space="0" w:color="auto"/>
        <w:bottom w:val="none" w:sz="0" w:space="0" w:color="auto"/>
        <w:right w:val="none" w:sz="0" w:space="0" w:color="auto"/>
      </w:divBdr>
    </w:div>
    <w:div w:id="1956330380">
      <w:bodyDiv w:val="1"/>
      <w:marLeft w:val="0"/>
      <w:marRight w:val="0"/>
      <w:marTop w:val="0"/>
      <w:marBottom w:val="0"/>
      <w:divBdr>
        <w:top w:val="none" w:sz="0" w:space="0" w:color="auto"/>
        <w:left w:val="none" w:sz="0" w:space="0" w:color="auto"/>
        <w:bottom w:val="none" w:sz="0" w:space="0" w:color="auto"/>
        <w:right w:val="none" w:sz="0" w:space="0" w:color="auto"/>
      </w:divBdr>
      <w:divsChild>
        <w:div w:id="445925821">
          <w:marLeft w:val="446"/>
          <w:marRight w:val="0"/>
          <w:marTop w:val="0"/>
          <w:marBottom w:val="0"/>
          <w:divBdr>
            <w:top w:val="none" w:sz="0" w:space="0" w:color="auto"/>
            <w:left w:val="none" w:sz="0" w:space="0" w:color="auto"/>
            <w:bottom w:val="none" w:sz="0" w:space="0" w:color="auto"/>
            <w:right w:val="none" w:sz="0" w:space="0" w:color="auto"/>
          </w:divBdr>
        </w:div>
        <w:div w:id="764036050">
          <w:marLeft w:val="965"/>
          <w:marRight w:val="0"/>
          <w:marTop w:val="0"/>
          <w:marBottom w:val="0"/>
          <w:divBdr>
            <w:top w:val="none" w:sz="0" w:space="0" w:color="auto"/>
            <w:left w:val="none" w:sz="0" w:space="0" w:color="auto"/>
            <w:bottom w:val="none" w:sz="0" w:space="0" w:color="auto"/>
            <w:right w:val="none" w:sz="0" w:space="0" w:color="auto"/>
          </w:divBdr>
        </w:div>
        <w:div w:id="771360186">
          <w:marLeft w:val="965"/>
          <w:marRight w:val="0"/>
          <w:marTop w:val="0"/>
          <w:marBottom w:val="0"/>
          <w:divBdr>
            <w:top w:val="none" w:sz="0" w:space="0" w:color="auto"/>
            <w:left w:val="none" w:sz="0" w:space="0" w:color="auto"/>
            <w:bottom w:val="none" w:sz="0" w:space="0" w:color="auto"/>
            <w:right w:val="none" w:sz="0" w:space="0" w:color="auto"/>
          </w:divBdr>
        </w:div>
        <w:div w:id="935669010">
          <w:marLeft w:val="446"/>
          <w:marRight w:val="0"/>
          <w:marTop w:val="0"/>
          <w:marBottom w:val="0"/>
          <w:divBdr>
            <w:top w:val="none" w:sz="0" w:space="0" w:color="auto"/>
            <w:left w:val="none" w:sz="0" w:space="0" w:color="auto"/>
            <w:bottom w:val="none" w:sz="0" w:space="0" w:color="auto"/>
            <w:right w:val="none" w:sz="0" w:space="0" w:color="auto"/>
          </w:divBdr>
        </w:div>
        <w:div w:id="1066952973">
          <w:marLeft w:val="446"/>
          <w:marRight w:val="0"/>
          <w:marTop w:val="0"/>
          <w:marBottom w:val="0"/>
          <w:divBdr>
            <w:top w:val="none" w:sz="0" w:space="0" w:color="auto"/>
            <w:left w:val="none" w:sz="0" w:space="0" w:color="auto"/>
            <w:bottom w:val="none" w:sz="0" w:space="0" w:color="auto"/>
            <w:right w:val="none" w:sz="0" w:space="0" w:color="auto"/>
          </w:divBdr>
        </w:div>
        <w:div w:id="1299920015">
          <w:marLeft w:val="965"/>
          <w:marRight w:val="0"/>
          <w:marTop w:val="0"/>
          <w:marBottom w:val="0"/>
          <w:divBdr>
            <w:top w:val="none" w:sz="0" w:space="0" w:color="auto"/>
            <w:left w:val="none" w:sz="0" w:space="0" w:color="auto"/>
            <w:bottom w:val="none" w:sz="0" w:space="0" w:color="auto"/>
            <w:right w:val="none" w:sz="0" w:space="0" w:color="auto"/>
          </w:divBdr>
        </w:div>
        <w:div w:id="1568416958">
          <w:marLeft w:val="446"/>
          <w:marRight w:val="0"/>
          <w:marTop w:val="0"/>
          <w:marBottom w:val="0"/>
          <w:divBdr>
            <w:top w:val="none" w:sz="0" w:space="0" w:color="auto"/>
            <w:left w:val="none" w:sz="0" w:space="0" w:color="auto"/>
            <w:bottom w:val="none" w:sz="0" w:space="0" w:color="auto"/>
            <w:right w:val="none" w:sz="0" w:space="0" w:color="auto"/>
          </w:divBdr>
        </w:div>
        <w:div w:id="2030330815">
          <w:marLeft w:val="446"/>
          <w:marRight w:val="0"/>
          <w:marTop w:val="0"/>
          <w:marBottom w:val="0"/>
          <w:divBdr>
            <w:top w:val="none" w:sz="0" w:space="0" w:color="auto"/>
            <w:left w:val="none" w:sz="0" w:space="0" w:color="auto"/>
            <w:bottom w:val="none" w:sz="0" w:space="0" w:color="auto"/>
            <w:right w:val="none" w:sz="0" w:space="0" w:color="auto"/>
          </w:divBdr>
        </w:div>
      </w:divsChild>
    </w:div>
    <w:div w:id="2086224740">
      <w:bodyDiv w:val="1"/>
      <w:marLeft w:val="0"/>
      <w:marRight w:val="0"/>
      <w:marTop w:val="0"/>
      <w:marBottom w:val="0"/>
      <w:divBdr>
        <w:top w:val="none" w:sz="0" w:space="0" w:color="auto"/>
        <w:left w:val="none" w:sz="0" w:space="0" w:color="auto"/>
        <w:bottom w:val="none" w:sz="0" w:space="0" w:color="auto"/>
        <w:right w:val="none" w:sz="0" w:space="0" w:color="auto"/>
      </w:divBdr>
    </w:div>
    <w:div w:id="2088914024">
      <w:bodyDiv w:val="1"/>
      <w:marLeft w:val="0"/>
      <w:marRight w:val="0"/>
      <w:marTop w:val="0"/>
      <w:marBottom w:val="0"/>
      <w:divBdr>
        <w:top w:val="none" w:sz="0" w:space="0" w:color="auto"/>
        <w:left w:val="none" w:sz="0" w:space="0" w:color="auto"/>
        <w:bottom w:val="none" w:sz="0" w:space="0" w:color="auto"/>
        <w:right w:val="none" w:sz="0" w:space="0" w:color="auto"/>
      </w:divBdr>
    </w:div>
    <w:div w:id="209165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bin"/><Relationship Id="rId21" Type="http://schemas.openxmlformats.org/officeDocument/2006/relationships/image" Target="media/image8.bin"/><Relationship Id="rId42" Type="http://schemas.openxmlformats.org/officeDocument/2006/relationships/image" Target="media/image18.jpeg"/><Relationship Id="rId47" Type="http://schemas.openxmlformats.org/officeDocument/2006/relationships/footer" Target="footer8.xml"/><Relationship Id="rId63" Type="http://schemas.openxmlformats.org/officeDocument/2006/relationships/image" Target="media/image37.png"/><Relationship Id="rId68" Type="http://schemas.openxmlformats.org/officeDocument/2006/relationships/footer" Target="footer10.xml"/><Relationship Id="rId7" Type="http://schemas.openxmlformats.org/officeDocument/2006/relationships/customXml" Target="../customXml/item7.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bin"/><Relationship Id="rId29" Type="http://schemas.openxmlformats.org/officeDocument/2006/relationships/header" Target="header3.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5" Type="http://schemas.openxmlformats.org/officeDocument/2006/relationships/customXml" Target="../customXml/item5.xml"/><Relationship Id="rId61" Type="http://schemas.openxmlformats.org/officeDocument/2006/relationships/image" Target="media/image35.png"/><Relationship Id="rId19" Type="http://schemas.openxmlformats.org/officeDocument/2006/relationships/image" Target="media/image6.bin"/><Relationship Id="rId14" Type="http://schemas.openxmlformats.org/officeDocument/2006/relationships/image" Target="media/image1.jpeg"/><Relationship Id="rId22" Type="http://schemas.openxmlformats.org/officeDocument/2006/relationships/image" Target="media/image9.bin"/><Relationship Id="rId27" Type="http://schemas.openxmlformats.org/officeDocument/2006/relationships/image" Target="media/image11.bin"/><Relationship Id="rId30" Type="http://schemas.openxmlformats.org/officeDocument/2006/relationships/footer" Target="footer3.xml"/><Relationship Id="rId35" Type="http://schemas.openxmlformats.org/officeDocument/2006/relationships/footer" Target="footer7.xml"/><Relationship Id="rId43" Type="http://schemas.openxmlformats.org/officeDocument/2006/relationships/image" Target="media/image19.jpeg"/><Relationship Id="rId48" Type="http://schemas.openxmlformats.org/officeDocument/2006/relationships/footer" Target="footer9.xml"/><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footer" Target="footer11.xml"/><Relationship Id="rId8" Type="http://schemas.openxmlformats.org/officeDocument/2006/relationships/numbering" Target="numbering.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bin"/><Relationship Id="rId25" Type="http://schemas.openxmlformats.org/officeDocument/2006/relationships/footer" Target="footer2.xml"/><Relationship Id="rId33" Type="http://schemas.openxmlformats.org/officeDocument/2006/relationships/footer" Target="footer5.xml"/><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33.png"/><Relationship Id="rId67" Type="http://schemas.openxmlformats.org/officeDocument/2006/relationships/image" Target="media/image41.bin"/><Relationship Id="rId20" Type="http://schemas.openxmlformats.org/officeDocument/2006/relationships/image" Target="media/image7.bin"/><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bin"/><Relationship Id="rId23" Type="http://schemas.openxmlformats.org/officeDocument/2006/relationships/footer" Target="footer1.xml"/><Relationship Id="rId28" Type="http://schemas.openxmlformats.org/officeDocument/2006/relationships/header" Target="header2.xml"/><Relationship Id="rId36" Type="http://schemas.openxmlformats.org/officeDocument/2006/relationships/image" Target="media/image12.png"/><Relationship Id="rId49" Type="http://schemas.openxmlformats.org/officeDocument/2006/relationships/image" Target="media/image23.jfif"/><Relationship Id="rId57" Type="http://schemas.openxmlformats.org/officeDocument/2006/relationships/image" Target="media/image31.png"/><Relationship Id="rId10" Type="http://schemas.openxmlformats.org/officeDocument/2006/relationships/settings" Target="settings.xml"/><Relationship Id="rId31" Type="http://schemas.openxmlformats.org/officeDocument/2006/relationships/footer" Target="footer4.xm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bin"/><Relationship Id="rId39" Type="http://schemas.openxmlformats.org/officeDocument/2006/relationships/image" Target="media/image15.png"/><Relationship Id="rId34" Type="http://schemas.openxmlformats.org/officeDocument/2006/relationships/footer" Target="footer6.xml"/><Relationship Id="rId50" Type="http://schemas.openxmlformats.org/officeDocument/2006/relationships/image" Target="media/image24.png"/><Relationship Id="rId55" Type="http://schemas.openxmlformats.org/officeDocument/2006/relationships/image" Target="media/image29.png"/></Relationships>
</file>

<file path=word/_rels/endnotes.xml.rels><?xml version="1.0" encoding="UTF-8" standalone="yes"?>
<Relationships xmlns="http://schemas.openxmlformats.org/package/2006/relationships"><Relationship Id="rId1" Type="http://schemas.openxmlformats.org/officeDocument/2006/relationships/hyperlink" Target="https://www.simplypsychology.org/Zone-of-Proximal-Development.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BB242F2D9E432A8C490B14330D7229"/>
        <w:category>
          <w:name w:val="General"/>
          <w:gallery w:val="placeholder"/>
        </w:category>
        <w:types>
          <w:type w:val="bbPlcHdr"/>
        </w:types>
        <w:behaviors>
          <w:behavior w:val="content"/>
        </w:behaviors>
        <w:guid w:val="{EEB28281-24BB-42E5-8CD4-CC067CED3C80}"/>
      </w:docPartPr>
      <w:docPartBody>
        <w:p w:rsidR="001727D7" w:rsidRDefault="00F10304" w:rsidP="00F10304">
          <w:pPr>
            <w:pStyle w:val="7EBB242F2D9E432A8C490B14330D7229"/>
          </w:pPr>
          <w:r w:rsidRPr="00F31C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lama Cond Bold">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F2D"/>
    <w:rsid w:val="000049F9"/>
    <w:rsid w:val="000105AF"/>
    <w:rsid w:val="00032BA4"/>
    <w:rsid w:val="00041C75"/>
    <w:rsid w:val="00044030"/>
    <w:rsid w:val="000468CA"/>
    <w:rsid w:val="000505A8"/>
    <w:rsid w:val="00061CD5"/>
    <w:rsid w:val="00064681"/>
    <w:rsid w:val="000E1C4C"/>
    <w:rsid w:val="000E479D"/>
    <w:rsid w:val="00103B77"/>
    <w:rsid w:val="00103DCF"/>
    <w:rsid w:val="00103F62"/>
    <w:rsid w:val="001063ED"/>
    <w:rsid w:val="001249F6"/>
    <w:rsid w:val="00136FDB"/>
    <w:rsid w:val="0016064D"/>
    <w:rsid w:val="00165367"/>
    <w:rsid w:val="00171DB2"/>
    <w:rsid w:val="001727D7"/>
    <w:rsid w:val="00185035"/>
    <w:rsid w:val="0019271D"/>
    <w:rsid w:val="00197D87"/>
    <w:rsid w:val="001C152F"/>
    <w:rsid w:val="001C2A85"/>
    <w:rsid w:val="001F5DD7"/>
    <w:rsid w:val="00201D20"/>
    <w:rsid w:val="00202279"/>
    <w:rsid w:val="00204A10"/>
    <w:rsid w:val="0021134F"/>
    <w:rsid w:val="00217D64"/>
    <w:rsid w:val="00265207"/>
    <w:rsid w:val="00272E89"/>
    <w:rsid w:val="002758A0"/>
    <w:rsid w:val="002776AB"/>
    <w:rsid w:val="00283147"/>
    <w:rsid w:val="0028369F"/>
    <w:rsid w:val="00284566"/>
    <w:rsid w:val="002862CB"/>
    <w:rsid w:val="002A0C8D"/>
    <w:rsid w:val="002B3F7E"/>
    <w:rsid w:val="002D5E47"/>
    <w:rsid w:val="002E571A"/>
    <w:rsid w:val="002F0296"/>
    <w:rsid w:val="002F5455"/>
    <w:rsid w:val="002F7664"/>
    <w:rsid w:val="00301B51"/>
    <w:rsid w:val="00326DF6"/>
    <w:rsid w:val="003352E3"/>
    <w:rsid w:val="00354D3F"/>
    <w:rsid w:val="00360E6B"/>
    <w:rsid w:val="00364926"/>
    <w:rsid w:val="00382412"/>
    <w:rsid w:val="0039212F"/>
    <w:rsid w:val="003B4AE3"/>
    <w:rsid w:val="003C485D"/>
    <w:rsid w:val="003D321C"/>
    <w:rsid w:val="003D3A2D"/>
    <w:rsid w:val="003D5810"/>
    <w:rsid w:val="003E093C"/>
    <w:rsid w:val="00403708"/>
    <w:rsid w:val="004143B7"/>
    <w:rsid w:val="00443A25"/>
    <w:rsid w:val="0044458E"/>
    <w:rsid w:val="00457A0C"/>
    <w:rsid w:val="00467351"/>
    <w:rsid w:val="0049533A"/>
    <w:rsid w:val="004F248B"/>
    <w:rsid w:val="005037D5"/>
    <w:rsid w:val="00511756"/>
    <w:rsid w:val="005206F9"/>
    <w:rsid w:val="00521FAB"/>
    <w:rsid w:val="00526CAF"/>
    <w:rsid w:val="005921D2"/>
    <w:rsid w:val="005958F0"/>
    <w:rsid w:val="0059726F"/>
    <w:rsid w:val="005A178B"/>
    <w:rsid w:val="005A3B68"/>
    <w:rsid w:val="005A6A79"/>
    <w:rsid w:val="005B02E8"/>
    <w:rsid w:val="005D20DA"/>
    <w:rsid w:val="005E07EB"/>
    <w:rsid w:val="005E4147"/>
    <w:rsid w:val="005F56F0"/>
    <w:rsid w:val="005F5A9E"/>
    <w:rsid w:val="005F6429"/>
    <w:rsid w:val="00604773"/>
    <w:rsid w:val="00604B41"/>
    <w:rsid w:val="006147D3"/>
    <w:rsid w:val="006239D4"/>
    <w:rsid w:val="006266A2"/>
    <w:rsid w:val="00635217"/>
    <w:rsid w:val="006362B8"/>
    <w:rsid w:val="00655678"/>
    <w:rsid w:val="0065643C"/>
    <w:rsid w:val="00660450"/>
    <w:rsid w:val="00663336"/>
    <w:rsid w:val="006642E2"/>
    <w:rsid w:val="00665272"/>
    <w:rsid w:val="00665B96"/>
    <w:rsid w:val="006846EB"/>
    <w:rsid w:val="00687A7F"/>
    <w:rsid w:val="006C2C09"/>
    <w:rsid w:val="006D77DF"/>
    <w:rsid w:val="006E0F2D"/>
    <w:rsid w:val="006E26AF"/>
    <w:rsid w:val="006E38A7"/>
    <w:rsid w:val="006E6698"/>
    <w:rsid w:val="0070612A"/>
    <w:rsid w:val="007125EE"/>
    <w:rsid w:val="0073347E"/>
    <w:rsid w:val="00735F9F"/>
    <w:rsid w:val="007534AD"/>
    <w:rsid w:val="00761E4C"/>
    <w:rsid w:val="007867D5"/>
    <w:rsid w:val="00792117"/>
    <w:rsid w:val="00794CE2"/>
    <w:rsid w:val="007A1D01"/>
    <w:rsid w:val="007A5C8D"/>
    <w:rsid w:val="007A774C"/>
    <w:rsid w:val="007B0BC5"/>
    <w:rsid w:val="007B6FE3"/>
    <w:rsid w:val="007E29DC"/>
    <w:rsid w:val="007F370A"/>
    <w:rsid w:val="007F66CE"/>
    <w:rsid w:val="00804683"/>
    <w:rsid w:val="00821457"/>
    <w:rsid w:val="00826459"/>
    <w:rsid w:val="0083313E"/>
    <w:rsid w:val="00845E33"/>
    <w:rsid w:val="008576A1"/>
    <w:rsid w:val="00862196"/>
    <w:rsid w:val="008670B5"/>
    <w:rsid w:val="0087539A"/>
    <w:rsid w:val="008776C4"/>
    <w:rsid w:val="00881DF7"/>
    <w:rsid w:val="008847BE"/>
    <w:rsid w:val="00895748"/>
    <w:rsid w:val="008B080C"/>
    <w:rsid w:val="008C64E3"/>
    <w:rsid w:val="008D3DBD"/>
    <w:rsid w:val="008D4498"/>
    <w:rsid w:val="008D75B1"/>
    <w:rsid w:val="008F071A"/>
    <w:rsid w:val="008F48EB"/>
    <w:rsid w:val="009074F2"/>
    <w:rsid w:val="009259B3"/>
    <w:rsid w:val="0094166C"/>
    <w:rsid w:val="0094216A"/>
    <w:rsid w:val="00943239"/>
    <w:rsid w:val="0096074B"/>
    <w:rsid w:val="0096515A"/>
    <w:rsid w:val="00966D4B"/>
    <w:rsid w:val="00981B18"/>
    <w:rsid w:val="00982325"/>
    <w:rsid w:val="009A4608"/>
    <w:rsid w:val="009A6ADE"/>
    <w:rsid w:val="009B7123"/>
    <w:rsid w:val="009C3545"/>
    <w:rsid w:val="009D4D75"/>
    <w:rsid w:val="009E0C03"/>
    <w:rsid w:val="009E2F51"/>
    <w:rsid w:val="009E3D54"/>
    <w:rsid w:val="009F7B18"/>
    <w:rsid w:val="00A02D23"/>
    <w:rsid w:val="00A27BA9"/>
    <w:rsid w:val="00A65A98"/>
    <w:rsid w:val="00AA094D"/>
    <w:rsid w:val="00AA66AA"/>
    <w:rsid w:val="00AB069D"/>
    <w:rsid w:val="00AD532B"/>
    <w:rsid w:val="00B0164E"/>
    <w:rsid w:val="00B10795"/>
    <w:rsid w:val="00B10D01"/>
    <w:rsid w:val="00B11616"/>
    <w:rsid w:val="00B1292C"/>
    <w:rsid w:val="00B21129"/>
    <w:rsid w:val="00B339EA"/>
    <w:rsid w:val="00B36338"/>
    <w:rsid w:val="00B36618"/>
    <w:rsid w:val="00B40093"/>
    <w:rsid w:val="00B45231"/>
    <w:rsid w:val="00B506C1"/>
    <w:rsid w:val="00B524B6"/>
    <w:rsid w:val="00B52BF4"/>
    <w:rsid w:val="00B821AC"/>
    <w:rsid w:val="00B96D66"/>
    <w:rsid w:val="00BA5565"/>
    <w:rsid w:val="00BC13A2"/>
    <w:rsid w:val="00BC712F"/>
    <w:rsid w:val="00BD5819"/>
    <w:rsid w:val="00BE1B10"/>
    <w:rsid w:val="00BE5274"/>
    <w:rsid w:val="00BF3298"/>
    <w:rsid w:val="00C00521"/>
    <w:rsid w:val="00C00525"/>
    <w:rsid w:val="00C05770"/>
    <w:rsid w:val="00C378A4"/>
    <w:rsid w:val="00C75ED1"/>
    <w:rsid w:val="00CA13AF"/>
    <w:rsid w:val="00CA30EE"/>
    <w:rsid w:val="00CB0811"/>
    <w:rsid w:val="00CD66B6"/>
    <w:rsid w:val="00CE484A"/>
    <w:rsid w:val="00CE75EF"/>
    <w:rsid w:val="00CF0AEB"/>
    <w:rsid w:val="00CF22DC"/>
    <w:rsid w:val="00D15CED"/>
    <w:rsid w:val="00D27B48"/>
    <w:rsid w:val="00D30503"/>
    <w:rsid w:val="00D52F99"/>
    <w:rsid w:val="00D60DE8"/>
    <w:rsid w:val="00D84B13"/>
    <w:rsid w:val="00D95144"/>
    <w:rsid w:val="00DA4607"/>
    <w:rsid w:val="00DD34F8"/>
    <w:rsid w:val="00DD408B"/>
    <w:rsid w:val="00DE3C98"/>
    <w:rsid w:val="00DE4653"/>
    <w:rsid w:val="00DE5E55"/>
    <w:rsid w:val="00DF25C8"/>
    <w:rsid w:val="00DF4536"/>
    <w:rsid w:val="00E4366A"/>
    <w:rsid w:val="00E46581"/>
    <w:rsid w:val="00E5015E"/>
    <w:rsid w:val="00E518AB"/>
    <w:rsid w:val="00E65F06"/>
    <w:rsid w:val="00E87614"/>
    <w:rsid w:val="00E9415F"/>
    <w:rsid w:val="00E96E04"/>
    <w:rsid w:val="00EB7E3C"/>
    <w:rsid w:val="00ED107A"/>
    <w:rsid w:val="00EE7622"/>
    <w:rsid w:val="00EF7A64"/>
    <w:rsid w:val="00F07826"/>
    <w:rsid w:val="00F10304"/>
    <w:rsid w:val="00F31AFA"/>
    <w:rsid w:val="00F31BAC"/>
    <w:rsid w:val="00F366A4"/>
    <w:rsid w:val="00F42E86"/>
    <w:rsid w:val="00F72393"/>
    <w:rsid w:val="00F9638A"/>
    <w:rsid w:val="00FA675B"/>
    <w:rsid w:val="00FB68B7"/>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292C"/>
    <w:rPr>
      <w:color w:val="auto"/>
    </w:rPr>
  </w:style>
  <w:style w:type="paragraph" w:customStyle="1" w:styleId="7EBB242F2D9E432A8C490B14330D7229">
    <w:name w:val="7EBB242F2D9E432A8C490B14330D7229"/>
    <w:rsid w:val="00F10304"/>
    <w:rPr>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Urbis Default">
      <a:dk1>
        <a:srgbClr val="1A1919"/>
      </a:dk1>
      <a:lt1>
        <a:sysClr val="window" lastClr="FFFFFF"/>
      </a:lt1>
      <a:dk2>
        <a:srgbClr val="666666"/>
      </a:dk2>
      <a:lt2>
        <a:srgbClr val="F9F8F8"/>
      </a:lt2>
      <a:accent1>
        <a:srgbClr val="68C0B5"/>
      </a:accent1>
      <a:accent2>
        <a:srgbClr val="69ACDF"/>
      </a:accent2>
      <a:accent3>
        <a:srgbClr val="636AAF"/>
      </a:accent3>
      <a:accent4>
        <a:srgbClr val="B26DAB"/>
      </a:accent4>
      <a:accent5>
        <a:srgbClr val="E7A2C8"/>
      </a:accent5>
      <a:accent6>
        <a:srgbClr val="9CD2F4"/>
      </a:accent6>
      <a:hlink>
        <a:srgbClr val="69ACDF"/>
      </a:hlink>
      <a:folHlink>
        <a:srgbClr val="B26D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1e6a267-26b6-4ec6-8b8f-c86c2761d466">
      <UserInfo>
        <DisplayName>David Nye (DFFH)</DisplayName>
        <AccountId>71</AccountId>
        <AccountType/>
      </UserInfo>
      <UserInfo>
        <DisplayName>Mark Hobbs (DFFH)</DisplayName>
        <AccountId>19</AccountId>
        <AccountType/>
      </UserInfo>
      <UserInfo>
        <DisplayName>Rona Zhang (DFFH)</DisplayName>
        <AccountId>13</AccountId>
        <AccountType/>
      </UserInfo>
      <UserInfo>
        <DisplayName>Brydie Clarke (DFFH)</DisplayName>
        <AccountId>52</AccountId>
        <AccountType/>
      </UserInfo>
    </SharedWithUsers>
    <TaxCatchAll xmlns="bd20f1ee-b63c-4db8-8ab7-12a8802541a2" xsi:nil="true"/>
    <lcf76f155ced4ddcb4097134ff3c332f xmlns="c30deaef-c907-49f6-b2be-0c63f2e6898e">
      <Terms xmlns="http://schemas.microsoft.com/office/infopath/2007/PartnerControls"/>
    </lcf76f155ced4ddcb4097134ff3c332f>
  </documentManagement>
</p:properties>
</file>

<file path=customXml/item2.xml><?xml version="1.0" encoding="utf-8"?>
<TemplafyTemplateConfiguration><![CDATA[{"elementsMetadata":[{"type":"richTextContentControl","id":"7c005ace-2fc6-47ef-b610-39f10c9c4e53","elementConfiguration":{"binding":"Form.Title","removeAndKeepContent":false,"disableUpdates":false,"type":"text"}},{"type":"richTextContentControl","id":"7ba09690-b6fc-4d9e-9678-33ad73852194","elementConfiguration":{"binding":"Form.Subtitle","removeAndKeepContent":false,"disableUpdates":false,"type":"text"}},{"type":"richTextContentControl","id":"3f08aa5d-02a4-4889-ac50-92836a12ddc9","elementConfiguration":{"binding":"Form.Title","removeAndKeepContent":false,"disableUpdates":false,"type":"text"}},{"type":"richTextContentControl","id":"ae767ec4-3d3f-4450-9a46-b77095f9e473","elementConfiguration":{"binding":"Form.Subtitle","removeAndKeepContent":false,"disableUpdates":false,"type":"text"}},{"type":"richTextContentControl","id":"20d0b2f2-2e0d-4762-b741-1dca92253895","elementConfiguration":{"binding":"Form.ClientName","removeAndKeepContent":false,"disableUpdates":false,"type":"text"}},{"type":"richTextContentControl","id":"07445830-362c-4853-9b50-b96533051ba2","elementConfiguration":{"format":"{{DateFormats.GeneralDate}}","binding":"Form.Date","removeAndKeepContent":false,"disableUpdates":false,"type":"date"}},{"type":"richTextContentControl","id":"8b7072bc-4535-4c38-8089-b24e798da9d0","elementConfiguration":{"binding":"Form.ClientName","removeAndKeepContent":false,"disableUpdates":false,"type":"text"}},{"type":"richTextContentControl","id":"1b17b2fb-6e01-4a5f-8c70-6540a46872ae","elementConfiguration":{"format":"{{DateFormats.GeneralDate}}","binding":"Form.Date","removeAndKeepContent":false,"disableUpdates":false,"type":"date"}},{"type":"richTextContentControl","id":"85c7c39e-058d-4e3e-a924-e6d3f6b9f89e","elementConfiguration":{"assetId":"{{Form.PublicPolicyReport.TextElement}}","replaceOnUpdate":true,"type":"textElement"}},{"type":"richTextContentControl","id":"ebd8ae6f-a957-4f8b-9499-e4181d17bd06","elementConfiguration":{"binding":"UserProfile.CompanyName.CompanyName","removeAndKeepContent":false,"disableUpdates":false,"type":"text"}},{"type":"richTextContentControl","id":"70ad3878-fedb-4c3c-a210-69a25cbeee08","elementConfiguration":{"binding":"UserProfile.CompanyName.Abn","removeAndKeepContent":false,"disableUpdates":false,"type":"text"}},{"type":"richTextContentControl","id":"d007e52f-0544-4018-adc3-aabd47f7649a","elementConfiguration":{"assetId":"{{Form.PublicPolicyReport.TextElement}}","replaceOnUpdate":true,"type":"textElement"}},{"type":"richTextContentControl","id":"69754931-1f26-4e85-8da0-87d398630aa5","elementConfiguration":{"binding":"UserProfile.CompanyName.CompanyName","removeAndKeepContent":false,"disableUpdates":false,"type":"text"}},{"type":"richTextContentControl","id":"95285601-531b-4c4c-8212-b5c7bbd3f022","elementConfiguration":{"binding":"UserProfile.CompanyName.Abn","removeAndKeepContent":false,"disableUpdates":false,"type":"text"}},{"type":"richTextContentControl","id":"14f73348-994d-4ea9-9145-ae780881da84","elementConfiguration":{"format":"{{DateFormats.GeneralDate}}","binding":"Form.Date","removeAndKeepContent":false,"disableUpdates":false,"type":"date"}},{"type":"richTextContentControl","id":"1b8545f2-2868-4211-8a97-b318f04b8136","elementConfiguration":{"binding":"UserProfile.CompanyName.CompanyName","removeAndKeepContent":false,"disableUpdates":false,"type":"text"}},{"type":"richTextContentControl","id":"9aa74abd-8b8d-4847-aaaf-1fd309f3ea52","elementConfiguration":{"binding":"Form.ClientName","removeAndKeepContent":false,"disableUpdates":false,"type":"text"}},{"type":"richTextContentControl","id":"7a4ac5db-5c87-4f1e-b9b4-bc6fe8c39e07","elementConfiguration":{"binding":"Form.ReportPurpose","removeAndKeepContent":false,"disableUpdates":false,"type":"text"}}],"transformationConfigurations":[{"colorTheme":"{{UserProfile.CompanyName.ColorTheme}}","originalColorThemeXml":"<a:clrScheme name=\"Urbis Default\" xmlns:a=\"http://schemas.openxmlformats.org/drawingml/2006/main\"><a:dk1><a:srgbClr val=\"1A1919\" /></a:dk1><a:lt1><a:sysClr val=\"window\" lastClr=\"FFFFFF\" /></a:lt1><a:dk2><a:srgbClr val=\"666666\" /></a:dk2><a:lt2><a:srgbClr val=\"F9F8F8\" /></a:lt2><a:accent1><a:srgbClr val=\"68C0B5\" /></a:accent1><a:accent2><a:srgbClr val=\"69ACDF\" /></a:accent2><a:accent3><a:srgbClr val=\"636AAF\" /></a:accent3><a:accent4><a:srgbClr val=\"B26DAB\" /></a:accent4><a:accent5><a:srgbClr val=\"E7A2C8\" /></a:accent5><a:accent6><a:srgbClr val=\"9CD2F4\" /></a:accent6><a:hlink><a:srgbClr val=\"69ACDF\" /></a:hlink><a:folHlink><a:srgbClr val=\"B26DAB\" /></a:folHlink></a:clrScheme>","disableUpdates":false,"type":"colorTheme"},{"language":"{{DocumentLanguage}}","disableUpdates":false,"type":"proofingLanguage"},{"originalValues":{"topMargin":1134,"rightMargin":1134,"bottomMargin":1134,"leftMargin":1134,"gutter":0,"gutterPosition":"left","orientation":"portrait","paperWidth":11906,"paperHeight":16838,"headerFromEdge":709,"footerFromEdge":284},"disableUpdates":true,"type":"pageSetup"}],"isBaseTemplate":false,"templateName":"Report","templateDescription":"Start a branded report","enableDocumentContentUpdater":true,"version":"1.10"}]]></TemplafyTemplateConfiguration>
</file>

<file path=customXml/item3.xml>��< ? x m l   v e r s i o n = " 1 . 0 "   e n c o d i n g = " u t f - 1 6 " ? > < K a p i s h F i l e n a m e T o U r i M a p p i n g s   x m l n s : x s i = " h t t p : / / w w w . w 3 . o r g / 2 0 0 1 / X M L S c h e m a - i n s t a n c e "   x m l n s : x s d = " h t t p : / / w w w . w 3 . o r g / 2 0 0 1 / X M L 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2EDAFDB8AB511F41ACA230CD7ED5C862" ma:contentTypeVersion="16" ma:contentTypeDescription="Create a new document." ma:contentTypeScope="" ma:versionID="08930ec27af339c82ff4928898d662c1">
  <xsd:schema xmlns:xsd="http://www.w3.org/2001/XMLSchema" xmlns:xs="http://www.w3.org/2001/XMLSchema" xmlns:p="http://schemas.microsoft.com/office/2006/metadata/properties" xmlns:ns2="c30deaef-c907-49f6-b2be-0c63f2e6898e" xmlns:ns3="d1e6a267-26b6-4ec6-8b8f-c86c2761d466" xmlns:ns4="bd20f1ee-b63c-4db8-8ab7-12a8802541a2" targetNamespace="http://schemas.microsoft.com/office/2006/metadata/properties" ma:root="true" ma:fieldsID="dcd77ba558f59475e126ba96b1729cba" ns2:_="" ns3:_="" ns4:_="">
    <xsd:import namespace="c30deaef-c907-49f6-b2be-0c63f2e6898e"/>
    <xsd:import namespace="d1e6a267-26b6-4ec6-8b8f-c86c2761d466"/>
    <xsd:import namespace="bd20f1ee-b63c-4db8-8ab7-12a8802541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deaef-c907-49f6-b2be-0c63f2e68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ff0b982-7015-403f-8865-7d10971aff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e6a267-26b6-4ec6-8b8f-c86c2761d46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20f1ee-b63c-4db8-8ab7-12a8802541a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0489ea-0b6a-4dbe-b80e-41dc869757a5}" ma:internalName="TaxCatchAll" ma:showField="CatchAllData" ma:web="d1e6a267-26b6-4ec6-8b8f-c86c2761d4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FormConfiguration><![CDATA[{"formFields":[{"required":false,"helpTexts":{"prefix":"","postfix":""},"spacing":{},"type":"datePicker","name":"Date","label":"Date","fullyQualifiedName":"Date"},{"required":true,"placeholder":"","lines":2,"helpTexts":{"prefix":"","postfix":""},"spacing":{},"type":"textBox","name":"Title","label":"Title","fullyQualifiedName":"Title"},{"required":false,"placeholder":"","lines":2,"helpTexts":{"prefix":"","postfix":""},"spacing":{},"type":"textBox","name":"Subtitle","label":"Subtitle","fullyQualifiedName":"Subtitle"},{"required":true,"placeholder":"","lines":1,"helpTexts":{"prefix":"","postfix":""},"spacing":{},"type":"textBox","name":"ClientName","label":"Client Name","fullyQualifiedName":"ClientName"},{"required":true,"placeholder":"","lines":1,"helpTexts":{"prefix":"","postfix":""},"spacing":{},"type":"textBox","name":"ReportPurpose","label":"Report Purpose","fullyQualifiedName":"ReportPurpose"},{"dataSource":"Public Policy Report","displayColumn":"yesNo","hideIfNoUserInteractionRequired":false,"distinct":true,"required":true,"autoSelectFirstOption":false,"helpTexts":{"prefix":"","postfix":""},"spacing":{},"type":"dropDown","name":"PublicPolicyReport","label":"Is this an ESA report?","fullyQualifiedName":"PublicPolicyReport"}],"formDataEntries":[{"name":"Date","value":"cJYl9EvWXqykKRTCQ/5+2w=="},{"name":"ClientName","value":"ltgScSqSJNMyws9XIk4wfUqNB3GhoOcuga/87zO9YEUGHl1yq97pINXcmjOGzpAn"},{"name":"ReportPurpose","value":"vveLacDbF8CkzQ5PkTxbN4Eb1lj5MrWuMu4k2Q/VM28="},{"name":"PublicPolicyReport","value":"C3/mS0AVr9MkfXMXOxzXlw=="}]}]]></TemplafyFormConfiguration>
</file>

<file path=customXml/itemProps1.xml><?xml version="1.0" encoding="utf-8"?>
<ds:datastoreItem xmlns:ds="http://schemas.openxmlformats.org/officeDocument/2006/customXml" ds:itemID="{358EE778-4633-4BFF-9906-8C340518E621}">
  <ds:schemaRefs>
    <ds:schemaRef ds:uri="http://schemas.microsoft.com/office/2006/metadata/properties"/>
    <ds:schemaRef ds:uri="http://schemas.microsoft.com/office/infopath/2007/PartnerControls"/>
    <ds:schemaRef ds:uri="d1e6a267-26b6-4ec6-8b8f-c86c2761d466"/>
    <ds:schemaRef ds:uri="bd20f1ee-b63c-4db8-8ab7-12a8802541a2"/>
    <ds:schemaRef ds:uri="c30deaef-c907-49f6-b2be-0c63f2e6898e"/>
  </ds:schemaRefs>
</ds:datastoreItem>
</file>

<file path=customXml/itemProps2.xml><?xml version="1.0" encoding="utf-8"?>
<ds:datastoreItem xmlns:ds="http://schemas.openxmlformats.org/officeDocument/2006/customXml" ds:itemID="{3C93C880-D2FE-452C-AF47-BDF45DFD32EA}">
  <ds:schemaRefs/>
</ds:datastoreItem>
</file>

<file path=customXml/itemProps3.xml><?xml version="1.0" encoding="utf-8"?>
<ds:datastoreItem xmlns:ds="http://schemas.openxmlformats.org/officeDocument/2006/customXml" ds:itemID="{53A6428D-0FC7-4ECA-A2D4-A9F6CB8D95F7}">
  <ds:schemaRefs>
    <ds:schemaRef ds:uri="http://www.w3.org/2001/XMLSchema"/>
  </ds:schemaRefs>
</ds:datastoreItem>
</file>

<file path=customXml/itemProps4.xml><?xml version="1.0" encoding="utf-8"?>
<ds:datastoreItem xmlns:ds="http://schemas.openxmlformats.org/officeDocument/2006/customXml" ds:itemID="{BD0F8D92-0E51-41D9-9639-2CF2723FFFB4}">
  <ds:schemaRefs>
    <ds:schemaRef ds:uri="http://schemas.microsoft.com/sharepoint/v3/contenttype/forms"/>
  </ds:schemaRefs>
</ds:datastoreItem>
</file>

<file path=customXml/itemProps5.xml><?xml version="1.0" encoding="utf-8"?>
<ds:datastoreItem xmlns:ds="http://schemas.openxmlformats.org/officeDocument/2006/customXml" ds:itemID="{44E066D4-66CD-46A8-873B-921D677A1032}">
  <ds:schemaRefs>
    <ds:schemaRef ds:uri="http://schemas.openxmlformats.org/officeDocument/2006/bibliography"/>
  </ds:schemaRefs>
</ds:datastoreItem>
</file>

<file path=customXml/itemProps6.xml><?xml version="1.0" encoding="utf-8"?>
<ds:datastoreItem xmlns:ds="http://schemas.openxmlformats.org/officeDocument/2006/customXml" ds:itemID="{D79DB6E5-16AD-48DD-B882-B68C8AB2D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deaef-c907-49f6-b2be-0c63f2e6898e"/>
    <ds:schemaRef ds:uri="d1e6a267-26b6-4ec6-8b8f-c86c2761d466"/>
    <ds:schemaRef ds:uri="bd20f1ee-b63c-4db8-8ab7-12a880254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D89CCF7-971D-45DB-A564-6AB8B9C7852C}">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26402</Words>
  <Characters>150494</Characters>
  <Application>Microsoft Office Word</Application>
  <DocSecurity>4</DocSecurity>
  <Lines>1254</Lines>
  <Paragraphs>353</Paragraphs>
  <ScaleCrop>false</ScaleCrop>
  <Company/>
  <LinksUpToDate>false</LinksUpToDate>
  <CharactersWithSpaces>176543</CharactersWithSpaces>
  <SharedDoc>false</SharedDoc>
  <HLinks>
    <vt:vector size="486" baseType="variant">
      <vt:variant>
        <vt:i4>1966139</vt:i4>
      </vt:variant>
      <vt:variant>
        <vt:i4>485</vt:i4>
      </vt:variant>
      <vt:variant>
        <vt:i4>0</vt:i4>
      </vt:variant>
      <vt:variant>
        <vt:i4>5</vt:i4>
      </vt:variant>
      <vt:variant>
        <vt:lpwstr/>
      </vt:variant>
      <vt:variant>
        <vt:lpwstr>_Toc150431997</vt:lpwstr>
      </vt:variant>
      <vt:variant>
        <vt:i4>1966139</vt:i4>
      </vt:variant>
      <vt:variant>
        <vt:i4>479</vt:i4>
      </vt:variant>
      <vt:variant>
        <vt:i4>0</vt:i4>
      </vt:variant>
      <vt:variant>
        <vt:i4>5</vt:i4>
      </vt:variant>
      <vt:variant>
        <vt:lpwstr/>
      </vt:variant>
      <vt:variant>
        <vt:lpwstr>_Toc150431996</vt:lpwstr>
      </vt:variant>
      <vt:variant>
        <vt:i4>1966139</vt:i4>
      </vt:variant>
      <vt:variant>
        <vt:i4>473</vt:i4>
      </vt:variant>
      <vt:variant>
        <vt:i4>0</vt:i4>
      </vt:variant>
      <vt:variant>
        <vt:i4>5</vt:i4>
      </vt:variant>
      <vt:variant>
        <vt:lpwstr/>
      </vt:variant>
      <vt:variant>
        <vt:lpwstr>_Toc150431995</vt:lpwstr>
      </vt:variant>
      <vt:variant>
        <vt:i4>1966139</vt:i4>
      </vt:variant>
      <vt:variant>
        <vt:i4>467</vt:i4>
      </vt:variant>
      <vt:variant>
        <vt:i4>0</vt:i4>
      </vt:variant>
      <vt:variant>
        <vt:i4>5</vt:i4>
      </vt:variant>
      <vt:variant>
        <vt:lpwstr/>
      </vt:variant>
      <vt:variant>
        <vt:lpwstr>_Toc150431994</vt:lpwstr>
      </vt:variant>
      <vt:variant>
        <vt:i4>1966139</vt:i4>
      </vt:variant>
      <vt:variant>
        <vt:i4>461</vt:i4>
      </vt:variant>
      <vt:variant>
        <vt:i4>0</vt:i4>
      </vt:variant>
      <vt:variant>
        <vt:i4>5</vt:i4>
      </vt:variant>
      <vt:variant>
        <vt:lpwstr/>
      </vt:variant>
      <vt:variant>
        <vt:lpwstr>_Toc150431993</vt:lpwstr>
      </vt:variant>
      <vt:variant>
        <vt:i4>1966139</vt:i4>
      </vt:variant>
      <vt:variant>
        <vt:i4>455</vt:i4>
      </vt:variant>
      <vt:variant>
        <vt:i4>0</vt:i4>
      </vt:variant>
      <vt:variant>
        <vt:i4>5</vt:i4>
      </vt:variant>
      <vt:variant>
        <vt:lpwstr/>
      </vt:variant>
      <vt:variant>
        <vt:lpwstr>_Toc150431992</vt:lpwstr>
      </vt:variant>
      <vt:variant>
        <vt:i4>1966139</vt:i4>
      </vt:variant>
      <vt:variant>
        <vt:i4>449</vt:i4>
      </vt:variant>
      <vt:variant>
        <vt:i4>0</vt:i4>
      </vt:variant>
      <vt:variant>
        <vt:i4>5</vt:i4>
      </vt:variant>
      <vt:variant>
        <vt:lpwstr/>
      </vt:variant>
      <vt:variant>
        <vt:lpwstr>_Toc150431991</vt:lpwstr>
      </vt:variant>
      <vt:variant>
        <vt:i4>1966139</vt:i4>
      </vt:variant>
      <vt:variant>
        <vt:i4>443</vt:i4>
      </vt:variant>
      <vt:variant>
        <vt:i4>0</vt:i4>
      </vt:variant>
      <vt:variant>
        <vt:i4>5</vt:i4>
      </vt:variant>
      <vt:variant>
        <vt:lpwstr/>
      </vt:variant>
      <vt:variant>
        <vt:lpwstr>_Toc150431990</vt:lpwstr>
      </vt:variant>
      <vt:variant>
        <vt:i4>2031675</vt:i4>
      </vt:variant>
      <vt:variant>
        <vt:i4>437</vt:i4>
      </vt:variant>
      <vt:variant>
        <vt:i4>0</vt:i4>
      </vt:variant>
      <vt:variant>
        <vt:i4>5</vt:i4>
      </vt:variant>
      <vt:variant>
        <vt:lpwstr/>
      </vt:variant>
      <vt:variant>
        <vt:lpwstr>_Toc150431989</vt:lpwstr>
      </vt:variant>
      <vt:variant>
        <vt:i4>2031675</vt:i4>
      </vt:variant>
      <vt:variant>
        <vt:i4>431</vt:i4>
      </vt:variant>
      <vt:variant>
        <vt:i4>0</vt:i4>
      </vt:variant>
      <vt:variant>
        <vt:i4>5</vt:i4>
      </vt:variant>
      <vt:variant>
        <vt:lpwstr/>
      </vt:variant>
      <vt:variant>
        <vt:lpwstr>_Toc150431988</vt:lpwstr>
      </vt:variant>
      <vt:variant>
        <vt:i4>2031675</vt:i4>
      </vt:variant>
      <vt:variant>
        <vt:i4>425</vt:i4>
      </vt:variant>
      <vt:variant>
        <vt:i4>0</vt:i4>
      </vt:variant>
      <vt:variant>
        <vt:i4>5</vt:i4>
      </vt:variant>
      <vt:variant>
        <vt:lpwstr/>
      </vt:variant>
      <vt:variant>
        <vt:lpwstr>_Toc150431987</vt:lpwstr>
      </vt:variant>
      <vt:variant>
        <vt:i4>2031675</vt:i4>
      </vt:variant>
      <vt:variant>
        <vt:i4>419</vt:i4>
      </vt:variant>
      <vt:variant>
        <vt:i4>0</vt:i4>
      </vt:variant>
      <vt:variant>
        <vt:i4>5</vt:i4>
      </vt:variant>
      <vt:variant>
        <vt:lpwstr/>
      </vt:variant>
      <vt:variant>
        <vt:lpwstr>_Toc150431986</vt:lpwstr>
      </vt:variant>
      <vt:variant>
        <vt:i4>2031675</vt:i4>
      </vt:variant>
      <vt:variant>
        <vt:i4>413</vt:i4>
      </vt:variant>
      <vt:variant>
        <vt:i4>0</vt:i4>
      </vt:variant>
      <vt:variant>
        <vt:i4>5</vt:i4>
      </vt:variant>
      <vt:variant>
        <vt:lpwstr/>
      </vt:variant>
      <vt:variant>
        <vt:lpwstr>_Toc150431985</vt:lpwstr>
      </vt:variant>
      <vt:variant>
        <vt:i4>2031675</vt:i4>
      </vt:variant>
      <vt:variant>
        <vt:i4>407</vt:i4>
      </vt:variant>
      <vt:variant>
        <vt:i4>0</vt:i4>
      </vt:variant>
      <vt:variant>
        <vt:i4>5</vt:i4>
      </vt:variant>
      <vt:variant>
        <vt:lpwstr/>
      </vt:variant>
      <vt:variant>
        <vt:lpwstr>_Toc150431984</vt:lpwstr>
      </vt:variant>
      <vt:variant>
        <vt:i4>2031675</vt:i4>
      </vt:variant>
      <vt:variant>
        <vt:i4>401</vt:i4>
      </vt:variant>
      <vt:variant>
        <vt:i4>0</vt:i4>
      </vt:variant>
      <vt:variant>
        <vt:i4>5</vt:i4>
      </vt:variant>
      <vt:variant>
        <vt:lpwstr/>
      </vt:variant>
      <vt:variant>
        <vt:lpwstr>_Toc150431983</vt:lpwstr>
      </vt:variant>
      <vt:variant>
        <vt:i4>2031675</vt:i4>
      </vt:variant>
      <vt:variant>
        <vt:i4>395</vt:i4>
      </vt:variant>
      <vt:variant>
        <vt:i4>0</vt:i4>
      </vt:variant>
      <vt:variant>
        <vt:i4>5</vt:i4>
      </vt:variant>
      <vt:variant>
        <vt:lpwstr/>
      </vt:variant>
      <vt:variant>
        <vt:lpwstr>_Toc150431982</vt:lpwstr>
      </vt:variant>
      <vt:variant>
        <vt:i4>2031675</vt:i4>
      </vt:variant>
      <vt:variant>
        <vt:i4>389</vt:i4>
      </vt:variant>
      <vt:variant>
        <vt:i4>0</vt:i4>
      </vt:variant>
      <vt:variant>
        <vt:i4>5</vt:i4>
      </vt:variant>
      <vt:variant>
        <vt:lpwstr/>
      </vt:variant>
      <vt:variant>
        <vt:lpwstr>_Toc150431981</vt:lpwstr>
      </vt:variant>
      <vt:variant>
        <vt:i4>2031675</vt:i4>
      </vt:variant>
      <vt:variant>
        <vt:i4>383</vt:i4>
      </vt:variant>
      <vt:variant>
        <vt:i4>0</vt:i4>
      </vt:variant>
      <vt:variant>
        <vt:i4>5</vt:i4>
      </vt:variant>
      <vt:variant>
        <vt:lpwstr/>
      </vt:variant>
      <vt:variant>
        <vt:lpwstr>_Toc150431980</vt:lpwstr>
      </vt:variant>
      <vt:variant>
        <vt:i4>1048635</vt:i4>
      </vt:variant>
      <vt:variant>
        <vt:i4>377</vt:i4>
      </vt:variant>
      <vt:variant>
        <vt:i4>0</vt:i4>
      </vt:variant>
      <vt:variant>
        <vt:i4>5</vt:i4>
      </vt:variant>
      <vt:variant>
        <vt:lpwstr/>
      </vt:variant>
      <vt:variant>
        <vt:lpwstr>_Toc150431979</vt:lpwstr>
      </vt:variant>
      <vt:variant>
        <vt:i4>1048635</vt:i4>
      </vt:variant>
      <vt:variant>
        <vt:i4>371</vt:i4>
      </vt:variant>
      <vt:variant>
        <vt:i4>0</vt:i4>
      </vt:variant>
      <vt:variant>
        <vt:i4>5</vt:i4>
      </vt:variant>
      <vt:variant>
        <vt:lpwstr/>
      </vt:variant>
      <vt:variant>
        <vt:lpwstr>_Toc150431978</vt:lpwstr>
      </vt:variant>
      <vt:variant>
        <vt:i4>1048635</vt:i4>
      </vt:variant>
      <vt:variant>
        <vt:i4>365</vt:i4>
      </vt:variant>
      <vt:variant>
        <vt:i4>0</vt:i4>
      </vt:variant>
      <vt:variant>
        <vt:i4>5</vt:i4>
      </vt:variant>
      <vt:variant>
        <vt:lpwstr/>
      </vt:variant>
      <vt:variant>
        <vt:lpwstr>_Toc150431977</vt:lpwstr>
      </vt:variant>
      <vt:variant>
        <vt:i4>1048635</vt:i4>
      </vt:variant>
      <vt:variant>
        <vt:i4>359</vt:i4>
      </vt:variant>
      <vt:variant>
        <vt:i4>0</vt:i4>
      </vt:variant>
      <vt:variant>
        <vt:i4>5</vt:i4>
      </vt:variant>
      <vt:variant>
        <vt:lpwstr/>
      </vt:variant>
      <vt:variant>
        <vt:lpwstr>_Toc150431976</vt:lpwstr>
      </vt:variant>
      <vt:variant>
        <vt:i4>1048635</vt:i4>
      </vt:variant>
      <vt:variant>
        <vt:i4>350</vt:i4>
      </vt:variant>
      <vt:variant>
        <vt:i4>0</vt:i4>
      </vt:variant>
      <vt:variant>
        <vt:i4>5</vt:i4>
      </vt:variant>
      <vt:variant>
        <vt:lpwstr/>
      </vt:variant>
      <vt:variant>
        <vt:lpwstr>_Toc150431975</vt:lpwstr>
      </vt:variant>
      <vt:variant>
        <vt:i4>1048635</vt:i4>
      </vt:variant>
      <vt:variant>
        <vt:i4>344</vt:i4>
      </vt:variant>
      <vt:variant>
        <vt:i4>0</vt:i4>
      </vt:variant>
      <vt:variant>
        <vt:i4>5</vt:i4>
      </vt:variant>
      <vt:variant>
        <vt:lpwstr/>
      </vt:variant>
      <vt:variant>
        <vt:lpwstr>_Toc150431974</vt:lpwstr>
      </vt:variant>
      <vt:variant>
        <vt:i4>1048635</vt:i4>
      </vt:variant>
      <vt:variant>
        <vt:i4>338</vt:i4>
      </vt:variant>
      <vt:variant>
        <vt:i4>0</vt:i4>
      </vt:variant>
      <vt:variant>
        <vt:i4>5</vt:i4>
      </vt:variant>
      <vt:variant>
        <vt:lpwstr/>
      </vt:variant>
      <vt:variant>
        <vt:lpwstr>_Toc150431973</vt:lpwstr>
      </vt:variant>
      <vt:variant>
        <vt:i4>1048635</vt:i4>
      </vt:variant>
      <vt:variant>
        <vt:i4>332</vt:i4>
      </vt:variant>
      <vt:variant>
        <vt:i4>0</vt:i4>
      </vt:variant>
      <vt:variant>
        <vt:i4>5</vt:i4>
      </vt:variant>
      <vt:variant>
        <vt:lpwstr/>
      </vt:variant>
      <vt:variant>
        <vt:lpwstr>_Toc150431972</vt:lpwstr>
      </vt:variant>
      <vt:variant>
        <vt:i4>1048635</vt:i4>
      </vt:variant>
      <vt:variant>
        <vt:i4>326</vt:i4>
      </vt:variant>
      <vt:variant>
        <vt:i4>0</vt:i4>
      </vt:variant>
      <vt:variant>
        <vt:i4>5</vt:i4>
      </vt:variant>
      <vt:variant>
        <vt:lpwstr/>
      </vt:variant>
      <vt:variant>
        <vt:lpwstr>_Toc150431971</vt:lpwstr>
      </vt:variant>
      <vt:variant>
        <vt:i4>1048635</vt:i4>
      </vt:variant>
      <vt:variant>
        <vt:i4>320</vt:i4>
      </vt:variant>
      <vt:variant>
        <vt:i4>0</vt:i4>
      </vt:variant>
      <vt:variant>
        <vt:i4>5</vt:i4>
      </vt:variant>
      <vt:variant>
        <vt:lpwstr/>
      </vt:variant>
      <vt:variant>
        <vt:lpwstr>_Toc150431970</vt:lpwstr>
      </vt:variant>
      <vt:variant>
        <vt:i4>1114171</vt:i4>
      </vt:variant>
      <vt:variant>
        <vt:i4>314</vt:i4>
      </vt:variant>
      <vt:variant>
        <vt:i4>0</vt:i4>
      </vt:variant>
      <vt:variant>
        <vt:i4>5</vt:i4>
      </vt:variant>
      <vt:variant>
        <vt:lpwstr/>
      </vt:variant>
      <vt:variant>
        <vt:lpwstr>_Toc150431969</vt:lpwstr>
      </vt:variant>
      <vt:variant>
        <vt:i4>1114171</vt:i4>
      </vt:variant>
      <vt:variant>
        <vt:i4>308</vt:i4>
      </vt:variant>
      <vt:variant>
        <vt:i4>0</vt:i4>
      </vt:variant>
      <vt:variant>
        <vt:i4>5</vt:i4>
      </vt:variant>
      <vt:variant>
        <vt:lpwstr/>
      </vt:variant>
      <vt:variant>
        <vt:lpwstr>_Toc150431968</vt:lpwstr>
      </vt:variant>
      <vt:variant>
        <vt:i4>1114171</vt:i4>
      </vt:variant>
      <vt:variant>
        <vt:i4>302</vt:i4>
      </vt:variant>
      <vt:variant>
        <vt:i4>0</vt:i4>
      </vt:variant>
      <vt:variant>
        <vt:i4>5</vt:i4>
      </vt:variant>
      <vt:variant>
        <vt:lpwstr/>
      </vt:variant>
      <vt:variant>
        <vt:lpwstr>_Toc150431967</vt:lpwstr>
      </vt:variant>
      <vt:variant>
        <vt:i4>1114171</vt:i4>
      </vt:variant>
      <vt:variant>
        <vt:i4>296</vt:i4>
      </vt:variant>
      <vt:variant>
        <vt:i4>0</vt:i4>
      </vt:variant>
      <vt:variant>
        <vt:i4>5</vt:i4>
      </vt:variant>
      <vt:variant>
        <vt:lpwstr/>
      </vt:variant>
      <vt:variant>
        <vt:lpwstr>_Toc150431966</vt:lpwstr>
      </vt:variant>
      <vt:variant>
        <vt:i4>1114171</vt:i4>
      </vt:variant>
      <vt:variant>
        <vt:i4>290</vt:i4>
      </vt:variant>
      <vt:variant>
        <vt:i4>0</vt:i4>
      </vt:variant>
      <vt:variant>
        <vt:i4>5</vt:i4>
      </vt:variant>
      <vt:variant>
        <vt:lpwstr/>
      </vt:variant>
      <vt:variant>
        <vt:lpwstr>_Toc150431965</vt:lpwstr>
      </vt:variant>
      <vt:variant>
        <vt:i4>1114171</vt:i4>
      </vt:variant>
      <vt:variant>
        <vt:i4>284</vt:i4>
      </vt:variant>
      <vt:variant>
        <vt:i4>0</vt:i4>
      </vt:variant>
      <vt:variant>
        <vt:i4>5</vt:i4>
      </vt:variant>
      <vt:variant>
        <vt:lpwstr/>
      </vt:variant>
      <vt:variant>
        <vt:lpwstr>_Toc150431964</vt:lpwstr>
      </vt:variant>
      <vt:variant>
        <vt:i4>1114171</vt:i4>
      </vt:variant>
      <vt:variant>
        <vt:i4>278</vt:i4>
      </vt:variant>
      <vt:variant>
        <vt:i4>0</vt:i4>
      </vt:variant>
      <vt:variant>
        <vt:i4>5</vt:i4>
      </vt:variant>
      <vt:variant>
        <vt:lpwstr/>
      </vt:variant>
      <vt:variant>
        <vt:lpwstr>_Toc150431963</vt:lpwstr>
      </vt:variant>
      <vt:variant>
        <vt:i4>1114171</vt:i4>
      </vt:variant>
      <vt:variant>
        <vt:i4>272</vt:i4>
      </vt:variant>
      <vt:variant>
        <vt:i4>0</vt:i4>
      </vt:variant>
      <vt:variant>
        <vt:i4>5</vt:i4>
      </vt:variant>
      <vt:variant>
        <vt:lpwstr/>
      </vt:variant>
      <vt:variant>
        <vt:lpwstr>_Toc150431962</vt:lpwstr>
      </vt:variant>
      <vt:variant>
        <vt:i4>1114171</vt:i4>
      </vt:variant>
      <vt:variant>
        <vt:i4>266</vt:i4>
      </vt:variant>
      <vt:variant>
        <vt:i4>0</vt:i4>
      </vt:variant>
      <vt:variant>
        <vt:i4>5</vt:i4>
      </vt:variant>
      <vt:variant>
        <vt:lpwstr/>
      </vt:variant>
      <vt:variant>
        <vt:lpwstr>_Toc150431961</vt:lpwstr>
      </vt:variant>
      <vt:variant>
        <vt:i4>1114171</vt:i4>
      </vt:variant>
      <vt:variant>
        <vt:i4>260</vt:i4>
      </vt:variant>
      <vt:variant>
        <vt:i4>0</vt:i4>
      </vt:variant>
      <vt:variant>
        <vt:i4>5</vt:i4>
      </vt:variant>
      <vt:variant>
        <vt:lpwstr/>
      </vt:variant>
      <vt:variant>
        <vt:lpwstr>_Toc150431960</vt:lpwstr>
      </vt:variant>
      <vt:variant>
        <vt:i4>1179707</vt:i4>
      </vt:variant>
      <vt:variant>
        <vt:i4>254</vt:i4>
      </vt:variant>
      <vt:variant>
        <vt:i4>0</vt:i4>
      </vt:variant>
      <vt:variant>
        <vt:i4>5</vt:i4>
      </vt:variant>
      <vt:variant>
        <vt:lpwstr/>
      </vt:variant>
      <vt:variant>
        <vt:lpwstr>_Toc150431959</vt:lpwstr>
      </vt:variant>
      <vt:variant>
        <vt:i4>1179707</vt:i4>
      </vt:variant>
      <vt:variant>
        <vt:i4>248</vt:i4>
      </vt:variant>
      <vt:variant>
        <vt:i4>0</vt:i4>
      </vt:variant>
      <vt:variant>
        <vt:i4>5</vt:i4>
      </vt:variant>
      <vt:variant>
        <vt:lpwstr/>
      </vt:variant>
      <vt:variant>
        <vt:lpwstr>_Toc150431958</vt:lpwstr>
      </vt:variant>
      <vt:variant>
        <vt:i4>1179707</vt:i4>
      </vt:variant>
      <vt:variant>
        <vt:i4>242</vt:i4>
      </vt:variant>
      <vt:variant>
        <vt:i4>0</vt:i4>
      </vt:variant>
      <vt:variant>
        <vt:i4>5</vt:i4>
      </vt:variant>
      <vt:variant>
        <vt:lpwstr/>
      </vt:variant>
      <vt:variant>
        <vt:lpwstr>_Toc150431957</vt:lpwstr>
      </vt:variant>
      <vt:variant>
        <vt:i4>1179707</vt:i4>
      </vt:variant>
      <vt:variant>
        <vt:i4>236</vt:i4>
      </vt:variant>
      <vt:variant>
        <vt:i4>0</vt:i4>
      </vt:variant>
      <vt:variant>
        <vt:i4>5</vt:i4>
      </vt:variant>
      <vt:variant>
        <vt:lpwstr/>
      </vt:variant>
      <vt:variant>
        <vt:lpwstr>_Toc150431956</vt:lpwstr>
      </vt:variant>
      <vt:variant>
        <vt:i4>1179707</vt:i4>
      </vt:variant>
      <vt:variant>
        <vt:i4>230</vt:i4>
      </vt:variant>
      <vt:variant>
        <vt:i4>0</vt:i4>
      </vt:variant>
      <vt:variant>
        <vt:i4>5</vt:i4>
      </vt:variant>
      <vt:variant>
        <vt:lpwstr/>
      </vt:variant>
      <vt:variant>
        <vt:lpwstr>_Toc150431955</vt:lpwstr>
      </vt:variant>
      <vt:variant>
        <vt:i4>1179707</vt:i4>
      </vt:variant>
      <vt:variant>
        <vt:i4>224</vt:i4>
      </vt:variant>
      <vt:variant>
        <vt:i4>0</vt:i4>
      </vt:variant>
      <vt:variant>
        <vt:i4>5</vt:i4>
      </vt:variant>
      <vt:variant>
        <vt:lpwstr/>
      </vt:variant>
      <vt:variant>
        <vt:lpwstr>_Toc150431954</vt:lpwstr>
      </vt:variant>
      <vt:variant>
        <vt:i4>1179707</vt:i4>
      </vt:variant>
      <vt:variant>
        <vt:i4>218</vt:i4>
      </vt:variant>
      <vt:variant>
        <vt:i4>0</vt:i4>
      </vt:variant>
      <vt:variant>
        <vt:i4>5</vt:i4>
      </vt:variant>
      <vt:variant>
        <vt:lpwstr/>
      </vt:variant>
      <vt:variant>
        <vt:lpwstr>_Toc150431953</vt:lpwstr>
      </vt:variant>
      <vt:variant>
        <vt:i4>1179707</vt:i4>
      </vt:variant>
      <vt:variant>
        <vt:i4>212</vt:i4>
      </vt:variant>
      <vt:variant>
        <vt:i4>0</vt:i4>
      </vt:variant>
      <vt:variant>
        <vt:i4>5</vt:i4>
      </vt:variant>
      <vt:variant>
        <vt:lpwstr/>
      </vt:variant>
      <vt:variant>
        <vt:lpwstr>_Toc150431952</vt:lpwstr>
      </vt:variant>
      <vt:variant>
        <vt:i4>1179707</vt:i4>
      </vt:variant>
      <vt:variant>
        <vt:i4>206</vt:i4>
      </vt:variant>
      <vt:variant>
        <vt:i4>0</vt:i4>
      </vt:variant>
      <vt:variant>
        <vt:i4>5</vt:i4>
      </vt:variant>
      <vt:variant>
        <vt:lpwstr/>
      </vt:variant>
      <vt:variant>
        <vt:lpwstr>_Toc150431951</vt:lpwstr>
      </vt:variant>
      <vt:variant>
        <vt:i4>1048629</vt:i4>
      </vt:variant>
      <vt:variant>
        <vt:i4>197</vt:i4>
      </vt:variant>
      <vt:variant>
        <vt:i4>0</vt:i4>
      </vt:variant>
      <vt:variant>
        <vt:i4>5</vt:i4>
      </vt:variant>
      <vt:variant>
        <vt:lpwstr/>
      </vt:variant>
      <vt:variant>
        <vt:lpwstr>_Toc150431779</vt:lpwstr>
      </vt:variant>
      <vt:variant>
        <vt:i4>1048629</vt:i4>
      </vt:variant>
      <vt:variant>
        <vt:i4>191</vt:i4>
      </vt:variant>
      <vt:variant>
        <vt:i4>0</vt:i4>
      </vt:variant>
      <vt:variant>
        <vt:i4>5</vt:i4>
      </vt:variant>
      <vt:variant>
        <vt:lpwstr/>
      </vt:variant>
      <vt:variant>
        <vt:lpwstr>_Toc150431778</vt:lpwstr>
      </vt:variant>
      <vt:variant>
        <vt:i4>1048629</vt:i4>
      </vt:variant>
      <vt:variant>
        <vt:i4>185</vt:i4>
      </vt:variant>
      <vt:variant>
        <vt:i4>0</vt:i4>
      </vt:variant>
      <vt:variant>
        <vt:i4>5</vt:i4>
      </vt:variant>
      <vt:variant>
        <vt:lpwstr/>
      </vt:variant>
      <vt:variant>
        <vt:lpwstr>_Toc150431777</vt:lpwstr>
      </vt:variant>
      <vt:variant>
        <vt:i4>1310773</vt:i4>
      </vt:variant>
      <vt:variant>
        <vt:i4>176</vt:i4>
      </vt:variant>
      <vt:variant>
        <vt:i4>0</vt:i4>
      </vt:variant>
      <vt:variant>
        <vt:i4>5</vt:i4>
      </vt:variant>
      <vt:variant>
        <vt:lpwstr/>
      </vt:variant>
      <vt:variant>
        <vt:lpwstr>_Toc150431735</vt:lpwstr>
      </vt:variant>
      <vt:variant>
        <vt:i4>1310773</vt:i4>
      </vt:variant>
      <vt:variant>
        <vt:i4>170</vt:i4>
      </vt:variant>
      <vt:variant>
        <vt:i4>0</vt:i4>
      </vt:variant>
      <vt:variant>
        <vt:i4>5</vt:i4>
      </vt:variant>
      <vt:variant>
        <vt:lpwstr/>
      </vt:variant>
      <vt:variant>
        <vt:lpwstr>_Toc150431734</vt:lpwstr>
      </vt:variant>
      <vt:variant>
        <vt:i4>1310773</vt:i4>
      </vt:variant>
      <vt:variant>
        <vt:i4>164</vt:i4>
      </vt:variant>
      <vt:variant>
        <vt:i4>0</vt:i4>
      </vt:variant>
      <vt:variant>
        <vt:i4>5</vt:i4>
      </vt:variant>
      <vt:variant>
        <vt:lpwstr/>
      </vt:variant>
      <vt:variant>
        <vt:lpwstr>_Toc150431733</vt:lpwstr>
      </vt:variant>
      <vt:variant>
        <vt:i4>1310773</vt:i4>
      </vt:variant>
      <vt:variant>
        <vt:i4>158</vt:i4>
      </vt:variant>
      <vt:variant>
        <vt:i4>0</vt:i4>
      </vt:variant>
      <vt:variant>
        <vt:i4>5</vt:i4>
      </vt:variant>
      <vt:variant>
        <vt:lpwstr/>
      </vt:variant>
      <vt:variant>
        <vt:lpwstr>_Toc150431732</vt:lpwstr>
      </vt:variant>
      <vt:variant>
        <vt:i4>1310773</vt:i4>
      </vt:variant>
      <vt:variant>
        <vt:i4>152</vt:i4>
      </vt:variant>
      <vt:variant>
        <vt:i4>0</vt:i4>
      </vt:variant>
      <vt:variant>
        <vt:i4>5</vt:i4>
      </vt:variant>
      <vt:variant>
        <vt:lpwstr/>
      </vt:variant>
      <vt:variant>
        <vt:lpwstr>_Toc150431731</vt:lpwstr>
      </vt:variant>
      <vt:variant>
        <vt:i4>1310773</vt:i4>
      </vt:variant>
      <vt:variant>
        <vt:i4>146</vt:i4>
      </vt:variant>
      <vt:variant>
        <vt:i4>0</vt:i4>
      </vt:variant>
      <vt:variant>
        <vt:i4>5</vt:i4>
      </vt:variant>
      <vt:variant>
        <vt:lpwstr/>
      </vt:variant>
      <vt:variant>
        <vt:lpwstr>_Toc150431730</vt:lpwstr>
      </vt:variant>
      <vt:variant>
        <vt:i4>1376309</vt:i4>
      </vt:variant>
      <vt:variant>
        <vt:i4>140</vt:i4>
      </vt:variant>
      <vt:variant>
        <vt:i4>0</vt:i4>
      </vt:variant>
      <vt:variant>
        <vt:i4>5</vt:i4>
      </vt:variant>
      <vt:variant>
        <vt:lpwstr/>
      </vt:variant>
      <vt:variant>
        <vt:lpwstr>_Toc150431729</vt:lpwstr>
      </vt:variant>
      <vt:variant>
        <vt:i4>1376309</vt:i4>
      </vt:variant>
      <vt:variant>
        <vt:i4>134</vt:i4>
      </vt:variant>
      <vt:variant>
        <vt:i4>0</vt:i4>
      </vt:variant>
      <vt:variant>
        <vt:i4>5</vt:i4>
      </vt:variant>
      <vt:variant>
        <vt:lpwstr/>
      </vt:variant>
      <vt:variant>
        <vt:lpwstr>_Toc150431728</vt:lpwstr>
      </vt:variant>
      <vt:variant>
        <vt:i4>1376309</vt:i4>
      </vt:variant>
      <vt:variant>
        <vt:i4>128</vt:i4>
      </vt:variant>
      <vt:variant>
        <vt:i4>0</vt:i4>
      </vt:variant>
      <vt:variant>
        <vt:i4>5</vt:i4>
      </vt:variant>
      <vt:variant>
        <vt:lpwstr/>
      </vt:variant>
      <vt:variant>
        <vt:lpwstr>_Toc150431727</vt:lpwstr>
      </vt:variant>
      <vt:variant>
        <vt:i4>1376309</vt:i4>
      </vt:variant>
      <vt:variant>
        <vt:i4>122</vt:i4>
      </vt:variant>
      <vt:variant>
        <vt:i4>0</vt:i4>
      </vt:variant>
      <vt:variant>
        <vt:i4>5</vt:i4>
      </vt:variant>
      <vt:variant>
        <vt:lpwstr/>
      </vt:variant>
      <vt:variant>
        <vt:lpwstr>_Toc150431726</vt:lpwstr>
      </vt:variant>
      <vt:variant>
        <vt:i4>1376309</vt:i4>
      </vt:variant>
      <vt:variant>
        <vt:i4>116</vt:i4>
      </vt:variant>
      <vt:variant>
        <vt:i4>0</vt:i4>
      </vt:variant>
      <vt:variant>
        <vt:i4>5</vt:i4>
      </vt:variant>
      <vt:variant>
        <vt:lpwstr/>
      </vt:variant>
      <vt:variant>
        <vt:lpwstr>_Toc150431725</vt:lpwstr>
      </vt:variant>
      <vt:variant>
        <vt:i4>1376309</vt:i4>
      </vt:variant>
      <vt:variant>
        <vt:i4>110</vt:i4>
      </vt:variant>
      <vt:variant>
        <vt:i4>0</vt:i4>
      </vt:variant>
      <vt:variant>
        <vt:i4>5</vt:i4>
      </vt:variant>
      <vt:variant>
        <vt:lpwstr/>
      </vt:variant>
      <vt:variant>
        <vt:lpwstr>_Toc150431724</vt:lpwstr>
      </vt:variant>
      <vt:variant>
        <vt:i4>1376309</vt:i4>
      </vt:variant>
      <vt:variant>
        <vt:i4>104</vt:i4>
      </vt:variant>
      <vt:variant>
        <vt:i4>0</vt:i4>
      </vt:variant>
      <vt:variant>
        <vt:i4>5</vt:i4>
      </vt:variant>
      <vt:variant>
        <vt:lpwstr/>
      </vt:variant>
      <vt:variant>
        <vt:lpwstr>_Toc150431723</vt:lpwstr>
      </vt:variant>
      <vt:variant>
        <vt:i4>1376309</vt:i4>
      </vt:variant>
      <vt:variant>
        <vt:i4>98</vt:i4>
      </vt:variant>
      <vt:variant>
        <vt:i4>0</vt:i4>
      </vt:variant>
      <vt:variant>
        <vt:i4>5</vt:i4>
      </vt:variant>
      <vt:variant>
        <vt:lpwstr/>
      </vt:variant>
      <vt:variant>
        <vt:lpwstr>_Toc150431722</vt:lpwstr>
      </vt:variant>
      <vt:variant>
        <vt:i4>1376309</vt:i4>
      </vt:variant>
      <vt:variant>
        <vt:i4>92</vt:i4>
      </vt:variant>
      <vt:variant>
        <vt:i4>0</vt:i4>
      </vt:variant>
      <vt:variant>
        <vt:i4>5</vt:i4>
      </vt:variant>
      <vt:variant>
        <vt:lpwstr/>
      </vt:variant>
      <vt:variant>
        <vt:lpwstr>_Toc150431721</vt:lpwstr>
      </vt:variant>
      <vt:variant>
        <vt:i4>1376309</vt:i4>
      </vt:variant>
      <vt:variant>
        <vt:i4>86</vt:i4>
      </vt:variant>
      <vt:variant>
        <vt:i4>0</vt:i4>
      </vt:variant>
      <vt:variant>
        <vt:i4>5</vt:i4>
      </vt:variant>
      <vt:variant>
        <vt:lpwstr/>
      </vt:variant>
      <vt:variant>
        <vt:lpwstr>_Toc150431720</vt:lpwstr>
      </vt:variant>
      <vt:variant>
        <vt:i4>1441845</vt:i4>
      </vt:variant>
      <vt:variant>
        <vt:i4>80</vt:i4>
      </vt:variant>
      <vt:variant>
        <vt:i4>0</vt:i4>
      </vt:variant>
      <vt:variant>
        <vt:i4>5</vt:i4>
      </vt:variant>
      <vt:variant>
        <vt:lpwstr/>
      </vt:variant>
      <vt:variant>
        <vt:lpwstr>_Toc150431719</vt:lpwstr>
      </vt:variant>
      <vt:variant>
        <vt:i4>1441845</vt:i4>
      </vt:variant>
      <vt:variant>
        <vt:i4>74</vt:i4>
      </vt:variant>
      <vt:variant>
        <vt:i4>0</vt:i4>
      </vt:variant>
      <vt:variant>
        <vt:i4>5</vt:i4>
      </vt:variant>
      <vt:variant>
        <vt:lpwstr/>
      </vt:variant>
      <vt:variant>
        <vt:lpwstr>_Toc150431718</vt:lpwstr>
      </vt:variant>
      <vt:variant>
        <vt:i4>1441845</vt:i4>
      </vt:variant>
      <vt:variant>
        <vt:i4>68</vt:i4>
      </vt:variant>
      <vt:variant>
        <vt:i4>0</vt:i4>
      </vt:variant>
      <vt:variant>
        <vt:i4>5</vt:i4>
      </vt:variant>
      <vt:variant>
        <vt:lpwstr/>
      </vt:variant>
      <vt:variant>
        <vt:lpwstr>_Toc150431717</vt:lpwstr>
      </vt:variant>
      <vt:variant>
        <vt:i4>1441845</vt:i4>
      </vt:variant>
      <vt:variant>
        <vt:i4>62</vt:i4>
      </vt:variant>
      <vt:variant>
        <vt:i4>0</vt:i4>
      </vt:variant>
      <vt:variant>
        <vt:i4>5</vt:i4>
      </vt:variant>
      <vt:variant>
        <vt:lpwstr/>
      </vt:variant>
      <vt:variant>
        <vt:lpwstr>_Toc150431716</vt:lpwstr>
      </vt:variant>
      <vt:variant>
        <vt:i4>1441845</vt:i4>
      </vt:variant>
      <vt:variant>
        <vt:i4>56</vt:i4>
      </vt:variant>
      <vt:variant>
        <vt:i4>0</vt:i4>
      </vt:variant>
      <vt:variant>
        <vt:i4>5</vt:i4>
      </vt:variant>
      <vt:variant>
        <vt:lpwstr/>
      </vt:variant>
      <vt:variant>
        <vt:lpwstr>_Toc150431715</vt:lpwstr>
      </vt:variant>
      <vt:variant>
        <vt:i4>1441845</vt:i4>
      </vt:variant>
      <vt:variant>
        <vt:i4>50</vt:i4>
      </vt:variant>
      <vt:variant>
        <vt:i4>0</vt:i4>
      </vt:variant>
      <vt:variant>
        <vt:i4>5</vt:i4>
      </vt:variant>
      <vt:variant>
        <vt:lpwstr/>
      </vt:variant>
      <vt:variant>
        <vt:lpwstr>_Toc150431714</vt:lpwstr>
      </vt:variant>
      <vt:variant>
        <vt:i4>1441845</vt:i4>
      </vt:variant>
      <vt:variant>
        <vt:i4>44</vt:i4>
      </vt:variant>
      <vt:variant>
        <vt:i4>0</vt:i4>
      </vt:variant>
      <vt:variant>
        <vt:i4>5</vt:i4>
      </vt:variant>
      <vt:variant>
        <vt:lpwstr/>
      </vt:variant>
      <vt:variant>
        <vt:lpwstr>_Toc150431713</vt:lpwstr>
      </vt:variant>
      <vt:variant>
        <vt:i4>1441845</vt:i4>
      </vt:variant>
      <vt:variant>
        <vt:i4>38</vt:i4>
      </vt:variant>
      <vt:variant>
        <vt:i4>0</vt:i4>
      </vt:variant>
      <vt:variant>
        <vt:i4>5</vt:i4>
      </vt:variant>
      <vt:variant>
        <vt:lpwstr/>
      </vt:variant>
      <vt:variant>
        <vt:lpwstr>_Toc150431712</vt:lpwstr>
      </vt:variant>
      <vt:variant>
        <vt:i4>1441845</vt:i4>
      </vt:variant>
      <vt:variant>
        <vt:i4>32</vt:i4>
      </vt:variant>
      <vt:variant>
        <vt:i4>0</vt:i4>
      </vt:variant>
      <vt:variant>
        <vt:i4>5</vt:i4>
      </vt:variant>
      <vt:variant>
        <vt:lpwstr/>
      </vt:variant>
      <vt:variant>
        <vt:lpwstr>_Toc150431711</vt:lpwstr>
      </vt:variant>
      <vt:variant>
        <vt:i4>1441845</vt:i4>
      </vt:variant>
      <vt:variant>
        <vt:i4>26</vt:i4>
      </vt:variant>
      <vt:variant>
        <vt:i4>0</vt:i4>
      </vt:variant>
      <vt:variant>
        <vt:i4>5</vt:i4>
      </vt:variant>
      <vt:variant>
        <vt:lpwstr/>
      </vt:variant>
      <vt:variant>
        <vt:lpwstr>_Toc150431710</vt:lpwstr>
      </vt:variant>
      <vt:variant>
        <vt:i4>1507381</vt:i4>
      </vt:variant>
      <vt:variant>
        <vt:i4>20</vt:i4>
      </vt:variant>
      <vt:variant>
        <vt:i4>0</vt:i4>
      </vt:variant>
      <vt:variant>
        <vt:i4>5</vt:i4>
      </vt:variant>
      <vt:variant>
        <vt:lpwstr/>
      </vt:variant>
      <vt:variant>
        <vt:lpwstr>_Toc150431709</vt:lpwstr>
      </vt:variant>
      <vt:variant>
        <vt:i4>1507381</vt:i4>
      </vt:variant>
      <vt:variant>
        <vt:i4>14</vt:i4>
      </vt:variant>
      <vt:variant>
        <vt:i4>0</vt:i4>
      </vt:variant>
      <vt:variant>
        <vt:i4>5</vt:i4>
      </vt:variant>
      <vt:variant>
        <vt:lpwstr/>
      </vt:variant>
      <vt:variant>
        <vt:lpwstr>_Toc150431708</vt:lpwstr>
      </vt:variant>
      <vt:variant>
        <vt:i4>1507381</vt:i4>
      </vt:variant>
      <vt:variant>
        <vt:i4>8</vt:i4>
      </vt:variant>
      <vt:variant>
        <vt:i4>0</vt:i4>
      </vt:variant>
      <vt:variant>
        <vt:i4>5</vt:i4>
      </vt:variant>
      <vt:variant>
        <vt:lpwstr/>
      </vt:variant>
      <vt:variant>
        <vt:lpwstr>_Toc150431707</vt:lpwstr>
      </vt:variant>
      <vt:variant>
        <vt:i4>1507381</vt:i4>
      </vt:variant>
      <vt:variant>
        <vt:i4>2</vt:i4>
      </vt:variant>
      <vt:variant>
        <vt:i4>0</vt:i4>
      </vt:variant>
      <vt:variant>
        <vt:i4>5</vt:i4>
      </vt:variant>
      <vt:variant>
        <vt:lpwstr/>
      </vt:variant>
      <vt:variant>
        <vt:lpwstr>_Toc150431706</vt:lpwstr>
      </vt:variant>
      <vt:variant>
        <vt:i4>7733362</vt:i4>
      </vt:variant>
      <vt:variant>
        <vt:i4>0</vt:i4>
      </vt:variant>
      <vt:variant>
        <vt:i4>0</vt:i4>
      </vt:variant>
      <vt:variant>
        <vt:i4>5</vt:i4>
      </vt:variant>
      <vt:variant>
        <vt:lpwstr>https://www.simplypsychology.org/Zone-of-Proximal-Development.html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LLPAD - Interim Report</dc:title>
  <dc:subject/>
  <dc:creator>Vanessa Gibson</dc:creator>
  <cp:keywords/>
  <cp:lastModifiedBy>Christina Bagot</cp:lastModifiedBy>
  <cp:revision>144</cp:revision>
  <dcterms:created xsi:type="dcterms:W3CDTF">2023-11-11T10:35:00Z</dcterms:created>
  <dcterms:modified xsi:type="dcterms:W3CDTF">2023-11-10T01:26:00Z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Report</vt:lpwstr>
  </property>
  <property fmtid="{D5CDD505-2E9C-101B-9397-08002B2CF9AE}" pid="3" name="ParagraphMark">
    <vt:lpwstr>True</vt:lpwstr>
  </property>
  <property fmtid="{D5CDD505-2E9C-101B-9397-08002B2CF9AE}" pid="4" name="TemplafyTimeStamp">
    <vt:lpwstr>2020-04-23T07:38:25.3071402Z</vt:lpwstr>
  </property>
  <property fmtid="{D5CDD505-2E9C-101B-9397-08002B2CF9AE}" pid="5" name="TemplafyTenantId">
    <vt:lpwstr>urbis</vt:lpwstr>
  </property>
  <property fmtid="{D5CDD505-2E9C-101B-9397-08002B2CF9AE}" pid="6" name="TemplafyTemplateId">
    <vt:lpwstr>637043166265810965</vt:lpwstr>
  </property>
  <property fmtid="{D5CDD505-2E9C-101B-9397-08002B2CF9AE}" pid="7" name="TemplafyUserProfileId">
    <vt:lpwstr>637722711841041409</vt:lpwstr>
  </property>
  <property fmtid="{D5CDD505-2E9C-101B-9397-08002B2CF9AE}" pid="8" name="TemplafyLanguageCode">
    <vt:lpwstr>en-AU</vt:lpwstr>
  </property>
  <property fmtid="{D5CDD505-2E9C-101B-9397-08002B2CF9AE}" pid="9" name="ContentTypeId">
    <vt:lpwstr>0x0101002EDAFDB8AB511F41ACA230CD7ED5C862</vt:lpwstr>
  </property>
  <property fmtid="{D5CDD505-2E9C-101B-9397-08002B2CF9AE}" pid="10" name="MSIP_Label_7158ebbd-6c5e-441f-bfc9-4eb8c11e3978_Enabled">
    <vt:lpwstr>true</vt:lpwstr>
  </property>
  <property fmtid="{D5CDD505-2E9C-101B-9397-08002B2CF9AE}" pid="11" name="MSIP_Label_7158ebbd-6c5e-441f-bfc9-4eb8c11e3978_SetDate">
    <vt:lpwstr>2022-03-10T12:52:29Z</vt:lpwstr>
  </property>
  <property fmtid="{D5CDD505-2E9C-101B-9397-08002B2CF9AE}" pid="12" name="MSIP_Label_7158ebbd-6c5e-441f-bfc9-4eb8c11e3978_Method">
    <vt:lpwstr>Privileged</vt:lpwstr>
  </property>
  <property fmtid="{D5CDD505-2E9C-101B-9397-08002B2CF9AE}" pid="13" name="MSIP_Label_7158ebbd-6c5e-441f-bfc9-4eb8c11e3978_Name">
    <vt:lpwstr>7158ebbd-6c5e-441f-bfc9-4eb8c11e3978</vt:lpwstr>
  </property>
  <property fmtid="{D5CDD505-2E9C-101B-9397-08002B2CF9AE}" pid="14" name="MSIP_Label_7158ebbd-6c5e-441f-bfc9-4eb8c11e3978_SiteId">
    <vt:lpwstr>722ea0be-3e1c-4b11-ad6f-9401d6856e24</vt:lpwstr>
  </property>
  <property fmtid="{D5CDD505-2E9C-101B-9397-08002B2CF9AE}" pid="15" name="MSIP_Label_7158ebbd-6c5e-441f-bfc9-4eb8c11e3978_ActionId">
    <vt:lpwstr>c20543ab-05ce-484d-bf72-c264de59651b</vt:lpwstr>
  </property>
  <property fmtid="{D5CDD505-2E9C-101B-9397-08002B2CF9AE}" pid="16" name="MSIP_Label_7158ebbd-6c5e-441f-bfc9-4eb8c11e3978_ContentBits">
    <vt:lpwstr>2</vt:lpwstr>
  </property>
  <property fmtid="{D5CDD505-2E9C-101B-9397-08002B2CF9AE}" pid="17" name="MSIP_Label_43e64453-338c-4f93-8a4d-0039a0a41f2a_Enabled">
    <vt:lpwstr>true</vt:lpwstr>
  </property>
  <property fmtid="{D5CDD505-2E9C-101B-9397-08002B2CF9AE}" pid="18" name="MSIP_Label_43e64453-338c-4f93-8a4d-0039a0a41f2a_SetDate">
    <vt:lpwstr>2022-03-15T05:45:04Z</vt:lpwstr>
  </property>
  <property fmtid="{D5CDD505-2E9C-101B-9397-08002B2CF9AE}" pid="19" name="MSIP_Label_43e64453-338c-4f93-8a4d-0039a0a41f2a_Method">
    <vt:lpwstr>Privileged</vt:lpwstr>
  </property>
  <property fmtid="{D5CDD505-2E9C-101B-9397-08002B2CF9AE}" pid="20" name="MSIP_Label_43e64453-338c-4f93-8a4d-0039a0a41f2a_Name">
    <vt:lpwstr>43e64453-338c-4f93-8a4d-0039a0a41f2a</vt:lpwstr>
  </property>
  <property fmtid="{D5CDD505-2E9C-101B-9397-08002B2CF9AE}" pid="21" name="MSIP_Label_43e64453-338c-4f93-8a4d-0039a0a41f2a_SiteId">
    <vt:lpwstr>c0e0601f-0fac-449c-9c88-a104c4eb9f28</vt:lpwstr>
  </property>
  <property fmtid="{D5CDD505-2E9C-101B-9397-08002B2CF9AE}" pid="22" name="MSIP_Label_43e64453-338c-4f93-8a4d-0039a0a41f2a_ActionId">
    <vt:lpwstr>b1e8478e-1805-4d84-8e29-c76b56d33794</vt:lpwstr>
  </property>
  <property fmtid="{D5CDD505-2E9C-101B-9397-08002B2CF9AE}" pid="23" name="MSIP_Label_43e64453-338c-4f93-8a4d-0039a0a41f2a_ContentBits">
    <vt:lpwstr>2</vt:lpwstr>
  </property>
  <property fmtid="{D5CDD505-2E9C-101B-9397-08002B2CF9AE}" pid="24" name="MediaServiceImageTags">
    <vt:lpwstr/>
  </property>
</Properties>
</file>