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05CBC504" w14:textId="77777777" w:rsidTr="00D60F91">
        <w:trPr>
          <w:cnfStyle w:val="100000000000" w:firstRow="1" w:lastRow="0" w:firstColumn="0" w:lastColumn="0" w:oddVBand="0" w:evenVBand="0" w:oddHBand="0" w:evenHBand="0" w:firstRowFirstColumn="0" w:firstRowLastColumn="0" w:lastRowFirstColumn="0" w:lastRowLastColumn="0"/>
        </w:trPr>
        <w:tc>
          <w:tcPr>
            <w:tcW w:w="2293" w:type="dxa"/>
          </w:tcPr>
          <w:p w14:paraId="6AD5EA33" w14:textId="77777777" w:rsidR="006C78FB" w:rsidRPr="00231BD3" w:rsidRDefault="006C78FB" w:rsidP="00105A3E">
            <w:pPr>
              <w:pStyle w:val="FRDNumber"/>
            </w:pPr>
            <w:r w:rsidRPr="00231BD3">
              <w:t xml:space="preserve">FRD </w:t>
            </w:r>
            <w:r w:rsidR="007C2148">
              <w:t>122</w:t>
            </w:r>
          </w:p>
        </w:tc>
        <w:tc>
          <w:tcPr>
            <w:tcW w:w="270" w:type="dxa"/>
          </w:tcPr>
          <w:p w14:paraId="2B869AD1" w14:textId="77777777" w:rsidR="006C78FB" w:rsidRPr="00231BD3" w:rsidRDefault="006C78FB" w:rsidP="00105A3E"/>
        </w:tc>
        <w:tc>
          <w:tcPr>
            <w:tcW w:w="540" w:type="dxa"/>
          </w:tcPr>
          <w:p w14:paraId="65EE1A2B" w14:textId="77777777" w:rsidR="006C78FB" w:rsidRPr="00231BD3" w:rsidRDefault="006C78FB" w:rsidP="00105A3E"/>
        </w:tc>
        <w:tc>
          <w:tcPr>
            <w:tcW w:w="6134" w:type="dxa"/>
          </w:tcPr>
          <w:p w14:paraId="7A6EC014" w14:textId="08777ECD" w:rsidR="006C78FB" w:rsidRPr="00231BD3" w:rsidRDefault="006D7907" w:rsidP="00105A3E">
            <w:pPr>
              <w:pStyle w:val="FRDHeader"/>
            </w:pPr>
            <w:r>
              <w:t xml:space="preserve">Transitional </w:t>
            </w:r>
            <w:r w:rsidR="001B6CFC">
              <w:t>r</w:t>
            </w:r>
            <w:r>
              <w:t>equirements</w:t>
            </w:r>
            <w:r w:rsidR="00E46F27">
              <w:t xml:space="preserve"> on the application </w:t>
            </w:r>
            <w:r>
              <w:t>of AASB 1</w:t>
            </w:r>
            <w:r w:rsidR="002652B7">
              <w:t>0</w:t>
            </w:r>
            <w:r>
              <w:t>5</w:t>
            </w:r>
            <w:r w:rsidR="002652B7">
              <w:t>8</w:t>
            </w:r>
            <w:r>
              <w:t xml:space="preserve"> </w:t>
            </w:r>
            <w:r w:rsidR="00E46F27">
              <w:rPr>
                <w:i/>
              </w:rPr>
              <w:t>Income of Not-for-Profit Entities</w:t>
            </w:r>
            <w:r w:rsidR="00915A6A">
              <w:rPr>
                <w:i/>
              </w:rPr>
              <w:t xml:space="preserve"> (March 2020)</w:t>
            </w:r>
          </w:p>
        </w:tc>
      </w:tr>
      <w:tr w:rsidR="006C78FB" w:rsidRPr="00E10ADB" w14:paraId="6B5885B1" w14:textId="77777777" w:rsidTr="00D60F91">
        <w:trPr>
          <w:trHeight w:hRule="exact" w:val="120"/>
        </w:trPr>
        <w:tc>
          <w:tcPr>
            <w:tcW w:w="2293" w:type="dxa"/>
          </w:tcPr>
          <w:p w14:paraId="7551E6C4" w14:textId="77777777" w:rsidR="006C78FB" w:rsidRPr="008A601F" w:rsidRDefault="006C78FB" w:rsidP="00105A3E">
            <w:pPr>
              <w:pStyle w:val="Tabletext"/>
            </w:pPr>
          </w:p>
        </w:tc>
        <w:tc>
          <w:tcPr>
            <w:tcW w:w="270" w:type="dxa"/>
          </w:tcPr>
          <w:p w14:paraId="620EF5DF" w14:textId="77777777" w:rsidR="006C78FB" w:rsidRPr="008A601F" w:rsidRDefault="006C78FB" w:rsidP="006D66F9">
            <w:pPr>
              <w:pStyle w:val="Normalgrey"/>
            </w:pPr>
          </w:p>
        </w:tc>
        <w:tc>
          <w:tcPr>
            <w:tcW w:w="540" w:type="dxa"/>
          </w:tcPr>
          <w:p w14:paraId="72FB51D6" w14:textId="77777777" w:rsidR="006C78FB" w:rsidRPr="008A601F" w:rsidRDefault="006C78FB" w:rsidP="00105A3E"/>
        </w:tc>
        <w:tc>
          <w:tcPr>
            <w:tcW w:w="6134" w:type="dxa"/>
          </w:tcPr>
          <w:p w14:paraId="2E7F792D" w14:textId="77777777" w:rsidR="006C78FB" w:rsidRPr="008A601F" w:rsidRDefault="006C78FB" w:rsidP="00105A3E"/>
        </w:tc>
      </w:tr>
      <w:tr w:rsidR="005828FE" w:rsidRPr="005828FE" w14:paraId="2B4C6848" w14:textId="77777777" w:rsidTr="00D60F91">
        <w:tc>
          <w:tcPr>
            <w:tcW w:w="2293" w:type="dxa"/>
          </w:tcPr>
          <w:p w14:paraId="3E0DC90B" w14:textId="77777777" w:rsidR="006C78FB" w:rsidRPr="005828FE" w:rsidRDefault="006C78FB" w:rsidP="00382EE1">
            <w:pPr>
              <w:pStyle w:val="Normalgrey"/>
            </w:pPr>
            <w:r w:rsidRPr="005828FE">
              <w:t>Purpose</w:t>
            </w:r>
          </w:p>
        </w:tc>
        <w:tc>
          <w:tcPr>
            <w:tcW w:w="270" w:type="dxa"/>
          </w:tcPr>
          <w:p w14:paraId="31E67AA5" w14:textId="77777777" w:rsidR="006C78FB" w:rsidRPr="005828FE" w:rsidRDefault="006C78FB" w:rsidP="00286F9A">
            <w:pPr>
              <w:pStyle w:val="Normalgrey"/>
            </w:pPr>
          </w:p>
        </w:tc>
        <w:tc>
          <w:tcPr>
            <w:tcW w:w="540" w:type="dxa"/>
          </w:tcPr>
          <w:p w14:paraId="71FBE900" w14:textId="77777777" w:rsidR="006C78FB" w:rsidRPr="005828FE" w:rsidRDefault="00C15136" w:rsidP="006519F6">
            <w:pPr>
              <w:pStyle w:val="Normalgrey"/>
            </w:pPr>
            <w:r>
              <w:t>1.1</w:t>
            </w:r>
          </w:p>
        </w:tc>
        <w:tc>
          <w:tcPr>
            <w:tcW w:w="6134" w:type="dxa"/>
          </w:tcPr>
          <w:p w14:paraId="682695C4" w14:textId="77777777" w:rsidR="006C78FB" w:rsidRPr="005828FE" w:rsidRDefault="00C15136" w:rsidP="00382EE1">
            <w:pPr>
              <w:pStyle w:val="Normalgrey"/>
            </w:pPr>
            <w:r>
              <w:t>To prescribe the accounting transition</w:t>
            </w:r>
            <w:r w:rsidR="00E46F27">
              <w:t xml:space="preserve"> adjustments on the application of</w:t>
            </w:r>
            <w:r>
              <w:t xml:space="preserve"> </w:t>
            </w:r>
            <w:r w:rsidR="002652B7">
              <w:t>AASB 1058</w:t>
            </w:r>
            <w:r>
              <w:t xml:space="preserve"> </w:t>
            </w:r>
            <w:r w:rsidR="00E46F27" w:rsidRPr="00E46F27">
              <w:rPr>
                <w:i/>
              </w:rPr>
              <w:t>Income of Not-for-Profit Entities</w:t>
            </w:r>
            <w:r>
              <w:t>.</w:t>
            </w:r>
          </w:p>
        </w:tc>
      </w:tr>
      <w:tr w:rsidR="006C78FB" w:rsidRPr="005828FE" w14:paraId="3F90CD28" w14:textId="77777777" w:rsidTr="00D60F91">
        <w:tc>
          <w:tcPr>
            <w:tcW w:w="2293" w:type="dxa"/>
            <w:shd w:val="clear" w:color="auto" w:fill="F2F2F2" w:themeFill="background1" w:themeFillShade="F2"/>
          </w:tcPr>
          <w:p w14:paraId="2D495119"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70B8F5BC" w14:textId="77777777" w:rsidR="006C78FB" w:rsidRPr="008B2A17" w:rsidRDefault="006C78FB" w:rsidP="00286F9A">
            <w:pPr>
              <w:pStyle w:val="Normalgrey"/>
            </w:pPr>
          </w:p>
        </w:tc>
        <w:tc>
          <w:tcPr>
            <w:tcW w:w="540" w:type="dxa"/>
            <w:shd w:val="clear" w:color="auto" w:fill="F2F2F2" w:themeFill="background1" w:themeFillShade="F2"/>
          </w:tcPr>
          <w:p w14:paraId="02B81C58" w14:textId="77777777" w:rsidR="006C78FB" w:rsidRPr="005828FE" w:rsidRDefault="00C15136" w:rsidP="00286F9A">
            <w:pPr>
              <w:pStyle w:val="Normalgrey"/>
            </w:pPr>
            <w:r>
              <w:t>2.1</w:t>
            </w:r>
          </w:p>
        </w:tc>
        <w:tc>
          <w:tcPr>
            <w:tcW w:w="6134" w:type="dxa"/>
            <w:shd w:val="clear" w:color="auto" w:fill="F2F2F2" w:themeFill="background1" w:themeFillShade="F2"/>
          </w:tcPr>
          <w:p w14:paraId="6C2416EF" w14:textId="77777777" w:rsidR="006C78FB" w:rsidRPr="00C15136" w:rsidRDefault="000836ED" w:rsidP="00A516DE">
            <w:pPr>
              <w:pStyle w:val="Normalbold"/>
              <w:rPr>
                <w:i/>
              </w:rPr>
            </w:pPr>
            <w:r w:rsidRPr="00A443E0">
              <w:t xml:space="preserve">Applies to all entities defined as either a public body or a department under section 3 of the </w:t>
            </w:r>
            <w:r w:rsidRPr="00A443E0">
              <w:rPr>
                <w:i/>
              </w:rPr>
              <w:t>Financial Management Act 1994</w:t>
            </w:r>
            <w:r w:rsidR="00B6751B">
              <w:rPr>
                <w:i/>
              </w:rPr>
              <w:t>,</w:t>
            </w:r>
            <w:r>
              <w:rPr>
                <w:i/>
              </w:rPr>
              <w:t xml:space="preserve"> </w:t>
            </w:r>
            <w:r w:rsidRPr="00487033">
              <w:rPr>
                <w:i/>
              </w:rPr>
              <w:t xml:space="preserve">except those entities which are not controlled by the State and whose financial position and result are thus not </w:t>
            </w:r>
            <w:r w:rsidR="00B6751B">
              <w:rPr>
                <w:i/>
              </w:rPr>
              <w:t>consolidated</w:t>
            </w:r>
            <w:r w:rsidRPr="00487033">
              <w:rPr>
                <w:i/>
              </w:rPr>
              <w:t xml:space="preserve"> in the Annual Financial Report for the State of Victoria</w:t>
            </w:r>
            <w:r w:rsidRPr="00A443E0">
              <w:t>.  Application by State o</w:t>
            </w:r>
            <w:r>
              <w:t>wned corporations is encouraged</w:t>
            </w:r>
            <w:r w:rsidRPr="00A443E0">
              <w:t>.</w:t>
            </w:r>
          </w:p>
        </w:tc>
      </w:tr>
      <w:tr w:rsidR="00C15136" w:rsidRPr="005828FE" w14:paraId="73C03758" w14:textId="77777777" w:rsidTr="00D60F91">
        <w:tc>
          <w:tcPr>
            <w:tcW w:w="2293" w:type="dxa"/>
            <w:shd w:val="clear" w:color="auto" w:fill="F2F2F2" w:themeFill="background1" w:themeFillShade="F2"/>
          </w:tcPr>
          <w:p w14:paraId="311B4B87" w14:textId="77777777" w:rsidR="00C15136" w:rsidRPr="005828FE" w:rsidRDefault="00C15136" w:rsidP="00C15136">
            <w:pPr>
              <w:pStyle w:val="Normalbold"/>
            </w:pPr>
            <w:r w:rsidRPr="005828FE">
              <w:t>Operative date</w:t>
            </w:r>
          </w:p>
        </w:tc>
        <w:tc>
          <w:tcPr>
            <w:tcW w:w="270" w:type="dxa"/>
            <w:shd w:val="clear" w:color="auto" w:fill="F2F2F2" w:themeFill="background1" w:themeFillShade="F2"/>
          </w:tcPr>
          <w:p w14:paraId="7F2D4544" w14:textId="77777777" w:rsidR="00C15136" w:rsidRPr="008B2A17" w:rsidRDefault="00C15136" w:rsidP="00C15136">
            <w:pPr>
              <w:pStyle w:val="Normalgrey"/>
            </w:pPr>
          </w:p>
        </w:tc>
        <w:tc>
          <w:tcPr>
            <w:tcW w:w="540" w:type="dxa"/>
            <w:shd w:val="clear" w:color="auto" w:fill="F2F2F2" w:themeFill="background1" w:themeFillShade="F2"/>
          </w:tcPr>
          <w:p w14:paraId="06C74FFF" w14:textId="77777777" w:rsidR="00C15136" w:rsidRPr="005828FE" w:rsidRDefault="00C15136" w:rsidP="00C15136">
            <w:pPr>
              <w:pStyle w:val="Normalgrey"/>
            </w:pPr>
            <w:r>
              <w:t>3.1</w:t>
            </w:r>
          </w:p>
        </w:tc>
        <w:tc>
          <w:tcPr>
            <w:tcW w:w="6134" w:type="dxa"/>
            <w:shd w:val="clear" w:color="auto" w:fill="F2F2F2" w:themeFill="background1" w:themeFillShade="F2"/>
          </w:tcPr>
          <w:p w14:paraId="27549AB7" w14:textId="77777777" w:rsidR="00C15136" w:rsidRPr="005828FE" w:rsidRDefault="00E46F27" w:rsidP="00C15136">
            <w:pPr>
              <w:pStyle w:val="Normalbold"/>
            </w:pPr>
            <w:r>
              <w:t>Annual r</w:t>
            </w:r>
            <w:r w:rsidR="00C15136">
              <w:t>eporting periods commencing on or after 1 January 2019.</w:t>
            </w:r>
          </w:p>
        </w:tc>
      </w:tr>
      <w:tr w:rsidR="00323E3A" w:rsidRPr="005828FE" w14:paraId="1F833B57" w14:textId="77777777" w:rsidTr="00D60F91">
        <w:tc>
          <w:tcPr>
            <w:tcW w:w="2293" w:type="dxa"/>
            <w:shd w:val="clear" w:color="auto" w:fill="F2F2F2" w:themeFill="background1" w:themeFillShade="F2"/>
          </w:tcPr>
          <w:p w14:paraId="30181525" w14:textId="77777777" w:rsidR="00323E3A" w:rsidRPr="005828FE" w:rsidRDefault="00323E3A" w:rsidP="00C15136">
            <w:pPr>
              <w:pStyle w:val="Normalbold"/>
            </w:pPr>
          </w:p>
        </w:tc>
        <w:tc>
          <w:tcPr>
            <w:tcW w:w="270" w:type="dxa"/>
            <w:shd w:val="clear" w:color="auto" w:fill="F2F2F2" w:themeFill="background1" w:themeFillShade="F2"/>
          </w:tcPr>
          <w:p w14:paraId="26EFEEC1" w14:textId="77777777" w:rsidR="00323E3A" w:rsidRPr="008B2A17" w:rsidRDefault="00323E3A" w:rsidP="00C15136">
            <w:pPr>
              <w:pStyle w:val="Normalgrey"/>
            </w:pPr>
          </w:p>
        </w:tc>
        <w:tc>
          <w:tcPr>
            <w:tcW w:w="540" w:type="dxa"/>
            <w:shd w:val="clear" w:color="auto" w:fill="F2F2F2" w:themeFill="background1" w:themeFillShade="F2"/>
          </w:tcPr>
          <w:p w14:paraId="5DA7326F" w14:textId="77777777" w:rsidR="00323E3A" w:rsidRDefault="00323E3A" w:rsidP="00C15136">
            <w:pPr>
              <w:pStyle w:val="Normalgrey"/>
            </w:pPr>
            <w:r>
              <w:t>3.2</w:t>
            </w:r>
          </w:p>
        </w:tc>
        <w:tc>
          <w:tcPr>
            <w:tcW w:w="6134" w:type="dxa"/>
            <w:shd w:val="clear" w:color="auto" w:fill="F2F2F2" w:themeFill="background1" w:themeFillShade="F2"/>
          </w:tcPr>
          <w:p w14:paraId="7246C1BC" w14:textId="77777777" w:rsidR="00323E3A" w:rsidRDefault="00323E3A" w:rsidP="00C15136">
            <w:pPr>
              <w:pStyle w:val="Normalbold"/>
            </w:pPr>
            <w:r>
              <w:t>NFP entities shall also apply AASB 15 and AASB 1058 to research grants consistent with the operative dates of these accounting standards.</w:t>
            </w:r>
          </w:p>
        </w:tc>
      </w:tr>
      <w:tr w:rsidR="00C15136" w:rsidRPr="005828FE" w14:paraId="334A9E5B" w14:textId="77777777" w:rsidTr="00D60F91">
        <w:tc>
          <w:tcPr>
            <w:tcW w:w="2293" w:type="dxa"/>
            <w:shd w:val="clear" w:color="auto" w:fill="F2F2F2" w:themeFill="background1" w:themeFillShade="F2"/>
          </w:tcPr>
          <w:p w14:paraId="08883DC5" w14:textId="77777777" w:rsidR="00C15136" w:rsidRPr="005828FE" w:rsidRDefault="00C15136" w:rsidP="00C15136">
            <w:pPr>
              <w:pStyle w:val="Normalbold"/>
            </w:pPr>
            <w:r w:rsidRPr="005828FE">
              <w:t>Requirement</w:t>
            </w:r>
            <w:r>
              <w:t>s</w:t>
            </w:r>
          </w:p>
        </w:tc>
        <w:tc>
          <w:tcPr>
            <w:tcW w:w="270" w:type="dxa"/>
            <w:shd w:val="clear" w:color="auto" w:fill="F2F2F2" w:themeFill="background1" w:themeFillShade="F2"/>
          </w:tcPr>
          <w:p w14:paraId="6DB654C7" w14:textId="77777777" w:rsidR="00C15136" w:rsidRDefault="00C15136" w:rsidP="00C15136">
            <w:pPr>
              <w:pStyle w:val="Normalgrey"/>
            </w:pPr>
          </w:p>
          <w:p w14:paraId="06DF4890" w14:textId="77777777" w:rsidR="00F677F1" w:rsidRPr="008B2A17" w:rsidRDefault="00F677F1" w:rsidP="00C15136">
            <w:pPr>
              <w:pStyle w:val="Normalgrey"/>
            </w:pPr>
          </w:p>
        </w:tc>
        <w:tc>
          <w:tcPr>
            <w:tcW w:w="540" w:type="dxa"/>
            <w:shd w:val="clear" w:color="auto" w:fill="F2F2F2" w:themeFill="background1" w:themeFillShade="F2"/>
          </w:tcPr>
          <w:p w14:paraId="3EEF6FF0" w14:textId="77777777" w:rsidR="00F677F1" w:rsidRDefault="00F677F1" w:rsidP="00C15136">
            <w:pPr>
              <w:pStyle w:val="Normalgrey"/>
            </w:pPr>
          </w:p>
          <w:p w14:paraId="02A629CD" w14:textId="77777777" w:rsidR="00C15136" w:rsidRPr="005828FE" w:rsidRDefault="00F4284C" w:rsidP="00C15136">
            <w:pPr>
              <w:pStyle w:val="Normalgrey"/>
            </w:pPr>
            <w:r>
              <w:t>4.1</w:t>
            </w:r>
          </w:p>
        </w:tc>
        <w:tc>
          <w:tcPr>
            <w:tcW w:w="6134" w:type="dxa"/>
            <w:shd w:val="clear" w:color="auto" w:fill="F2F2F2" w:themeFill="background1" w:themeFillShade="F2"/>
          </w:tcPr>
          <w:p w14:paraId="3B9E4842" w14:textId="77777777" w:rsidR="00C83499" w:rsidRPr="00C83499" w:rsidRDefault="00C83499" w:rsidP="00C15136">
            <w:pPr>
              <w:pStyle w:val="Normalbold"/>
              <w:rPr>
                <w:u w:val="single"/>
              </w:rPr>
            </w:pPr>
            <w:r w:rsidRPr="00C83499">
              <w:rPr>
                <w:u w:val="single"/>
              </w:rPr>
              <w:t xml:space="preserve">Initial application of </w:t>
            </w:r>
            <w:r w:rsidR="002652B7">
              <w:rPr>
                <w:u w:val="single"/>
              </w:rPr>
              <w:t>AASB 1058</w:t>
            </w:r>
          </w:p>
          <w:p w14:paraId="4246DAF4" w14:textId="2D3EB23A" w:rsidR="00C83499" w:rsidRPr="005828FE" w:rsidRDefault="000F0E60" w:rsidP="00501E95">
            <w:pPr>
              <w:pStyle w:val="Normalbold"/>
            </w:pPr>
            <w:r>
              <w:t xml:space="preserve">An entity shall apply the </w:t>
            </w:r>
            <w:r w:rsidR="007C2148">
              <w:t xml:space="preserve">AASB 1058 requirements </w:t>
            </w:r>
            <w:r>
              <w:t>retrospective</w:t>
            </w:r>
            <w:r w:rsidR="007C2148">
              <w:t>ly</w:t>
            </w:r>
            <w:r w:rsidR="00767E96">
              <w:t>,</w:t>
            </w:r>
            <w:r w:rsidR="007C2148">
              <w:t xml:space="preserve"> </w:t>
            </w:r>
            <w:r>
              <w:t>with the cumulative effect of initially applying this standard against the opening retained earnings at 1 July 2019</w:t>
            </w:r>
            <w:r>
              <w:rPr>
                <w:rStyle w:val="FootnoteReference"/>
              </w:rPr>
              <w:footnoteReference w:id="1"/>
            </w:r>
            <w:r w:rsidR="00C73DBC">
              <w:t>(date of initial application).</w:t>
            </w:r>
            <w:r w:rsidR="003F18B7">
              <w:t xml:space="preserve"> Under this transition method, the entity </w:t>
            </w:r>
            <w:r w:rsidR="003853FE">
              <w:t xml:space="preserve">shall </w:t>
            </w:r>
            <w:r w:rsidR="003F18B7">
              <w:t>elects to apply this standard retrospectively only to cont</w:t>
            </w:r>
            <w:r w:rsidR="00084DF9">
              <w:t>r</w:t>
            </w:r>
            <w:r w:rsidR="003F18B7">
              <w:t xml:space="preserve">acts and transactions that are not completed contracts at the </w:t>
            </w:r>
            <w:r w:rsidR="00084DF9">
              <w:t>date of initial application.</w:t>
            </w:r>
          </w:p>
        </w:tc>
      </w:tr>
      <w:tr w:rsidR="00501E95" w:rsidRPr="005828FE" w14:paraId="4CEFAF89" w14:textId="77777777" w:rsidTr="00D60F91">
        <w:tc>
          <w:tcPr>
            <w:tcW w:w="2293" w:type="dxa"/>
            <w:shd w:val="clear" w:color="auto" w:fill="F2F2F2" w:themeFill="background1" w:themeFillShade="F2"/>
          </w:tcPr>
          <w:p w14:paraId="50A9C91F" w14:textId="77777777" w:rsidR="00501E95" w:rsidRPr="005828FE" w:rsidRDefault="00501E95" w:rsidP="00C15136">
            <w:pPr>
              <w:pStyle w:val="Normalbold"/>
            </w:pPr>
          </w:p>
        </w:tc>
        <w:tc>
          <w:tcPr>
            <w:tcW w:w="270" w:type="dxa"/>
            <w:shd w:val="clear" w:color="auto" w:fill="F2F2F2" w:themeFill="background1" w:themeFillShade="F2"/>
          </w:tcPr>
          <w:p w14:paraId="1C958FB8" w14:textId="77777777" w:rsidR="00501E95" w:rsidRDefault="00501E95" w:rsidP="00C15136">
            <w:pPr>
              <w:pStyle w:val="Normalgrey"/>
            </w:pPr>
          </w:p>
        </w:tc>
        <w:tc>
          <w:tcPr>
            <w:tcW w:w="540" w:type="dxa"/>
            <w:shd w:val="clear" w:color="auto" w:fill="F2F2F2" w:themeFill="background1" w:themeFillShade="F2"/>
          </w:tcPr>
          <w:p w14:paraId="30B73713" w14:textId="77777777" w:rsidR="00501E95" w:rsidRDefault="00501E95" w:rsidP="00C15136">
            <w:pPr>
              <w:pStyle w:val="Normalgrey"/>
            </w:pPr>
            <w:r>
              <w:t>4.2</w:t>
            </w:r>
          </w:p>
        </w:tc>
        <w:tc>
          <w:tcPr>
            <w:tcW w:w="6134" w:type="dxa"/>
            <w:shd w:val="clear" w:color="auto" w:fill="F2F2F2" w:themeFill="background1" w:themeFillShade="F2"/>
          </w:tcPr>
          <w:p w14:paraId="7FC89456" w14:textId="77777777" w:rsidR="000E138E" w:rsidRPr="00486B46" w:rsidRDefault="000F0E60" w:rsidP="000E138E">
            <w:pPr>
              <w:pStyle w:val="Normalbold"/>
            </w:pPr>
            <w:r>
              <w:t>C</w:t>
            </w:r>
            <w:r w:rsidRPr="00501E95">
              <w:t xml:space="preserve">omparative </w:t>
            </w:r>
            <w:r>
              <w:t xml:space="preserve">information shall </w:t>
            </w:r>
            <w:r w:rsidRPr="00501E95">
              <w:t xml:space="preserve">not </w:t>
            </w:r>
            <w:r>
              <w:t xml:space="preserve">be </w:t>
            </w:r>
            <w:r w:rsidRPr="00501E95">
              <w:t>restated.</w:t>
            </w:r>
          </w:p>
        </w:tc>
      </w:tr>
      <w:tr w:rsidR="000E138E" w:rsidRPr="005828FE" w14:paraId="3EF6E29C" w14:textId="77777777" w:rsidTr="00D60F91">
        <w:tc>
          <w:tcPr>
            <w:tcW w:w="2293" w:type="dxa"/>
            <w:shd w:val="clear" w:color="auto" w:fill="F2F2F2" w:themeFill="background1" w:themeFillShade="F2"/>
          </w:tcPr>
          <w:p w14:paraId="222E0432" w14:textId="77777777" w:rsidR="000E138E" w:rsidRPr="005828FE" w:rsidRDefault="000E138E" w:rsidP="00C15136">
            <w:pPr>
              <w:pStyle w:val="Normalbold"/>
            </w:pPr>
          </w:p>
        </w:tc>
        <w:tc>
          <w:tcPr>
            <w:tcW w:w="270" w:type="dxa"/>
            <w:shd w:val="clear" w:color="auto" w:fill="F2F2F2" w:themeFill="background1" w:themeFillShade="F2"/>
          </w:tcPr>
          <w:p w14:paraId="5A63BB71" w14:textId="77777777" w:rsidR="000E138E" w:rsidRDefault="000E138E" w:rsidP="00C15136">
            <w:pPr>
              <w:pStyle w:val="Normalgrey"/>
            </w:pPr>
          </w:p>
        </w:tc>
        <w:tc>
          <w:tcPr>
            <w:tcW w:w="540" w:type="dxa"/>
            <w:shd w:val="clear" w:color="auto" w:fill="F2F2F2" w:themeFill="background1" w:themeFillShade="F2"/>
          </w:tcPr>
          <w:p w14:paraId="3F1AD09E" w14:textId="77777777" w:rsidR="000E138E" w:rsidRDefault="000E138E" w:rsidP="00C15136">
            <w:pPr>
              <w:pStyle w:val="Normalgrey"/>
            </w:pPr>
            <w:r>
              <w:t>4.3</w:t>
            </w:r>
          </w:p>
        </w:tc>
        <w:tc>
          <w:tcPr>
            <w:tcW w:w="6134" w:type="dxa"/>
            <w:shd w:val="clear" w:color="auto" w:fill="F2F2F2" w:themeFill="background1" w:themeFillShade="F2"/>
          </w:tcPr>
          <w:p w14:paraId="02C20CD4" w14:textId="77777777" w:rsidR="000E138E" w:rsidRDefault="000E138E" w:rsidP="000E138E">
            <w:pPr>
              <w:pStyle w:val="Normalbold"/>
            </w:pPr>
            <w:r>
              <w:t>The following practical expedients shall be used when applying this standard retrospectively:</w:t>
            </w:r>
          </w:p>
          <w:p w14:paraId="6972C2CE" w14:textId="2E7EB00F" w:rsidR="000E138E" w:rsidRDefault="000E138E" w:rsidP="000E138E">
            <w:pPr>
              <w:pStyle w:val="Normalbold"/>
              <w:numPr>
                <w:ilvl w:val="0"/>
                <w:numId w:val="29"/>
              </w:numPr>
            </w:pPr>
            <w:r>
              <w:t>At the date of transition, assets acquired for consideration that w</w:t>
            </w:r>
            <w:r w:rsidR="00C96C85">
              <w:t>ere</w:t>
            </w:r>
            <w:r>
              <w:t xml:space="preserve"> significantly less than fair value principally to enable the entity to further its objectives may have been measured at initial recognition under other Australian Accounting Standards at a cost that was significantly less than fair value. These assets are not required to be remeasured at fair value upon transition.</w:t>
            </w:r>
          </w:p>
          <w:p w14:paraId="72A855F7" w14:textId="77777777" w:rsidR="000E138E" w:rsidRDefault="000E138E" w:rsidP="000E138E">
            <w:pPr>
              <w:pStyle w:val="Normalbold"/>
              <w:numPr>
                <w:ilvl w:val="0"/>
                <w:numId w:val="29"/>
              </w:numPr>
            </w:pPr>
            <w:r>
              <w:t>When the entity applies AASB 1058 before applying AASB 16</w:t>
            </w:r>
            <w:r>
              <w:rPr>
                <w:i/>
              </w:rPr>
              <w:t xml:space="preserve"> L</w:t>
            </w:r>
            <w:r w:rsidRPr="00684285">
              <w:rPr>
                <w:i/>
              </w:rPr>
              <w:t>eases</w:t>
            </w:r>
            <w:r>
              <w:rPr>
                <w:i/>
              </w:rPr>
              <w:t xml:space="preserve">, </w:t>
            </w:r>
            <w:r>
              <w:t>for leases that (1) at inception had significantly below-market terms and conditions principally to enable the entity to further its objectives and (2) were classified as operating leases in accordance with AASB 117 </w:t>
            </w:r>
            <w:r w:rsidRPr="00067A61">
              <w:rPr>
                <w:i/>
              </w:rPr>
              <w:t>Leases</w:t>
            </w:r>
            <w:r>
              <w:rPr>
                <w:i/>
              </w:rPr>
              <w:t xml:space="preserve">, </w:t>
            </w:r>
            <w:r>
              <w:t>the entity shall not apply the requirements of AASB 1058 to recognise any asset or income.</w:t>
            </w:r>
            <w:r>
              <w:rPr>
                <w:i/>
              </w:rPr>
              <w:t xml:space="preserve"> </w:t>
            </w:r>
            <w:r>
              <w:t>Instead, the entity will continue to apply its accounting policy under AASB 117 to the operating leases</w:t>
            </w:r>
            <w:r>
              <w:rPr>
                <w:i/>
              </w:rPr>
              <w:t xml:space="preserve">. </w:t>
            </w:r>
            <w:r w:rsidRPr="00684285">
              <w:t>On transition</w:t>
            </w:r>
            <w:r>
              <w:t xml:space="preserve"> to AASB 16, the entity shall apply the transition requirements of the standard to leases classified as operating leases in accordance with the previous AASB 117.</w:t>
            </w:r>
          </w:p>
        </w:tc>
      </w:tr>
      <w:tr w:rsidR="00E92177" w:rsidRPr="005828FE" w14:paraId="5F51674D" w14:textId="77777777" w:rsidTr="000E138E">
        <w:tc>
          <w:tcPr>
            <w:tcW w:w="2293" w:type="dxa"/>
            <w:shd w:val="clear" w:color="auto" w:fill="F2F2F2" w:themeFill="background1" w:themeFillShade="F2"/>
          </w:tcPr>
          <w:p w14:paraId="20605A82" w14:textId="77777777" w:rsidR="00E92177" w:rsidRPr="005828FE" w:rsidRDefault="00E92177" w:rsidP="00E92177">
            <w:pPr>
              <w:pStyle w:val="Normalbold"/>
            </w:pPr>
          </w:p>
        </w:tc>
        <w:tc>
          <w:tcPr>
            <w:tcW w:w="270" w:type="dxa"/>
            <w:shd w:val="clear" w:color="auto" w:fill="F2F2F2" w:themeFill="background1" w:themeFillShade="F2"/>
          </w:tcPr>
          <w:p w14:paraId="2B7CECEB" w14:textId="77777777" w:rsidR="00E92177" w:rsidRPr="008B2A17" w:rsidRDefault="00E92177" w:rsidP="00E92177">
            <w:pPr>
              <w:pStyle w:val="Normalgrey"/>
            </w:pPr>
          </w:p>
        </w:tc>
        <w:tc>
          <w:tcPr>
            <w:tcW w:w="540" w:type="dxa"/>
            <w:shd w:val="clear" w:color="auto" w:fill="F2F2F2" w:themeFill="background1" w:themeFillShade="F2"/>
          </w:tcPr>
          <w:p w14:paraId="7299B5FB" w14:textId="77777777" w:rsidR="00E92177" w:rsidRDefault="00E92177" w:rsidP="00E92177">
            <w:pPr>
              <w:pStyle w:val="Normalgrey"/>
            </w:pPr>
            <w:r>
              <w:t>4.</w:t>
            </w:r>
            <w:r w:rsidR="00B6781A">
              <w:t>3</w:t>
            </w:r>
          </w:p>
        </w:tc>
        <w:tc>
          <w:tcPr>
            <w:tcW w:w="6134" w:type="dxa"/>
            <w:shd w:val="clear" w:color="auto" w:fill="F2F2F2" w:themeFill="background1" w:themeFillShade="F2"/>
          </w:tcPr>
          <w:p w14:paraId="0DE74A62" w14:textId="77777777" w:rsidR="00AB6DBD" w:rsidRPr="00105A3E" w:rsidRDefault="00AB6DBD" w:rsidP="00AB6DBD">
            <w:pPr>
              <w:pStyle w:val="Normalbold"/>
              <w:numPr>
                <w:ilvl w:val="0"/>
                <w:numId w:val="29"/>
              </w:numPr>
            </w:pPr>
            <w:r>
              <w:t xml:space="preserve">The State mandates that entities covered by this FRD apply the temporary option to </w:t>
            </w:r>
            <w:r w:rsidRPr="00105A3E">
              <w:rPr>
                <w:u w:val="single"/>
              </w:rPr>
              <w:t>not</w:t>
            </w:r>
            <w:r>
              <w:t xml:space="preserve"> apply the fair value measurement requirements for right-of-use assets arising from leases with significantly below-market terms and conditions principally to enable the entity to further its objectives</w:t>
            </w:r>
            <w:r>
              <w:rPr>
                <w:i/>
              </w:rPr>
              <w:t>.</w:t>
            </w:r>
          </w:p>
          <w:p w14:paraId="7D1D502A" w14:textId="77777777" w:rsidR="006B7B6F" w:rsidRDefault="006B7B6F" w:rsidP="000E138E">
            <w:pPr>
              <w:pStyle w:val="Normalbold"/>
              <w:numPr>
                <w:ilvl w:val="0"/>
                <w:numId w:val="29"/>
              </w:numPr>
              <w:ind w:left="360"/>
            </w:pPr>
            <w:r>
              <w:t>When the entity applies AASB 1058 before applying AASB 16</w:t>
            </w:r>
            <w:r w:rsidRPr="006B7B6F">
              <w:rPr>
                <w:i/>
              </w:rPr>
              <w:t xml:space="preserve"> Leases, </w:t>
            </w:r>
            <w:r>
              <w:t xml:space="preserve">for leases that (1) at inception had significantly below-market terms and conditions principally to enable the entity to further its objectives and (2) were classified as finance leases in accordance with AASB 117 </w:t>
            </w:r>
            <w:r w:rsidRPr="006B7B6F">
              <w:rPr>
                <w:i/>
              </w:rPr>
              <w:t xml:space="preserve">Leases, </w:t>
            </w:r>
            <w:r>
              <w:t>the entity shall:</w:t>
            </w:r>
          </w:p>
          <w:p w14:paraId="68994ECC" w14:textId="77777777" w:rsidR="006B7B6F" w:rsidRDefault="006B7B6F" w:rsidP="000E138E">
            <w:pPr>
              <w:pStyle w:val="Normalbold"/>
              <w:numPr>
                <w:ilvl w:val="1"/>
                <w:numId w:val="34"/>
              </w:numPr>
              <w:ind w:left="1080"/>
            </w:pPr>
            <w:r>
              <w:t>measure the leased asset at fair value</w:t>
            </w:r>
            <w:r w:rsidRPr="006B7B6F">
              <w:rPr>
                <w:i/>
              </w:rPr>
              <w:t xml:space="preserve"> </w:t>
            </w:r>
            <w:r>
              <w:t>at the date of initial application of the standard;</w:t>
            </w:r>
          </w:p>
          <w:p w14:paraId="5C70C58B" w14:textId="77777777" w:rsidR="006B7B6F" w:rsidRDefault="006B7B6F" w:rsidP="000E138E">
            <w:pPr>
              <w:pStyle w:val="Normalbold"/>
              <w:numPr>
                <w:ilvl w:val="1"/>
                <w:numId w:val="34"/>
              </w:numPr>
              <w:ind w:left="1080"/>
            </w:pPr>
            <w:r>
              <w:t>measure the lease liability in accordance with AASB</w:t>
            </w:r>
            <w:r w:rsidR="00BD1B6B">
              <w:t> </w:t>
            </w:r>
            <w:r>
              <w:t>117; and</w:t>
            </w:r>
          </w:p>
          <w:p w14:paraId="6D5752BD" w14:textId="77777777" w:rsidR="001A104F" w:rsidRDefault="006B7B6F" w:rsidP="000E138E">
            <w:pPr>
              <w:pStyle w:val="Normalbold"/>
              <w:numPr>
                <w:ilvl w:val="1"/>
                <w:numId w:val="34"/>
              </w:numPr>
              <w:ind w:left="1080"/>
            </w:pPr>
            <w:r>
              <w:t>recognise any related items in accordance with the requirements of AASB 1058 (9). For example, the related amounts may take the form of</w:t>
            </w:r>
          </w:p>
          <w:p w14:paraId="4A0E166B" w14:textId="77777777" w:rsidR="001A104F" w:rsidRDefault="006B7B6F" w:rsidP="000E138E">
            <w:pPr>
              <w:pStyle w:val="Normalbold"/>
              <w:numPr>
                <w:ilvl w:val="2"/>
                <w:numId w:val="36"/>
              </w:numPr>
              <w:ind w:left="1638" w:hanging="283"/>
            </w:pPr>
            <w:r>
              <w:t>a contribution by owners</w:t>
            </w:r>
            <w:r w:rsidR="001A104F">
              <w:t xml:space="preserve">, in accordance with AASB 1004 </w:t>
            </w:r>
            <w:r w:rsidR="001A104F" w:rsidRPr="001A104F">
              <w:rPr>
                <w:i/>
              </w:rPr>
              <w:t>Contributions</w:t>
            </w:r>
            <w:r w:rsidR="001A104F">
              <w:t>;</w:t>
            </w:r>
          </w:p>
          <w:p w14:paraId="197EE728" w14:textId="77777777" w:rsidR="001A104F" w:rsidRDefault="006B7B6F" w:rsidP="000E138E">
            <w:pPr>
              <w:pStyle w:val="Normalbold"/>
              <w:numPr>
                <w:ilvl w:val="2"/>
                <w:numId w:val="36"/>
              </w:numPr>
              <w:ind w:left="1638" w:hanging="283"/>
            </w:pPr>
            <w:r>
              <w:t>revenue or contract liability arising from a contract with a customer</w:t>
            </w:r>
            <w:r w:rsidR="001A104F">
              <w:t>,</w:t>
            </w:r>
            <w:r>
              <w:t xml:space="preserve"> in accordance with AASB 15</w:t>
            </w:r>
            <w:r w:rsidR="001A104F">
              <w:t>;</w:t>
            </w:r>
          </w:p>
          <w:p w14:paraId="3476ACAB" w14:textId="77777777" w:rsidR="001A104F" w:rsidRDefault="006B7B6F" w:rsidP="000E138E">
            <w:pPr>
              <w:pStyle w:val="Normalbold"/>
              <w:numPr>
                <w:ilvl w:val="2"/>
                <w:numId w:val="36"/>
              </w:numPr>
              <w:ind w:left="1638" w:hanging="283"/>
            </w:pPr>
            <w:r>
              <w:t xml:space="preserve">a lease </w:t>
            </w:r>
            <w:r w:rsidR="001A104F">
              <w:t>liability,</w:t>
            </w:r>
            <w:r>
              <w:t xml:space="preserve"> in accordance with AASB 16</w:t>
            </w:r>
            <w:r w:rsidR="001A104F">
              <w:t>;</w:t>
            </w:r>
          </w:p>
          <w:p w14:paraId="47CAEC5F" w14:textId="77777777" w:rsidR="001A104F" w:rsidRDefault="006B7B6F" w:rsidP="000E138E">
            <w:pPr>
              <w:pStyle w:val="Normalbold"/>
              <w:numPr>
                <w:ilvl w:val="2"/>
                <w:numId w:val="36"/>
              </w:numPr>
              <w:ind w:left="1638" w:hanging="283"/>
            </w:pPr>
            <w:r>
              <w:t>a financial instrument</w:t>
            </w:r>
            <w:r w:rsidR="001A104F">
              <w:t>,</w:t>
            </w:r>
            <w:r>
              <w:t xml:space="preserve"> in accordance with AASB 9 </w:t>
            </w:r>
            <w:r w:rsidRPr="006B7B6F">
              <w:rPr>
                <w:i/>
              </w:rPr>
              <w:t>Financial Instruments</w:t>
            </w:r>
            <w:r w:rsidR="001A104F">
              <w:rPr>
                <w:i/>
              </w:rPr>
              <w:t xml:space="preserve">; </w:t>
            </w:r>
            <w:r>
              <w:t>or</w:t>
            </w:r>
          </w:p>
          <w:p w14:paraId="4EDAC098" w14:textId="77777777" w:rsidR="006B7B6F" w:rsidRDefault="006B7B6F" w:rsidP="000E138E">
            <w:pPr>
              <w:pStyle w:val="Normalbold"/>
              <w:numPr>
                <w:ilvl w:val="2"/>
                <w:numId w:val="36"/>
              </w:numPr>
              <w:ind w:left="1638" w:hanging="283"/>
            </w:pPr>
            <w:r>
              <w:t>a provision</w:t>
            </w:r>
            <w:r w:rsidR="001A104F">
              <w:t>,</w:t>
            </w:r>
            <w:r>
              <w:t xml:space="preserve"> in accordance with AASB </w:t>
            </w:r>
            <w:r w:rsidRPr="00D802BF">
              <w:t xml:space="preserve">137 </w:t>
            </w:r>
            <w:r w:rsidRPr="00D802BF">
              <w:rPr>
                <w:i/>
              </w:rPr>
              <w:t>Provisions, Contingent Liabilities and Contingent Assets</w:t>
            </w:r>
            <w:r w:rsidR="001A104F" w:rsidRPr="001A104F">
              <w:t>; and</w:t>
            </w:r>
            <w:r w:rsidRPr="00D802BF">
              <w:t xml:space="preserve"> </w:t>
            </w:r>
          </w:p>
          <w:p w14:paraId="391B5705" w14:textId="77777777" w:rsidR="001A104F" w:rsidRPr="00D802BF" w:rsidRDefault="001A104F" w:rsidP="000E138E">
            <w:pPr>
              <w:pStyle w:val="Normalbold"/>
              <w:numPr>
                <w:ilvl w:val="1"/>
                <w:numId w:val="34"/>
              </w:numPr>
              <w:ind w:left="1080"/>
            </w:pPr>
            <w:r>
              <w:t>recognise any income arising as an adjustment to the opening balance of retained earnings (or some other component of equity, as appropriate) at the date of initial application of this standard.</w:t>
            </w:r>
          </w:p>
          <w:p w14:paraId="68E61F73" w14:textId="4D350252" w:rsidR="00105A3E" w:rsidRPr="00950D8F" w:rsidRDefault="00105A3E" w:rsidP="000E138E">
            <w:pPr>
              <w:pStyle w:val="Normalbold"/>
              <w:numPr>
                <w:ilvl w:val="0"/>
                <w:numId w:val="29"/>
              </w:numPr>
              <w:ind w:left="297" w:hanging="297"/>
            </w:pPr>
            <w:r>
              <w:t>An entity may</w:t>
            </w:r>
            <w:r w:rsidR="001A104F">
              <w:t>, as a practical expedient,</w:t>
            </w:r>
            <w:r>
              <w:t xml:space="preserve"> apply </w:t>
            </w:r>
            <w:r w:rsidR="00DD2A31">
              <w:t>Requirement</w:t>
            </w:r>
            <w:r w:rsidR="00E708E4">
              <w:t> </w:t>
            </w:r>
            <w:r>
              <w:t>4.3</w:t>
            </w:r>
            <w:r w:rsidR="00700118">
              <w:t>(</w:t>
            </w:r>
            <w:r w:rsidR="00AB6DBD">
              <w:t>d</w:t>
            </w:r>
            <w:r w:rsidR="00DD248C">
              <w:t xml:space="preserve">) </w:t>
            </w:r>
            <w:r>
              <w:t>to a portfolio of leases with similar characteristics, if the entity reasonably expects that the effects on the financial statements of this approach</w:t>
            </w:r>
            <w:r w:rsidR="00DD2A31">
              <w:t xml:space="preserve"> would not differ materially from applying to individual leases within that portfolio. If accounting for a portfolio, an entity shall use estimates and assumptions that reflect the size and composition of the portfolio.</w:t>
            </w:r>
          </w:p>
        </w:tc>
      </w:tr>
      <w:tr w:rsidR="00BF6E2B" w:rsidRPr="005828FE" w14:paraId="739F9768" w14:textId="77777777" w:rsidTr="00D60F91">
        <w:tc>
          <w:tcPr>
            <w:tcW w:w="2293" w:type="dxa"/>
            <w:shd w:val="clear" w:color="auto" w:fill="F2F2F2" w:themeFill="background1" w:themeFillShade="F2"/>
          </w:tcPr>
          <w:p w14:paraId="50F4DDB9" w14:textId="77777777" w:rsidR="00BF6E2B" w:rsidRPr="005828FE" w:rsidRDefault="00BF6E2B" w:rsidP="00BF6E2B">
            <w:pPr>
              <w:pStyle w:val="Normalbold"/>
            </w:pPr>
          </w:p>
        </w:tc>
        <w:tc>
          <w:tcPr>
            <w:tcW w:w="270" w:type="dxa"/>
            <w:shd w:val="clear" w:color="auto" w:fill="F2F2F2" w:themeFill="background1" w:themeFillShade="F2"/>
          </w:tcPr>
          <w:p w14:paraId="5CEAD97F" w14:textId="77777777" w:rsidR="00BF6E2B" w:rsidRPr="008B2A17" w:rsidRDefault="00BF6E2B" w:rsidP="00BF6E2B">
            <w:pPr>
              <w:pStyle w:val="Normalgrey"/>
            </w:pPr>
          </w:p>
        </w:tc>
        <w:tc>
          <w:tcPr>
            <w:tcW w:w="540" w:type="dxa"/>
            <w:shd w:val="clear" w:color="auto" w:fill="F2F2F2" w:themeFill="background1" w:themeFillShade="F2"/>
          </w:tcPr>
          <w:p w14:paraId="38A6CE6E" w14:textId="77777777" w:rsidR="00BF6E2B" w:rsidRDefault="00BF6E2B" w:rsidP="00BF6E2B">
            <w:pPr>
              <w:pStyle w:val="Normalgrey"/>
            </w:pPr>
            <w:r>
              <w:t>4.4</w:t>
            </w:r>
          </w:p>
        </w:tc>
        <w:tc>
          <w:tcPr>
            <w:tcW w:w="6134" w:type="dxa"/>
            <w:shd w:val="clear" w:color="auto" w:fill="F2F2F2" w:themeFill="background1" w:themeFillShade="F2"/>
          </w:tcPr>
          <w:p w14:paraId="724A1E03" w14:textId="34BD1730" w:rsidR="00BF6E2B" w:rsidRDefault="00BF6E2B" w:rsidP="00BF6E2B">
            <w:pPr>
              <w:pStyle w:val="Normalbold"/>
            </w:pPr>
            <w:r>
              <w:t>The entity shall disclose the following information:</w:t>
            </w:r>
          </w:p>
          <w:p w14:paraId="206E40F1" w14:textId="77777777" w:rsidR="009A3830" w:rsidRDefault="009A3830" w:rsidP="00BF6E2B">
            <w:pPr>
              <w:pStyle w:val="Normalbold"/>
              <w:numPr>
                <w:ilvl w:val="0"/>
                <w:numId w:val="30"/>
              </w:numPr>
            </w:pPr>
            <w:r>
              <w:t>The title of the Australian Accounting Standard;</w:t>
            </w:r>
          </w:p>
          <w:p w14:paraId="40BE2E19" w14:textId="77777777" w:rsidR="009A3830" w:rsidRDefault="009A3830" w:rsidP="00BF6E2B">
            <w:pPr>
              <w:pStyle w:val="Normalbold"/>
              <w:numPr>
                <w:ilvl w:val="0"/>
                <w:numId w:val="30"/>
              </w:numPr>
            </w:pPr>
            <w:r>
              <w:t>The change in accounting policy made in accordance with the transitional provisions and any practical expedient</w:t>
            </w:r>
            <w:r w:rsidR="00E41124">
              <w:t>s</w:t>
            </w:r>
            <w:r>
              <w:t xml:space="preserve"> used;</w:t>
            </w:r>
          </w:p>
          <w:p w14:paraId="5AFB5909" w14:textId="77777777" w:rsidR="00BF6E2B" w:rsidRDefault="00BF6E2B" w:rsidP="00BF6E2B">
            <w:pPr>
              <w:pStyle w:val="Normalbold"/>
              <w:numPr>
                <w:ilvl w:val="0"/>
                <w:numId w:val="30"/>
              </w:numPr>
            </w:pPr>
            <w:r>
              <w:t xml:space="preserve">The amount by which each financial statement line item is affected in the current reporting period by the application of this standard as compared to AASB 1004 </w:t>
            </w:r>
            <w:r w:rsidRPr="001C434B">
              <w:rPr>
                <w:i/>
              </w:rPr>
              <w:t>Contributions</w:t>
            </w:r>
            <w:r>
              <w:t xml:space="preserve"> before the change; and</w:t>
            </w:r>
          </w:p>
          <w:p w14:paraId="779393F2" w14:textId="77777777" w:rsidR="00BF6E2B" w:rsidRPr="002E2D77" w:rsidRDefault="00BF6E2B" w:rsidP="00BF6E2B">
            <w:pPr>
              <w:pStyle w:val="Normalbold"/>
              <w:numPr>
                <w:ilvl w:val="0"/>
                <w:numId w:val="30"/>
              </w:numPr>
            </w:pPr>
            <w:r>
              <w:t>An explanation of the reasons for significant changes identified.</w:t>
            </w:r>
          </w:p>
        </w:tc>
      </w:tr>
      <w:tr w:rsidR="00BF6E2B" w:rsidRPr="005828FE" w14:paraId="387EBB54" w14:textId="77777777" w:rsidTr="00DD2A31">
        <w:tc>
          <w:tcPr>
            <w:tcW w:w="2293" w:type="dxa"/>
            <w:shd w:val="clear" w:color="auto" w:fill="FFFFFF" w:themeFill="background1"/>
          </w:tcPr>
          <w:p w14:paraId="4C807195" w14:textId="77777777" w:rsidR="00BF6E2B" w:rsidRPr="005828FE" w:rsidRDefault="00BF6E2B" w:rsidP="00BF6E2B">
            <w:pPr>
              <w:pStyle w:val="Normalgrey"/>
            </w:pPr>
            <w:r w:rsidRPr="005828FE">
              <w:t>Definition</w:t>
            </w:r>
          </w:p>
        </w:tc>
        <w:tc>
          <w:tcPr>
            <w:tcW w:w="270" w:type="dxa"/>
            <w:shd w:val="clear" w:color="auto" w:fill="FFFFFF" w:themeFill="background1"/>
          </w:tcPr>
          <w:p w14:paraId="76924442" w14:textId="77777777" w:rsidR="00BF6E2B" w:rsidRPr="005828FE" w:rsidRDefault="00BF6E2B" w:rsidP="00BF6E2B">
            <w:pPr>
              <w:pStyle w:val="Normalgrey"/>
            </w:pPr>
          </w:p>
        </w:tc>
        <w:tc>
          <w:tcPr>
            <w:tcW w:w="540" w:type="dxa"/>
            <w:shd w:val="clear" w:color="auto" w:fill="FFFFFF" w:themeFill="background1"/>
          </w:tcPr>
          <w:p w14:paraId="64517DBA" w14:textId="77777777" w:rsidR="00BF6E2B" w:rsidRPr="005828FE" w:rsidRDefault="00BF6E2B" w:rsidP="00BF6E2B">
            <w:pPr>
              <w:pStyle w:val="Normalgrey"/>
            </w:pPr>
            <w:r>
              <w:t>5.1</w:t>
            </w:r>
          </w:p>
        </w:tc>
        <w:tc>
          <w:tcPr>
            <w:tcW w:w="6134" w:type="dxa"/>
            <w:shd w:val="clear" w:color="auto" w:fill="FFFFFF" w:themeFill="background1"/>
          </w:tcPr>
          <w:p w14:paraId="25513C30" w14:textId="77777777" w:rsidR="00BF6E2B" w:rsidRPr="00FA7820" w:rsidRDefault="00BF6E2B" w:rsidP="00BF6E2B">
            <w:pPr>
              <w:pStyle w:val="Normalgrey"/>
            </w:pPr>
            <w:r>
              <w:rPr>
                <w:b/>
              </w:rPr>
              <w:t>Completed contracts –</w:t>
            </w:r>
            <w:r w:rsidRPr="00C20E72">
              <w:t xml:space="preserve"> </w:t>
            </w:r>
            <w:r>
              <w:t>a completed contract is a contract or a transaction for which the entity has recognised all the income in accordance with AASB 1004</w:t>
            </w:r>
            <w:r w:rsidRPr="003B3497">
              <w:rPr>
                <w:i/>
              </w:rPr>
              <w:t>.</w:t>
            </w:r>
          </w:p>
        </w:tc>
      </w:tr>
      <w:tr w:rsidR="00BF6E2B" w:rsidRPr="005828FE" w14:paraId="2D23E9C9" w14:textId="77777777" w:rsidTr="00DD2A31">
        <w:tc>
          <w:tcPr>
            <w:tcW w:w="2293" w:type="dxa"/>
            <w:shd w:val="clear" w:color="auto" w:fill="FFFFFF" w:themeFill="background1"/>
          </w:tcPr>
          <w:p w14:paraId="70E560B3" w14:textId="77777777" w:rsidR="00BF6E2B" w:rsidRPr="005828FE" w:rsidRDefault="00BF6E2B" w:rsidP="00BF6E2B">
            <w:pPr>
              <w:pStyle w:val="Normalgrey"/>
            </w:pPr>
          </w:p>
        </w:tc>
        <w:tc>
          <w:tcPr>
            <w:tcW w:w="270" w:type="dxa"/>
            <w:shd w:val="clear" w:color="auto" w:fill="FFFFFF" w:themeFill="background1"/>
          </w:tcPr>
          <w:p w14:paraId="2ABBB567" w14:textId="77777777" w:rsidR="00BF6E2B" w:rsidRPr="005828FE" w:rsidRDefault="00BF6E2B" w:rsidP="00BF6E2B">
            <w:pPr>
              <w:pStyle w:val="Normalgrey"/>
            </w:pPr>
          </w:p>
        </w:tc>
        <w:tc>
          <w:tcPr>
            <w:tcW w:w="540" w:type="dxa"/>
            <w:shd w:val="clear" w:color="auto" w:fill="FFFFFF" w:themeFill="background1"/>
          </w:tcPr>
          <w:p w14:paraId="7E2B0C5A" w14:textId="77777777" w:rsidR="00BF6E2B" w:rsidRDefault="00BF6E2B" w:rsidP="00BF6E2B">
            <w:pPr>
              <w:pStyle w:val="Normalgrey"/>
            </w:pPr>
            <w:r>
              <w:t>5.2</w:t>
            </w:r>
          </w:p>
        </w:tc>
        <w:tc>
          <w:tcPr>
            <w:tcW w:w="6134" w:type="dxa"/>
            <w:shd w:val="clear" w:color="auto" w:fill="FFFFFF" w:themeFill="background1"/>
          </w:tcPr>
          <w:p w14:paraId="5485D407" w14:textId="77777777" w:rsidR="00BF6E2B" w:rsidRDefault="00BF6E2B" w:rsidP="00BF6E2B">
            <w:pPr>
              <w:pStyle w:val="Normalgrey"/>
            </w:pPr>
            <w:r>
              <w:t>Date of initial application – is the start of the reporting period in which the entity first applies this standard.</w:t>
            </w:r>
          </w:p>
        </w:tc>
      </w:tr>
      <w:tr w:rsidR="00BF6E2B" w:rsidRPr="005828FE" w14:paraId="7525D28D" w14:textId="77777777" w:rsidTr="00DD2A31">
        <w:tc>
          <w:tcPr>
            <w:tcW w:w="2293" w:type="dxa"/>
            <w:shd w:val="clear" w:color="auto" w:fill="FFFFFF" w:themeFill="background1"/>
          </w:tcPr>
          <w:p w14:paraId="55CC844F" w14:textId="77777777" w:rsidR="00BF6E2B" w:rsidRPr="005828FE" w:rsidRDefault="00BF6E2B" w:rsidP="00BF6E2B">
            <w:pPr>
              <w:pStyle w:val="Normalgrey"/>
            </w:pPr>
            <w:r w:rsidRPr="005828FE">
              <w:t>Guidance</w:t>
            </w:r>
          </w:p>
        </w:tc>
        <w:tc>
          <w:tcPr>
            <w:tcW w:w="270" w:type="dxa"/>
            <w:shd w:val="clear" w:color="auto" w:fill="FFFFFF" w:themeFill="background1"/>
          </w:tcPr>
          <w:p w14:paraId="21FC9EB2" w14:textId="77777777" w:rsidR="00BF6E2B" w:rsidRPr="005828FE" w:rsidRDefault="00BF6E2B" w:rsidP="00BF6E2B">
            <w:pPr>
              <w:pStyle w:val="Normalgrey"/>
            </w:pPr>
          </w:p>
        </w:tc>
        <w:tc>
          <w:tcPr>
            <w:tcW w:w="540" w:type="dxa"/>
            <w:shd w:val="clear" w:color="auto" w:fill="FFFFFF" w:themeFill="background1"/>
          </w:tcPr>
          <w:p w14:paraId="7360DDE4" w14:textId="77777777" w:rsidR="00BF6E2B" w:rsidRPr="005828FE" w:rsidRDefault="00BF6E2B" w:rsidP="00BF6E2B">
            <w:pPr>
              <w:pStyle w:val="Normalgrey"/>
            </w:pPr>
            <w:r>
              <w:t>6.1</w:t>
            </w:r>
          </w:p>
        </w:tc>
        <w:tc>
          <w:tcPr>
            <w:tcW w:w="6134" w:type="dxa"/>
            <w:shd w:val="clear" w:color="auto" w:fill="FFFFFF" w:themeFill="background1"/>
          </w:tcPr>
          <w:p w14:paraId="662D5BC0" w14:textId="77777777" w:rsidR="00BF6E2B" w:rsidRPr="00E20142" w:rsidRDefault="00BF6E2B" w:rsidP="00BF6E2B">
            <w:pPr>
              <w:pStyle w:val="Normalgrey"/>
            </w:pPr>
            <w:r>
              <w:t>The retrospective application with the cumulative effect of initial application of this standard, adjusted against the opening retained earnings of the year of application was selected to reduce the costs and onerous burden of restating the comparative information. The practical expedients further reduce the effort and cost associated with the application of the standard.</w:t>
            </w:r>
          </w:p>
        </w:tc>
      </w:tr>
      <w:tr w:rsidR="00BF6E2B" w:rsidRPr="005828FE" w14:paraId="5F98D9B2" w14:textId="77777777" w:rsidTr="00D60F91">
        <w:tc>
          <w:tcPr>
            <w:tcW w:w="2293" w:type="dxa"/>
          </w:tcPr>
          <w:p w14:paraId="470B6A73" w14:textId="77777777" w:rsidR="00BF6E2B" w:rsidRPr="005828FE" w:rsidRDefault="00BF6E2B" w:rsidP="00BF6E2B">
            <w:pPr>
              <w:pStyle w:val="Normalgrey"/>
            </w:pPr>
          </w:p>
        </w:tc>
        <w:tc>
          <w:tcPr>
            <w:tcW w:w="270" w:type="dxa"/>
          </w:tcPr>
          <w:p w14:paraId="1BFFA81A" w14:textId="77777777" w:rsidR="00BF6E2B" w:rsidRPr="005828FE" w:rsidRDefault="00BF6E2B" w:rsidP="00BF6E2B">
            <w:pPr>
              <w:pStyle w:val="Normalgrey"/>
            </w:pPr>
          </w:p>
        </w:tc>
        <w:tc>
          <w:tcPr>
            <w:tcW w:w="540" w:type="dxa"/>
          </w:tcPr>
          <w:p w14:paraId="39E0BD9F" w14:textId="77777777" w:rsidR="00BF6E2B" w:rsidRDefault="00BF6E2B" w:rsidP="00BF6E2B">
            <w:pPr>
              <w:pStyle w:val="Normalgrey"/>
            </w:pPr>
            <w:r>
              <w:t>6.2</w:t>
            </w:r>
          </w:p>
        </w:tc>
        <w:tc>
          <w:tcPr>
            <w:tcW w:w="6134" w:type="dxa"/>
          </w:tcPr>
          <w:p w14:paraId="7DD73DDF" w14:textId="77777777" w:rsidR="00BF6E2B" w:rsidRDefault="00BF6E2B" w:rsidP="00BF6E2B">
            <w:pPr>
              <w:pStyle w:val="Normalgrey"/>
            </w:pPr>
            <w:r>
              <w:t>This approach will require:</w:t>
            </w:r>
          </w:p>
          <w:p w14:paraId="456D8E4B" w14:textId="77777777" w:rsidR="00BF6E2B" w:rsidRDefault="00BF6E2B" w:rsidP="00BF6E2B">
            <w:pPr>
              <w:pStyle w:val="Normalgrey"/>
              <w:numPr>
                <w:ilvl w:val="0"/>
                <w:numId w:val="31"/>
              </w:numPr>
            </w:pPr>
            <w:r>
              <w:t>restatement of the opening retained earnings in the year of application; and</w:t>
            </w:r>
          </w:p>
          <w:p w14:paraId="16F8BDDF" w14:textId="77777777" w:rsidR="00BF6E2B" w:rsidRPr="00950D8F" w:rsidRDefault="00BF6E2B" w:rsidP="00BF6E2B">
            <w:pPr>
              <w:pStyle w:val="Normalgrey"/>
              <w:numPr>
                <w:ilvl w:val="0"/>
                <w:numId w:val="31"/>
              </w:numPr>
            </w:pPr>
            <w:r>
              <w:t>there will be no restatement of comparatives.</w:t>
            </w:r>
          </w:p>
        </w:tc>
      </w:tr>
      <w:tr w:rsidR="00BF6E2B" w:rsidRPr="005828FE" w14:paraId="387D38BA" w14:textId="77777777" w:rsidTr="00D60F91">
        <w:tc>
          <w:tcPr>
            <w:tcW w:w="2293" w:type="dxa"/>
          </w:tcPr>
          <w:p w14:paraId="05E458A9" w14:textId="77777777" w:rsidR="00BF6E2B" w:rsidRPr="005828FE" w:rsidRDefault="00BF6E2B" w:rsidP="00BF6E2B">
            <w:pPr>
              <w:pStyle w:val="Normalgrey"/>
            </w:pPr>
          </w:p>
        </w:tc>
        <w:tc>
          <w:tcPr>
            <w:tcW w:w="270" w:type="dxa"/>
          </w:tcPr>
          <w:p w14:paraId="2429FA74" w14:textId="77777777" w:rsidR="00BF6E2B" w:rsidRPr="005828FE" w:rsidRDefault="00BF6E2B" w:rsidP="00BF6E2B">
            <w:pPr>
              <w:pStyle w:val="Normalgrey"/>
            </w:pPr>
          </w:p>
        </w:tc>
        <w:tc>
          <w:tcPr>
            <w:tcW w:w="540" w:type="dxa"/>
          </w:tcPr>
          <w:p w14:paraId="7979EA50" w14:textId="77777777" w:rsidR="00BF6E2B" w:rsidRDefault="00BF6E2B" w:rsidP="00BF6E2B">
            <w:pPr>
              <w:pStyle w:val="Normalgrey"/>
            </w:pPr>
            <w:r>
              <w:t>6.3</w:t>
            </w:r>
          </w:p>
        </w:tc>
        <w:tc>
          <w:tcPr>
            <w:tcW w:w="6134" w:type="dxa"/>
          </w:tcPr>
          <w:p w14:paraId="551EE56A" w14:textId="77777777" w:rsidR="00BF6E2B" w:rsidRDefault="00BF6E2B" w:rsidP="00BF6E2B">
            <w:pPr>
              <w:pStyle w:val="Normalgrey"/>
            </w:pPr>
            <w:r>
              <w:t>An example of the transitional disclosures is illustrated in the 2019-20 Model Report for Victorian Government Departments for the relevant reporting period and is available on the DTF website:</w:t>
            </w:r>
          </w:p>
          <w:p w14:paraId="1D53F225" w14:textId="77777777" w:rsidR="00BF6E2B" w:rsidRPr="00950D8F" w:rsidRDefault="00FE40CE" w:rsidP="00BF6E2B">
            <w:pPr>
              <w:pStyle w:val="Normalgrey"/>
            </w:pPr>
            <w:hyperlink r:id="rId9" w:history="1">
              <w:r w:rsidR="00BF6E2B" w:rsidRPr="00A078F5">
                <w:rPr>
                  <w:rStyle w:val="Hyperlink"/>
                </w:rPr>
                <w:t>http://www.dtf.vic.gov.au/Publications/Government-Financial-Management-publications/Financial-Reporting-Policy/Model-Report</w:t>
              </w:r>
            </w:hyperlink>
          </w:p>
        </w:tc>
      </w:tr>
      <w:tr w:rsidR="00BF6E2B" w:rsidRPr="005828FE" w14:paraId="12409476" w14:textId="77777777" w:rsidTr="00D60F91">
        <w:tc>
          <w:tcPr>
            <w:tcW w:w="2293" w:type="dxa"/>
          </w:tcPr>
          <w:p w14:paraId="36F615C2" w14:textId="77777777" w:rsidR="00BF6E2B" w:rsidRPr="005828FE" w:rsidRDefault="00BF6E2B" w:rsidP="00BF6E2B">
            <w:pPr>
              <w:pStyle w:val="Normalgrey"/>
            </w:pPr>
            <w:r w:rsidRPr="005828FE">
              <w:t>Relevant pronouncements</w:t>
            </w:r>
          </w:p>
        </w:tc>
        <w:tc>
          <w:tcPr>
            <w:tcW w:w="270" w:type="dxa"/>
          </w:tcPr>
          <w:p w14:paraId="19AD7351" w14:textId="77777777" w:rsidR="00BF6E2B" w:rsidRPr="005828FE" w:rsidRDefault="00BF6E2B" w:rsidP="00BF6E2B">
            <w:pPr>
              <w:pStyle w:val="Normalgrey"/>
            </w:pPr>
          </w:p>
        </w:tc>
        <w:tc>
          <w:tcPr>
            <w:tcW w:w="540" w:type="dxa"/>
          </w:tcPr>
          <w:p w14:paraId="2E2DBAFA" w14:textId="77777777" w:rsidR="00BF6E2B" w:rsidRPr="005828FE" w:rsidRDefault="00BF6E2B" w:rsidP="00BF6E2B">
            <w:pPr>
              <w:pStyle w:val="Normalgrey"/>
            </w:pPr>
            <w:r>
              <w:t>7.1</w:t>
            </w:r>
          </w:p>
        </w:tc>
        <w:tc>
          <w:tcPr>
            <w:tcW w:w="6134" w:type="dxa"/>
          </w:tcPr>
          <w:p w14:paraId="2B6AC66A" w14:textId="77777777" w:rsidR="00BF6E2B" w:rsidRDefault="00BF6E2B" w:rsidP="00BF6E2B">
            <w:pPr>
              <w:pStyle w:val="Bullet1grey"/>
            </w:pPr>
            <w:r>
              <w:t>AASB 1058</w:t>
            </w:r>
            <w:r w:rsidRPr="001302DE">
              <w:t xml:space="preserve"> </w:t>
            </w:r>
            <w:r>
              <w:rPr>
                <w:i/>
              </w:rPr>
              <w:t xml:space="preserve">Income of Not-for-Profit Entities </w:t>
            </w:r>
            <w:r w:rsidRPr="001302DE">
              <w:t>(</w:t>
            </w:r>
            <w:r>
              <w:t>September</w:t>
            </w:r>
            <w:r w:rsidRPr="001302DE">
              <w:t xml:space="preserve"> </w:t>
            </w:r>
            <w:r>
              <w:t>2018</w:t>
            </w:r>
            <w:r w:rsidRPr="001302DE">
              <w:t>)</w:t>
            </w:r>
          </w:p>
          <w:p w14:paraId="3A4A8FD3" w14:textId="77777777" w:rsidR="00BF6E2B" w:rsidRDefault="00BF6E2B" w:rsidP="00BF6E2B">
            <w:pPr>
              <w:pStyle w:val="Bullet1grey"/>
            </w:pPr>
            <w:r>
              <w:t>AASB 1004</w:t>
            </w:r>
            <w:r w:rsidRPr="001302DE">
              <w:t xml:space="preserve"> </w:t>
            </w:r>
            <w:r>
              <w:rPr>
                <w:i/>
              </w:rPr>
              <w:t>Contributions</w:t>
            </w:r>
            <w:r w:rsidRPr="001302DE">
              <w:t xml:space="preserve"> (</w:t>
            </w:r>
            <w:r>
              <w:t>December 2016</w:t>
            </w:r>
            <w:r w:rsidRPr="001302DE">
              <w:t>)</w:t>
            </w:r>
          </w:p>
          <w:p w14:paraId="597C57C9" w14:textId="77777777" w:rsidR="00BF6E2B" w:rsidRPr="00DD2A31" w:rsidRDefault="00BF6E2B" w:rsidP="00BF6E2B">
            <w:pPr>
              <w:pStyle w:val="Bullet1grey"/>
              <w:rPr>
                <w:i/>
              </w:rPr>
            </w:pPr>
            <w:r>
              <w:t xml:space="preserve">AASB 2018-8 </w:t>
            </w:r>
            <w:r w:rsidRPr="00DD2A31">
              <w:rPr>
                <w:i/>
              </w:rPr>
              <w:t>Amendments to Australian Accounting</w:t>
            </w:r>
            <w:r>
              <w:rPr>
                <w:i/>
              </w:rPr>
              <w:t xml:space="preserve"> </w:t>
            </w:r>
            <w:r w:rsidRPr="00DD2A31">
              <w:rPr>
                <w:i/>
              </w:rPr>
              <w:t xml:space="preserve">Standards – </w:t>
            </w:r>
            <w:r>
              <w:rPr>
                <w:i/>
              </w:rPr>
              <w:t>R</w:t>
            </w:r>
            <w:r w:rsidRPr="00DD2A31">
              <w:rPr>
                <w:i/>
              </w:rPr>
              <w:t>ight-of-Use Assets of</w:t>
            </w:r>
            <w:r>
              <w:rPr>
                <w:i/>
              </w:rPr>
              <w:t xml:space="preserve"> </w:t>
            </w:r>
            <w:r w:rsidRPr="00DD2A31">
              <w:rPr>
                <w:i/>
              </w:rPr>
              <w:t>Not-for-Profit Entities</w:t>
            </w:r>
            <w:r>
              <w:rPr>
                <w:i/>
              </w:rPr>
              <w:t xml:space="preserve"> </w:t>
            </w:r>
            <w:r>
              <w:t>(December 2018)</w:t>
            </w:r>
          </w:p>
        </w:tc>
      </w:tr>
      <w:tr w:rsidR="00BF6E2B" w:rsidRPr="005828FE" w14:paraId="4E747F01" w14:textId="77777777" w:rsidTr="00D60F91">
        <w:tc>
          <w:tcPr>
            <w:tcW w:w="2293" w:type="dxa"/>
          </w:tcPr>
          <w:p w14:paraId="528C2F8F" w14:textId="77777777" w:rsidR="00BF6E2B" w:rsidRPr="005828FE" w:rsidRDefault="00BF6E2B" w:rsidP="00BF6E2B">
            <w:pPr>
              <w:pStyle w:val="Normalgrey"/>
            </w:pPr>
            <w:r w:rsidRPr="005828FE">
              <w:lastRenderedPageBreak/>
              <w:t>Background</w:t>
            </w:r>
          </w:p>
        </w:tc>
        <w:tc>
          <w:tcPr>
            <w:tcW w:w="270" w:type="dxa"/>
          </w:tcPr>
          <w:p w14:paraId="67095FBB" w14:textId="77777777" w:rsidR="00BF6E2B" w:rsidRPr="005828FE" w:rsidRDefault="00BF6E2B" w:rsidP="00BF6E2B">
            <w:pPr>
              <w:pStyle w:val="Normalgrey"/>
            </w:pPr>
          </w:p>
        </w:tc>
        <w:tc>
          <w:tcPr>
            <w:tcW w:w="540" w:type="dxa"/>
          </w:tcPr>
          <w:p w14:paraId="6DAA8084" w14:textId="77777777" w:rsidR="00BF6E2B" w:rsidRPr="005828FE" w:rsidRDefault="00BF6E2B" w:rsidP="00BF6E2B">
            <w:pPr>
              <w:pStyle w:val="Normalgrey"/>
            </w:pPr>
            <w:r>
              <w:t>8.1</w:t>
            </w:r>
          </w:p>
        </w:tc>
        <w:tc>
          <w:tcPr>
            <w:tcW w:w="6134" w:type="dxa"/>
          </w:tcPr>
          <w:p w14:paraId="41114442" w14:textId="02837666" w:rsidR="00BF6E2B" w:rsidRPr="005828FE" w:rsidRDefault="00BF6E2B" w:rsidP="00BF6E2B">
            <w:pPr>
              <w:pStyle w:val="Bullet1grey"/>
              <w:numPr>
                <w:ilvl w:val="0"/>
                <w:numId w:val="0"/>
              </w:numPr>
              <w:ind w:left="288"/>
            </w:pPr>
            <w:r>
              <w:t>The Australian Accounting Standards Board (AASB) issued AASB 15 </w:t>
            </w:r>
            <w:r w:rsidRPr="00592596">
              <w:rPr>
                <w:i/>
              </w:rPr>
              <w:t>Revenue from Contracts with Customers</w:t>
            </w:r>
            <w:r>
              <w:t xml:space="preserve"> and AASB 1058 </w:t>
            </w:r>
            <w:r>
              <w:rPr>
                <w:i/>
              </w:rPr>
              <w:t xml:space="preserve">Income of Not-for-Profit Entities </w:t>
            </w:r>
            <w:r>
              <w:t xml:space="preserve">after reconsidering the current accounting requirements for government grants and other types of contributions contained within AASB 1004 </w:t>
            </w:r>
            <w:r w:rsidRPr="00F86F67">
              <w:rPr>
                <w:i/>
              </w:rPr>
              <w:t>Contributions</w:t>
            </w:r>
            <w:r>
              <w:t xml:space="preserve"> that applied to the not-for-profit (NFP) entities. </w:t>
            </w:r>
            <w:bookmarkStart w:id="0" w:name="_GoBack"/>
            <w:r w:rsidR="006E4620">
              <w:t xml:space="preserve">This FRD is issued in March 2020 to prescribe the transitional requirements of AASB 15 </w:t>
            </w:r>
            <w:r w:rsidR="006E4620" w:rsidRPr="00C63D7A">
              <w:rPr>
                <w:i/>
              </w:rPr>
              <w:t xml:space="preserve">Revenue from Contracts with Customers </w:t>
            </w:r>
            <w:r w:rsidR="006E4620">
              <w:rPr>
                <w:iCs/>
              </w:rPr>
              <w:t xml:space="preserve">and AASB 1058 </w:t>
            </w:r>
            <w:r w:rsidR="006E4620" w:rsidRPr="009F74B9">
              <w:rPr>
                <w:i/>
              </w:rPr>
              <w:t>Income of Not-for-Profit Entities</w:t>
            </w:r>
            <w:r w:rsidR="006E4620">
              <w:rPr>
                <w:iCs/>
              </w:rPr>
              <w:t xml:space="preserve"> </w:t>
            </w:r>
            <w:r w:rsidR="006E4620">
              <w:t>on initial adoption of this standard.</w:t>
            </w:r>
            <w:bookmarkEnd w:id="0"/>
          </w:p>
        </w:tc>
      </w:tr>
    </w:tbl>
    <w:p w14:paraId="663919D6" w14:textId="77777777" w:rsidR="008C63EE" w:rsidRDefault="008C63EE" w:rsidP="00314751"/>
    <w:sectPr w:rsidR="008C63EE" w:rsidSect="0088781E">
      <w:headerReference w:type="default" r:id="rId10"/>
      <w:footerReference w:type="even" r:id="rId11"/>
      <w:footerReference w:type="default" r:id="rId12"/>
      <w:pgSz w:w="11906" w:h="16838" w:code="9"/>
      <w:pgMar w:top="1758" w:right="1440" w:bottom="1304" w:left="1440" w:header="44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79E1" w14:textId="77777777" w:rsidR="00FE40CE" w:rsidRDefault="00FE40CE" w:rsidP="002D711A">
      <w:pPr>
        <w:spacing w:after="0" w:line="240" w:lineRule="auto"/>
      </w:pPr>
      <w:r>
        <w:separator/>
      </w:r>
    </w:p>
    <w:p w14:paraId="4ABD77E4" w14:textId="77777777" w:rsidR="00FE40CE" w:rsidRDefault="00FE40CE"/>
  </w:endnote>
  <w:endnote w:type="continuationSeparator" w:id="0">
    <w:p w14:paraId="4F816882" w14:textId="77777777" w:rsidR="00FE40CE" w:rsidRDefault="00FE40CE" w:rsidP="002D711A">
      <w:pPr>
        <w:spacing w:after="0" w:line="240" w:lineRule="auto"/>
      </w:pPr>
      <w:r>
        <w:continuationSeparator/>
      </w:r>
    </w:p>
    <w:p w14:paraId="329314C0" w14:textId="77777777" w:rsidR="00FE40CE" w:rsidRDefault="00FE4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BCFD" w14:textId="77777777" w:rsidR="00D802BF" w:rsidRPr="00014213" w:rsidRDefault="00D802BF" w:rsidP="00C022F9">
    <w:pPr>
      <w:pStyle w:val="Footer"/>
    </w:pPr>
    <w:r>
      <w:drawing>
        <wp:anchor distT="0" distB="0" distL="114300" distR="114300" simplePos="0" relativeHeight="251660288" behindDoc="0" locked="0" layoutInCell="1" allowOverlap="1" wp14:anchorId="65C9D650" wp14:editId="0B2FB546">
          <wp:simplePos x="0" y="0"/>
          <wp:positionH relativeFrom="column">
            <wp:posOffset>4240861</wp:posOffset>
          </wp:positionH>
          <wp:positionV relativeFrom="page">
            <wp:posOffset>9493250</wp:posOffset>
          </wp:positionV>
          <wp:extent cx="1956435" cy="582930"/>
          <wp:effectExtent l="0" t="0" r="5715" b="762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26C9EE8F" w14:textId="77777777" w:rsidR="00D802BF" w:rsidRDefault="00D80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7B73" w14:textId="77777777" w:rsidR="00D802BF" w:rsidRDefault="00D802BF" w:rsidP="00A516DE">
    <w:pPr>
      <w:pStyle w:val="Spacer"/>
    </w:pPr>
    <w:r>
      <w:rPr>
        <w:noProof/>
      </w:rPr>
      <mc:AlternateContent>
        <mc:Choice Requires="wps">
          <w:drawing>
            <wp:anchor distT="0" distB="0" distL="114300" distR="114300" simplePos="0" relativeHeight="251658240" behindDoc="0" locked="0" layoutInCell="0" allowOverlap="1" wp14:anchorId="4049FBB9" wp14:editId="714AB202">
              <wp:simplePos x="0" y="0"/>
              <wp:positionH relativeFrom="page">
                <wp:posOffset>0</wp:posOffset>
              </wp:positionH>
              <wp:positionV relativeFrom="page">
                <wp:posOffset>10234930</wp:posOffset>
              </wp:positionV>
              <wp:extent cx="7560310" cy="266700"/>
              <wp:effectExtent l="0" t="0" r="0" b="0"/>
              <wp:wrapNone/>
              <wp:docPr id="1" name="MSIPCM62f040378f746d81dc0b3666"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555A72" w14:textId="77777777" w:rsidR="00D802BF" w:rsidRPr="009149DF" w:rsidRDefault="00D802BF" w:rsidP="009149DF">
                          <w:pPr>
                            <w:spacing w:before="0" w:after="0"/>
                            <w:rPr>
                              <w:rFonts w:ascii="Calibri" w:hAnsi="Calibri" w:cs="Calibri"/>
                              <w:color w:val="000000"/>
                              <w:sz w:val="22"/>
                            </w:rPr>
                          </w:pPr>
                          <w:r w:rsidRPr="009149D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49FBB9" id="_x0000_t202" coordsize="21600,21600" o:spt="202" path="m,l,21600r21600,l21600,xe">
              <v:stroke joinstyle="miter"/>
              <v:path gradientshapeok="t" o:connecttype="rect"/>
            </v:shapetype>
            <v:shape id="MSIPCM62f040378f746d81dc0b3666"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IlBXcR8DAAA4BgAADgAAAAAA&#10;AAAAAAAAAAAuAgAAZHJzL2Uyb0RvYy54bWxQSwECLQAUAAYACAAAACEAYBHGJt4AAAALAQAADwAA&#10;AAAAAAAAAAAAAAB5BQAAZHJzL2Rvd25yZXYueG1sUEsFBgAAAAAEAAQA8wAAAIQGAAAAAA==&#10;" o:allowincell="f" filled="f" stroked="f" strokeweight=".5pt">
              <v:textbox inset="20pt,0,,0">
                <w:txbxContent>
                  <w:p w14:paraId="32555A72" w14:textId="77777777" w:rsidR="00D802BF" w:rsidRPr="009149DF" w:rsidRDefault="00D802BF" w:rsidP="009149DF">
                    <w:pPr>
                      <w:spacing w:before="0" w:after="0"/>
                      <w:rPr>
                        <w:rFonts w:ascii="Calibri" w:hAnsi="Calibri" w:cs="Calibri"/>
                        <w:color w:val="000000"/>
                        <w:sz w:val="22"/>
                      </w:rPr>
                    </w:pPr>
                    <w:r w:rsidRPr="009149DF">
                      <w:rPr>
                        <w:rFonts w:ascii="Calibri" w:hAnsi="Calibri" w:cs="Calibri"/>
                        <w:color w:val="000000"/>
                        <w:sz w:val="22"/>
                      </w:rPr>
                      <w:t>OFFICIAL</w:t>
                    </w:r>
                  </w:p>
                </w:txbxContent>
              </v:textbox>
              <w10:wrap anchorx="page" anchory="page"/>
            </v:shape>
          </w:pict>
        </mc:Fallback>
      </mc:AlternateContent>
    </w:r>
  </w:p>
  <w:p w14:paraId="3CC6A7B2" w14:textId="6A5D08CA" w:rsidR="00D802BF" w:rsidRPr="005828FE" w:rsidRDefault="00D802BF"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476186">
      <w:rPr>
        <w:b/>
      </w:rPr>
      <w:t>FRD 122</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476186">
      <w:t>Transitional requirements on the application of AASB 1058 Income of Not-for-Profit Entities (March 2020)</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F3143" w14:textId="77777777" w:rsidR="00FE40CE" w:rsidRDefault="00FE40CE" w:rsidP="002D711A">
      <w:pPr>
        <w:spacing w:after="0" w:line="240" w:lineRule="auto"/>
      </w:pPr>
      <w:r>
        <w:separator/>
      </w:r>
    </w:p>
    <w:p w14:paraId="7E51C5EE" w14:textId="77777777" w:rsidR="00FE40CE" w:rsidRDefault="00FE40CE"/>
  </w:footnote>
  <w:footnote w:type="continuationSeparator" w:id="0">
    <w:p w14:paraId="3D4A33C8" w14:textId="77777777" w:rsidR="00FE40CE" w:rsidRDefault="00FE40CE" w:rsidP="002D711A">
      <w:pPr>
        <w:spacing w:after="0" w:line="240" w:lineRule="auto"/>
      </w:pPr>
      <w:r>
        <w:continuationSeparator/>
      </w:r>
    </w:p>
    <w:p w14:paraId="62B14989" w14:textId="77777777" w:rsidR="00FE40CE" w:rsidRDefault="00FE40CE"/>
  </w:footnote>
  <w:footnote w:id="1">
    <w:p w14:paraId="599BF3B5" w14:textId="77777777" w:rsidR="00D802BF" w:rsidRDefault="00D802BF">
      <w:pPr>
        <w:pStyle w:val="FootnoteText"/>
      </w:pPr>
      <w:r w:rsidRPr="000F0E60">
        <w:rPr>
          <w:rStyle w:val="FootnoteReference"/>
          <w:sz w:val="18"/>
        </w:rPr>
        <w:footnoteRef/>
      </w:r>
      <w:r w:rsidRPr="000F0E60">
        <w:rPr>
          <w:sz w:val="18"/>
        </w:rPr>
        <w:t xml:space="preserve"> 1 January 2019 for 31 December year-end reporters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A6C3" w14:textId="77777777" w:rsidR="00D802BF" w:rsidRPr="0041689E" w:rsidRDefault="00D802BF" w:rsidP="005828FE">
    <w:pPr>
      <w:pStyle w:val="Header"/>
      <w:tabs>
        <w:tab w:val="clear" w:pos="9026"/>
      </w:tabs>
      <w:ind w:right="-694"/>
      <w:jc w:val="right"/>
    </w:pPr>
    <w:r>
      <w:rPr>
        <w:noProof/>
      </w:rPr>
      <w:drawing>
        <wp:inline distT="0" distB="0" distL="0" distR="0" wp14:anchorId="1C48540D" wp14:editId="1DCD3DD5">
          <wp:extent cx="813816" cy="46634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4DDF54B1" w14:textId="77777777" w:rsidR="00D802BF" w:rsidRDefault="00D802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E76"/>
    <w:multiLevelType w:val="hybridMultilevel"/>
    <w:tmpl w:val="504CDD52"/>
    <w:lvl w:ilvl="0" w:tplc="07DE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B24A4"/>
    <w:multiLevelType w:val="hybridMultilevel"/>
    <w:tmpl w:val="D4D0D750"/>
    <w:lvl w:ilvl="0" w:tplc="07DE16E0">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B11E9B"/>
    <w:multiLevelType w:val="hybridMultilevel"/>
    <w:tmpl w:val="6A268DA2"/>
    <w:lvl w:ilvl="0" w:tplc="7AC67B76">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303411"/>
    <w:multiLevelType w:val="hybridMultilevel"/>
    <w:tmpl w:val="3AB8F404"/>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745546"/>
    <w:multiLevelType w:val="hybridMultilevel"/>
    <w:tmpl w:val="4B323B16"/>
    <w:lvl w:ilvl="0" w:tplc="07DE16E0">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BA4710"/>
    <w:multiLevelType w:val="hybridMultilevel"/>
    <w:tmpl w:val="E20C7834"/>
    <w:lvl w:ilvl="0" w:tplc="07DE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1D3581B"/>
    <w:multiLevelType w:val="hybridMultilevel"/>
    <w:tmpl w:val="84CABA60"/>
    <w:lvl w:ilvl="0" w:tplc="07DE16E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1F63BFE"/>
    <w:multiLevelType w:val="hybridMultilevel"/>
    <w:tmpl w:val="406CC5E0"/>
    <w:lvl w:ilvl="0" w:tplc="3D8A26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34266B"/>
    <w:multiLevelType w:val="hybridMultilevel"/>
    <w:tmpl w:val="15ACA584"/>
    <w:lvl w:ilvl="0" w:tplc="07DE16E0">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D9629F4"/>
    <w:multiLevelType w:val="hybridMultilevel"/>
    <w:tmpl w:val="EFB80FF6"/>
    <w:lvl w:ilvl="0" w:tplc="07DE16E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AB28B3"/>
    <w:multiLevelType w:val="hybridMultilevel"/>
    <w:tmpl w:val="0A861A86"/>
    <w:lvl w:ilvl="0" w:tplc="12D2887A">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16"/>
  </w:num>
  <w:num w:numId="5">
    <w:abstractNumId w:val="7"/>
  </w:num>
  <w:num w:numId="6">
    <w:abstractNumId w:val="7"/>
  </w:num>
  <w:num w:numId="7">
    <w:abstractNumId w:val="7"/>
  </w:num>
  <w:num w:numId="8">
    <w:abstractNumId w:val="7"/>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4"/>
  </w:num>
  <w:num w:numId="18">
    <w:abstractNumId w:val="4"/>
  </w:num>
  <w:num w:numId="19">
    <w:abstractNumId w:val="8"/>
  </w:num>
  <w:num w:numId="20">
    <w:abstractNumId w:val="15"/>
  </w:num>
  <w:num w:numId="21">
    <w:abstractNumId w:val="15"/>
  </w:num>
  <w:num w:numId="22">
    <w:abstractNumId w:val="10"/>
  </w:num>
  <w:num w:numId="23">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3"/>
  </w:num>
  <w:num w:numId="30">
    <w:abstractNumId w:val="0"/>
  </w:num>
  <w:num w:numId="31">
    <w:abstractNumId w:val="3"/>
  </w:num>
  <w:num w:numId="32">
    <w:abstractNumId w:val="6"/>
  </w:num>
  <w:num w:numId="33">
    <w:abstractNumId w:val="9"/>
  </w:num>
  <w:num w:numId="34">
    <w:abstractNumId w:val="12"/>
  </w:num>
  <w:num w:numId="35">
    <w:abstractNumId w:val="5"/>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5136"/>
    <w:rsid w:val="0000176A"/>
    <w:rsid w:val="0000670B"/>
    <w:rsid w:val="00012F6F"/>
    <w:rsid w:val="00014213"/>
    <w:rsid w:val="00014B55"/>
    <w:rsid w:val="00020E3E"/>
    <w:rsid w:val="00023BF3"/>
    <w:rsid w:val="00026811"/>
    <w:rsid w:val="0004356D"/>
    <w:rsid w:val="00045296"/>
    <w:rsid w:val="00056B1B"/>
    <w:rsid w:val="00067A61"/>
    <w:rsid w:val="00075E6C"/>
    <w:rsid w:val="000836ED"/>
    <w:rsid w:val="00084DF9"/>
    <w:rsid w:val="000B29AD"/>
    <w:rsid w:val="000C6372"/>
    <w:rsid w:val="000D65AA"/>
    <w:rsid w:val="000E138E"/>
    <w:rsid w:val="000E392D"/>
    <w:rsid w:val="000F0E60"/>
    <w:rsid w:val="000F4288"/>
    <w:rsid w:val="000F7165"/>
    <w:rsid w:val="00102379"/>
    <w:rsid w:val="00105A3E"/>
    <w:rsid w:val="001065D6"/>
    <w:rsid w:val="00106E44"/>
    <w:rsid w:val="00117C6B"/>
    <w:rsid w:val="00121252"/>
    <w:rsid w:val="00124609"/>
    <w:rsid w:val="001254CE"/>
    <w:rsid w:val="001302DE"/>
    <w:rsid w:val="00131E93"/>
    <w:rsid w:val="00134CEA"/>
    <w:rsid w:val="001422CC"/>
    <w:rsid w:val="00154FDB"/>
    <w:rsid w:val="001617B6"/>
    <w:rsid w:val="00165E66"/>
    <w:rsid w:val="001A104F"/>
    <w:rsid w:val="001B6CFC"/>
    <w:rsid w:val="001C434B"/>
    <w:rsid w:val="001C7BAE"/>
    <w:rsid w:val="001D761E"/>
    <w:rsid w:val="001E31FA"/>
    <w:rsid w:val="001E64F6"/>
    <w:rsid w:val="00204CB9"/>
    <w:rsid w:val="00215F7C"/>
    <w:rsid w:val="00216111"/>
    <w:rsid w:val="00222BEB"/>
    <w:rsid w:val="00225E60"/>
    <w:rsid w:val="00230718"/>
    <w:rsid w:val="00231BD3"/>
    <w:rsid w:val="0023202C"/>
    <w:rsid w:val="00236203"/>
    <w:rsid w:val="00245043"/>
    <w:rsid w:val="00255060"/>
    <w:rsid w:val="00256799"/>
    <w:rsid w:val="00257760"/>
    <w:rsid w:val="00263620"/>
    <w:rsid w:val="002652B7"/>
    <w:rsid w:val="002752C5"/>
    <w:rsid w:val="00282734"/>
    <w:rsid w:val="00286F9A"/>
    <w:rsid w:val="00292D36"/>
    <w:rsid w:val="00293853"/>
    <w:rsid w:val="00297281"/>
    <w:rsid w:val="002A4004"/>
    <w:rsid w:val="002A79B8"/>
    <w:rsid w:val="002C54E0"/>
    <w:rsid w:val="002D711A"/>
    <w:rsid w:val="002D7336"/>
    <w:rsid w:val="002E2D77"/>
    <w:rsid w:val="002E3396"/>
    <w:rsid w:val="002F6CE3"/>
    <w:rsid w:val="0031149C"/>
    <w:rsid w:val="00314751"/>
    <w:rsid w:val="00321AC8"/>
    <w:rsid w:val="003225E4"/>
    <w:rsid w:val="00323011"/>
    <w:rsid w:val="00323E3A"/>
    <w:rsid w:val="00361426"/>
    <w:rsid w:val="0036564B"/>
    <w:rsid w:val="00382EE1"/>
    <w:rsid w:val="003853FE"/>
    <w:rsid w:val="00385422"/>
    <w:rsid w:val="0038771C"/>
    <w:rsid w:val="0039405B"/>
    <w:rsid w:val="003A1C92"/>
    <w:rsid w:val="003A541A"/>
    <w:rsid w:val="003A6923"/>
    <w:rsid w:val="003A7B33"/>
    <w:rsid w:val="003B3497"/>
    <w:rsid w:val="003C2C67"/>
    <w:rsid w:val="003C43A5"/>
    <w:rsid w:val="003C5BA4"/>
    <w:rsid w:val="003E3E26"/>
    <w:rsid w:val="003F1295"/>
    <w:rsid w:val="003F18B7"/>
    <w:rsid w:val="003F76FC"/>
    <w:rsid w:val="004002EB"/>
    <w:rsid w:val="0041689E"/>
    <w:rsid w:val="00421F2E"/>
    <w:rsid w:val="004236C8"/>
    <w:rsid w:val="00427681"/>
    <w:rsid w:val="00433DB7"/>
    <w:rsid w:val="00446917"/>
    <w:rsid w:val="00453750"/>
    <w:rsid w:val="00456941"/>
    <w:rsid w:val="00462C87"/>
    <w:rsid w:val="00464F7E"/>
    <w:rsid w:val="0046697B"/>
    <w:rsid w:val="004702EA"/>
    <w:rsid w:val="00476186"/>
    <w:rsid w:val="00482D02"/>
    <w:rsid w:val="00486074"/>
    <w:rsid w:val="00486B46"/>
    <w:rsid w:val="004A7519"/>
    <w:rsid w:val="004D3518"/>
    <w:rsid w:val="004D62D6"/>
    <w:rsid w:val="004D71D7"/>
    <w:rsid w:val="004F163E"/>
    <w:rsid w:val="004F18D3"/>
    <w:rsid w:val="004F6445"/>
    <w:rsid w:val="00501E95"/>
    <w:rsid w:val="005053DF"/>
    <w:rsid w:val="00511C26"/>
    <w:rsid w:val="00520BBC"/>
    <w:rsid w:val="0053416C"/>
    <w:rsid w:val="00541C2F"/>
    <w:rsid w:val="00554086"/>
    <w:rsid w:val="00563527"/>
    <w:rsid w:val="00565CF3"/>
    <w:rsid w:val="0057703D"/>
    <w:rsid w:val="0058124E"/>
    <w:rsid w:val="0058248F"/>
    <w:rsid w:val="005828FE"/>
    <w:rsid w:val="005875A3"/>
    <w:rsid w:val="00592596"/>
    <w:rsid w:val="005A3416"/>
    <w:rsid w:val="005A6827"/>
    <w:rsid w:val="005B27FE"/>
    <w:rsid w:val="005C3E6D"/>
    <w:rsid w:val="005D51F0"/>
    <w:rsid w:val="005D57F9"/>
    <w:rsid w:val="005F61DF"/>
    <w:rsid w:val="005F681F"/>
    <w:rsid w:val="006023F9"/>
    <w:rsid w:val="00602837"/>
    <w:rsid w:val="00610559"/>
    <w:rsid w:val="006332F6"/>
    <w:rsid w:val="00634DE6"/>
    <w:rsid w:val="006519F6"/>
    <w:rsid w:val="00652625"/>
    <w:rsid w:val="006534B2"/>
    <w:rsid w:val="0065615D"/>
    <w:rsid w:val="00657011"/>
    <w:rsid w:val="00663D13"/>
    <w:rsid w:val="006650B5"/>
    <w:rsid w:val="006651B1"/>
    <w:rsid w:val="00665778"/>
    <w:rsid w:val="00671A67"/>
    <w:rsid w:val="00684285"/>
    <w:rsid w:val="006A5B34"/>
    <w:rsid w:val="006A5F5B"/>
    <w:rsid w:val="006A7F4E"/>
    <w:rsid w:val="006B2873"/>
    <w:rsid w:val="006B7B6F"/>
    <w:rsid w:val="006C77A9"/>
    <w:rsid w:val="006C78FB"/>
    <w:rsid w:val="006D66F9"/>
    <w:rsid w:val="006D7907"/>
    <w:rsid w:val="006E4620"/>
    <w:rsid w:val="006F6693"/>
    <w:rsid w:val="00700118"/>
    <w:rsid w:val="0070117D"/>
    <w:rsid w:val="00707FE8"/>
    <w:rsid w:val="00724962"/>
    <w:rsid w:val="00724A0F"/>
    <w:rsid w:val="00732162"/>
    <w:rsid w:val="00736732"/>
    <w:rsid w:val="00740302"/>
    <w:rsid w:val="0074281E"/>
    <w:rsid w:val="00745174"/>
    <w:rsid w:val="00750CBE"/>
    <w:rsid w:val="00766B5A"/>
    <w:rsid w:val="00767E96"/>
    <w:rsid w:val="007834F2"/>
    <w:rsid w:val="00787FA0"/>
    <w:rsid w:val="00791020"/>
    <w:rsid w:val="007A5F82"/>
    <w:rsid w:val="007C2148"/>
    <w:rsid w:val="007D1918"/>
    <w:rsid w:val="007F1A4C"/>
    <w:rsid w:val="008022C3"/>
    <w:rsid w:val="008041E6"/>
    <w:rsid w:val="008065D2"/>
    <w:rsid w:val="00816D19"/>
    <w:rsid w:val="0082194C"/>
    <w:rsid w:val="008220C4"/>
    <w:rsid w:val="008222FF"/>
    <w:rsid w:val="008241FF"/>
    <w:rsid w:val="008411E9"/>
    <w:rsid w:val="0084200F"/>
    <w:rsid w:val="00843B2C"/>
    <w:rsid w:val="00863669"/>
    <w:rsid w:val="0088781E"/>
    <w:rsid w:val="00890EAD"/>
    <w:rsid w:val="008A4900"/>
    <w:rsid w:val="008B2A17"/>
    <w:rsid w:val="008B5963"/>
    <w:rsid w:val="008C63EE"/>
    <w:rsid w:val="008D0281"/>
    <w:rsid w:val="008E3C4E"/>
    <w:rsid w:val="008F4D7A"/>
    <w:rsid w:val="008F6D45"/>
    <w:rsid w:val="009016D9"/>
    <w:rsid w:val="009149DF"/>
    <w:rsid w:val="00915A6A"/>
    <w:rsid w:val="00942CF8"/>
    <w:rsid w:val="00950D8F"/>
    <w:rsid w:val="00957221"/>
    <w:rsid w:val="00962BE9"/>
    <w:rsid w:val="00963C94"/>
    <w:rsid w:val="009834C0"/>
    <w:rsid w:val="00986322"/>
    <w:rsid w:val="00986AAC"/>
    <w:rsid w:val="0099093E"/>
    <w:rsid w:val="009A1DA2"/>
    <w:rsid w:val="009A3704"/>
    <w:rsid w:val="009A3830"/>
    <w:rsid w:val="009A4739"/>
    <w:rsid w:val="009A674F"/>
    <w:rsid w:val="009B199C"/>
    <w:rsid w:val="009B54C8"/>
    <w:rsid w:val="009B61F1"/>
    <w:rsid w:val="009B62E0"/>
    <w:rsid w:val="009C3D88"/>
    <w:rsid w:val="009C503D"/>
    <w:rsid w:val="009E3858"/>
    <w:rsid w:val="009E70DD"/>
    <w:rsid w:val="009F2ED9"/>
    <w:rsid w:val="009F3231"/>
    <w:rsid w:val="009F5C58"/>
    <w:rsid w:val="009F74B9"/>
    <w:rsid w:val="00A023A0"/>
    <w:rsid w:val="00A03F5F"/>
    <w:rsid w:val="00A11570"/>
    <w:rsid w:val="00A1562B"/>
    <w:rsid w:val="00A170F4"/>
    <w:rsid w:val="00A2317B"/>
    <w:rsid w:val="00A2559E"/>
    <w:rsid w:val="00A25FD9"/>
    <w:rsid w:val="00A407E7"/>
    <w:rsid w:val="00A46BA8"/>
    <w:rsid w:val="00A47634"/>
    <w:rsid w:val="00A516DE"/>
    <w:rsid w:val="00A612FE"/>
    <w:rsid w:val="00A736BE"/>
    <w:rsid w:val="00A92D26"/>
    <w:rsid w:val="00AA26B8"/>
    <w:rsid w:val="00AA4D53"/>
    <w:rsid w:val="00AB3FE2"/>
    <w:rsid w:val="00AB6DBD"/>
    <w:rsid w:val="00AC11CF"/>
    <w:rsid w:val="00AC4B9D"/>
    <w:rsid w:val="00AD3322"/>
    <w:rsid w:val="00AD6620"/>
    <w:rsid w:val="00AD7E4E"/>
    <w:rsid w:val="00AE394A"/>
    <w:rsid w:val="00AE5B31"/>
    <w:rsid w:val="00AF0852"/>
    <w:rsid w:val="00AF3D47"/>
    <w:rsid w:val="00AF48A0"/>
    <w:rsid w:val="00AF4D58"/>
    <w:rsid w:val="00AF6666"/>
    <w:rsid w:val="00AF7E31"/>
    <w:rsid w:val="00B10154"/>
    <w:rsid w:val="00B6366E"/>
    <w:rsid w:val="00B6751B"/>
    <w:rsid w:val="00B6781A"/>
    <w:rsid w:val="00B73A00"/>
    <w:rsid w:val="00B81B44"/>
    <w:rsid w:val="00B85B3A"/>
    <w:rsid w:val="00B9053B"/>
    <w:rsid w:val="00B93C44"/>
    <w:rsid w:val="00BC3422"/>
    <w:rsid w:val="00BC6691"/>
    <w:rsid w:val="00BD1B6B"/>
    <w:rsid w:val="00BE0731"/>
    <w:rsid w:val="00BF6E2B"/>
    <w:rsid w:val="00C015B9"/>
    <w:rsid w:val="00C022F9"/>
    <w:rsid w:val="00C032EA"/>
    <w:rsid w:val="00C04715"/>
    <w:rsid w:val="00C06EB5"/>
    <w:rsid w:val="00C1145F"/>
    <w:rsid w:val="00C15136"/>
    <w:rsid w:val="00C326F5"/>
    <w:rsid w:val="00C637E1"/>
    <w:rsid w:val="00C70D50"/>
    <w:rsid w:val="00C73DBC"/>
    <w:rsid w:val="00C83499"/>
    <w:rsid w:val="00C907D7"/>
    <w:rsid w:val="00C92338"/>
    <w:rsid w:val="00C96C85"/>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60F91"/>
    <w:rsid w:val="00D62DA0"/>
    <w:rsid w:val="00D63704"/>
    <w:rsid w:val="00D718D7"/>
    <w:rsid w:val="00D802BF"/>
    <w:rsid w:val="00D814B7"/>
    <w:rsid w:val="00D90688"/>
    <w:rsid w:val="00DA3AAD"/>
    <w:rsid w:val="00DA7832"/>
    <w:rsid w:val="00DB312B"/>
    <w:rsid w:val="00DC5654"/>
    <w:rsid w:val="00DC658F"/>
    <w:rsid w:val="00DD248C"/>
    <w:rsid w:val="00DD2A31"/>
    <w:rsid w:val="00DD5CD6"/>
    <w:rsid w:val="00DD5EB6"/>
    <w:rsid w:val="00DE60CC"/>
    <w:rsid w:val="00DF099C"/>
    <w:rsid w:val="00DF5B90"/>
    <w:rsid w:val="00E00D9D"/>
    <w:rsid w:val="00E122DB"/>
    <w:rsid w:val="00E1551F"/>
    <w:rsid w:val="00E20142"/>
    <w:rsid w:val="00E24266"/>
    <w:rsid w:val="00E244D0"/>
    <w:rsid w:val="00E26B32"/>
    <w:rsid w:val="00E30E0A"/>
    <w:rsid w:val="00E3232B"/>
    <w:rsid w:val="00E407B6"/>
    <w:rsid w:val="00E41124"/>
    <w:rsid w:val="00E41EF1"/>
    <w:rsid w:val="00E42942"/>
    <w:rsid w:val="00E468A6"/>
    <w:rsid w:val="00E46F27"/>
    <w:rsid w:val="00E708E4"/>
    <w:rsid w:val="00E71BDF"/>
    <w:rsid w:val="00E83CA7"/>
    <w:rsid w:val="00E92177"/>
    <w:rsid w:val="00EA03A3"/>
    <w:rsid w:val="00EB24C0"/>
    <w:rsid w:val="00EC171D"/>
    <w:rsid w:val="00ED487E"/>
    <w:rsid w:val="00EE7A0D"/>
    <w:rsid w:val="00EF2ABF"/>
    <w:rsid w:val="00F11776"/>
    <w:rsid w:val="00F137EB"/>
    <w:rsid w:val="00F17CE1"/>
    <w:rsid w:val="00F2115C"/>
    <w:rsid w:val="00F22ABA"/>
    <w:rsid w:val="00F23366"/>
    <w:rsid w:val="00F36B12"/>
    <w:rsid w:val="00F4284C"/>
    <w:rsid w:val="00F55AF4"/>
    <w:rsid w:val="00F60D99"/>
    <w:rsid w:val="00F60F9F"/>
    <w:rsid w:val="00F64F08"/>
    <w:rsid w:val="00F677F1"/>
    <w:rsid w:val="00F734F5"/>
    <w:rsid w:val="00F86F67"/>
    <w:rsid w:val="00F966B1"/>
    <w:rsid w:val="00F97D48"/>
    <w:rsid w:val="00FA0311"/>
    <w:rsid w:val="00FA1680"/>
    <w:rsid w:val="00FB1EC9"/>
    <w:rsid w:val="00FC11D7"/>
    <w:rsid w:val="00FC42E5"/>
    <w:rsid w:val="00FD1AC3"/>
    <w:rsid w:val="00FD60B6"/>
    <w:rsid w:val="00FD640F"/>
    <w:rsid w:val="00FD6B4C"/>
    <w:rsid w:val="00FE21B4"/>
    <w:rsid w:val="00FE40CE"/>
    <w:rsid w:val="00FE7818"/>
    <w:rsid w:val="00FE782F"/>
    <w:rsid w:val="00FF051E"/>
    <w:rsid w:val="00FF1121"/>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3ED8"/>
  <w15:docId w15:val="{CA01FE6C-1DF0-4772-924E-991CF88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UnresolvedMention">
    <w:name w:val="Unresolved Mention"/>
    <w:basedOn w:val="DefaultParagraphFont"/>
    <w:uiPriority w:val="99"/>
    <w:semiHidden/>
    <w:unhideWhenUsed/>
    <w:rsid w:val="00486B46"/>
    <w:rPr>
      <w:color w:val="605E5C"/>
      <w:shd w:val="clear" w:color="auto" w:fill="E1DFDD"/>
    </w:rPr>
  </w:style>
  <w:style w:type="paragraph" w:styleId="FootnoteText">
    <w:name w:val="footnote text"/>
    <w:basedOn w:val="Normal"/>
    <w:link w:val="FootnoteTextChar"/>
    <w:uiPriority w:val="99"/>
    <w:semiHidden/>
    <w:unhideWhenUsed/>
    <w:rsid w:val="000F0E60"/>
    <w:pPr>
      <w:spacing w:before="0" w:after="0" w:line="240" w:lineRule="auto"/>
    </w:pPr>
    <w:rPr>
      <w:sz w:val="20"/>
    </w:rPr>
  </w:style>
  <w:style w:type="character" w:customStyle="1" w:styleId="FootnoteTextChar">
    <w:name w:val="Footnote Text Char"/>
    <w:basedOn w:val="DefaultParagraphFont"/>
    <w:link w:val="FootnoteText"/>
    <w:uiPriority w:val="99"/>
    <w:semiHidden/>
    <w:rsid w:val="000F0E60"/>
    <w:rPr>
      <w:spacing w:val="2"/>
    </w:rPr>
  </w:style>
  <w:style w:type="character" w:styleId="FootnoteReference">
    <w:name w:val="footnote reference"/>
    <w:basedOn w:val="DefaultParagraphFont"/>
    <w:uiPriority w:val="99"/>
    <w:semiHidden/>
    <w:unhideWhenUsed/>
    <w:rsid w:val="000F0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tf.vic.gov.au/Publications/Government-Financial-Management-publications/Financial-Reporting-Policy/Model-Repor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1B643-7003-465E-A99C-7A11E15F0673}">
  <ds:schemaRefs>
    <ds:schemaRef ds:uri="http://www.w3.org/2001/XMLSchema"/>
  </ds:schemaRefs>
</ds:datastoreItem>
</file>

<file path=customXml/itemProps2.xml><?xml version="1.0" encoding="utf-8"?>
<ds:datastoreItem xmlns:ds="http://schemas.openxmlformats.org/officeDocument/2006/customXml" ds:itemID="{1D4BEF07-0823-4E22-B16D-9B815C7E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19</TotalTime>
  <Pages>5</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McGowan (DTF)</dc:creator>
  <cp:lastModifiedBy>Thomas McGowan (DTF)</cp:lastModifiedBy>
  <cp:revision>16</cp:revision>
  <cp:lastPrinted>2020-01-06T03:56:00Z</cp:lastPrinted>
  <dcterms:created xsi:type="dcterms:W3CDTF">2019-10-30T00:42:00Z</dcterms:created>
  <dcterms:modified xsi:type="dcterms:W3CDTF">2020-04-06T01:48:00Z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thomas.mcgowan@dtf.vic.gov.au</vt:lpwstr>
  </property>
  <property fmtid="{D5CDD505-2E9C-101B-9397-08002B2CF9AE}" pid="7" name="MSIP_Label_7158ebbd-6c5e-441f-bfc9-4eb8c11e3978_SetDate">
    <vt:lpwstr>2019-07-31T03:57:59.5058811Z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