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2BEDF5F5"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68382235" w14:textId="4C6BFA7B" w:rsidR="006C78FB" w:rsidRPr="00231BD3" w:rsidRDefault="006C78FB" w:rsidP="00622257">
            <w:pPr>
              <w:pStyle w:val="FRDNumber"/>
            </w:pPr>
            <w:r w:rsidRPr="00231BD3">
              <w:t xml:space="preserve">FRD </w:t>
            </w:r>
            <w:r w:rsidR="008049A8">
              <w:t>123</w:t>
            </w:r>
          </w:p>
        </w:tc>
        <w:tc>
          <w:tcPr>
            <w:tcW w:w="270" w:type="dxa"/>
          </w:tcPr>
          <w:p w14:paraId="4C853D12" w14:textId="77777777" w:rsidR="006C78FB" w:rsidRPr="00231BD3" w:rsidRDefault="006C78FB" w:rsidP="00622257"/>
        </w:tc>
        <w:tc>
          <w:tcPr>
            <w:tcW w:w="540" w:type="dxa"/>
          </w:tcPr>
          <w:p w14:paraId="2E84B202" w14:textId="77777777" w:rsidR="006C78FB" w:rsidRPr="00231BD3" w:rsidRDefault="006C78FB" w:rsidP="00622257"/>
        </w:tc>
        <w:tc>
          <w:tcPr>
            <w:tcW w:w="6134" w:type="dxa"/>
          </w:tcPr>
          <w:p w14:paraId="33ADC1BB" w14:textId="0E34EE98" w:rsidR="006C78FB" w:rsidRPr="004D2B7F" w:rsidRDefault="004D2B7F" w:rsidP="00622257">
            <w:pPr>
              <w:pStyle w:val="FRDHeader"/>
              <w:rPr>
                <w:i/>
              </w:rPr>
            </w:pPr>
            <w:r>
              <w:t xml:space="preserve">Transitional </w:t>
            </w:r>
            <w:r w:rsidR="00F52DC2">
              <w:t>r</w:t>
            </w:r>
            <w:r>
              <w:t xml:space="preserve">equirements </w:t>
            </w:r>
            <w:r w:rsidR="002C55D8">
              <w:t xml:space="preserve">on the application </w:t>
            </w:r>
            <w:r>
              <w:t xml:space="preserve">of AASB 16 </w:t>
            </w:r>
            <w:r>
              <w:rPr>
                <w:i/>
              </w:rPr>
              <w:t>Leases</w:t>
            </w:r>
            <w:r w:rsidR="00D532EE">
              <w:rPr>
                <w:i/>
              </w:rPr>
              <w:t xml:space="preserve"> (March 2020)</w:t>
            </w:r>
          </w:p>
        </w:tc>
      </w:tr>
      <w:tr w:rsidR="006C78FB" w:rsidRPr="00E10ADB" w14:paraId="268A97D3" w14:textId="77777777" w:rsidTr="00622257">
        <w:trPr>
          <w:trHeight w:hRule="exact" w:val="120"/>
        </w:trPr>
        <w:tc>
          <w:tcPr>
            <w:tcW w:w="2293" w:type="dxa"/>
          </w:tcPr>
          <w:p w14:paraId="6301755E" w14:textId="77777777" w:rsidR="006C78FB" w:rsidRPr="008A601F" w:rsidRDefault="006C78FB" w:rsidP="00622257">
            <w:pPr>
              <w:pStyle w:val="Tabletext"/>
            </w:pPr>
          </w:p>
        </w:tc>
        <w:tc>
          <w:tcPr>
            <w:tcW w:w="270" w:type="dxa"/>
          </w:tcPr>
          <w:p w14:paraId="4A008E49" w14:textId="77777777" w:rsidR="006C78FB" w:rsidRPr="008A601F" w:rsidRDefault="006C78FB" w:rsidP="006D66F9">
            <w:pPr>
              <w:pStyle w:val="Normalgrey"/>
            </w:pPr>
          </w:p>
        </w:tc>
        <w:tc>
          <w:tcPr>
            <w:tcW w:w="540" w:type="dxa"/>
          </w:tcPr>
          <w:p w14:paraId="125F5905" w14:textId="77777777" w:rsidR="006C78FB" w:rsidRPr="008A601F" w:rsidRDefault="006C78FB" w:rsidP="00622257"/>
        </w:tc>
        <w:tc>
          <w:tcPr>
            <w:tcW w:w="6134" w:type="dxa"/>
          </w:tcPr>
          <w:p w14:paraId="6EE6C7C4" w14:textId="77777777" w:rsidR="006C78FB" w:rsidRPr="008A601F" w:rsidRDefault="006C78FB" w:rsidP="00622257"/>
        </w:tc>
      </w:tr>
      <w:tr w:rsidR="005828FE" w:rsidRPr="005828FE" w14:paraId="7F201DDB" w14:textId="77777777" w:rsidTr="00622257">
        <w:tc>
          <w:tcPr>
            <w:tcW w:w="2293" w:type="dxa"/>
          </w:tcPr>
          <w:p w14:paraId="2DEF499A" w14:textId="77777777" w:rsidR="006C78FB" w:rsidRPr="005828FE" w:rsidRDefault="006C78FB" w:rsidP="00382EE1">
            <w:pPr>
              <w:pStyle w:val="Normalgrey"/>
            </w:pPr>
            <w:r w:rsidRPr="005828FE">
              <w:t>Purpose</w:t>
            </w:r>
          </w:p>
        </w:tc>
        <w:tc>
          <w:tcPr>
            <w:tcW w:w="270" w:type="dxa"/>
          </w:tcPr>
          <w:p w14:paraId="4FE76B84" w14:textId="77777777" w:rsidR="006C78FB" w:rsidRPr="005828FE" w:rsidRDefault="006C78FB" w:rsidP="00286F9A">
            <w:pPr>
              <w:pStyle w:val="Normalgrey"/>
            </w:pPr>
          </w:p>
        </w:tc>
        <w:tc>
          <w:tcPr>
            <w:tcW w:w="540" w:type="dxa"/>
          </w:tcPr>
          <w:p w14:paraId="7C14873C" w14:textId="77777777" w:rsidR="006C78FB" w:rsidRPr="00972664" w:rsidRDefault="00972664" w:rsidP="00972664">
            <w:pPr>
              <w:pStyle w:val="Refnum2"/>
              <w:ind w:left="504" w:hanging="504"/>
              <w:jc w:val="both"/>
              <w:rPr>
                <w:color w:val="595959" w:themeColor="text1" w:themeTint="A6"/>
              </w:rPr>
            </w:pPr>
            <w:r>
              <w:rPr>
                <w:color w:val="595959" w:themeColor="text1" w:themeTint="A6"/>
              </w:rPr>
              <w:t>1.1</w:t>
            </w:r>
          </w:p>
        </w:tc>
        <w:tc>
          <w:tcPr>
            <w:tcW w:w="6134" w:type="dxa"/>
          </w:tcPr>
          <w:p w14:paraId="3A94F24C" w14:textId="23D43635" w:rsidR="006C78FB" w:rsidRPr="005828FE" w:rsidRDefault="00A443E0" w:rsidP="00382EE1">
            <w:pPr>
              <w:pStyle w:val="Normalgrey"/>
            </w:pPr>
            <w:r>
              <w:t>To prescribe the</w:t>
            </w:r>
            <w:r w:rsidR="00BA31F7">
              <w:t xml:space="preserve"> </w:t>
            </w:r>
            <w:r w:rsidR="006A09E1">
              <w:t xml:space="preserve">accounting for </w:t>
            </w:r>
            <w:r w:rsidR="00BA31F7">
              <w:t xml:space="preserve">transition </w:t>
            </w:r>
            <w:r w:rsidR="00215746">
              <w:t>requirements</w:t>
            </w:r>
            <w:r w:rsidR="00BA31F7">
              <w:t xml:space="preserve"> on the application of AASB 16 </w:t>
            </w:r>
            <w:r w:rsidR="00BA31F7" w:rsidRPr="00BA31F7">
              <w:rPr>
                <w:i/>
              </w:rPr>
              <w:t>Leases</w:t>
            </w:r>
            <w:r>
              <w:t>.</w:t>
            </w:r>
          </w:p>
        </w:tc>
      </w:tr>
      <w:tr w:rsidR="006C78FB" w:rsidRPr="005828FE" w14:paraId="01BFDA99" w14:textId="77777777" w:rsidTr="00963C94">
        <w:tc>
          <w:tcPr>
            <w:tcW w:w="2293" w:type="dxa"/>
            <w:shd w:val="clear" w:color="auto" w:fill="F2F2F2" w:themeFill="background1" w:themeFillShade="F2"/>
          </w:tcPr>
          <w:p w14:paraId="0E264902" w14:textId="681F2CF8" w:rsidR="006C78FB" w:rsidRPr="005828FE" w:rsidRDefault="006C78FB" w:rsidP="00A516DE">
            <w:pPr>
              <w:pStyle w:val="Normalbold"/>
            </w:pPr>
            <w:r w:rsidRPr="005828FE">
              <w:t>Application</w:t>
            </w:r>
          </w:p>
        </w:tc>
        <w:tc>
          <w:tcPr>
            <w:tcW w:w="270" w:type="dxa"/>
            <w:shd w:val="clear" w:color="auto" w:fill="F2F2F2" w:themeFill="background1" w:themeFillShade="F2"/>
          </w:tcPr>
          <w:p w14:paraId="6DCB7B4F" w14:textId="77777777" w:rsidR="006C78FB" w:rsidRPr="008B2A17" w:rsidRDefault="006C78FB" w:rsidP="00286F9A">
            <w:pPr>
              <w:pStyle w:val="Normalgrey"/>
            </w:pPr>
          </w:p>
        </w:tc>
        <w:tc>
          <w:tcPr>
            <w:tcW w:w="540" w:type="dxa"/>
            <w:shd w:val="clear" w:color="auto" w:fill="F2F2F2" w:themeFill="background1" w:themeFillShade="F2"/>
          </w:tcPr>
          <w:p w14:paraId="32467EA2" w14:textId="77777777" w:rsidR="006C78FB" w:rsidRPr="005828FE" w:rsidRDefault="00972664" w:rsidP="00286F9A">
            <w:pPr>
              <w:pStyle w:val="Normalgrey"/>
            </w:pPr>
            <w:r>
              <w:t>2.1</w:t>
            </w:r>
          </w:p>
        </w:tc>
        <w:tc>
          <w:tcPr>
            <w:tcW w:w="6134" w:type="dxa"/>
            <w:shd w:val="clear" w:color="auto" w:fill="F2F2F2" w:themeFill="background1" w:themeFillShade="F2"/>
          </w:tcPr>
          <w:p w14:paraId="5574ED49" w14:textId="4BE0BA54" w:rsidR="00473A87" w:rsidRPr="005828FE" w:rsidRDefault="00473A87" w:rsidP="00A516DE">
            <w:pPr>
              <w:pStyle w:val="Normalbold"/>
            </w:pPr>
            <w:r w:rsidRPr="00A443E0">
              <w:t xml:space="preserve">Applies to all entities defined as either a public body or a department under section 3 of the </w:t>
            </w:r>
            <w:r w:rsidRPr="000D2C61">
              <w:rPr>
                <w:i/>
              </w:rPr>
              <w:t>Financial Management Act 1994</w:t>
            </w:r>
            <w:r w:rsidR="000D20F9">
              <w:rPr>
                <w:i/>
              </w:rPr>
              <w:t>,</w:t>
            </w:r>
            <w:r>
              <w:rPr>
                <w:i/>
              </w:rPr>
              <w:t xml:space="preserve"> </w:t>
            </w:r>
            <w:r w:rsidRPr="000D2C61">
              <w:t xml:space="preserve">except those entities which are not controlled by the State and whose financial position and result are thus not </w:t>
            </w:r>
            <w:r w:rsidR="000D20F9">
              <w:t xml:space="preserve">consolidated </w:t>
            </w:r>
            <w:r w:rsidRPr="000D2C61">
              <w:t>in the Annual Financial Report for the State of Victoria</w:t>
            </w:r>
            <w:r w:rsidRPr="00A443E0">
              <w:t>.</w:t>
            </w:r>
            <w:r w:rsidR="005D5044">
              <w:t xml:space="preserve"> </w:t>
            </w:r>
            <w:r w:rsidRPr="00A443E0">
              <w:t>Application by State o</w:t>
            </w:r>
            <w:r>
              <w:t>wned corporations is encouraged</w:t>
            </w:r>
            <w:r w:rsidRPr="00A443E0">
              <w:t>.</w:t>
            </w:r>
          </w:p>
        </w:tc>
      </w:tr>
      <w:tr w:rsidR="006C78FB" w:rsidRPr="005828FE" w14:paraId="733569A1" w14:textId="77777777" w:rsidTr="00963C94">
        <w:tc>
          <w:tcPr>
            <w:tcW w:w="2293" w:type="dxa"/>
            <w:shd w:val="clear" w:color="auto" w:fill="F2F2F2" w:themeFill="background1" w:themeFillShade="F2"/>
          </w:tcPr>
          <w:p w14:paraId="3831C13A"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67CE96E7" w14:textId="77777777" w:rsidR="006C78FB" w:rsidRPr="008B2A17" w:rsidRDefault="006C78FB" w:rsidP="00286F9A">
            <w:pPr>
              <w:pStyle w:val="Normalgrey"/>
            </w:pPr>
          </w:p>
        </w:tc>
        <w:tc>
          <w:tcPr>
            <w:tcW w:w="540" w:type="dxa"/>
            <w:shd w:val="clear" w:color="auto" w:fill="F2F2F2" w:themeFill="background1" w:themeFillShade="F2"/>
          </w:tcPr>
          <w:p w14:paraId="7B7FFBAC" w14:textId="77777777" w:rsidR="006C78FB" w:rsidRPr="005828FE" w:rsidRDefault="00972664" w:rsidP="00286F9A">
            <w:pPr>
              <w:pStyle w:val="Normalgrey"/>
            </w:pPr>
            <w:r>
              <w:t>3.1</w:t>
            </w:r>
          </w:p>
        </w:tc>
        <w:tc>
          <w:tcPr>
            <w:tcW w:w="6134" w:type="dxa"/>
            <w:shd w:val="clear" w:color="auto" w:fill="F2F2F2" w:themeFill="background1" w:themeFillShade="F2"/>
          </w:tcPr>
          <w:p w14:paraId="77E6FAEE" w14:textId="74E0C169" w:rsidR="006C78FB" w:rsidRPr="005828FE" w:rsidRDefault="00BA31F7" w:rsidP="00A516DE">
            <w:pPr>
              <w:pStyle w:val="Normalbold"/>
            </w:pPr>
            <w:r>
              <w:t xml:space="preserve">Annual </w:t>
            </w:r>
            <w:r w:rsidR="00A443E0">
              <w:t>Reporting periods commencing on or after 1 January 2019.</w:t>
            </w:r>
          </w:p>
        </w:tc>
      </w:tr>
      <w:tr w:rsidR="00BC6691" w:rsidRPr="005828FE" w14:paraId="676FFBB9" w14:textId="77777777" w:rsidTr="00622257">
        <w:tc>
          <w:tcPr>
            <w:tcW w:w="2293" w:type="dxa"/>
            <w:shd w:val="clear" w:color="auto" w:fill="F2F2F2" w:themeFill="background1" w:themeFillShade="F2"/>
          </w:tcPr>
          <w:p w14:paraId="6322385A" w14:textId="77777777" w:rsidR="00BC6691" w:rsidRPr="005828FE" w:rsidRDefault="00BC6691" w:rsidP="00622257">
            <w:pPr>
              <w:pStyle w:val="Normalbold"/>
            </w:pPr>
            <w:r w:rsidRPr="005828FE">
              <w:t>Requirement</w:t>
            </w:r>
            <w:r>
              <w:t>s</w:t>
            </w:r>
          </w:p>
        </w:tc>
        <w:tc>
          <w:tcPr>
            <w:tcW w:w="270" w:type="dxa"/>
            <w:shd w:val="clear" w:color="auto" w:fill="F2F2F2" w:themeFill="background1" w:themeFillShade="F2"/>
          </w:tcPr>
          <w:p w14:paraId="32D8C012" w14:textId="77777777" w:rsidR="00BC6691" w:rsidRPr="008B2A17" w:rsidRDefault="00BC6691" w:rsidP="00286F9A">
            <w:pPr>
              <w:pStyle w:val="Normalgrey"/>
            </w:pPr>
          </w:p>
        </w:tc>
        <w:tc>
          <w:tcPr>
            <w:tcW w:w="540" w:type="dxa"/>
            <w:shd w:val="clear" w:color="auto" w:fill="F2F2F2" w:themeFill="background1" w:themeFillShade="F2"/>
          </w:tcPr>
          <w:p w14:paraId="404D312E" w14:textId="77777777" w:rsidR="00BC6691" w:rsidRPr="005828FE" w:rsidRDefault="00BC6691" w:rsidP="00286F9A">
            <w:pPr>
              <w:pStyle w:val="Normalgrey"/>
            </w:pPr>
          </w:p>
        </w:tc>
        <w:tc>
          <w:tcPr>
            <w:tcW w:w="6134" w:type="dxa"/>
            <w:shd w:val="clear" w:color="auto" w:fill="F2F2F2" w:themeFill="background1" w:themeFillShade="F2"/>
          </w:tcPr>
          <w:p w14:paraId="6C6485DA" w14:textId="7064D74E" w:rsidR="006A09E1" w:rsidRPr="00775D24" w:rsidRDefault="00872AE2" w:rsidP="00775D24">
            <w:pPr>
              <w:pStyle w:val="Normalbold"/>
              <w:rPr>
                <w:u w:val="single"/>
              </w:rPr>
            </w:pPr>
            <w:r w:rsidRPr="00775D24">
              <w:rPr>
                <w:u w:val="single"/>
              </w:rPr>
              <w:t>Initial application of AASB 16</w:t>
            </w:r>
          </w:p>
        </w:tc>
      </w:tr>
      <w:tr w:rsidR="00AC30A0" w:rsidRPr="005828FE" w14:paraId="3FBB749B" w14:textId="77777777" w:rsidTr="00622257">
        <w:tc>
          <w:tcPr>
            <w:tcW w:w="2293" w:type="dxa"/>
            <w:shd w:val="clear" w:color="auto" w:fill="F2F2F2" w:themeFill="background1" w:themeFillShade="F2"/>
          </w:tcPr>
          <w:p w14:paraId="7878E821" w14:textId="77777777" w:rsidR="00AC30A0" w:rsidRPr="005828FE" w:rsidRDefault="00AC30A0" w:rsidP="00AC30A0">
            <w:pPr>
              <w:pStyle w:val="Normalbold"/>
            </w:pPr>
          </w:p>
        </w:tc>
        <w:tc>
          <w:tcPr>
            <w:tcW w:w="270" w:type="dxa"/>
            <w:shd w:val="clear" w:color="auto" w:fill="F2F2F2" w:themeFill="background1" w:themeFillShade="F2"/>
          </w:tcPr>
          <w:p w14:paraId="516E2655" w14:textId="77777777" w:rsidR="00AC30A0" w:rsidRPr="008B2A17" w:rsidRDefault="00AC30A0" w:rsidP="00AC30A0">
            <w:pPr>
              <w:pStyle w:val="Normalgrey"/>
            </w:pPr>
          </w:p>
        </w:tc>
        <w:tc>
          <w:tcPr>
            <w:tcW w:w="540" w:type="dxa"/>
            <w:shd w:val="clear" w:color="auto" w:fill="F2F2F2" w:themeFill="background1" w:themeFillShade="F2"/>
          </w:tcPr>
          <w:p w14:paraId="09C17DE6" w14:textId="0D5FDD99" w:rsidR="00AC30A0" w:rsidRPr="005828FE" w:rsidRDefault="009142B7" w:rsidP="00AC30A0">
            <w:pPr>
              <w:pStyle w:val="Normalgrey"/>
            </w:pPr>
            <w:r>
              <w:t>4.1</w:t>
            </w:r>
          </w:p>
        </w:tc>
        <w:tc>
          <w:tcPr>
            <w:tcW w:w="6134" w:type="dxa"/>
            <w:shd w:val="clear" w:color="auto" w:fill="F2F2F2" w:themeFill="background1" w:themeFillShade="F2"/>
          </w:tcPr>
          <w:p w14:paraId="29E51DAA" w14:textId="2D7F0888" w:rsidR="00AC30A0" w:rsidRDefault="00AC30A0" w:rsidP="00AC30A0">
            <w:pPr>
              <w:pStyle w:val="Normalbold"/>
            </w:pPr>
            <w:r>
              <w:t xml:space="preserve">An entity is not required to reassess whether a contract is, or contains, a lease at the date of initial application, where contracts  were previously </w:t>
            </w:r>
            <w:r w:rsidR="00FB7FB6">
              <w:t xml:space="preserve">assessed </w:t>
            </w:r>
            <w:r w:rsidR="001F19C2">
              <w:t>(</w:t>
            </w:r>
            <w:r w:rsidR="00F23768">
              <w:t>a</w:t>
            </w:r>
            <w:r w:rsidR="00523999">
              <w:t>nd identified a</w:t>
            </w:r>
            <w:r w:rsidR="00F23768">
              <w:t xml:space="preserve">s leases or </w:t>
            </w:r>
            <w:r w:rsidR="00523999">
              <w:t xml:space="preserve">not identified as leases) </w:t>
            </w:r>
            <w:r w:rsidR="00FB7FB6">
              <w:t>using the requirements under</w:t>
            </w:r>
            <w:r w:rsidR="00F00946">
              <w:t xml:space="preserve"> both</w:t>
            </w:r>
            <w:r>
              <w:t xml:space="preserve"> AASB </w:t>
            </w:r>
            <w:r w:rsidR="001A28BB">
              <w:t>1</w:t>
            </w:r>
            <w:r>
              <w:t xml:space="preserve">17 </w:t>
            </w:r>
            <w:r w:rsidRPr="00D500F0">
              <w:rPr>
                <w:i/>
              </w:rPr>
              <w:t>Leases</w:t>
            </w:r>
            <w:r>
              <w:t xml:space="preserve"> and Interpretation 4 </w:t>
            </w:r>
            <w:r w:rsidRPr="00D500F0">
              <w:rPr>
                <w:i/>
              </w:rPr>
              <w:t>Determining whether an arrangement  contains a lease</w:t>
            </w:r>
            <w:r w:rsidR="00C10EE4">
              <w:rPr>
                <w:i/>
              </w:rPr>
              <w:t xml:space="preserve"> (IFRC 4)</w:t>
            </w:r>
            <w:r>
              <w:t>.</w:t>
            </w:r>
          </w:p>
          <w:p w14:paraId="1467757F" w14:textId="47187278" w:rsidR="0054479E" w:rsidRDefault="00C65AD0" w:rsidP="00AC30A0">
            <w:pPr>
              <w:pStyle w:val="Normalbold"/>
            </w:pPr>
            <w:r>
              <w:t>If the contract</w:t>
            </w:r>
            <w:r w:rsidR="00C10EE4">
              <w:t xml:space="preserve"> has not previously been assessed under both AASB 117 and IFRC 4, then the contract is to be assessed under AASB 16.</w:t>
            </w:r>
          </w:p>
          <w:p w14:paraId="5F078D0F" w14:textId="0758F5FF" w:rsidR="002E0198" w:rsidRPr="00775D24" w:rsidRDefault="00AC30A0" w:rsidP="002E0198">
            <w:pPr>
              <w:pStyle w:val="Normalbold"/>
              <w:rPr>
                <w:u w:val="single"/>
              </w:rPr>
            </w:pPr>
            <w:r>
              <w:t xml:space="preserve">This practical expedient applies to </w:t>
            </w:r>
            <w:r w:rsidR="00D32119">
              <w:t xml:space="preserve">all </w:t>
            </w:r>
            <w:r>
              <w:t xml:space="preserve">contracts entered into (or changed) </w:t>
            </w:r>
            <w:r w:rsidR="00FB7FB6">
              <w:t>before the</w:t>
            </w:r>
            <w:r>
              <w:t xml:space="preserve"> date of initial application.</w:t>
            </w:r>
            <w:r w:rsidR="00396536">
              <w:t xml:space="preserve"> </w:t>
            </w:r>
          </w:p>
        </w:tc>
      </w:tr>
      <w:tr w:rsidR="00AC30A0" w:rsidRPr="005828FE" w14:paraId="3518199B" w14:textId="77777777" w:rsidTr="00622257">
        <w:tc>
          <w:tcPr>
            <w:tcW w:w="2293" w:type="dxa"/>
            <w:shd w:val="clear" w:color="auto" w:fill="F2F2F2" w:themeFill="background1" w:themeFillShade="F2"/>
          </w:tcPr>
          <w:p w14:paraId="5BFD2FFA" w14:textId="77777777" w:rsidR="00AC30A0" w:rsidRPr="005828FE" w:rsidRDefault="00AC30A0" w:rsidP="00AC30A0">
            <w:pPr>
              <w:pStyle w:val="Normalbold"/>
            </w:pPr>
          </w:p>
        </w:tc>
        <w:tc>
          <w:tcPr>
            <w:tcW w:w="270" w:type="dxa"/>
            <w:shd w:val="clear" w:color="auto" w:fill="F2F2F2" w:themeFill="background1" w:themeFillShade="F2"/>
          </w:tcPr>
          <w:p w14:paraId="1B2676C5" w14:textId="77777777" w:rsidR="00AC30A0" w:rsidRPr="008B2A17" w:rsidRDefault="00AC30A0" w:rsidP="00AC30A0">
            <w:pPr>
              <w:pStyle w:val="Normalgrey"/>
            </w:pPr>
          </w:p>
        </w:tc>
        <w:tc>
          <w:tcPr>
            <w:tcW w:w="540" w:type="dxa"/>
            <w:shd w:val="clear" w:color="auto" w:fill="F2F2F2" w:themeFill="background1" w:themeFillShade="F2"/>
          </w:tcPr>
          <w:p w14:paraId="2DA71B17" w14:textId="00C70E49" w:rsidR="00AC30A0" w:rsidRPr="005828FE" w:rsidRDefault="00AC30A0" w:rsidP="00AC30A0">
            <w:pPr>
              <w:pStyle w:val="Normalgrey"/>
            </w:pPr>
            <w:r>
              <w:t>4.</w:t>
            </w:r>
            <w:r w:rsidR="009142B7">
              <w:t>2</w:t>
            </w:r>
          </w:p>
        </w:tc>
        <w:tc>
          <w:tcPr>
            <w:tcW w:w="6134" w:type="dxa"/>
            <w:shd w:val="clear" w:color="auto" w:fill="F2F2F2" w:themeFill="background1" w:themeFillShade="F2"/>
          </w:tcPr>
          <w:p w14:paraId="2709007C" w14:textId="2666571D" w:rsidR="00AC30A0" w:rsidRDefault="00AC30A0" w:rsidP="00AC30A0">
            <w:pPr>
              <w:pStyle w:val="Normalbold"/>
            </w:pPr>
            <w:r>
              <w:t>An entity shall apply the AASB 16 requirements retrospectively</w:t>
            </w:r>
            <w:r w:rsidR="005E5CF8">
              <w:t xml:space="preserve"> </w:t>
            </w:r>
            <w:r>
              <w:t>with the cumulative effect of initially applying this standard as an adjustment to the opening balance of retained earnings at</w:t>
            </w:r>
            <w:r w:rsidR="005E5CF8">
              <w:t xml:space="preserve"> 1 July 2019</w:t>
            </w:r>
            <w:r>
              <w:t>.</w:t>
            </w:r>
            <w:r w:rsidR="005E5CF8">
              <w:rPr>
                <w:rStyle w:val="FootnoteReference"/>
              </w:rPr>
              <w:footnoteReference w:id="2"/>
            </w:r>
            <w:r w:rsidR="00F44987">
              <w:rPr>
                <w:rStyle w:val="FootnoteReference"/>
              </w:rPr>
              <w:footnoteReference w:id="3"/>
            </w:r>
          </w:p>
          <w:p w14:paraId="7EC70BAE" w14:textId="3BDEA217" w:rsidR="00AC30A0" w:rsidRPr="00BA31F7" w:rsidRDefault="00AC30A0" w:rsidP="00AC30A0">
            <w:pPr>
              <w:pStyle w:val="Normalbold"/>
            </w:pPr>
            <w:r>
              <w:t>This is to be applied consistently to all of its leases in which it is a lessee.</w:t>
            </w:r>
          </w:p>
        </w:tc>
      </w:tr>
      <w:tr w:rsidR="00AC30A0" w:rsidRPr="005828FE" w14:paraId="72155019" w14:textId="77777777" w:rsidTr="00622257">
        <w:tc>
          <w:tcPr>
            <w:tcW w:w="2293" w:type="dxa"/>
            <w:shd w:val="clear" w:color="auto" w:fill="F2F2F2" w:themeFill="background1" w:themeFillShade="F2"/>
          </w:tcPr>
          <w:p w14:paraId="1A827270" w14:textId="77777777" w:rsidR="00AC30A0" w:rsidRPr="005828FE" w:rsidRDefault="00AC30A0" w:rsidP="00AC30A0">
            <w:pPr>
              <w:pStyle w:val="Normalbold"/>
            </w:pPr>
          </w:p>
        </w:tc>
        <w:tc>
          <w:tcPr>
            <w:tcW w:w="270" w:type="dxa"/>
            <w:shd w:val="clear" w:color="auto" w:fill="F2F2F2" w:themeFill="background1" w:themeFillShade="F2"/>
          </w:tcPr>
          <w:p w14:paraId="196CE844" w14:textId="77777777" w:rsidR="00AC30A0" w:rsidRPr="008B2A17" w:rsidRDefault="00AC30A0" w:rsidP="00AC30A0">
            <w:pPr>
              <w:pStyle w:val="Normalgrey"/>
            </w:pPr>
          </w:p>
        </w:tc>
        <w:tc>
          <w:tcPr>
            <w:tcW w:w="540" w:type="dxa"/>
            <w:shd w:val="clear" w:color="auto" w:fill="F2F2F2" w:themeFill="background1" w:themeFillShade="F2"/>
          </w:tcPr>
          <w:p w14:paraId="02172750" w14:textId="4BBDAAD2" w:rsidR="00AC30A0" w:rsidRDefault="00AC30A0" w:rsidP="00AC30A0">
            <w:pPr>
              <w:pStyle w:val="Normalgrey"/>
            </w:pPr>
            <w:r>
              <w:t>4.</w:t>
            </w:r>
            <w:r w:rsidR="009142B7">
              <w:t>3</w:t>
            </w:r>
          </w:p>
        </w:tc>
        <w:tc>
          <w:tcPr>
            <w:tcW w:w="6134" w:type="dxa"/>
            <w:shd w:val="clear" w:color="auto" w:fill="F2F2F2" w:themeFill="background1" w:themeFillShade="F2"/>
          </w:tcPr>
          <w:p w14:paraId="4D4BDACA" w14:textId="0F50F6A5" w:rsidR="00AC30A0" w:rsidRDefault="00AC30A0" w:rsidP="00AC30A0">
            <w:pPr>
              <w:pStyle w:val="Normalbold"/>
            </w:pPr>
            <w:r>
              <w:t>Comparative Information shall not be restated.</w:t>
            </w:r>
          </w:p>
        </w:tc>
      </w:tr>
      <w:tr w:rsidR="00AC30A0" w:rsidRPr="005828FE" w14:paraId="4CBFD63D" w14:textId="77777777" w:rsidTr="00622257">
        <w:tc>
          <w:tcPr>
            <w:tcW w:w="2293" w:type="dxa"/>
            <w:shd w:val="clear" w:color="auto" w:fill="F2F2F2" w:themeFill="background1" w:themeFillShade="F2"/>
          </w:tcPr>
          <w:p w14:paraId="4E18C80A" w14:textId="77777777" w:rsidR="00AC30A0" w:rsidRPr="005828FE" w:rsidRDefault="00AC30A0" w:rsidP="00AC30A0">
            <w:pPr>
              <w:pStyle w:val="Normalbold"/>
            </w:pPr>
          </w:p>
        </w:tc>
        <w:tc>
          <w:tcPr>
            <w:tcW w:w="270" w:type="dxa"/>
            <w:shd w:val="clear" w:color="auto" w:fill="F2F2F2" w:themeFill="background1" w:themeFillShade="F2"/>
          </w:tcPr>
          <w:p w14:paraId="27BF0DB0" w14:textId="77777777" w:rsidR="00AC30A0" w:rsidRPr="008B2A17" w:rsidRDefault="00AC30A0" w:rsidP="00AC30A0">
            <w:pPr>
              <w:pStyle w:val="Normalgrey"/>
            </w:pPr>
          </w:p>
        </w:tc>
        <w:tc>
          <w:tcPr>
            <w:tcW w:w="540" w:type="dxa"/>
            <w:shd w:val="clear" w:color="auto" w:fill="F2F2F2" w:themeFill="background1" w:themeFillShade="F2"/>
          </w:tcPr>
          <w:p w14:paraId="1F9CA5EA" w14:textId="77777777" w:rsidR="00C229D8" w:rsidRDefault="00C229D8" w:rsidP="00AC30A0">
            <w:pPr>
              <w:pStyle w:val="Normalgrey"/>
            </w:pPr>
          </w:p>
          <w:p w14:paraId="27274210" w14:textId="650C300F" w:rsidR="00AC30A0" w:rsidRDefault="00AC30A0" w:rsidP="00AC30A0">
            <w:pPr>
              <w:pStyle w:val="Normalgrey"/>
            </w:pPr>
            <w:r>
              <w:t>4.4</w:t>
            </w:r>
          </w:p>
          <w:p w14:paraId="677CDB8C" w14:textId="642CD654" w:rsidR="00AC30A0" w:rsidRDefault="00AC30A0" w:rsidP="00AC30A0">
            <w:pPr>
              <w:pStyle w:val="Normalgrey"/>
            </w:pPr>
          </w:p>
        </w:tc>
        <w:tc>
          <w:tcPr>
            <w:tcW w:w="6134" w:type="dxa"/>
            <w:shd w:val="clear" w:color="auto" w:fill="F2F2F2" w:themeFill="background1" w:themeFillShade="F2"/>
          </w:tcPr>
          <w:p w14:paraId="15C5D6C3" w14:textId="18A6C89B" w:rsidR="00C229D8" w:rsidRPr="00C229D8" w:rsidRDefault="00C229D8" w:rsidP="00AC30A0">
            <w:pPr>
              <w:pStyle w:val="Normalbold"/>
              <w:rPr>
                <w:u w:val="single"/>
              </w:rPr>
            </w:pPr>
            <w:r>
              <w:rPr>
                <w:u w:val="single"/>
              </w:rPr>
              <w:t>Leases previously classified as operating leases applying AASB 117</w:t>
            </w:r>
          </w:p>
          <w:p w14:paraId="3BFF760E" w14:textId="6E06CBD0" w:rsidR="00AC30A0" w:rsidRDefault="00AC30A0" w:rsidP="00AC30A0">
            <w:pPr>
              <w:pStyle w:val="Normalbold"/>
            </w:pPr>
            <w:r>
              <w:t>At the initial application date of AASB 16, the lessee shall:</w:t>
            </w:r>
          </w:p>
          <w:p w14:paraId="68E552A1" w14:textId="0255A777" w:rsidR="00AC30A0" w:rsidRDefault="00AC30A0" w:rsidP="00AC30A0">
            <w:pPr>
              <w:pStyle w:val="Normalbold"/>
              <w:numPr>
                <w:ilvl w:val="0"/>
                <w:numId w:val="28"/>
              </w:numPr>
            </w:pPr>
            <w:r>
              <w:t>recognise a lease liability at the date of initial application for leases previously classified as an operating lease applying AASB 117. The lessee shall measure that lease liability at the present value of the remaining lease payments, payments, discounted using the lessee’s incremental borrowing rate at the date of initial application</w:t>
            </w:r>
            <w:r w:rsidR="00061EC9">
              <w:t xml:space="preserve"> (refer to </w:t>
            </w:r>
            <w:r w:rsidR="00990B49" w:rsidRPr="00C507EC">
              <w:rPr>
                <w:i/>
              </w:rPr>
              <w:t>‘Incremental</w:t>
            </w:r>
            <w:r w:rsidR="00A95489" w:rsidRPr="00C507EC">
              <w:rPr>
                <w:i/>
              </w:rPr>
              <w:t xml:space="preserve"> Borrowing Rate</w:t>
            </w:r>
            <w:r w:rsidR="00990B49">
              <w:t>’ Policy for guidance)</w:t>
            </w:r>
            <w:r w:rsidR="00061EC9">
              <w:t xml:space="preserve"> </w:t>
            </w:r>
            <w:r>
              <w:t>;</w:t>
            </w:r>
          </w:p>
          <w:p w14:paraId="0A60B4BE" w14:textId="77777777" w:rsidR="00AC30A0" w:rsidRDefault="00AC30A0" w:rsidP="00AC30A0">
            <w:pPr>
              <w:pStyle w:val="Normalbold"/>
              <w:numPr>
                <w:ilvl w:val="0"/>
                <w:numId w:val="28"/>
              </w:numPr>
            </w:pPr>
            <w:r>
              <w:t>recognise a right-of-use asset at an amount equal to the lease liability calculated in (a), adjusted by the amount of any prepaid or accrued lease payments relating to that lease, recognised in the statement of financial position immediately before the date of initial application.</w:t>
            </w:r>
          </w:p>
          <w:p w14:paraId="409FC7C6" w14:textId="3AA01CE0" w:rsidR="00163F5B" w:rsidRDefault="00163F5B" w:rsidP="00163F5B">
            <w:pPr>
              <w:pStyle w:val="Normalbold"/>
              <w:ind w:left="720"/>
            </w:pPr>
          </w:p>
        </w:tc>
      </w:tr>
      <w:tr w:rsidR="00AC30A0" w:rsidRPr="005828FE" w14:paraId="30BD2D9D" w14:textId="77777777" w:rsidTr="00622257">
        <w:tc>
          <w:tcPr>
            <w:tcW w:w="2293" w:type="dxa"/>
            <w:shd w:val="clear" w:color="auto" w:fill="F2F2F2" w:themeFill="background1" w:themeFillShade="F2"/>
          </w:tcPr>
          <w:p w14:paraId="364AA9F8" w14:textId="4C1E669C" w:rsidR="00AC30A0" w:rsidRPr="005828FE" w:rsidRDefault="00061EC9" w:rsidP="00AC30A0">
            <w:pPr>
              <w:pStyle w:val="Normalbold"/>
            </w:pPr>
            <w:r>
              <w:lastRenderedPageBreak/>
              <w:t xml:space="preserve"> </w:t>
            </w:r>
          </w:p>
        </w:tc>
        <w:tc>
          <w:tcPr>
            <w:tcW w:w="270" w:type="dxa"/>
            <w:shd w:val="clear" w:color="auto" w:fill="F2F2F2" w:themeFill="background1" w:themeFillShade="F2"/>
          </w:tcPr>
          <w:p w14:paraId="6967620A" w14:textId="77777777" w:rsidR="00AC30A0" w:rsidRPr="008B2A17" w:rsidRDefault="00AC30A0" w:rsidP="00AC30A0">
            <w:pPr>
              <w:pStyle w:val="Normalgrey"/>
            </w:pPr>
          </w:p>
        </w:tc>
        <w:tc>
          <w:tcPr>
            <w:tcW w:w="540" w:type="dxa"/>
            <w:shd w:val="clear" w:color="auto" w:fill="F2F2F2" w:themeFill="background1" w:themeFillShade="F2"/>
          </w:tcPr>
          <w:p w14:paraId="1D1032F7" w14:textId="77777777" w:rsidR="00AC30A0" w:rsidRDefault="00AC30A0" w:rsidP="00AC30A0">
            <w:pPr>
              <w:pStyle w:val="Normalgrey"/>
            </w:pPr>
          </w:p>
          <w:p w14:paraId="3E28F665" w14:textId="22EBFD02" w:rsidR="00AC30A0" w:rsidRDefault="00AC30A0" w:rsidP="00AC30A0">
            <w:pPr>
              <w:pStyle w:val="Normalgrey"/>
            </w:pPr>
            <w:r>
              <w:t>4.5</w:t>
            </w:r>
          </w:p>
        </w:tc>
        <w:tc>
          <w:tcPr>
            <w:tcW w:w="6134" w:type="dxa"/>
            <w:shd w:val="clear" w:color="auto" w:fill="F2F2F2" w:themeFill="background1" w:themeFillShade="F2"/>
          </w:tcPr>
          <w:p w14:paraId="624E15FB" w14:textId="2CFFF0B2" w:rsidR="00AC30A0" w:rsidRDefault="00AC30A0" w:rsidP="00AC30A0">
            <w:pPr>
              <w:pStyle w:val="Normalbold"/>
            </w:pPr>
            <w:r w:rsidRPr="00C50D49">
              <w:rPr>
                <w:u w:val="single"/>
              </w:rPr>
              <w:t>Practical Expedients</w:t>
            </w:r>
          </w:p>
          <w:p w14:paraId="1FA68ED9" w14:textId="64E6E93C" w:rsidR="00AC30A0" w:rsidRDefault="0082131E" w:rsidP="00AC30A0">
            <w:pPr>
              <w:pStyle w:val="Normalbold"/>
            </w:pPr>
            <w:r>
              <w:t>In applying 4.2</w:t>
            </w:r>
            <w:r w:rsidR="00FB1D99">
              <w:t xml:space="preserve"> </w:t>
            </w:r>
            <w:r w:rsidR="00163F5B">
              <w:t xml:space="preserve">and 4.4 </w:t>
            </w:r>
            <w:r>
              <w:t>above, t</w:t>
            </w:r>
            <w:r w:rsidR="00B208BC">
              <w:t xml:space="preserve">he following expedients </w:t>
            </w:r>
            <w:r w:rsidR="002E40BE">
              <w:t>shall be us</w:t>
            </w:r>
            <w:r>
              <w:t>ed</w:t>
            </w:r>
            <w:r w:rsidR="002E40BE">
              <w:t>:</w:t>
            </w:r>
          </w:p>
          <w:p w14:paraId="13B856B8" w14:textId="5A472C4B" w:rsidR="00AC30A0" w:rsidRPr="00404213" w:rsidRDefault="00AC30A0" w:rsidP="00AC30A0">
            <w:pPr>
              <w:pStyle w:val="Normalbold"/>
              <w:numPr>
                <w:ilvl w:val="0"/>
                <w:numId w:val="34"/>
              </w:numPr>
            </w:pPr>
            <w:r w:rsidRPr="00404213">
              <w:t>apply a single discount rate to a portfolio of leases with reasonably similar characteristics (such as leases with a similar remaining lease term for a similar class of underlying asset in a similar economic environment).</w:t>
            </w:r>
          </w:p>
          <w:p w14:paraId="33E20EE9" w14:textId="7D99B3CE" w:rsidR="00AC30A0" w:rsidRPr="00366FDC" w:rsidRDefault="00AC30A0" w:rsidP="00AC30A0">
            <w:pPr>
              <w:pStyle w:val="Normalbold"/>
              <w:numPr>
                <w:ilvl w:val="0"/>
                <w:numId w:val="34"/>
              </w:numPr>
              <w:rPr>
                <w:rFonts w:cstheme="minorHAnsi"/>
              </w:rPr>
            </w:pPr>
            <w:r w:rsidRPr="00366FDC">
              <w:rPr>
                <w:rFonts w:cstheme="minorHAnsi"/>
              </w:rPr>
              <w:t>an entity rel</w:t>
            </w:r>
            <w:r>
              <w:rPr>
                <w:rFonts w:cstheme="minorHAnsi"/>
              </w:rPr>
              <w:t>ies</w:t>
            </w:r>
            <w:r w:rsidRPr="00366FDC">
              <w:rPr>
                <w:rFonts w:cstheme="minorHAnsi"/>
              </w:rPr>
              <w:t xml:space="preserve"> on its assessment of whether leases are onerous applying AASB 137 </w:t>
            </w:r>
            <w:r w:rsidRPr="00971A8A">
              <w:rPr>
                <w:rFonts w:cstheme="minorHAnsi"/>
                <w:i/>
              </w:rPr>
              <w:t>Provisions, Contingent Liabilities and Contingent Assets</w:t>
            </w:r>
            <w:r w:rsidRPr="00366FDC">
              <w:rPr>
                <w:rFonts w:cstheme="minorHAnsi"/>
              </w:rPr>
              <w:t>, immediately before the date of initial application as an alternative to performing an impairment review.</w:t>
            </w:r>
          </w:p>
          <w:p w14:paraId="43BAF1B1" w14:textId="6E89BCAE" w:rsidR="00AC30A0" w:rsidRPr="00366FDC" w:rsidRDefault="00AC30A0" w:rsidP="00AC30A0">
            <w:pPr>
              <w:pStyle w:val="Normalbold"/>
              <w:ind w:left="720"/>
              <w:rPr>
                <w:rFonts w:cstheme="minorHAnsi"/>
              </w:rPr>
            </w:pPr>
            <w:r w:rsidRPr="00366FDC">
              <w:rPr>
                <w:rFonts w:cstheme="minorHAnsi"/>
              </w:rPr>
              <w:t>The entity shall adjust the right-of-use asset at the date of initial application by the amount of any provision for onerous leases recognised in the statement of financial position immediately before the date of initial application.</w:t>
            </w:r>
          </w:p>
          <w:p w14:paraId="435631CE" w14:textId="48D6238B" w:rsidR="00AC30A0" w:rsidRPr="00366FDC" w:rsidRDefault="004473E2" w:rsidP="00AC30A0">
            <w:pPr>
              <w:pStyle w:val="Normalbold"/>
              <w:numPr>
                <w:ilvl w:val="0"/>
                <w:numId w:val="34"/>
              </w:numPr>
            </w:pPr>
            <w:r>
              <w:rPr>
                <w:rFonts w:cstheme="minorHAnsi"/>
              </w:rPr>
              <w:t>f</w:t>
            </w:r>
            <w:r w:rsidR="00E92412">
              <w:rPr>
                <w:rFonts w:cstheme="minorHAnsi"/>
              </w:rPr>
              <w:t xml:space="preserve">or </w:t>
            </w:r>
            <w:r w:rsidR="00AC30A0" w:rsidRPr="00366FDC">
              <w:rPr>
                <w:rFonts w:cstheme="minorHAnsi"/>
              </w:rPr>
              <w:t>leases for which the lease term ends within 12 months of the date of initial application</w:t>
            </w:r>
            <w:r w:rsidR="00784477">
              <w:rPr>
                <w:rFonts w:cstheme="minorHAnsi"/>
              </w:rPr>
              <w:t xml:space="preserve">, </w:t>
            </w:r>
            <w:r w:rsidR="003D0D63">
              <w:rPr>
                <w:rFonts w:cstheme="minorHAnsi"/>
              </w:rPr>
              <w:t xml:space="preserve">a lessee shall </w:t>
            </w:r>
            <w:r w:rsidR="003D0D63" w:rsidRPr="00C10EE4">
              <w:rPr>
                <w:rFonts w:cstheme="minorHAnsi"/>
                <w:u w:val="single"/>
              </w:rPr>
              <w:t>not</w:t>
            </w:r>
            <w:r w:rsidR="003D0D63">
              <w:rPr>
                <w:rFonts w:cstheme="minorHAnsi"/>
              </w:rPr>
              <w:t xml:space="preserve"> </w:t>
            </w:r>
            <w:r w:rsidR="00784477" w:rsidRPr="00366FDC">
              <w:rPr>
                <w:rFonts w:cstheme="minorHAnsi"/>
              </w:rPr>
              <w:t>recognis</w:t>
            </w:r>
            <w:r w:rsidR="00F43A0F">
              <w:rPr>
                <w:rFonts w:cstheme="minorHAnsi"/>
              </w:rPr>
              <w:t xml:space="preserve">e </w:t>
            </w:r>
            <w:r>
              <w:rPr>
                <w:rFonts w:cstheme="minorHAnsi"/>
              </w:rPr>
              <w:t xml:space="preserve">the </w:t>
            </w:r>
            <w:r w:rsidR="00784477" w:rsidRPr="00366FDC">
              <w:rPr>
                <w:rFonts w:cstheme="minorHAnsi"/>
              </w:rPr>
              <w:t>right-of-use asset and lease liability</w:t>
            </w:r>
            <w:r w:rsidR="00784477">
              <w:rPr>
                <w:rFonts w:cstheme="minorHAnsi"/>
              </w:rPr>
              <w:t xml:space="preserve">. </w:t>
            </w:r>
            <w:r w:rsidR="00784477" w:rsidRPr="00366FDC">
              <w:rPr>
                <w:rFonts w:cstheme="minorHAnsi"/>
              </w:rPr>
              <w:t xml:space="preserve"> </w:t>
            </w:r>
            <w:r w:rsidR="00F43A0F">
              <w:rPr>
                <w:rFonts w:cstheme="minorHAnsi"/>
              </w:rPr>
              <w:t>Instead</w:t>
            </w:r>
            <w:r w:rsidR="000B4F5B">
              <w:rPr>
                <w:rFonts w:cstheme="minorHAnsi"/>
              </w:rPr>
              <w:t>. i</w:t>
            </w:r>
            <w:r w:rsidR="00AC30A0" w:rsidRPr="00366FDC">
              <w:rPr>
                <w:rFonts w:cstheme="minorHAnsi"/>
              </w:rPr>
              <w:t>n this case, a lessee shall:</w:t>
            </w:r>
          </w:p>
          <w:p w14:paraId="256A56E8" w14:textId="1EFAAF7B" w:rsidR="00AC30A0" w:rsidRDefault="00AC30A0" w:rsidP="00AC30A0">
            <w:pPr>
              <w:pStyle w:val="Normalbold"/>
              <w:numPr>
                <w:ilvl w:val="1"/>
                <w:numId w:val="36"/>
              </w:numPr>
              <w:rPr>
                <w:rFonts w:cstheme="minorHAnsi"/>
              </w:rPr>
            </w:pPr>
            <w:r w:rsidRPr="00366FDC">
              <w:rPr>
                <w:rFonts w:cstheme="minorHAnsi"/>
              </w:rPr>
              <w:t>account for those leases in the same way as short-term leases</w:t>
            </w:r>
            <w:r w:rsidR="00440AD3">
              <w:rPr>
                <w:rFonts w:cstheme="minorHAnsi"/>
              </w:rPr>
              <w:t xml:space="preserve"> (refer to 4.6 below)</w:t>
            </w:r>
            <w:r w:rsidRPr="00366FDC">
              <w:rPr>
                <w:rFonts w:cstheme="minorHAnsi"/>
              </w:rPr>
              <w:t xml:space="preserve"> of which the payments are recognised as an expense on a straight line or another systematic basis; and</w:t>
            </w:r>
          </w:p>
          <w:p w14:paraId="6E6D0A8B" w14:textId="0AC1662E" w:rsidR="00AC30A0" w:rsidRPr="00366FDC" w:rsidRDefault="00AC30A0" w:rsidP="00AC30A0">
            <w:pPr>
              <w:pStyle w:val="Normalbold"/>
              <w:numPr>
                <w:ilvl w:val="1"/>
                <w:numId w:val="36"/>
              </w:numPr>
              <w:rPr>
                <w:rFonts w:cstheme="minorHAnsi"/>
              </w:rPr>
            </w:pPr>
            <w:r w:rsidRPr="00366FDC">
              <w:rPr>
                <w:rFonts w:cstheme="minorHAnsi"/>
              </w:rPr>
              <w:t>include the cost associated with those leases within the disclosure of short-term lease expense in the annual reporting period that includes the date of initial application.</w:t>
            </w:r>
          </w:p>
          <w:p w14:paraId="38852CFF" w14:textId="01D187E8" w:rsidR="00AC30A0" w:rsidRPr="00366FDC" w:rsidRDefault="00AC30A0" w:rsidP="00AC30A0">
            <w:pPr>
              <w:pStyle w:val="Normalbold"/>
              <w:numPr>
                <w:ilvl w:val="0"/>
                <w:numId w:val="34"/>
              </w:numPr>
              <w:rPr>
                <w:rFonts w:cstheme="minorHAnsi"/>
              </w:rPr>
            </w:pPr>
            <w:r w:rsidRPr="00366FDC">
              <w:rPr>
                <w:rFonts w:cstheme="minorHAnsi"/>
              </w:rPr>
              <w:t>exclude initial direct costs from the measurement of the right-of-use asset at the date of initial application.</w:t>
            </w:r>
          </w:p>
          <w:p w14:paraId="73A97A0F" w14:textId="77777777" w:rsidR="00AC30A0" w:rsidRPr="00F1191F" w:rsidRDefault="00AC30A0" w:rsidP="002E40BE">
            <w:pPr>
              <w:pStyle w:val="Normalbold"/>
              <w:numPr>
                <w:ilvl w:val="0"/>
                <w:numId w:val="34"/>
              </w:numPr>
            </w:pPr>
            <w:r w:rsidRPr="00366FDC">
              <w:rPr>
                <w:rFonts w:cstheme="minorHAnsi"/>
              </w:rPr>
              <w:t>use hindsight, such as in determining the lease term if the contract contains options to extend or terminate the lease.</w:t>
            </w:r>
          </w:p>
          <w:p w14:paraId="26A66B3F" w14:textId="77777777" w:rsidR="003919B7" w:rsidRDefault="00F1191F" w:rsidP="003919B7">
            <w:pPr>
              <w:pStyle w:val="Normalbold"/>
              <w:numPr>
                <w:ilvl w:val="0"/>
                <w:numId w:val="34"/>
              </w:numPr>
            </w:pPr>
            <w:r>
              <w:t xml:space="preserve">no adjustment is required for leases previously accounted for as investment property using the fair value model in AASB 140 </w:t>
            </w:r>
            <w:r w:rsidRPr="00F1191F">
              <w:rPr>
                <w:i/>
              </w:rPr>
              <w:t>Investment Property</w:t>
            </w:r>
            <w:r>
              <w:t xml:space="preserve">. The entity shall account for the </w:t>
            </w:r>
            <w:r w:rsidR="002905BD">
              <w:t>right-of-use asset and lease liability by applying AASB 16 and AASB 140 from the date of initial application</w:t>
            </w:r>
            <w:r w:rsidR="007E208F">
              <w:t xml:space="preserve"> and;</w:t>
            </w:r>
          </w:p>
          <w:p w14:paraId="44815596" w14:textId="7AE1E411" w:rsidR="00F1191F" w:rsidRPr="00366FDC" w:rsidRDefault="007E208F" w:rsidP="003919B7">
            <w:pPr>
              <w:pStyle w:val="Normalbold"/>
              <w:numPr>
                <w:ilvl w:val="0"/>
                <w:numId w:val="34"/>
              </w:numPr>
            </w:pPr>
            <w:r>
              <w:t>is required to measure the right-of-use asset at fair value at the date of initial applicati</w:t>
            </w:r>
            <w:r w:rsidR="00502E35">
              <w:t xml:space="preserve">on for leases previously accounted for as operating leases and that will be accounted for as investment property using the fair value model in AASB </w:t>
            </w:r>
            <w:r w:rsidR="00EC4E85">
              <w:t>1</w:t>
            </w:r>
            <w:r w:rsidR="00502E35">
              <w:t>40 from the d</w:t>
            </w:r>
            <w:r w:rsidR="00EC4E85">
              <w:t>ate of initial application</w:t>
            </w:r>
            <w:r w:rsidR="003919B7">
              <w:t xml:space="preserve"> The lessee shall account for the right-of-use asset and lease liability arising from those leases applying AASB 16 and AASB 140 from the date of initial application.</w:t>
            </w:r>
          </w:p>
        </w:tc>
      </w:tr>
      <w:tr w:rsidR="00130D15" w:rsidRPr="005828FE" w14:paraId="6883D768" w14:textId="77777777" w:rsidTr="00622257">
        <w:tc>
          <w:tcPr>
            <w:tcW w:w="2293" w:type="dxa"/>
            <w:shd w:val="clear" w:color="auto" w:fill="F2F2F2" w:themeFill="background1" w:themeFillShade="F2"/>
          </w:tcPr>
          <w:p w14:paraId="46C3856A" w14:textId="77777777" w:rsidR="00130D15" w:rsidRPr="005828FE" w:rsidRDefault="00130D15" w:rsidP="00130D15">
            <w:pPr>
              <w:pStyle w:val="Normalbold"/>
            </w:pPr>
          </w:p>
        </w:tc>
        <w:tc>
          <w:tcPr>
            <w:tcW w:w="270" w:type="dxa"/>
            <w:shd w:val="clear" w:color="auto" w:fill="F2F2F2" w:themeFill="background1" w:themeFillShade="F2"/>
          </w:tcPr>
          <w:p w14:paraId="55E21F7A" w14:textId="77777777" w:rsidR="00130D15" w:rsidRPr="008B2A17" w:rsidRDefault="00130D15" w:rsidP="00130D15">
            <w:pPr>
              <w:pStyle w:val="Normalgrey"/>
            </w:pPr>
          </w:p>
        </w:tc>
        <w:tc>
          <w:tcPr>
            <w:tcW w:w="540" w:type="dxa"/>
            <w:shd w:val="clear" w:color="auto" w:fill="F2F2F2" w:themeFill="background1" w:themeFillShade="F2"/>
          </w:tcPr>
          <w:p w14:paraId="716BEE59" w14:textId="77777777" w:rsidR="00130D15" w:rsidRDefault="00130D15" w:rsidP="00130D15">
            <w:pPr>
              <w:pStyle w:val="Normalgrey"/>
            </w:pPr>
          </w:p>
          <w:p w14:paraId="5EDE81B5" w14:textId="259F769D" w:rsidR="003E5DFD" w:rsidRPr="003E5DFD" w:rsidRDefault="003E5DFD" w:rsidP="003E5DFD">
            <w:pPr>
              <w:pStyle w:val="Normalgrey"/>
            </w:pPr>
            <w:r>
              <w:t>4.6</w:t>
            </w:r>
          </w:p>
        </w:tc>
        <w:tc>
          <w:tcPr>
            <w:tcW w:w="6134" w:type="dxa"/>
            <w:shd w:val="clear" w:color="auto" w:fill="F2F2F2" w:themeFill="background1" w:themeFillShade="F2"/>
          </w:tcPr>
          <w:p w14:paraId="652CCB3B" w14:textId="6552BBB0" w:rsidR="00130D15" w:rsidRDefault="00130D15" w:rsidP="00130D15">
            <w:pPr>
              <w:pStyle w:val="Normalbold"/>
              <w:rPr>
                <w:u w:val="single"/>
              </w:rPr>
            </w:pPr>
            <w:r>
              <w:rPr>
                <w:u w:val="single"/>
              </w:rPr>
              <w:t>Recognition Exemption</w:t>
            </w:r>
            <w:bookmarkStart w:id="0" w:name="_Ref22044523"/>
            <w:r w:rsidR="000861C7">
              <w:rPr>
                <w:rStyle w:val="FootnoteReference"/>
                <w:u w:val="single"/>
              </w:rPr>
              <w:footnoteReference w:id="4"/>
            </w:r>
            <w:bookmarkEnd w:id="0"/>
          </w:p>
          <w:p w14:paraId="027D95E4" w14:textId="77777777" w:rsidR="00130D15" w:rsidRPr="001C4539" w:rsidRDefault="00130D15" w:rsidP="00130D15">
            <w:pPr>
              <w:pStyle w:val="Normalbold"/>
            </w:pPr>
            <w:r w:rsidRPr="001C4539">
              <w:t>At the lease commencement date, entities shall recognise a right-of-use asset and a lease liability for all leases, except for:</w:t>
            </w:r>
          </w:p>
          <w:p w14:paraId="26EBFE2F" w14:textId="6C99544B" w:rsidR="00130D15" w:rsidRPr="003258D0" w:rsidRDefault="00130D15" w:rsidP="00130D15">
            <w:pPr>
              <w:pStyle w:val="Normalbold"/>
              <w:numPr>
                <w:ilvl w:val="0"/>
                <w:numId w:val="42"/>
              </w:numPr>
            </w:pPr>
            <w:r w:rsidRPr="003258D0">
              <w:t>Short term leases</w:t>
            </w:r>
            <w:r w:rsidR="00BA62F1">
              <w:t xml:space="preserve"> </w:t>
            </w:r>
            <w:r w:rsidR="00BA62F1" w:rsidRPr="003258D0">
              <w:t>–</w:t>
            </w:r>
            <w:r w:rsidR="00BA62F1">
              <w:t xml:space="preserve"> </w:t>
            </w:r>
            <w:r w:rsidRPr="003258D0">
              <w:t>leases with a term less than 12 months; and</w:t>
            </w:r>
          </w:p>
          <w:p w14:paraId="468306F3" w14:textId="6C67F864" w:rsidR="00130D15" w:rsidRPr="003258D0" w:rsidRDefault="00130D15" w:rsidP="00130D15">
            <w:pPr>
              <w:pStyle w:val="Normalbold"/>
              <w:numPr>
                <w:ilvl w:val="0"/>
                <w:numId w:val="42"/>
              </w:numPr>
              <w:rPr>
                <w:u w:val="single"/>
              </w:rPr>
            </w:pPr>
            <w:r w:rsidRPr="003258D0">
              <w:t>Low value leases</w:t>
            </w:r>
            <w:r w:rsidR="00BA62F1">
              <w:t xml:space="preserve"> </w:t>
            </w:r>
            <w:r w:rsidRPr="003258D0">
              <w:t>–</w:t>
            </w:r>
            <w:r w:rsidR="00BA62F1">
              <w:t xml:space="preserve"> </w:t>
            </w:r>
            <w:r w:rsidRPr="003258D0">
              <w:t>leases with the underlying asset’s fair value</w:t>
            </w:r>
            <w:r w:rsidR="006C2986">
              <w:t xml:space="preserve"> (when new</w:t>
            </w:r>
            <w:r w:rsidR="00294311">
              <w:t>, regardless of the age of the asset being leased)</w:t>
            </w:r>
            <w:r w:rsidRPr="003258D0">
              <w:t xml:space="preserve"> is no more than $10,000</w:t>
            </w:r>
            <w:r>
              <w:t>.</w:t>
            </w:r>
            <w:r w:rsidR="006C6BC9">
              <w:t xml:space="preserve"> </w:t>
            </w:r>
          </w:p>
          <w:p w14:paraId="6A218B84" w14:textId="77777777" w:rsidR="002714B1" w:rsidRPr="002714B1" w:rsidRDefault="002714B1" w:rsidP="00130D15">
            <w:pPr>
              <w:pStyle w:val="Normalbold"/>
            </w:pPr>
            <w:r w:rsidRPr="002714B1">
              <w:rPr>
                <w:rFonts w:cstheme="minorHAnsi"/>
              </w:rPr>
              <w:t>The election for short-term leases shall be made by class of underlying asset to which the right of use relates while the election for low value leases will be made on a lease-by-lease basis</w:t>
            </w:r>
            <w:r w:rsidRPr="002714B1">
              <w:t xml:space="preserve">. </w:t>
            </w:r>
          </w:p>
          <w:p w14:paraId="1922D64C" w14:textId="668A7E70" w:rsidR="00130D15" w:rsidRDefault="00130D15" w:rsidP="00130D15">
            <w:pPr>
              <w:pStyle w:val="Normalbold"/>
              <w:rPr>
                <w:u w:val="single"/>
              </w:rPr>
            </w:pPr>
            <w:r>
              <w:t xml:space="preserve">An entity shall recognise the lease payments associated with short term </w:t>
            </w:r>
            <w:r w:rsidR="001939A8">
              <w:t xml:space="preserve">leases </w:t>
            </w:r>
            <w:r>
              <w:t>and low value leases as an expense on either a straight-line basis over the lease term or another systematic basis if that basis is more representative of the pattern of the lessee’s benefit.</w:t>
            </w:r>
          </w:p>
        </w:tc>
      </w:tr>
      <w:tr w:rsidR="00130D15" w:rsidRPr="005828FE" w14:paraId="0DA4EAF4" w14:textId="77777777" w:rsidTr="00622257">
        <w:tc>
          <w:tcPr>
            <w:tcW w:w="2293" w:type="dxa"/>
            <w:shd w:val="clear" w:color="auto" w:fill="F2F2F2" w:themeFill="background1" w:themeFillShade="F2"/>
          </w:tcPr>
          <w:p w14:paraId="0A31E8F0" w14:textId="77777777" w:rsidR="00130D15" w:rsidRPr="005828FE" w:rsidRDefault="00130D15" w:rsidP="00130D15">
            <w:pPr>
              <w:pStyle w:val="Normalbold"/>
            </w:pPr>
          </w:p>
        </w:tc>
        <w:tc>
          <w:tcPr>
            <w:tcW w:w="270" w:type="dxa"/>
            <w:shd w:val="clear" w:color="auto" w:fill="F2F2F2" w:themeFill="background1" w:themeFillShade="F2"/>
          </w:tcPr>
          <w:p w14:paraId="37C1F36A" w14:textId="77777777" w:rsidR="00130D15" w:rsidRPr="008B2A17" w:rsidRDefault="00130D15" w:rsidP="00130D15">
            <w:pPr>
              <w:pStyle w:val="Normalgrey"/>
            </w:pPr>
          </w:p>
        </w:tc>
        <w:tc>
          <w:tcPr>
            <w:tcW w:w="540" w:type="dxa"/>
            <w:shd w:val="clear" w:color="auto" w:fill="F2F2F2" w:themeFill="background1" w:themeFillShade="F2"/>
          </w:tcPr>
          <w:p w14:paraId="3CC5E8C7" w14:textId="77777777" w:rsidR="00130D15" w:rsidRDefault="00130D15" w:rsidP="00130D15">
            <w:pPr>
              <w:pStyle w:val="Normalgrey"/>
            </w:pPr>
          </w:p>
          <w:p w14:paraId="26A3F423" w14:textId="069ABE82" w:rsidR="003E5DFD" w:rsidRPr="003E5DFD" w:rsidRDefault="003E5DFD" w:rsidP="003E5DFD">
            <w:r>
              <w:t>4.7</w:t>
            </w:r>
          </w:p>
        </w:tc>
        <w:tc>
          <w:tcPr>
            <w:tcW w:w="6134" w:type="dxa"/>
            <w:shd w:val="clear" w:color="auto" w:fill="F2F2F2" w:themeFill="background1" w:themeFillShade="F2"/>
          </w:tcPr>
          <w:p w14:paraId="4B889A64" w14:textId="28C35714" w:rsidR="00130D15" w:rsidRDefault="00130D15" w:rsidP="00130D15">
            <w:pPr>
              <w:pStyle w:val="Normalbold"/>
              <w:rPr>
                <w:u w:val="single"/>
              </w:rPr>
            </w:pPr>
            <w:r>
              <w:rPr>
                <w:u w:val="single"/>
              </w:rPr>
              <w:t>Separating components of a contract</w:t>
            </w:r>
            <w:r w:rsidR="00686FBA" w:rsidRPr="00686FBA">
              <w:rPr>
                <w:rStyle w:val="FootnoteReference"/>
              </w:rPr>
              <w:fldChar w:fldCharType="begin"/>
            </w:r>
            <w:r w:rsidR="00686FBA" w:rsidRPr="00686FBA">
              <w:rPr>
                <w:rStyle w:val="FootnoteReference"/>
              </w:rPr>
              <w:instrText xml:space="preserve"> NOTEREF _Ref22044523 </w:instrText>
            </w:r>
            <w:r w:rsidR="00686FBA">
              <w:rPr>
                <w:rStyle w:val="FootnoteReference"/>
              </w:rPr>
              <w:instrText xml:space="preserve"> \* MERGEFORMAT </w:instrText>
            </w:r>
            <w:r w:rsidR="00686FBA" w:rsidRPr="00686FBA">
              <w:rPr>
                <w:rStyle w:val="FootnoteReference"/>
              </w:rPr>
              <w:fldChar w:fldCharType="separate"/>
            </w:r>
            <w:r w:rsidR="00692533">
              <w:rPr>
                <w:rStyle w:val="FootnoteReference"/>
              </w:rPr>
              <w:t>3</w:t>
            </w:r>
            <w:r w:rsidR="00686FBA" w:rsidRPr="00686FBA">
              <w:rPr>
                <w:rStyle w:val="FootnoteReference"/>
              </w:rPr>
              <w:fldChar w:fldCharType="end"/>
            </w:r>
          </w:p>
          <w:p w14:paraId="7AD9B941" w14:textId="232524E6" w:rsidR="00130D15" w:rsidRPr="00D5026D" w:rsidRDefault="00130D15" w:rsidP="00130D15">
            <w:pPr>
              <w:pStyle w:val="Normalbold"/>
            </w:pPr>
            <w:r>
              <w:t xml:space="preserve">An entity is required </w:t>
            </w:r>
            <w:r w:rsidR="00B80D4F">
              <w:t>to separate out and account separately for, non-lease components within a lease contract and exclude these amounts when determining the lease liability and right</w:t>
            </w:r>
            <w:r w:rsidR="00673627">
              <w:t>-</w:t>
            </w:r>
            <w:r w:rsidR="00B80D4F">
              <w:t>of</w:t>
            </w:r>
            <w:r w:rsidR="00673627">
              <w:t>-</w:t>
            </w:r>
            <w:r w:rsidR="00B80D4F">
              <w:t>use asset amount</w:t>
            </w:r>
          </w:p>
        </w:tc>
      </w:tr>
      <w:tr w:rsidR="00130D15" w:rsidRPr="005828FE" w14:paraId="34B6DB25" w14:textId="77777777" w:rsidTr="00622257">
        <w:tc>
          <w:tcPr>
            <w:tcW w:w="2293" w:type="dxa"/>
            <w:shd w:val="clear" w:color="auto" w:fill="F2F2F2" w:themeFill="background1" w:themeFillShade="F2"/>
          </w:tcPr>
          <w:p w14:paraId="3FA3522A" w14:textId="77777777" w:rsidR="00130D15" w:rsidRPr="005828FE" w:rsidRDefault="00130D15" w:rsidP="00130D15">
            <w:pPr>
              <w:pStyle w:val="Normalbold"/>
            </w:pPr>
          </w:p>
        </w:tc>
        <w:tc>
          <w:tcPr>
            <w:tcW w:w="270" w:type="dxa"/>
            <w:shd w:val="clear" w:color="auto" w:fill="F2F2F2" w:themeFill="background1" w:themeFillShade="F2"/>
          </w:tcPr>
          <w:p w14:paraId="7793E1D5" w14:textId="77777777" w:rsidR="00130D15" w:rsidRPr="008B2A17" w:rsidRDefault="00130D15" w:rsidP="00130D15">
            <w:pPr>
              <w:pStyle w:val="Normalgrey"/>
            </w:pPr>
          </w:p>
        </w:tc>
        <w:tc>
          <w:tcPr>
            <w:tcW w:w="540" w:type="dxa"/>
            <w:shd w:val="clear" w:color="auto" w:fill="F2F2F2" w:themeFill="background1" w:themeFillShade="F2"/>
          </w:tcPr>
          <w:p w14:paraId="6E5E1144" w14:textId="77777777" w:rsidR="00130D15" w:rsidRDefault="00130D15" w:rsidP="00130D15">
            <w:pPr>
              <w:pStyle w:val="Normalgrey"/>
            </w:pPr>
          </w:p>
          <w:p w14:paraId="7F4B9AA4" w14:textId="0952E5D4" w:rsidR="003E5DFD" w:rsidRPr="003E5DFD" w:rsidRDefault="003E5DFD" w:rsidP="003E5DFD">
            <w:r>
              <w:t>4.8</w:t>
            </w:r>
          </w:p>
        </w:tc>
        <w:tc>
          <w:tcPr>
            <w:tcW w:w="6134" w:type="dxa"/>
            <w:shd w:val="clear" w:color="auto" w:fill="F2F2F2" w:themeFill="background1" w:themeFillShade="F2"/>
          </w:tcPr>
          <w:p w14:paraId="7B765722" w14:textId="7DED9FA5" w:rsidR="00130D15" w:rsidRDefault="00130D15" w:rsidP="00130D15">
            <w:pPr>
              <w:pStyle w:val="Normalbold"/>
              <w:rPr>
                <w:u w:val="single"/>
              </w:rPr>
            </w:pPr>
            <w:r>
              <w:rPr>
                <w:u w:val="single"/>
              </w:rPr>
              <w:t>Peppercorn / Below market Leases</w:t>
            </w:r>
          </w:p>
          <w:p w14:paraId="774794C6" w14:textId="7E6A8DFF" w:rsidR="00130D15" w:rsidRDefault="00130D15" w:rsidP="00130D15">
            <w:pPr>
              <w:pStyle w:val="Normalbold"/>
              <w:rPr>
                <w:i/>
              </w:rPr>
            </w:pPr>
            <w:r w:rsidRPr="006A30D3">
              <w:t xml:space="preserve">The Australian Accounting Standards Board (AASB) issued an amendment to AASB 16 </w:t>
            </w:r>
            <w:r w:rsidRPr="006A30D3">
              <w:rPr>
                <w:i/>
              </w:rPr>
              <w:t>Leases</w:t>
            </w:r>
            <w:r>
              <w:rPr>
                <w:i/>
              </w:rPr>
              <w:t xml:space="preserve"> </w:t>
            </w:r>
            <w:r w:rsidRPr="005D5044">
              <w:t xml:space="preserve">with the effect of providing optional relief </w:t>
            </w:r>
            <w:r>
              <w:t xml:space="preserve">in connection with the requirement to record below market leases at fair value. </w:t>
            </w:r>
          </w:p>
          <w:p w14:paraId="127885EF" w14:textId="3A100D58" w:rsidR="00D13FA8" w:rsidRPr="00532776" w:rsidRDefault="00130D15" w:rsidP="00532776">
            <w:pPr>
              <w:pStyle w:val="Normalbold"/>
              <w:rPr>
                <w:i/>
              </w:rPr>
            </w:pPr>
            <w:r>
              <w:t xml:space="preserve">The State mandates that entities covered by this FRD, apply the temporary option in </w:t>
            </w:r>
            <w:r w:rsidR="00B86EA6">
              <w:t>as per</w:t>
            </w:r>
            <w:r w:rsidR="00472F83">
              <w:t xml:space="preserve"> paragraph 25.1</w:t>
            </w:r>
            <w:r>
              <w:rPr>
                <w:i/>
              </w:rPr>
              <w:t xml:space="preserve"> </w:t>
            </w:r>
            <w:r>
              <w:t xml:space="preserve">to </w:t>
            </w:r>
            <w:r w:rsidRPr="00105A3E">
              <w:rPr>
                <w:u w:val="single"/>
              </w:rPr>
              <w:t>not</w:t>
            </w:r>
            <w:r>
              <w:t xml:space="preserve"> apply the fair value measurement requirements for right-of-use assets arising from leases with significantly below-market terms and conditions principally to enable the entity to further its objectives</w:t>
            </w:r>
            <w:r>
              <w:rPr>
                <w:i/>
              </w:rPr>
              <w:t>.</w:t>
            </w:r>
            <w:r w:rsidR="00532776">
              <w:rPr>
                <w:i/>
              </w:rPr>
              <w:t xml:space="preserve"> </w:t>
            </w:r>
          </w:p>
        </w:tc>
      </w:tr>
      <w:tr w:rsidR="00130D15" w:rsidRPr="005828FE" w14:paraId="1C16E972" w14:textId="77777777" w:rsidTr="00340B73">
        <w:tc>
          <w:tcPr>
            <w:tcW w:w="2293" w:type="dxa"/>
            <w:shd w:val="clear" w:color="auto" w:fill="F2F2F2" w:themeFill="background1" w:themeFillShade="F2"/>
          </w:tcPr>
          <w:p w14:paraId="2BC9B363" w14:textId="77777777" w:rsidR="00130D15" w:rsidRPr="005828FE" w:rsidRDefault="00130D15" w:rsidP="00130D15">
            <w:pPr>
              <w:pStyle w:val="Normalbold"/>
            </w:pPr>
          </w:p>
        </w:tc>
        <w:tc>
          <w:tcPr>
            <w:tcW w:w="270" w:type="dxa"/>
            <w:shd w:val="clear" w:color="auto" w:fill="F2F2F2" w:themeFill="background1" w:themeFillShade="F2"/>
          </w:tcPr>
          <w:p w14:paraId="73F39562" w14:textId="77777777" w:rsidR="00130D15" w:rsidRPr="008B2A17" w:rsidRDefault="00130D15" w:rsidP="00130D15">
            <w:pPr>
              <w:pStyle w:val="Normalgrey"/>
            </w:pPr>
          </w:p>
        </w:tc>
        <w:tc>
          <w:tcPr>
            <w:tcW w:w="540" w:type="dxa"/>
            <w:shd w:val="clear" w:color="auto" w:fill="F2F2F2" w:themeFill="background1" w:themeFillShade="F2"/>
          </w:tcPr>
          <w:p w14:paraId="62B6C82F" w14:textId="77777777" w:rsidR="00130D15" w:rsidRDefault="00130D15" w:rsidP="00130D15">
            <w:pPr>
              <w:pStyle w:val="Normalgrey"/>
            </w:pPr>
          </w:p>
          <w:p w14:paraId="192AAF62" w14:textId="066A91C2" w:rsidR="00130D15" w:rsidRDefault="00130D15" w:rsidP="00130D15">
            <w:pPr>
              <w:pStyle w:val="Normalgrey"/>
            </w:pPr>
            <w:r>
              <w:t>4.</w:t>
            </w:r>
            <w:r w:rsidR="003E5DFD">
              <w:t>9</w:t>
            </w:r>
          </w:p>
        </w:tc>
        <w:tc>
          <w:tcPr>
            <w:tcW w:w="6134" w:type="dxa"/>
            <w:shd w:val="clear" w:color="auto" w:fill="F2F2F2" w:themeFill="background1" w:themeFillShade="F2"/>
          </w:tcPr>
          <w:p w14:paraId="15970331" w14:textId="77777777" w:rsidR="00130D15" w:rsidRPr="0035486A" w:rsidRDefault="00130D15" w:rsidP="00130D15">
            <w:pPr>
              <w:pStyle w:val="Normalbold"/>
              <w:rPr>
                <w:u w:val="single"/>
              </w:rPr>
            </w:pPr>
            <w:r w:rsidRPr="0035486A">
              <w:rPr>
                <w:u w:val="single"/>
              </w:rPr>
              <w:t>Leases previously classified as finance leases</w:t>
            </w:r>
            <w:r>
              <w:rPr>
                <w:u w:val="single"/>
              </w:rPr>
              <w:t xml:space="preserve"> applying AASB 117</w:t>
            </w:r>
          </w:p>
          <w:p w14:paraId="5D62384E" w14:textId="4493C563" w:rsidR="00130D15" w:rsidRPr="009E2A64" w:rsidRDefault="00130D15" w:rsidP="00130D15">
            <w:pPr>
              <w:pStyle w:val="Normalbold"/>
              <w:rPr>
                <w:u w:val="single"/>
              </w:rPr>
            </w:pPr>
            <w:r>
              <w:t>The measurement of the right-of-use asset and the lease liability at the date of initial application shall be equal to the carrying amount of the lease asset and lease liability immediately before that date, measured applying AASB 117.</w:t>
            </w:r>
          </w:p>
        </w:tc>
      </w:tr>
      <w:tr w:rsidR="00130D15" w:rsidRPr="005828FE" w14:paraId="7B9F8E0B" w14:textId="77777777" w:rsidTr="00622257">
        <w:tc>
          <w:tcPr>
            <w:tcW w:w="2293" w:type="dxa"/>
            <w:shd w:val="clear" w:color="auto" w:fill="F2F2F2" w:themeFill="background1" w:themeFillShade="F2"/>
          </w:tcPr>
          <w:p w14:paraId="5A3C985B" w14:textId="77777777" w:rsidR="00130D15" w:rsidRPr="005828FE" w:rsidRDefault="00130D15" w:rsidP="00130D15">
            <w:pPr>
              <w:pStyle w:val="Normalbold"/>
            </w:pPr>
          </w:p>
        </w:tc>
        <w:tc>
          <w:tcPr>
            <w:tcW w:w="270" w:type="dxa"/>
            <w:shd w:val="clear" w:color="auto" w:fill="F2F2F2" w:themeFill="background1" w:themeFillShade="F2"/>
          </w:tcPr>
          <w:p w14:paraId="61ADBE7D" w14:textId="77777777" w:rsidR="00130D15" w:rsidRPr="008B2A17" w:rsidRDefault="00130D15" w:rsidP="00130D15">
            <w:pPr>
              <w:pStyle w:val="Normalgrey"/>
            </w:pPr>
          </w:p>
        </w:tc>
        <w:tc>
          <w:tcPr>
            <w:tcW w:w="540" w:type="dxa"/>
            <w:shd w:val="clear" w:color="auto" w:fill="F2F2F2" w:themeFill="background1" w:themeFillShade="F2"/>
          </w:tcPr>
          <w:p w14:paraId="3EA34F82" w14:textId="77777777" w:rsidR="00130D15" w:rsidRDefault="00130D15" w:rsidP="00130D15">
            <w:pPr>
              <w:pStyle w:val="Normalgrey"/>
            </w:pPr>
          </w:p>
          <w:p w14:paraId="4FF8A9FD" w14:textId="6F9F001A" w:rsidR="00130D15" w:rsidRDefault="00130D15" w:rsidP="00130D15">
            <w:r>
              <w:t>4.</w:t>
            </w:r>
            <w:r w:rsidR="003E5DFD">
              <w:t>10</w:t>
            </w:r>
          </w:p>
          <w:p w14:paraId="5FCD3EE2" w14:textId="3321C368" w:rsidR="00130D15" w:rsidRDefault="00130D15" w:rsidP="00130D15"/>
          <w:p w14:paraId="61719CAC" w14:textId="03149BC7" w:rsidR="00130D15" w:rsidRPr="009E1FB2" w:rsidRDefault="00130D15" w:rsidP="00130D15"/>
        </w:tc>
        <w:tc>
          <w:tcPr>
            <w:tcW w:w="6134" w:type="dxa"/>
            <w:shd w:val="clear" w:color="auto" w:fill="F2F2F2" w:themeFill="background1" w:themeFillShade="F2"/>
          </w:tcPr>
          <w:p w14:paraId="2CCEAC47" w14:textId="77777777" w:rsidR="00130D15" w:rsidRDefault="00130D15" w:rsidP="00130D15">
            <w:pPr>
              <w:pStyle w:val="Normalbold"/>
              <w:rPr>
                <w:u w:val="single"/>
              </w:rPr>
            </w:pPr>
            <w:r>
              <w:rPr>
                <w:u w:val="single"/>
              </w:rPr>
              <w:t>Transitional disclosures</w:t>
            </w:r>
          </w:p>
          <w:p w14:paraId="640DB015" w14:textId="6816E4F9" w:rsidR="00130D15" w:rsidRDefault="00130D15" w:rsidP="00130D15">
            <w:pPr>
              <w:pStyle w:val="Normalbold"/>
              <w:rPr>
                <w:i/>
              </w:rPr>
            </w:pPr>
            <w:r>
              <w:t xml:space="preserve">An entity shall disclose the following information about initial application required by paragraph 28 of AASB 108 </w:t>
            </w:r>
            <w:r w:rsidRPr="00A146C3">
              <w:rPr>
                <w:i/>
              </w:rPr>
              <w:t>Accounting Policies, Changes in Accounting Estimates and Errors</w:t>
            </w:r>
            <w:r>
              <w:rPr>
                <w:i/>
              </w:rPr>
              <w:t>:</w:t>
            </w:r>
          </w:p>
          <w:p w14:paraId="42224C45" w14:textId="7691160C" w:rsidR="00130D15" w:rsidRDefault="00130D15" w:rsidP="00130D15">
            <w:pPr>
              <w:pStyle w:val="Normalbold"/>
              <w:numPr>
                <w:ilvl w:val="0"/>
                <w:numId w:val="40"/>
              </w:numPr>
            </w:pPr>
            <w:r>
              <w:t>t</w:t>
            </w:r>
            <w:r w:rsidRPr="00BD59A7">
              <w:t>he title of the Australian Accounting Standard</w:t>
            </w:r>
            <w:r>
              <w:t>;</w:t>
            </w:r>
          </w:p>
          <w:p w14:paraId="188D5358" w14:textId="12711CFD" w:rsidR="00130D15" w:rsidRDefault="00130D15" w:rsidP="00130D15">
            <w:pPr>
              <w:pStyle w:val="Normalbold"/>
              <w:numPr>
                <w:ilvl w:val="0"/>
                <w:numId w:val="40"/>
              </w:numPr>
            </w:pPr>
            <w:r>
              <w:t>when applicable, that the change in accounting policy is made in accordance with its transitional provisions;</w:t>
            </w:r>
          </w:p>
          <w:p w14:paraId="3FD6AE06" w14:textId="49B85D54" w:rsidR="00130D15" w:rsidRDefault="00130D15" w:rsidP="00130D15">
            <w:pPr>
              <w:pStyle w:val="Normalbold"/>
              <w:numPr>
                <w:ilvl w:val="0"/>
                <w:numId w:val="40"/>
              </w:numPr>
            </w:pPr>
            <w:r>
              <w:t>the nature of the change in accounting policy;</w:t>
            </w:r>
          </w:p>
          <w:p w14:paraId="40E14977" w14:textId="18631895" w:rsidR="00130D15" w:rsidRDefault="00130D15" w:rsidP="00130D15">
            <w:pPr>
              <w:pStyle w:val="Normalbold"/>
              <w:numPr>
                <w:ilvl w:val="0"/>
                <w:numId w:val="40"/>
              </w:numPr>
            </w:pPr>
            <w:r>
              <w:t>when applicable, a description of the transitional provisions</w:t>
            </w:r>
            <w:r w:rsidR="00347DA0">
              <w:t>;</w:t>
            </w:r>
          </w:p>
          <w:p w14:paraId="7357831C" w14:textId="5F0A55A5" w:rsidR="00130D15" w:rsidRDefault="00130D15" w:rsidP="00130D15">
            <w:pPr>
              <w:pStyle w:val="Normalbold"/>
              <w:numPr>
                <w:ilvl w:val="0"/>
                <w:numId w:val="40"/>
              </w:numPr>
            </w:pPr>
            <w:r>
              <w:t>when applicable, the transitional provisions that might have an effect on future periods;</w:t>
            </w:r>
          </w:p>
          <w:p w14:paraId="2A848A83" w14:textId="4E4565C8" w:rsidR="00130D15" w:rsidRPr="00002C13" w:rsidRDefault="00130D15" w:rsidP="00130D15">
            <w:pPr>
              <w:pStyle w:val="Normalbold"/>
              <w:numPr>
                <w:ilvl w:val="0"/>
                <w:numId w:val="40"/>
              </w:numPr>
            </w:pPr>
            <w:r w:rsidRPr="00002C13">
              <w:t>the amount of adjustment relating to periods before those presented, to the extent practicable</w:t>
            </w:r>
            <w:r w:rsidR="00EB4813">
              <w:t>.</w:t>
            </w:r>
          </w:p>
          <w:p w14:paraId="5E945577" w14:textId="5B098023" w:rsidR="00F51E97" w:rsidRPr="00F51E97" w:rsidRDefault="00F51E97" w:rsidP="00EB4813">
            <w:pPr>
              <w:pStyle w:val="Normalbold"/>
              <w:ind w:left="360"/>
            </w:pPr>
          </w:p>
        </w:tc>
      </w:tr>
      <w:tr w:rsidR="00BA62F1" w:rsidRPr="005828FE" w14:paraId="173AC8D8" w14:textId="77777777" w:rsidTr="00622257">
        <w:tc>
          <w:tcPr>
            <w:tcW w:w="2293" w:type="dxa"/>
            <w:shd w:val="clear" w:color="auto" w:fill="F2F2F2" w:themeFill="background1" w:themeFillShade="F2"/>
          </w:tcPr>
          <w:p w14:paraId="4B159595" w14:textId="77777777" w:rsidR="00BA62F1" w:rsidRPr="005828FE" w:rsidRDefault="00BA62F1" w:rsidP="00130D15">
            <w:pPr>
              <w:pStyle w:val="Normalbold"/>
            </w:pPr>
          </w:p>
        </w:tc>
        <w:tc>
          <w:tcPr>
            <w:tcW w:w="270" w:type="dxa"/>
            <w:shd w:val="clear" w:color="auto" w:fill="F2F2F2" w:themeFill="background1" w:themeFillShade="F2"/>
          </w:tcPr>
          <w:p w14:paraId="16184408" w14:textId="77777777" w:rsidR="00BA62F1" w:rsidRPr="008B2A17" w:rsidRDefault="00BA62F1" w:rsidP="00130D15">
            <w:pPr>
              <w:pStyle w:val="Normalgrey"/>
            </w:pPr>
          </w:p>
        </w:tc>
        <w:tc>
          <w:tcPr>
            <w:tcW w:w="540" w:type="dxa"/>
            <w:shd w:val="clear" w:color="auto" w:fill="F2F2F2" w:themeFill="background1" w:themeFillShade="F2"/>
          </w:tcPr>
          <w:p w14:paraId="3BF6A4A6" w14:textId="16D14EC4" w:rsidR="00BA62F1" w:rsidRDefault="00F51E97" w:rsidP="00130D15">
            <w:pPr>
              <w:pStyle w:val="Normalgrey"/>
            </w:pPr>
            <w:r>
              <w:t>4.11</w:t>
            </w:r>
          </w:p>
        </w:tc>
        <w:tc>
          <w:tcPr>
            <w:tcW w:w="6134" w:type="dxa"/>
            <w:shd w:val="clear" w:color="auto" w:fill="F2F2F2" w:themeFill="background1" w:themeFillShade="F2"/>
          </w:tcPr>
          <w:p w14:paraId="7CBE7DC7" w14:textId="77777777" w:rsidR="00F51E97" w:rsidRPr="009F4F8E" w:rsidRDefault="00F51E97" w:rsidP="00F51E97">
            <w:pPr>
              <w:pStyle w:val="Normalbold"/>
            </w:pPr>
            <w:r w:rsidRPr="009F4F8E">
              <w:t>An entity shall disclose the following on initial application:</w:t>
            </w:r>
          </w:p>
          <w:p w14:paraId="32EC3BCC" w14:textId="77777777" w:rsidR="00F51E97" w:rsidRPr="009F4F8E" w:rsidRDefault="00F51E97" w:rsidP="00F51E97">
            <w:pPr>
              <w:pStyle w:val="Normalbold"/>
              <w:numPr>
                <w:ilvl w:val="0"/>
                <w:numId w:val="37"/>
              </w:numPr>
            </w:pPr>
            <w:r>
              <w:t>the w</w:t>
            </w:r>
            <w:r w:rsidRPr="009F4F8E">
              <w:t>eighted average lessee’s incremental borrowing rate applied to lease liabilities recognised in the statement of financial position at the date of initial application; and</w:t>
            </w:r>
          </w:p>
          <w:p w14:paraId="2BBEC85E" w14:textId="77777777" w:rsidR="00F51E97" w:rsidRPr="009F4F8E" w:rsidRDefault="00F51E97" w:rsidP="00F51E97">
            <w:pPr>
              <w:pStyle w:val="Normalbold"/>
              <w:numPr>
                <w:ilvl w:val="0"/>
                <w:numId w:val="37"/>
              </w:numPr>
            </w:pPr>
            <w:r>
              <w:t>a</w:t>
            </w:r>
            <w:r w:rsidRPr="009F4F8E">
              <w:t>n explanation of any difference between:</w:t>
            </w:r>
          </w:p>
          <w:p w14:paraId="51198E05" w14:textId="77777777" w:rsidR="00F51E97" w:rsidRPr="009F4F8E" w:rsidRDefault="00F51E97" w:rsidP="00F51E97">
            <w:pPr>
              <w:pStyle w:val="Normalbold"/>
              <w:numPr>
                <w:ilvl w:val="0"/>
                <w:numId w:val="38"/>
              </w:numPr>
              <w:rPr>
                <w:b w:val="0"/>
              </w:rPr>
            </w:pPr>
            <w:r>
              <w:t>o</w:t>
            </w:r>
            <w:r w:rsidRPr="009F4F8E">
              <w:t>perating lease commitments disclosed applying AASB</w:t>
            </w:r>
            <w:r>
              <w:t xml:space="preserve"> 117 at the end of the annual reporting period immediately preceding the date of initial application, discounted using the incremental borrowing rate at the date of initial application; and</w:t>
            </w:r>
          </w:p>
          <w:p w14:paraId="0017418F" w14:textId="5C6A47C8" w:rsidR="00BA62F1" w:rsidRDefault="00F51E97" w:rsidP="00F51E97">
            <w:pPr>
              <w:pStyle w:val="Normalbold"/>
              <w:numPr>
                <w:ilvl w:val="0"/>
                <w:numId w:val="38"/>
              </w:numPr>
              <w:rPr>
                <w:u w:val="single"/>
              </w:rPr>
            </w:pPr>
            <w:r>
              <w:t>lease liabilities recognised in the statement of financial position at the date of initial application</w:t>
            </w:r>
            <w:r w:rsidRPr="00F51E97">
              <w:t>.</w:t>
            </w:r>
          </w:p>
        </w:tc>
      </w:tr>
      <w:tr w:rsidR="000372D0" w:rsidRPr="005828FE" w14:paraId="06F638D8" w14:textId="77777777" w:rsidTr="00622257">
        <w:tc>
          <w:tcPr>
            <w:tcW w:w="2293" w:type="dxa"/>
            <w:shd w:val="clear" w:color="auto" w:fill="F2F2F2" w:themeFill="background1" w:themeFillShade="F2"/>
          </w:tcPr>
          <w:p w14:paraId="0C105E2F" w14:textId="77777777" w:rsidR="000372D0" w:rsidRPr="005828FE" w:rsidRDefault="000372D0" w:rsidP="00130D15">
            <w:pPr>
              <w:pStyle w:val="Normalbold"/>
            </w:pPr>
          </w:p>
        </w:tc>
        <w:tc>
          <w:tcPr>
            <w:tcW w:w="270" w:type="dxa"/>
            <w:shd w:val="clear" w:color="auto" w:fill="F2F2F2" w:themeFill="background1" w:themeFillShade="F2"/>
          </w:tcPr>
          <w:p w14:paraId="6AF9D842" w14:textId="77777777" w:rsidR="000372D0" w:rsidRPr="008B2A17" w:rsidRDefault="000372D0" w:rsidP="00130D15">
            <w:pPr>
              <w:pStyle w:val="Normalgrey"/>
            </w:pPr>
          </w:p>
        </w:tc>
        <w:tc>
          <w:tcPr>
            <w:tcW w:w="540" w:type="dxa"/>
            <w:shd w:val="clear" w:color="auto" w:fill="F2F2F2" w:themeFill="background1" w:themeFillShade="F2"/>
          </w:tcPr>
          <w:p w14:paraId="3508D5EC" w14:textId="77777777" w:rsidR="000372D0" w:rsidRDefault="000372D0" w:rsidP="00130D15">
            <w:pPr>
              <w:pStyle w:val="Normalgrey"/>
            </w:pPr>
            <w:r>
              <w:t>4.1</w:t>
            </w:r>
            <w:r w:rsidR="00F51E97">
              <w:t>2</w:t>
            </w:r>
          </w:p>
          <w:p w14:paraId="0DEA5C1B" w14:textId="2BD44797" w:rsidR="00C10EE4" w:rsidRDefault="00C10EE4" w:rsidP="00130D15">
            <w:pPr>
              <w:pStyle w:val="Normalgrey"/>
            </w:pPr>
          </w:p>
        </w:tc>
        <w:tc>
          <w:tcPr>
            <w:tcW w:w="6134" w:type="dxa"/>
            <w:shd w:val="clear" w:color="auto" w:fill="F2F2F2" w:themeFill="background1" w:themeFillShade="F2"/>
          </w:tcPr>
          <w:p w14:paraId="773E7F12" w14:textId="0E58F894" w:rsidR="000372D0" w:rsidRDefault="000372D0" w:rsidP="00130D15">
            <w:pPr>
              <w:pStyle w:val="Normalbold"/>
            </w:pPr>
            <w:r w:rsidRPr="009F4F8E">
              <w:t xml:space="preserve">An entity shall disclose the practical expedients used in </w:t>
            </w:r>
            <w:r>
              <w:t>4.1</w:t>
            </w:r>
            <w:r w:rsidR="0086184C">
              <w:t>,</w:t>
            </w:r>
            <w:r w:rsidR="00EB4813">
              <w:t xml:space="preserve"> </w:t>
            </w:r>
            <w:r w:rsidRPr="009F4F8E">
              <w:t>4.</w:t>
            </w:r>
            <w:r>
              <w:t>5</w:t>
            </w:r>
            <w:r w:rsidR="00EC65E8">
              <w:t xml:space="preserve"> and</w:t>
            </w:r>
            <w:r w:rsidR="002C1FE0">
              <w:t>, 4.6</w:t>
            </w:r>
            <w:r w:rsidR="00EB4813">
              <w:t>.</w:t>
            </w:r>
            <w:r w:rsidR="002C1FE0">
              <w:t xml:space="preserve"> </w:t>
            </w:r>
          </w:p>
          <w:p w14:paraId="72DC42A9" w14:textId="1992ADEC" w:rsidR="00665E74" w:rsidRPr="00FA3C8A" w:rsidRDefault="00665E74" w:rsidP="00130D15">
            <w:pPr>
              <w:pStyle w:val="Normalbold"/>
            </w:pPr>
          </w:p>
        </w:tc>
      </w:tr>
      <w:tr w:rsidR="00FA018C" w:rsidRPr="005828FE" w14:paraId="380ADF89" w14:textId="77777777" w:rsidTr="00622257">
        <w:tc>
          <w:tcPr>
            <w:tcW w:w="2293" w:type="dxa"/>
            <w:shd w:val="clear" w:color="auto" w:fill="F2F2F2" w:themeFill="background1" w:themeFillShade="F2"/>
          </w:tcPr>
          <w:p w14:paraId="02722E93" w14:textId="77777777" w:rsidR="00FA018C" w:rsidRPr="005828FE" w:rsidRDefault="00FA018C" w:rsidP="00130D15">
            <w:pPr>
              <w:pStyle w:val="Normalbold"/>
            </w:pPr>
          </w:p>
        </w:tc>
        <w:tc>
          <w:tcPr>
            <w:tcW w:w="270" w:type="dxa"/>
            <w:shd w:val="clear" w:color="auto" w:fill="F2F2F2" w:themeFill="background1" w:themeFillShade="F2"/>
          </w:tcPr>
          <w:p w14:paraId="71716ABB" w14:textId="77777777" w:rsidR="00FA018C" w:rsidRPr="008B2A17" w:rsidRDefault="00FA018C" w:rsidP="00130D15">
            <w:pPr>
              <w:pStyle w:val="Normalgrey"/>
            </w:pPr>
          </w:p>
        </w:tc>
        <w:tc>
          <w:tcPr>
            <w:tcW w:w="540" w:type="dxa"/>
            <w:shd w:val="clear" w:color="auto" w:fill="F2F2F2" w:themeFill="background1" w:themeFillShade="F2"/>
          </w:tcPr>
          <w:p w14:paraId="27188405" w14:textId="61A6F4B6" w:rsidR="00FA018C" w:rsidRDefault="0068228F" w:rsidP="00130D15">
            <w:pPr>
              <w:pStyle w:val="Normalgrey"/>
            </w:pPr>
            <w:r>
              <w:t>4.1</w:t>
            </w:r>
            <w:r w:rsidR="00EF5346">
              <w:t>3</w:t>
            </w:r>
          </w:p>
        </w:tc>
        <w:tc>
          <w:tcPr>
            <w:tcW w:w="6134" w:type="dxa"/>
            <w:shd w:val="clear" w:color="auto" w:fill="F2F2F2" w:themeFill="background1" w:themeFillShade="F2"/>
          </w:tcPr>
          <w:p w14:paraId="242CFE65" w14:textId="5D6E7AAD" w:rsidR="00FA018C" w:rsidRDefault="00006D84" w:rsidP="00130D15">
            <w:pPr>
              <w:pStyle w:val="Normalbold"/>
            </w:pPr>
            <w:r>
              <w:t>Transitional</w:t>
            </w:r>
            <w:r w:rsidR="00FA018C">
              <w:t xml:space="preserve"> requirements for lessors</w:t>
            </w:r>
          </w:p>
          <w:p w14:paraId="7B858ECA" w14:textId="77777777" w:rsidR="00FA018C" w:rsidRPr="00300E45" w:rsidRDefault="00006D84" w:rsidP="00130D15">
            <w:pPr>
              <w:pStyle w:val="Normalbold"/>
              <w:rPr>
                <w:b w:val="0"/>
              </w:rPr>
            </w:pPr>
            <w:r w:rsidRPr="00300E45">
              <w:rPr>
                <w:b w:val="0"/>
              </w:rPr>
              <w:t>With the exception of sub-leases and sale and leaseback, lessors are not required to make any adjustments to leases on transition and apply AASB 16 from the initial date of application.</w:t>
            </w:r>
          </w:p>
          <w:p w14:paraId="6436E5FD" w14:textId="036CEF98" w:rsidR="0068228F" w:rsidRPr="00300E45" w:rsidRDefault="00B36A35" w:rsidP="00300E45">
            <w:pPr>
              <w:pStyle w:val="Normalbold"/>
              <w:rPr>
                <w:b w:val="0"/>
              </w:rPr>
            </w:pPr>
            <w:r w:rsidRPr="00300E45">
              <w:rPr>
                <w:b w:val="0"/>
              </w:rPr>
              <w:t xml:space="preserve">An intermediate </w:t>
            </w:r>
            <w:r w:rsidR="0068228F" w:rsidRPr="00300E45">
              <w:rPr>
                <w:b w:val="0"/>
              </w:rPr>
              <w:t xml:space="preserve">lessor must reassess ongoing operating sub-leases under AASB 16 at the transition date, to determine whether the sublease should be classified as an operating lease or a finance lease applying this standard. </w:t>
            </w:r>
            <w:r w:rsidR="00300E45" w:rsidRPr="00EB4813">
              <w:rPr>
                <w:b w:val="0"/>
              </w:rPr>
              <w:t>The intermediate lessor shall perform this assessment at the date of initial application on the basis of the remaining contractual terms and conditions of the head lease and sublease at that date.</w:t>
            </w:r>
          </w:p>
          <w:p w14:paraId="728D7693" w14:textId="201B6434" w:rsidR="00B36A35" w:rsidRPr="009F4F8E" w:rsidRDefault="0068228F" w:rsidP="00130D15">
            <w:pPr>
              <w:pStyle w:val="Normalbold"/>
            </w:pPr>
            <w:r w:rsidRPr="00300E45">
              <w:rPr>
                <w:b w:val="0"/>
              </w:rPr>
              <w:t>If a sublease, is then reclassified as a finance lease, it should be accounted for as a new finance lease entered into at the date of initial application.</w:t>
            </w:r>
          </w:p>
        </w:tc>
      </w:tr>
      <w:tr w:rsidR="00AA0FA8" w:rsidRPr="005828FE" w14:paraId="41571349" w14:textId="77777777" w:rsidTr="00622257">
        <w:tc>
          <w:tcPr>
            <w:tcW w:w="2293" w:type="dxa"/>
            <w:shd w:val="clear" w:color="auto" w:fill="F2F2F2" w:themeFill="background1" w:themeFillShade="F2"/>
          </w:tcPr>
          <w:p w14:paraId="01BF8E9E" w14:textId="77777777" w:rsidR="00AA0FA8" w:rsidRPr="005828FE" w:rsidRDefault="00AA0FA8" w:rsidP="00130D15">
            <w:pPr>
              <w:pStyle w:val="Normalbold"/>
            </w:pPr>
          </w:p>
        </w:tc>
        <w:tc>
          <w:tcPr>
            <w:tcW w:w="270" w:type="dxa"/>
            <w:shd w:val="clear" w:color="auto" w:fill="F2F2F2" w:themeFill="background1" w:themeFillShade="F2"/>
          </w:tcPr>
          <w:p w14:paraId="2CCF0782" w14:textId="77777777" w:rsidR="00AA0FA8" w:rsidRPr="008B2A17" w:rsidRDefault="00AA0FA8" w:rsidP="00130D15">
            <w:pPr>
              <w:pStyle w:val="Normalgrey"/>
            </w:pPr>
          </w:p>
        </w:tc>
        <w:tc>
          <w:tcPr>
            <w:tcW w:w="540" w:type="dxa"/>
            <w:shd w:val="clear" w:color="auto" w:fill="F2F2F2" w:themeFill="background1" w:themeFillShade="F2"/>
          </w:tcPr>
          <w:p w14:paraId="1D5FE457" w14:textId="58CF47BD" w:rsidR="00AA0FA8" w:rsidRDefault="0068228F" w:rsidP="00130D15">
            <w:pPr>
              <w:pStyle w:val="Normalgrey"/>
            </w:pPr>
            <w:r>
              <w:t>4.1</w:t>
            </w:r>
            <w:r w:rsidR="00EF5346">
              <w:t>4</w:t>
            </w:r>
          </w:p>
        </w:tc>
        <w:tc>
          <w:tcPr>
            <w:tcW w:w="6134" w:type="dxa"/>
            <w:shd w:val="clear" w:color="auto" w:fill="F2F2F2" w:themeFill="background1" w:themeFillShade="F2"/>
          </w:tcPr>
          <w:p w14:paraId="6E3679A0" w14:textId="77777777" w:rsidR="00AA0FA8" w:rsidRDefault="00AA0FA8" w:rsidP="00130D15">
            <w:pPr>
              <w:pStyle w:val="Normalbold"/>
            </w:pPr>
            <w:r>
              <w:t xml:space="preserve">Sale and leaseback transactions </w:t>
            </w:r>
          </w:p>
          <w:p w14:paraId="68C1C00C" w14:textId="11CDEBCD" w:rsidR="00AA0FA8" w:rsidRDefault="00AA0FA8" w:rsidP="00130D15">
            <w:pPr>
              <w:pStyle w:val="Normalbold"/>
            </w:pPr>
            <w:r>
              <w:t>An entity is not required to reassess ongoing sale and leaseback transactions</w:t>
            </w:r>
            <w:r w:rsidR="003D7DB6">
              <w:t xml:space="preserve"> entered before the date of initial application</w:t>
            </w:r>
            <w:r>
              <w:t xml:space="preserve"> to determine if the transfer of the asset is sale under AASB 15</w:t>
            </w:r>
            <w:r w:rsidR="00D4638A">
              <w:rPr>
                <w:rStyle w:val="FootnoteReference"/>
              </w:rPr>
              <w:footnoteReference w:id="5"/>
            </w:r>
            <w:r w:rsidR="003D7DB6">
              <w:t>.</w:t>
            </w:r>
          </w:p>
          <w:p w14:paraId="2F9A535F" w14:textId="77777777" w:rsidR="003D7DB6" w:rsidRDefault="003D7DB6" w:rsidP="00130D15">
            <w:pPr>
              <w:pStyle w:val="Normalbold"/>
            </w:pPr>
            <w:r>
              <w:t>For sale and leaseback transactions in existence at the transition date, the seller-lessee will need to:</w:t>
            </w:r>
          </w:p>
          <w:p w14:paraId="1634A058" w14:textId="77777777" w:rsidR="003D7DB6" w:rsidRDefault="003D7DB6" w:rsidP="00CC4189">
            <w:pPr>
              <w:pStyle w:val="Normalbold"/>
              <w:numPr>
                <w:ilvl w:val="0"/>
                <w:numId w:val="47"/>
              </w:numPr>
            </w:pPr>
            <w:r>
              <w:t>If classified as a sale and operating lease under AASB 117:</w:t>
            </w:r>
          </w:p>
          <w:p w14:paraId="1A8D9E1D" w14:textId="3F83B649" w:rsidR="008F4D17" w:rsidRDefault="003D7DB6" w:rsidP="003D7DB6">
            <w:pPr>
              <w:pStyle w:val="Normalbold"/>
              <w:numPr>
                <w:ilvl w:val="1"/>
                <w:numId w:val="47"/>
              </w:numPr>
            </w:pPr>
            <w:r>
              <w:t>account for the leaseback in the same way as any other operating lease</w:t>
            </w:r>
            <w:r w:rsidR="008F4D17">
              <w:t xml:space="preserve"> that exists</w:t>
            </w:r>
            <w:r>
              <w:t xml:space="preserve"> at transition; and</w:t>
            </w:r>
          </w:p>
          <w:p w14:paraId="3B368A33" w14:textId="68267DCB" w:rsidR="008F4D17" w:rsidRDefault="008F4D17" w:rsidP="003D7DB6">
            <w:pPr>
              <w:pStyle w:val="Normalbold"/>
              <w:numPr>
                <w:ilvl w:val="1"/>
                <w:numId w:val="47"/>
              </w:numPr>
            </w:pPr>
            <w:r>
              <w:t>adjust the leaseback right-of-use asset for any deferred gains or losses that relate to off-market terms recognised in the balance sheet immediately before the date of initial application</w:t>
            </w:r>
            <w:r w:rsidR="003D7DB6">
              <w:t>.</w:t>
            </w:r>
          </w:p>
          <w:p w14:paraId="03E5B75E" w14:textId="63A11518" w:rsidR="008F4D17" w:rsidRDefault="003D7DB6" w:rsidP="00CC4189">
            <w:pPr>
              <w:pStyle w:val="Normalbold"/>
              <w:numPr>
                <w:ilvl w:val="0"/>
                <w:numId w:val="47"/>
              </w:numPr>
            </w:pPr>
            <w:r>
              <w:t xml:space="preserve"> If classified as a sale and finance lease under AASB 117: </w:t>
            </w:r>
          </w:p>
          <w:p w14:paraId="2475E429" w14:textId="04CFC5BD" w:rsidR="008F4D17" w:rsidRDefault="003D7DB6" w:rsidP="003D7DB6">
            <w:pPr>
              <w:pStyle w:val="Normalbold"/>
              <w:numPr>
                <w:ilvl w:val="1"/>
                <w:numId w:val="47"/>
              </w:numPr>
            </w:pPr>
            <w:r>
              <w:t xml:space="preserve">account for the leaseback </w:t>
            </w:r>
            <w:r w:rsidR="008F4D17">
              <w:t>in the same way as it accounts for any other finance leases that exists at transition</w:t>
            </w:r>
            <w:r>
              <w:t>;</w:t>
            </w:r>
            <w:r w:rsidR="008F4D17">
              <w:t xml:space="preserve"> and</w:t>
            </w:r>
            <w:r>
              <w:t xml:space="preserve"> </w:t>
            </w:r>
          </w:p>
          <w:p w14:paraId="02C7AD7C" w14:textId="25918A14" w:rsidR="003D7DB6" w:rsidRDefault="003D7DB6" w:rsidP="00CC4189">
            <w:pPr>
              <w:pStyle w:val="Normalbold"/>
              <w:numPr>
                <w:ilvl w:val="1"/>
                <w:numId w:val="47"/>
              </w:numPr>
            </w:pPr>
            <w:r>
              <w:t>an</w:t>
            </w:r>
            <w:r w:rsidR="008F4D17">
              <w:t xml:space="preserve">d </w:t>
            </w:r>
            <w:r>
              <w:t>continue to amortise any recognised gain on sale over the lease term.</w:t>
            </w:r>
          </w:p>
        </w:tc>
      </w:tr>
      <w:tr w:rsidR="00130D15" w:rsidRPr="005828FE" w14:paraId="513686A8" w14:textId="77777777" w:rsidTr="00622257">
        <w:tc>
          <w:tcPr>
            <w:tcW w:w="2293" w:type="dxa"/>
          </w:tcPr>
          <w:p w14:paraId="30251C76" w14:textId="20DA2A3D" w:rsidR="00130D15" w:rsidRPr="005828FE" w:rsidRDefault="00130D15" w:rsidP="00130D15">
            <w:pPr>
              <w:pStyle w:val="Normalgrey"/>
            </w:pPr>
            <w:r w:rsidRPr="005828FE">
              <w:t>Definitions</w:t>
            </w:r>
          </w:p>
        </w:tc>
        <w:tc>
          <w:tcPr>
            <w:tcW w:w="270" w:type="dxa"/>
          </w:tcPr>
          <w:p w14:paraId="1AC1AD24" w14:textId="77777777" w:rsidR="00130D15" w:rsidRPr="005828FE" w:rsidRDefault="00130D15" w:rsidP="00130D15">
            <w:pPr>
              <w:pStyle w:val="Normalgrey"/>
            </w:pPr>
          </w:p>
        </w:tc>
        <w:tc>
          <w:tcPr>
            <w:tcW w:w="540" w:type="dxa"/>
          </w:tcPr>
          <w:p w14:paraId="131C027E" w14:textId="125AE125" w:rsidR="00130D15" w:rsidRDefault="00130D15" w:rsidP="00130D15">
            <w:pPr>
              <w:pStyle w:val="Normalgrey"/>
            </w:pPr>
            <w:r>
              <w:t>5.1</w:t>
            </w:r>
          </w:p>
        </w:tc>
        <w:tc>
          <w:tcPr>
            <w:tcW w:w="6134" w:type="dxa"/>
          </w:tcPr>
          <w:p w14:paraId="34984908" w14:textId="2F317866" w:rsidR="00130D15" w:rsidRDefault="00130D15" w:rsidP="00130D15">
            <w:pPr>
              <w:pStyle w:val="Normalgrey"/>
            </w:pPr>
            <w:r w:rsidRPr="00971A8A">
              <w:rPr>
                <w:b/>
              </w:rPr>
              <w:t>Lease</w:t>
            </w:r>
            <w:r>
              <w:t xml:space="preserve"> – A contract, or part of a contract, that conveys the right to use an asset (the underlying asset) for a period of time in exchange for consideration.</w:t>
            </w:r>
          </w:p>
        </w:tc>
      </w:tr>
      <w:tr w:rsidR="00130D15" w:rsidRPr="005828FE" w14:paraId="6BA9FC0C" w14:textId="77777777" w:rsidTr="00622257">
        <w:tc>
          <w:tcPr>
            <w:tcW w:w="2293" w:type="dxa"/>
          </w:tcPr>
          <w:p w14:paraId="0D10E133" w14:textId="77777777" w:rsidR="00130D15" w:rsidRPr="005828FE" w:rsidRDefault="00130D15" w:rsidP="00130D15">
            <w:pPr>
              <w:pStyle w:val="Normalgrey"/>
            </w:pPr>
          </w:p>
        </w:tc>
        <w:tc>
          <w:tcPr>
            <w:tcW w:w="270" w:type="dxa"/>
          </w:tcPr>
          <w:p w14:paraId="5B9C209E" w14:textId="77777777" w:rsidR="00130D15" w:rsidRPr="005828FE" w:rsidRDefault="00130D15" w:rsidP="00130D15">
            <w:pPr>
              <w:pStyle w:val="Normalgrey"/>
            </w:pPr>
          </w:p>
        </w:tc>
        <w:tc>
          <w:tcPr>
            <w:tcW w:w="540" w:type="dxa"/>
          </w:tcPr>
          <w:p w14:paraId="0F9C24FE" w14:textId="77777777" w:rsidR="00130D15" w:rsidRDefault="00130D15" w:rsidP="00130D15">
            <w:pPr>
              <w:pStyle w:val="Normalgrey"/>
            </w:pPr>
          </w:p>
        </w:tc>
        <w:tc>
          <w:tcPr>
            <w:tcW w:w="6134" w:type="dxa"/>
          </w:tcPr>
          <w:p w14:paraId="7443E4B5" w14:textId="79DF303E" w:rsidR="00130D15" w:rsidRPr="00971A8A" w:rsidRDefault="00130D15" w:rsidP="00130D15">
            <w:pPr>
              <w:pStyle w:val="Normalgrey"/>
              <w:rPr>
                <w:b/>
              </w:rPr>
            </w:pPr>
            <w:r>
              <w:rPr>
                <w:b/>
              </w:rPr>
              <w:t xml:space="preserve">Lessee – </w:t>
            </w:r>
            <w:r w:rsidRPr="00971A8A">
              <w:t>An entity that obtains the right to use an underlying asset for a period of time in exchange for consideration</w:t>
            </w:r>
            <w:r>
              <w:rPr>
                <w:b/>
              </w:rPr>
              <w:t>.</w:t>
            </w:r>
          </w:p>
        </w:tc>
      </w:tr>
      <w:tr w:rsidR="00130D15" w:rsidRPr="005828FE" w14:paraId="141028BB" w14:textId="77777777" w:rsidTr="00622257">
        <w:tc>
          <w:tcPr>
            <w:tcW w:w="2293" w:type="dxa"/>
          </w:tcPr>
          <w:p w14:paraId="2999FA44" w14:textId="77777777" w:rsidR="00130D15" w:rsidRPr="005828FE" w:rsidRDefault="00130D15" w:rsidP="00130D15">
            <w:pPr>
              <w:pStyle w:val="Normalgrey"/>
            </w:pPr>
          </w:p>
        </w:tc>
        <w:tc>
          <w:tcPr>
            <w:tcW w:w="270" w:type="dxa"/>
          </w:tcPr>
          <w:p w14:paraId="1322C744" w14:textId="77777777" w:rsidR="00130D15" w:rsidRPr="005828FE" w:rsidRDefault="00130D15" w:rsidP="00130D15">
            <w:pPr>
              <w:pStyle w:val="Normalgrey"/>
            </w:pPr>
          </w:p>
        </w:tc>
        <w:tc>
          <w:tcPr>
            <w:tcW w:w="540" w:type="dxa"/>
          </w:tcPr>
          <w:p w14:paraId="384336E6" w14:textId="77777777" w:rsidR="00130D15" w:rsidRDefault="00130D15" w:rsidP="00130D15">
            <w:pPr>
              <w:pStyle w:val="Normalgrey"/>
            </w:pPr>
          </w:p>
        </w:tc>
        <w:tc>
          <w:tcPr>
            <w:tcW w:w="6134" w:type="dxa"/>
          </w:tcPr>
          <w:p w14:paraId="059DDC11" w14:textId="6D758F2A" w:rsidR="00130D15" w:rsidRDefault="00130D15" w:rsidP="00130D15">
            <w:pPr>
              <w:pStyle w:val="Normalgrey"/>
              <w:rPr>
                <w:b/>
              </w:rPr>
            </w:pPr>
            <w:r>
              <w:rPr>
                <w:b/>
              </w:rPr>
              <w:t xml:space="preserve">Operating Lease – </w:t>
            </w:r>
            <w:r w:rsidRPr="00D006DA">
              <w:t>A lease that does not transfer substantially all the risks and rewards incidental to ownership of an underlying asset.</w:t>
            </w:r>
          </w:p>
        </w:tc>
      </w:tr>
      <w:tr w:rsidR="00130D15" w:rsidRPr="005828FE" w14:paraId="581A1CF4" w14:textId="77777777" w:rsidTr="00622257">
        <w:tc>
          <w:tcPr>
            <w:tcW w:w="2293" w:type="dxa"/>
          </w:tcPr>
          <w:p w14:paraId="08CEA7A8" w14:textId="77777777" w:rsidR="00130D15" w:rsidRPr="005828FE" w:rsidRDefault="00130D15" w:rsidP="00130D15">
            <w:pPr>
              <w:pStyle w:val="Normalgrey"/>
            </w:pPr>
          </w:p>
        </w:tc>
        <w:tc>
          <w:tcPr>
            <w:tcW w:w="270" w:type="dxa"/>
          </w:tcPr>
          <w:p w14:paraId="7B029A44" w14:textId="77777777" w:rsidR="00130D15" w:rsidRPr="005828FE" w:rsidRDefault="00130D15" w:rsidP="00130D15">
            <w:pPr>
              <w:pStyle w:val="Normalgrey"/>
            </w:pPr>
          </w:p>
        </w:tc>
        <w:tc>
          <w:tcPr>
            <w:tcW w:w="540" w:type="dxa"/>
          </w:tcPr>
          <w:p w14:paraId="2DE5126C" w14:textId="77777777" w:rsidR="00130D15" w:rsidRDefault="00130D15" w:rsidP="00130D15">
            <w:pPr>
              <w:pStyle w:val="Normalgrey"/>
            </w:pPr>
          </w:p>
        </w:tc>
        <w:tc>
          <w:tcPr>
            <w:tcW w:w="6134" w:type="dxa"/>
          </w:tcPr>
          <w:p w14:paraId="48008C7B" w14:textId="6BAC8772" w:rsidR="00130D15" w:rsidRDefault="00130D15" w:rsidP="00130D15">
            <w:pPr>
              <w:pStyle w:val="Normalgrey"/>
              <w:rPr>
                <w:b/>
              </w:rPr>
            </w:pPr>
            <w:r>
              <w:rPr>
                <w:b/>
              </w:rPr>
              <w:t xml:space="preserve">Right-of-use asset – </w:t>
            </w:r>
            <w:r w:rsidRPr="00D006DA">
              <w:t>An asset that represents a lessee’s right to use an underlying asset for the lease term.</w:t>
            </w:r>
          </w:p>
        </w:tc>
      </w:tr>
      <w:tr w:rsidR="00130D15" w:rsidRPr="005828FE" w14:paraId="14569340" w14:textId="77777777" w:rsidTr="00622257">
        <w:tc>
          <w:tcPr>
            <w:tcW w:w="2293" w:type="dxa"/>
          </w:tcPr>
          <w:p w14:paraId="2993F283" w14:textId="77777777" w:rsidR="00130D15" w:rsidRPr="005828FE" w:rsidRDefault="00130D15" w:rsidP="00130D15">
            <w:pPr>
              <w:pStyle w:val="Normalgrey"/>
            </w:pPr>
          </w:p>
        </w:tc>
        <w:tc>
          <w:tcPr>
            <w:tcW w:w="270" w:type="dxa"/>
          </w:tcPr>
          <w:p w14:paraId="2BCB5266" w14:textId="77777777" w:rsidR="00130D15" w:rsidRPr="005828FE" w:rsidRDefault="00130D15" w:rsidP="00130D15">
            <w:pPr>
              <w:pStyle w:val="Normalgrey"/>
            </w:pPr>
          </w:p>
        </w:tc>
        <w:tc>
          <w:tcPr>
            <w:tcW w:w="540" w:type="dxa"/>
          </w:tcPr>
          <w:p w14:paraId="3224DF7C" w14:textId="0F84F27C" w:rsidR="00130D15" w:rsidRDefault="00130D15" w:rsidP="00130D15">
            <w:pPr>
              <w:pStyle w:val="Normalgrey"/>
            </w:pPr>
            <w:r>
              <w:t>5.2</w:t>
            </w:r>
          </w:p>
        </w:tc>
        <w:tc>
          <w:tcPr>
            <w:tcW w:w="6134" w:type="dxa"/>
          </w:tcPr>
          <w:p w14:paraId="4B9E5603" w14:textId="6461461E" w:rsidR="00130D15" w:rsidRPr="00D006DA" w:rsidRDefault="00130D15" w:rsidP="00130D15">
            <w:pPr>
              <w:pStyle w:val="Normalgrey"/>
            </w:pPr>
            <w:r>
              <w:t xml:space="preserve">Refer to Appendix A </w:t>
            </w:r>
            <w:r w:rsidRPr="00466F08">
              <w:rPr>
                <w:i/>
              </w:rPr>
              <w:t>Defined terms</w:t>
            </w:r>
            <w:r>
              <w:t xml:space="preserve"> of AASB 16 for a full listing of definitions.</w:t>
            </w:r>
          </w:p>
        </w:tc>
      </w:tr>
      <w:tr w:rsidR="00130D15" w:rsidRPr="005828FE" w14:paraId="09FAF6D3" w14:textId="77777777" w:rsidTr="00622257">
        <w:tc>
          <w:tcPr>
            <w:tcW w:w="2293" w:type="dxa"/>
          </w:tcPr>
          <w:p w14:paraId="5C70CAE7" w14:textId="2870770A" w:rsidR="00130D15" w:rsidRPr="005828FE" w:rsidRDefault="00FA3C8A" w:rsidP="00130D15">
            <w:pPr>
              <w:pStyle w:val="Normalgrey"/>
            </w:pPr>
            <w:r>
              <w:t>Guidance</w:t>
            </w:r>
          </w:p>
        </w:tc>
        <w:tc>
          <w:tcPr>
            <w:tcW w:w="270" w:type="dxa"/>
          </w:tcPr>
          <w:p w14:paraId="6E24E392" w14:textId="77777777" w:rsidR="00130D15" w:rsidRPr="005828FE" w:rsidRDefault="00130D15" w:rsidP="00130D15">
            <w:pPr>
              <w:pStyle w:val="Normalgrey"/>
            </w:pPr>
          </w:p>
        </w:tc>
        <w:tc>
          <w:tcPr>
            <w:tcW w:w="540" w:type="dxa"/>
          </w:tcPr>
          <w:p w14:paraId="183B4836" w14:textId="4213E88C" w:rsidR="00130D15" w:rsidRPr="00C50D49" w:rsidRDefault="00130D15" w:rsidP="00130D15">
            <w:pPr>
              <w:pStyle w:val="Normalgrey"/>
            </w:pPr>
            <w:r w:rsidRPr="00C50D49">
              <w:t>6.</w:t>
            </w:r>
            <w:r>
              <w:t>1</w:t>
            </w:r>
          </w:p>
        </w:tc>
        <w:tc>
          <w:tcPr>
            <w:tcW w:w="6134" w:type="dxa"/>
          </w:tcPr>
          <w:p w14:paraId="19E58CA5" w14:textId="77777777" w:rsidR="00FA3C8A" w:rsidRDefault="00FA3C8A" w:rsidP="00FA3C8A">
            <w:pPr>
              <w:pStyle w:val="Bullet1grey"/>
              <w:numPr>
                <w:ilvl w:val="0"/>
                <w:numId w:val="0"/>
              </w:numPr>
              <w:ind w:left="5" w:hanging="5"/>
            </w:pPr>
            <w:r>
              <w:t>Supporting information and checklists have been published on the DTF website:</w:t>
            </w:r>
          </w:p>
          <w:p w14:paraId="16515B41" w14:textId="77777777" w:rsidR="00FA3C8A" w:rsidRDefault="00FA3C8A" w:rsidP="00FA3C8A">
            <w:pPr>
              <w:pStyle w:val="Bullet1grey"/>
              <w:numPr>
                <w:ilvl w:val="0"/>
                <w:numId w:val="0"/>
              </w:numPr>
              <w:ind w:left="5" w:hanging="5"/>
            </w:pPr>
          </w:p>
          <w:p w14:paraId="4A2680C3" w14:textId="122768BE" w:rsidR="00FA3C8A" w:rsidRDefault="00FA3C8A" w:rsidP="00FA3C8A">
            <w:pPr>
              <w:pStyle w:val="Bullet1grey"/>
              <w:numPr>
                <w:ilvl w:val="0"/>
                <w:numId w:val="0"/>
              </w:numPr>
              <w:ind w:left="5" w:hanging="5"/>
            </w:pPr>
            <w:r w:rsidRPr="006A2F9F">
              <w:t>https://www.dtf.vic.gov.au/financial-reporting-policy/accounting-standards-checklists</w:t>
            </w:r>
          </w:p>
          <w:p w14:paraId="354DEFF2" w14:textId="32F05760" w:rsidR="00130D15" w:rsidRPr="00C50D49" w:rsidRDefault="00130D15" w:rsidP="00130D15">
            <w:pPr>
              <w:pStyle w:val="Bullet1grey"/>
              <w:numPr>
                <w:ilvl w:val="0"/>
                <w:numId w:val="0"/>
              </w:numPr>
              <w:ind w:left="5" w:hanging="5"/>
            </w:pPr>
          </w:p>
        </w:tc>
      </w:tr>
      <w:tr w:rsidR="00130D15" w:rsidRPr="005828FE" w14:paraId="647EFF8C" w14:textId="77777777" w:rsidTr="00622257">
        <w:tc>
          <w:tcPr>
            <w:tcW w:w="2293" w:type="dxa"/>
          </w:tcPr>
          <w:p w14:paraId="33C2F273" w14:textId="5B1761A0" w:rsidR="00130D15" w:rsidRPr="005828FE" w:rsidRDefault="00130D15" w:rsidP="00130D15">
            <w:pPr>
              <w:pStyle w:val="Normalgrey"/>
            </w:pPr>
          </w:p>
        </w:tc>
        <w:tc>
          <w:tcPr>
            <w:tcW w:w="270" w:type="dxa"/>
          </w:tcPr>
          <w:p w14:paraId="58DBFBDE" w14:textId="77777777" w:rsidR="00130D15" w:rsidRPr="005828FE" w:rsidRDefault="00130D15" w:rsidP="00130D15">
            <w:pPr>
              <w:pStyle w:val="Normalgrey"/>
            </w:pPr>
          </w:p>
        </w:tc>
        <w:tc>
          <w:tcPr>
            <w:tcW w:w="540" w:type="dxa"/>
          </w:tcPr>
          <w:p w14:paraId="0A5A688A" w14:textId="41669C97" w:rsidR="00130D15" w:rsidRPr="00C50D49" w:rsidRDefault="00130D15" w:rsidP="00130D15">
            <w:pPr>
              <w:pStyle w:val="Normalgrey"/>
            </w:pPr>
            <w:r>
              <w:t>6.2</w:t>
            </w:r>
          </w:p>
        </w:tc>
        <w:tc>
          <w:tcPr>
            <w:tcW w:w="6134" w:type="dxa"/>
          </w:tcPr>
          <w:p w14:paraId="4954C701" w14:textId="77777777" w:rsidR="00FA3C8A" w:rsidRDefault="00FA3C8A" w:rsidP="00FA3C8A">
            <w:pPr>
              <w:pStyle w:val="Bullet1grey"/>
              <w:numPr>
                <w:ilvl w:val="0"/>
                <w:numId w:val="0"/>
              </w:numPr>
              <w:ind w:left="5" w:hanging="5"/>
            </w:pPr>
            <w:r>
              <w:t>An example of the transitional disclosures is illustrated in the 2019-20 Model Report for Victorian Government Departments for the relevant reporting period and is available on the DTF website:</w:t>
            </w:r>
          </w:p>
          <w:p w14:paraId="546355FE" w14:textId="77777777" w:rsidR="00FA3C8A" w:rsidRDefault="00FA3C8A" w:rsidP="00FA3C8A">
            <w:pPr>
              <w:pStyle w:val="Bullet1grey"/>
              <w:numPr>
                <w:ilvl w:val="0"/>
                <w:numId w:val="0"/>
              </w:numPr>
              <w:ind w:left="5" w:hanging="5"/>
            </w:pPr>
          </w:p>
          <w:p w14:paraId="49693765" w14:textId="01E6C8F2" w:rsidR="00130D15" w:rsidRDefault="00004C69" w:rsidP="00FA3C8A">
            <w:pPr>
              <w:pStyle w:val="Bullet1grey"/>
              <w:numPr>
                <w:ilvl w:val="0"/>
                <w:numId w:val="0"/>
              </w:numPr>
              <w:ind w:left="5" w:hanging="5"/>
            </w:pPr>
            <w:hyperlink r:id="rId12" w:history="1">
              <w:r w:rsidR="00FA3C8A" w:rsidRPr="009644E3">
                <w:rPr>
                  <w:rStyle w:val="Hyperlink"/>
                </w:rPr>
                <w:t>https://www.dtf.vic.gov.au/financial-reporting-policy/model-report</w:t>
              </w:r>
            </w:hyperlink>
          </w:p>
        </w:tc>
      </w:tr>
      <w:tr w:rsidR="00130D15" w:rsidRPr="005828FE" w14:paraId="615FC802" w14:textId="77777777" w:rsidTr="00622257">
        <w:tc>
          <w:tcPr>
            <w:tcW w:w="2293" w:type="dxa"/>
          </w:tcPr>
          <w:p w14:paraId="7BDBC34E" w14:textId="77777777" w:rsidR="00130D15" w:rsidRPr="005828FE" w:rsidRDefault="00130D15" w:rsidP="00130D15">
            <w:pPr>
              <w:pStyle w:val="Normalgrey"/>
            </w:pPr>
            <w:r w:rsidRPr="005828FE">
              <w:t>Relevant pronouncements</w:t>
            </w:r>
          </w:p>
        </w:tc>
        <w:tc>
          <w:tcPr>
            <w:tcW w:w="270" w:type="dxa"/>
          </w:tcPr>
          <w:p w14:paraId="38E0928E" w14:textId="77777777" w:rsidR="00130D15" w:rsidRPr="005828FE" w:rsidRDefault="00130D15" w:rsidP="00130D15">
            <w:pPr>
              <w:pStyle w:val="Normalgrey"/>
            </w:pPr>
          </w:p>
        </w:tc>
        <w:tc>
          <w:tcPr>
            <w:tcW w:w="540" w:type="dxa"/>
          </w:tcPr>
          <w:p w14:paraId="1A6317F2" w14:textId="399FEFF0" w:rsidR="00130D15" w:rsidRPr="005828FE" w:rsidRDefault="00130D15" w:rsidP="00130D15">
            <w:pPr>
              <w:pStyle w:val="Normalgrey"/>
            </w:pPr>
            <w:r>
              <w:t>7.1</w:t>
            </w:r>
          </w:p>
        </w:tc>
        <w:tc>
          <w:tcPr>
            <w:tcW w:w="6134" w:type="dxa"/>
          </w:tcPr>
          <w:p w14:paraId="669A67E4" w14:textId="77EEF045" w:rsidR="00130D15" w:rsidRDefault="00130D15" w:rsidP="00130D15">
            <w:pPr>
              <w:pStyle w:val="Bullet1grey"/>
            </w:pPr>
            <w:r>
              <w:t xml:space="preserve">AASB 16 </w:t>
            </w:r>
            <w:r w:rsidRPr="00972664">
              <w:rPr>
                <w:i/>
              </w:rPr>
              <w:t>Leases</w:t>
            </w:r>
            <w:r w:rsidRPr="001302DE">
              <w:t xml:space="preserve"> (</w:t>
            </w:r>
            <w:r>
              <w:t>February 2016</w:t>
            </w:r>
            <w:r w:rsidRPr="001302DE">
              <w:t>)</w:t>
            </w:r>
          </w:p>
          <w:p w14:paraId="728516B7" w14:textId="77777777" w:rsidR="00130D15" w:rsidRDefault="00130D15" w:rsidP="00130D15">
            <w:pPr>
              <w:pStyle w:val="Bullet1grey"/>
            </w:pPr>
            <w:r>
              <w:t xml:space="preserve">AASB 117 </w:t>
            </w:r>
            <w:r w:rsidRPr="00801378">
              <w:rPr>
                <w:i/>
              </w:rPr>
              <w:t>Leases</w:t>
            </w:r>
            <w:r>
              <w:t xml:space="preserve"> (August 2015)</w:t>
            </w:r>
          </w:p>
          <w:p w14:paraId="4C9092E2" w14:textId="2FF9F889" w:rsidR="00130D15" w:rsidRPr="005828FE" w:rsidRDefault="00130D15" w:rsidP="00130D15">
            <w:pPr>
              <w:pStyle w:val="Bullet1grey"/>
            </w:pPr>
            <w:r>
              <w:t xml:space="preserve">Interpretation 4 </w:t>
            </w:r>
            <w:r w:rsidRPr="00DA1228">
              <w:rPr>
                <w:i/>
              </w:rPr>
              <w:t xml:space="preserve">Determining whether an Arrangement contains a Lease </w:t>
            </w:r>
            <w:r>
              <w:t>(August 2015)</w:t>
            </w:r>
          </w:p>
        </w:tc>
      </w:tr>
      <w:tr w:rsidR="00130D15" w:rsidRPr="005828FE" w14:paraId="7344A8E1" w14:textId="77777777" w:rsidTr="00622257">
        <w:tc>
          <w:tcPr>
            <w:tcW w:w="2293" w:type="dxa"/>
          </w:tcPr>
          <w:p w14:paraId="3288E1C0" w14:textId="77777777" w:rsidR="00130D15" w:rsidRPr="005828FE" w:rsidRDefault="00130D15" w:rsidP="00130D15">
            <w:pPr>
              <w:pStyle w:val="Normalgrey"/>
            </w:pPr>
            <w:r w:rsidRPr="005828FE">
              <w:t>Background</w:t>
            </w:r>
          </w:p>
        </w:tc>
        <w:tc>
          <w:tcPr>
            <w:tcW w:w="270" w:type="dxa"/>
          </w:tcPr>
          <w:p w14:paraId="4849413D" w14:textId="77777777" w:rsidR="00130D15" w:rsidRPr="005828FE" w:rsidRDefault="00130D15" w:rsidP="00130D15">
            <w:pPr>
              <w:pStyle w:val="Normalgrey"/>
            </w:pPr>
          </w:p>
        </w:tc>
        <w:tc>
          <w:tcPr>
            <w:tcW w:w="540" w:type="dxa"/>
          </w:tcPr>
          <w:p w14:paraId="3D58ADBB" w14:textId="15206554" w:rsidR="00130D15" w:rsidRPr="005828FE" w:rsidRDefault="00130D15" w:rsidP="00130D15">
            <w:pPr>
              <w:pStyle w:val="Normalgrey"/>
            </w:pPr>
            <w:r>
              <w:t>8.1</w:t>
            </w:r>
          </w:p>
        </w:tc>
        <w:tc>
          <w:tcPr>
            <w:tcW w:w="6134" w:type="dxa"/>
          </w:tcPr>
          <w:p w14:paraId="0758C32F" w14:textId="0BDA8C7A" w:rsidR="00130D15" w:rsidRPr="005828FE" w:rsidRDefault="00130D15" w:rsidP="00130D15">
            <w:pPr>
              <w:pStyle w:val="Bullet1grey"/>
            </w:pPr>
            <w:r>
              <w:t xml:space="preserve">The Australian Accounting </w:t>
            </w:r>
            <w:r w:rsidRPr="000D20F9">
              <w:t xml:space="preserve">Standards Board (AASB) published AASB 16 to adopt a new approach to lease accounting that requires a lessee to recognise assets and liabilities for the rights and obligations created by leases. This FRD issued in </w:t>
            </w:r>
            <w:r w:rsidR="00D532EE">
              <w:t>March 2020</w:t>
            </w:r>
            <w:bookmarkStart w:id="1" w:name="_GoBack"/>
            <w:bookmarkEnd w:id="1"/>
            <w:r w:rsidRPr="000D20F9">
              <w:t xml:space="preserve">, mandates the transitional options available and prescribes the transitional requirements of AASB 16 </w:t>
            </w:r>
            <w:r w:rsidRPr="000D20F9">
              <w:rPr>
                <w:i/>
              </w:rPr>
              <w:t xml:space="preserve">Leases </w:t>
            </w:r>
            <w:r w:rsidRPr="000D20F9">
              <w:t>on initial application. The options elected in the FRD are to ease the administrative burden of applying</w:t>
            </w:r>
            <w:r>
              <w:t xml:space="preserve"> the new standard.</w:t>
            </w:r>
          </w:p>
        </w:tc>
      </w:tr>
    </w:tbl>
    <w:p w14:paraId="7140C95F" w14:textId="77777777" w:rsidR="008C63EE" w:rsidRDefault="008C63EE" w:rsidP="00FE782F"/>
    <w:sectPr w:rsidR="008C63EE" w:rsidSect="005828FE">
      <w:headerReference w:type="default" r:id="rId13"/>
      <w:footerReference w:type="even" r:id="rId14"/>
      <w:footerReference w:type="default" r:id="rId15"/>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0388" w14:textId="77777777" w:rsidR="00EB2812" w:rsidRDefault="00EB2812" w:rsidP="002D711A">
      <w:pPr>
        <w:spacing w:after="0" w:line="240" w:lineRule="auto"/>
      </w:pPr>
      <w:r>
        <w:separator/>
      </w:r>
    </w:p>
    <w:p w14:paraId="12DD4DFA" w14:textId="77777777" w:rsidR="00EB2812" w:rsidRDefault="00EB2812"/>
  </w:endnote>
  <w:endnote w:type="continuationSeparator" w:id="0">
    <w:p w14:paraId="15A60F93" w14:textId="77777777" w:rsidR="00EB2812" w:rsidRDefault="00EB2812" w:rsidP="002D711A">
      <w:pPr>
        <w:spacing w:after="0" w:line="240" w:lineRule="auto"/>
      </w:pPr>
      <w:r>
        <w:continuationSeparator/>
      </w:r>
    </w:p>
    <w:p w14:paraId="1EB03346" w14:textId="77777777" w:rsidR="00EB2812" w:rsidRDefault="00EB2812"/>
  </w:endnote>
  <w:endnote w:type="continuationNotice" w:id="1">
    <w:p w14:paraId="23B477AA" w14:textId="77777777" w:rsidR="00EB2812" w:rsidRDefault="00EB28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274E" w14:textId="77777777" w:rsidR="003919B7" w:rsidRPr="00014213" w:rsidRDefault="003919B7" w:rsidP="00C022F9">
    <w:pPr>
      <w:pStyle w:val="Footer"/>
    </w:pPr>
    <w:r>
      <w:drawing>
        <wp:anchor distT="0" distB="0" distL="114300" distR="114300" simplePos="0" relativeHeight="251655168" behindDoc="0" locked="0" layoutInCell="1" allowOverlap="1" wp14:anchorId="08BF326C" wp14:editId="29FE0A3D">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3D5B600" w14:textId="77777777" w:rsidR="003919B7" w:rsidRDefault="00391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9301" w14:textId="77777777" w:rsidR="003919B7" w:rsidRDefault="003919B7" w:rsidP="00A516DE">
    <w:pPr>
      <w:pStyle w:val="Spacer"/>
    </w:pPr>
    <w:r>
      <w:rPr>
        <w:noProof/>
      </w:rPr>
      <mc:AlternateContent>
        <mc:Choice Requires="wps">
          <w:drawing>
            <wp:anchor distT="0" distB="0" distL="114300" distR="114300" simplePos="0" relativeHeight="251660288" behindDoc="0" locked="0" layoutInCell="0" allowOverlap="1" wp14:anchorId="11DB980F" wp14:editId="0A907B82">
              <wp:simplePos x="0" y="0"/>
              <wp:positionH relativeFrom="page">
                <wp:posOffset>0</wp:posOffset>
              </wp:positionH>
              <wp:positionV relativeFrom="page">
                <wp:posOffset>10234930</wp:posOffset>
              </wp:positionV>
              <wp:extent cx="7560310" cy="266700"/>
              <wp:effectExtent l="0" t="0" r="0" b="0"/>
              <wp:wrapNone/>
              <wp:docPr id="1" name="MSIPCM7eb1456f874c84e75bfd31a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EB987" w14:textId="75A2FCFB" w:rsidR="003919B7" w:rsidRPr="008A6CB1" w:rsidRDefault="003919B7" w:rsidP="008A6CB1">
                          <w:pPr>
                            <w:spacing w:before="0" w:after="0"/>
                            <w:rPr>
                              <w:rFonts w:ascii="Calibri" w:hAnsi="Calibri" w:cs="Calibri"/>
                              <w:color w:val="000000"/>
                              <w:sz w:val="22"/>
                            </w:rPr>
                          </w:pPr>
                          <w:r w:rsidRPr="008A6CB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DB980F" id="_x0000_t202" coordsize="21600,21600" o:spt="202" path="m,l,21600r21600,l21600,xe">
              <v:stroke joinstyle="miter"/>
              <v:path gradientshapeok="t" o:connecttype="rect"/>
            </v:shapetype>
            <v:shape id="MSIPCM7eb1456f874c84e75bfd31a9"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8EwuiIDAAA/BgAADgAA&#10;AAAAAAAAAAAAAAAuAgAAZHJzL2Uyb0RvYy54bWxQSwECLQAUAAYACAAAACEAYBHGJt4AAAALAQAA&#10;DwAAAAAAAAAAAAAAAAB8BQAAZHJzL2Rvd25yZXYueG1sUEsFBgAAAAAEAAQA8wAAAIcGAAAAAA==&#10;" o:allowincell="f" filled="f" stroked="f" strokeweight=".5pt">
              <v:textbox inset="20pt,0,,0">
                <w:txbxContent>
                  <w:p w14:paraId="13AEB987" w14:textId="75A2FCFB" w:rsidR="003919B7" w:rsidRPr="008A6CB1" w:rsidRDefault="003919B7" w:rsidP="008A6CB1">
                    <w:pPr>
                      <w:spacing w:before="0" w:after="0"/>
                      <w:rPr>
                        <w:rFonts w:ascii="Calibri" w:hAnsi="Calibri" w:cs="Calibri"/>
                        <w:color w:val="000000"/>
                        <w:sz w:val="22"/>
                      </w:rPr>
                    </w:pPr>
                    <w:r w:rsidRPr="008A6CB1">
                      <w:rPr>
                        <w:rFonts w:ascii="Calibri" w:hAnsi="Calibri" w:cs="Calibri"/>
                        <w:color w:val="000000"/>
                        <w:sz w:val="22"/>
                      </w:rPr>
                      <w:t>OFFICIAL</w:t>
                    </w:r>
                  </w:p>
                </w:txbxContent>
              </v:textbox>
              <w10:wrap anchorx="page" anchory="page"/>
            </v:shape>
          </w:pict>
        </mc:Fallback>
      </mc:AlternateContent>
    </w:r>
  </w:p>
  <w:p w14:paraId="63435FB5" w14:textId="334A3FE4" w:rsidR="003919B7" w:rsidRPr="005828FE" w:rsidRDefault="003919B7"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04C69">
      <w:rPr>
        <w:b/>
      </w:rPr>
      <w:t>FRD 123</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04C69">
      <w:t>Transitional requirements on the application of AASB 16 Leases (March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3</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5E9B" w14:textId="77777777" w:rsidR="00EB2812" w:rsidRDefault="00EB2812" w:rsidP="002D711A">
      <w:pPr>
        <w:spacing w:after="0" w:line="240" w:lineRule="auto"/>
      </w:pPr>
      <w:r>
        <w:separator/>
      </w:r>
    </w:p>
    <w:p w14:paraId="003C4BAF" w14:textId="77777777" w:rsidR="00EB2812" w:rsidRDefault="00EB2812"/>
  </w:footnote>
  <w:footnote w:type="continuationSeparator" w:id="0">
    <w:p w14:paraId="68C5ECFF" w14:textId="77777777" w:rsidR="00EB2812" w:rsidRDefault="00EB2812" w:rsidP="002D711A">
      <w:pPr>
        <w:spacing w:after="0" w:line="240" w:lineRule="auto"/>
      </w:pPr>
      <w:r>
        <w:continuationSeparator/>
      </w:r>
    </w:p>
    <w:p w14:paraId="0C21D612" w14:textId="77777777" w:rsidR="00EB2812" w:rsidRDefault="00EB2812"/>
  </w:footnote>
  <w:footnote w:type="continuationNotice" w:id="1">
    <w:p w14:paraId="648F1CAA" w14:textId="77777777" w:rsidR="00EB2812" w:rsidRDefault="00EB2812">
      <w:pPr>
        <w:spacing w:before="0" w:after="0" w:line="240" w:lineRule="auto"/>
      </w:pPr>
    </w:p>
  </w:footnote>
  <w:footnote w:id="2">
    <w:p w14:paraId="6696B14B" w14:textId="322540E1" w:rsidR="003919B7" w:rsidRDefault="003919B7">
      <w:pPr>
        <w:pStyle w:val="FootnoteText"/>
      </w:pPr>
      <w:r>
        <w:rPr>
          <w:rStyle w:val="FootnoteReference"/>
        </w:rPr>
        <w:footnoteRef/>
      </w:r>
      <w:r>
        <w:t xml:space="preserve"> 1 January 2019 for 31 December year-end reporters</w:t>
      </w:r>
    </w:p>
  </w:footnote>
  <w:footnote w:id="3">
    <w:p w14:paraId="3F28BD7D" w14:textId="14BE4F95" w:rsidR="003919B7" w:rsidRDefault="003919B7">
      <w:pPr>
        <w:pStyle w:val="FootnoteText"/>
      </w:pPr>
      <w:r>
        <w:rPr>
          <w:rStyle w:val="FootnoteReference"/>
        </w:rPr>
        <w:footnoteRef/>
      </w:r>
      <w:r>
        <w:t xml:space="preserve"> This date also represents the date of initial application</w:t>
      </w:r>
    </w:p>
  </w:footnote>
  <w:footnote w:id="4">
    <w:p w14:paraId="31F743FA" w14:textId="69B63620" w:rsidR="003919B7" w:rsidRDefault="003919B7">
      <w:pPr>
        <w:pStyle w:val="FootnoteText"/>
      </w:pPr>
      <w:r>
        <w:rPr>
          <w:rStyle w:val="FootnoteReference"/>
        </w:rPr>
        <w:footnoteRef/>
      </w:r>
      <w:r>
        <w:t xml:space="preserve"> This transitional requirement is also an on-going requirement  </w:t>
      </w:r>
    </w:p>
  </w:footnote>
  <w:footnote w:id="5">
    <w:p w14:paraId="625BA364" w14:textId="3CFFE282" w:rsidR="003919B7" w:rsidRDefault="003919B7">
      <w:pPr>
        <w:pStyle w:val="FootnoteText"/>
      </w:pPr>
      <w:r>
        <w:rPr>
          <w:rStyle w:val="FootnoteReference"/>
        </w:rPr>
        <w:footnoteRef/>
      </w:r>
      <w:r>
        <w:t xml:space="preserve"> AASB 15: </w:t>
      </w:r>
      <w:r w:rsidRPr="00D4638A">
        <w:rPr>
          <w:i/>
        </w:rPr>
        <w:t>Revenue from Contracts with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91AB" w14:textId="0C910EDA" w:rsidR="003919B7" w:rsidRPr="0041689E" w:rsidRDefault="003919B7" w:rsidP="005828FE">
    <w:pPr>
      <w:pStyle w:val="Header"/>
      <w:tabs>
        <w:tab w:val="clear" w:pos="9026"/>
      </w:tabs>
      <w:ind w:right="-694"/>
      <w:jc w:val="right"/>
    </w:pPr>
    <w:r>
      <w:rPr>
        <w:noProof/>
      </w:rPr>
      <mc:AlternateContent>
        <mc:Choice Requires="wps">
          <w:drawing>
            <wp:anchor distT="0" distB="0" distL="114300" distR="114300" simplePos="0" relativeHeight="251657216" behindDoc="0" locked="0" layoutInCell="0" allowOverlap="1" wp14:anchorId="33F36C5B" wp14:editId="33219C96">
              <wp:simplePos x="0" y="0"/>
              <wp:positionH relativeFrom="page">
                <wp:posOffset>0</wp:posOffset>
              </wp:positionH>
              <wp:positionV relativeFrom="page">
                <wp:posOffset>190500</wp:posOffset>
              </wp:positionV>
              <wp:extent cx="7560310" cy="266700"/>
              <wp:effectExtent l="0" t="0" r="0" b="0"/>
              <wp:wrapNone/>
              <wp:docPr id="2" name="MSIPCM84354832aef73c835b5e5f46"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FECD4" w14:textId="5C74873D" w:rsidR="003919B7" w:rsidRPr="003F5CF2" w:rsidRDefault="003919B7" w:rsidP="003F5CF2">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F36C5B" id="_x0000_t202" coordsize="21600,21600" o:spt="202" path="m,l,21600r21600,l21600,xe">
              <v:stroke joinstyle="miter"/>
              <v:path gradientshapeok="t" o:connecttype="rect"/>
            </v:shapetype>
            <v:shape id="MSIPCM84354832aef73c835b5e5f46"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o5FwMAADY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T4oo5FwMAADYGAAAOAAAAAAAAAAAAAAAAAC4C&#10;AABkcnMvZTJvRG9jLnhtbFBLAQItABQABgAIAAAAIQANGW6D3AAAAAcBAAAPAAAAAAAAAAAAAAAA&#10;AHEFAABkcnMvZG93bnJldi54bWxQSwUGAAAAAAQABADzAAAAegYAAAAA&#10;" o:allowincell="f" filled="f" stroked="f" strokeweight=".5pt">
              <v:textbox inset=",0,,0">
                <w:txbxContent>
                  <w:p w14:paraId="5AEFECD4" w14:textId="5C74873D" w:rsidR="003919B7" w:rsidRPr="003F5CF2" w:rsidRDefault="003919B7" w:rsidP="003F5CF2">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5E13CD0B" wp14:editId="38AE1097">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4EA2FB9" w14:textId="77777777" w:rsidR="003919B7" w:rsidRDefault="0039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1FD"/>
    <w:multiLevelType w:val="hybridMultilevel"/>
    <w:tmpl w:val="3446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B75D9"/>
    <w:multiLevelType w:val="hybridMultilevel"/>
    <w:tmpl w:val="9FFE70F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5075BF5"/>
    <w:multiLevelType w:val="hybridMultilevel"/>
    <w:tmpl w:val="A85C3A2A"/>
    <w:lvl w:ilvl="0" w:tplc="9D60ED9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FA4862"/>
    <w:multiLevelType w:val="hybridMultilevel"/>
    <w:tmpl w:val="B28E839E"/>
    <w:lvl w:ilvl="0" w:tplc="9D60ED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263505"/>
    <w:multiLevelType w:val="hybridMultilevel"/>
    <w:tmpl w:val="B28E839E"/>
    <w:lvl w:ilvl="0" w:tplc="9D60ED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775315"/>
    <w:multiLevelType w:val="hybridMultilevel"/>
    <w:tmpl w:val="9AF0943A"/>
    <w:lvl w:ilvl="0" w:tplc="9D60ED9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644B01"/>
    <w:multiLevelType w:val="hybridMultilevel"/>
    <w:tmpl w:val="3C00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F7AB0"/>
    <w:multiLevelType w:val="hybridMultilevel"/>
    <w:tmpl w:val="E6EA2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5444CB"/>
    <w:multiLevelType w:val="hybridMultilevel"/>
    <w:tmpl w:val="AC4EBC1A"/>
    <w:lvl w:ilvl="0" w:tplc="D52222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32326B"/>
    <w:multiLevelType w:val="hybridMultilevel"/>
    <w:tmpl w:val="A372EE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FA3AB4"/>
    <w:multiLevelType w:val="hybridMultilevel"/>
    <w:tmpl w:val="36DCF7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BE5787"/>
    <w:multiLevelType w:val="hybridMultilevel"/>
    <w:tmpl w:val="4A4CBE5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C0124D7"/>
    <w:multiLevelType w:val="multilevel"/>
    <w:tmpl w:val="576071D4"/>
    <w:lvl w:ilvl="0">
      <w:start w:val="1"/>
      <w:numFmt w:val="decimal"/>
      <w:suff w:val="nothing"/>
      <w:lvlText w:val="%1."/>
      <w:lvlJc w:val="left"/>
      <w:pPr>
        <w:ind w:left="0" w:firstLine="0"/>
      </w:pPr>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EA500C1"/>
    <w:multiLevelType w:val="hybridMultilevel"/>
    <w:tmpl w:val="304E9ACE"/>
    <w:lvl w:ilvl="0" w:tplc="68B8D36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445E6"/>
    <w:multiLevelType w:val="hybridMultilevel"/>
    <w:tmpl w:val="ACE6652E"/>
    <w:lvl w:ilvl="0" w:tplc="56D458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631725"/>
    <w:multiLevelType w:val="hybridMultilevel"/>
    <w:tmpl w:val="325441D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D9629F4"/>
    <w:multiLevelType w:val="hybridMultilevel"/>
    <w:tmpl w:val="F71ECEA2"/>
    <w:lvl w:ilvl="0" w:tplc="07DE16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21"/>
  </w:num>
  <w:num w:numId="5">
    <w:abstractNumId w:val="7"/>
  </w:num>
  <w:num w:numId="6">
    <w:abstractNumId w:val="7"/>
  </w:num>
  <w:num w:numId="7">
    <w:abstractNumId w:val="7"/>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4"/>
  </w:num>
  <w:num w:numId="18">
    <w:abstractNumId w:val="4"/>
  </w:num>
  <w:num w:numId="19">
    <w:abstractNumId w:val="8"/>
  </w:num>
  <w:num w:numId="20">
    <w:abstractNumId w:val="20"/>
  </w:num>
  <w:num w:numId="21">
    <w:abstractNumId w:val="20"/>
  </w:num>
  <w:num w:numId="22">
    <w:abstractNumId w:val="15"/>
  </w:num>
  <w:num w:numId="23">
    <w:abstractNumId w:val="15"/>
    <w:lvlOverride w:ilvl="0">
      <w:lvl w:ilvl="0">
        <w:start w:val="1"/>
        <w:numFmt w:val="decimal"/>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5"/>
    <w:lvlOverride w:ilvl="0">
      <w:lvl w:ilvl="0">
        <w:start w:val="1"/>
        <w:numFmt w:val="decimal"/>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0"/>
  </w:num>
  <w:num w:numId="30">
    <w:abstractNumId w:val="7"/>
  </w:num>
  <w:num w:numId="31">
    <w:abstractNumId w:val="7"/>
  </w:num>
  <w:num w:numId="32">
    <w:abstractNumId w:val="7"/>
  </w:num>
  <w:num w:numId="33">
    <w:abstractNumId w:val="7"/>
  </w:num>
  <w:num w:numId="34">
    <w:abstractNumId w:val="6"/>
  </w:num>
  <w:num w:numId="35">
    <w:abstractNumId w:val="18"/>
  </w:num>
  <w:num w:numId="36">
    <w:abstractNumId w:val="2"/>
  </w:num>
  <w:num w:numId="37">
    <w:abstractNumId w:val="12"/>
  </w:num>
  <w:num w:numId="38">
    <w:abstractNumId w:val="14"/>
  </w:num>
  <w:num w:numId="39">
    <w:abstractNumId w:val="5"/>
  </w:num>
  <w:num w:numId="40">
    <w:abstractNumId w:val="10"/>
  </w:num>
  <w:num w:numId="41">
    <w:abstractNumId w:val="19"/>
  </w:num>
  <w:num w:numId="42">
    <w:abstractNumId w:val="9"/>
  </w:num>
  <w:num w:numId="43">
    <w:abstractNumId w:val="7"/>
  </w:num>
  <w:num w:numId="44">
    <w:abstractNumId w:val="1"/>
  </w:num>
  <w:num w:numId="45">
    <w:abstractNumId w:val="11"/>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E0"/>
    <w:rsid w:val="000011E2"/>
    <w:rsid w:val="0000176A"/>
    <w:rsid w:val="00001847"/>
    <w:rsid w:val="00002C13"/>
    <w:rsid w:val="0000300A"/>
    <w:rsid w:val="00003A2F"/>
    <w:rsid w:val="00004C69"/>
    <w:rsid w:val="00006D84"/>
    <w:rsid w:val="00011469"/>
    <w:rsid w:val="00012F6F"/>
    <w:rsid w:val="00014213"/>
    <w:rsid w:val="00014B55"/>
    <w:rsid w:val="00020E3E"/>
    <w:rsid w:val="00023BF3"/>
    <w:rsid w:val="00026811"/>
    <w:rsid w:val="00033A56"/>
    <w:rsid w:val="00034560"/>
    <w:rsid w:val="000372D0"/>
    <w:rsid w:val="00042823"/>
    <w:rsid w:val="0004356D"/>
    <w:rsid w:val="00045296"/>
    <w:rsid w:val="00053C16"/>
    <w:rsid w:val="00054E88"/>
    <w:rsid w:val="00061EC9"/>
    <w:rsid w:val="000621BB"/>
    <w:rsid w:val="00063B32"/>
    <w:rsid w:val="00071049"/>
    <w:rsid w:val="00075E6C"/>
    <w:rsid w:val="00077BCD"/>
    <w:rsid w:val="00083A4E"/>
    <w:rsid w:val="000861C7"/>
    <w:rsid w:val="000B29AD"/>
    <w:rsid w:val="000B4F5B"/>
    <w:rsid w:val="000B708E"/>
    <w:rsid w:val="000C41AD"/>
    <w:rsid w:val="000C6372"/>
    <w:rsid w:val="000D20F9"/>
    <w:rsid w:val="000D2C61"/>
    <w:rsid w:val="000D4C7C"/>
    <w:rsid w:val="000E2091"/>
    <w:rsid w:val="000E392D"/>
    <w:rsid w:val="000E799A"/>
    <w:rsid w:val="000F2678"/>
    <w:rsid w:val="000F4288"/>
    <w:rsid w:val="000F4E69"/>
    <w:rsid w:val="000F55D2"/>
    <w:rsid w:val="000F7165"/>
    <w:rsid w:val="000F7E7B"/>
    <w:rsid w:val="00102379"/>
    <w:rsid w:val="00102B66"/>
    <w:rsid w:val="001065D6"/>
    <w:rsid w:val="00106E44"/>
    <w:rsid w:val="001111F1"/>
    <w:rsid w:val="001129B5"/>
    <w:rsid w:val="00117C6B"/>
    <w:rsid w:val="00121252"/>
    <w:rsid w:val="00124609"/>
    <w:rsid w:val="001254CE"/>
    <w:rsid w:val="00127A35"/>
    <w:rsid w:val="001302DE"/>
    <w:rsid w:val="00130D15"/>
    <w:rsid w:val="001314A9"/>
    <w:rsid w:val="001344E0"/>
    <w:rsid w:val="00134CEA"/>
    <w:rsid w:val="001362E6"/>
    <w:rsid w:val="001422CC"/>
    <w:rsid w:val="0014310A"/>
    <w:rsid w:val="00146B66"/>
    <w:rsid w:val="001530DD"/>
    <w:rsid w:val="00154FDB"/>
    <w:rsid w:val="00155B4D"/>
    <w:rsid w:val="00160D96"/>
    <w:rsid w:val="001617B6"/>
    <w:rsid w:val="00163F5B"/>
    <w:rsid w:val="00165E66"/>
    <w:rsid w:val="001668B9"/>
    <w:rsid w:val="00166CDB"/>
    <w:rsid w:val="00172CB0"/>
    <w:rsid w:val="001759D6"/>
    <w:rsid w:val="00177D2A"/>
    <w:rsid w:val="001812E2"/>
    <w:rsid w:val="001924B1"/>
    <w:rsid w:val="001939A8"/>
    <w:rsid w:val="001A28BB"/>
    <w:rsid w:val="001A7964"/>
    <w:rsid w:val="001B61EF"/>
    <w:rsid w:val="001C4539"/>
    <w:rsid w:val="001C7BAE"/>
    <w:rsid w:val="001D16C7"/>
    <w:rsid w:val="001E1961"/>
    <w:rsid w:val="001E2A78"/>
    <w:rsid w:val="001E31FA"/>
    <w:rsid w:val="001E64F6"/>
    <w:rsid w:val="001F19C2"/>
    <w:rsid w:val="001F2186"/>
    <w:rsid w:val="001F3869"/>
    <w:rsid w:val="002029C0"/>
    <w:rsid w:val="00204CB9"/>
    <w:rsid w:val="0020719D"/>
    <w:rsid w:val="0020765C"/>
    <w:rsid w:val="00214A14"/>
    <w:rsid w:val="00215746"/>
    <w:rsid w:val="00215F7C"/>
    <w:rsid w:val="0021613B"/>
    <w:rsid w:val="0021650D"/>
    <w:rsid w:val="00222BEB"/>
    <w:rsid w:val="002235BE"/>
    <w:rsid w:val="00225E60"/>
    <w:rsid w:val="00231BD3"/>
    <w:rsid w:val="0023202C"/>
    <w:rsid w:val="002361E2"/>
    <w:rsid w:val="00236203"/>
    <w:rsid w:val="002411AA"/>
    <w:rsid w:val="00245043"/>
    <w:rsid w:val="00257760"/>
    <w:rsid w:val="00260ECB"/>
    <w:rsid w:val="002667D7"/>
    <w:rsid w:val="00267902"/>
    <w:rsid w:val="002714B1"/>
    <w:rsid w:val="00271EDD"/>
    <w:rsid w:val="00273DD9"/>
    <w:rsid w:val="002752C5"/>
    <w:rsid w:val="00286F9A"/>
    <w:rsid w:val="002905BD"/>
    <w:rsid w:val="00292D36"/>
    <w:rsid w:val="00294311"/>
    <w:rsid w:val="00297281"/>
    <w:rsid w:val="002A239F"/>
    <w:rsid w:val="002A4004"/>
    <w:rsid w:val="002A79B8"/>
    <w:rsid w:val="002B2E82"/>
    <w:rsid w:val="002C1FE0"/>
    <w:rsid w:val="002C54E0"/>
    <w:rsid w:val="002C55D8"/>
    <w:rsid w:val="002D0E19"/>
    <w:rsid w:val="002D5A84"/>
    <w:rsid w:val="002D711A"/>
    <w:rsid w:val="002D7336"/>
    <w:rsid w:val="002E0198"/>
    <w:rsid w:val="002E32A9"/>
    <w:rsid w:val="002E3396"/>
    <w:rsid w:val="002E40BE"/>
    <w:rsid w:val="002E4D7C"/>
    <w:rsid w:val="002F44EC"/>
    <w:rsid w:val="00300E45"/>
    <w:rsid w:val="00305E38"/>
    <w:rsid w:val="0031149C"/>
    <w:rsid w:val="003136B3"/>
    <w:rsid w:val="003212AF"/>
    <w:rsid w:val="00321AC8"/>
    <w:rsid w:val="00321C83"/>
    <w:rsid w:val="003225E4"/>
    <w:rsid w:val="0032299E"/>
    <w:rsid w:val="00325314"/>
    <w:rsid w:val="003258D0"/>
    <w:rsid w:val="003316EF"/>
    <w:rsid w:val="00340B73"/>
    <w:rsid w:val="00347DA0"/>
    <w:rsid w:val="0035486A"/>
    <w:rsid w:val="0035525D"/>
    <w:rsid w:val="00355757"/>
    <w:rsid w:val="00361426"/>
    <w:rsid w:val="00366FDC"/>
    <w:rsid w:val="00377C16"/>
    <w:rsid w:val="00382EE1"/>
    <w:rsid w:val="00385422"/>
    <w:rsid w:val="0038771C"/>
    <w:rsid w:val="003919B7"/>
    <w:rsid w:val="0039405B"/>
    <w:rsid w:val="00396536"/>
    <w:rsid w:val="003A1C92"/>
    <w:rsid w:val="003A541A"/>
    <w:rsid w:val="003A6923"/>
    <w:rsid w:val="003C1B83"/>
    <w:rsid w:val="003C29D2"/>
    <w:rsid w:val="003C2C67"/>
    <w:rsid w:val="003C416F"/>
    <w:rsid w:val="003C5BA4"/>
    <w:rsid w:val="003C64E4"/>
    <w:rsid w:val="003D0D63"/>
    <w:rsid w:val="003D7DB6"/>
    <w:rsid w:val="003E2308"/>
    <w:rsid w:val="003E38E6"/>
    <w:rsid w:val="003E3E26"/>
    <w:rsid w:val="003E5DFD"/>
    <w:rsid w:val="003F1295"/>
    <w:rsid w:val="003F2EC8"/>
    <w:rsid w:val="003F5CF2"/>
    <w:rsid w:val="003F6718"/>
    <w:rsid w:val="003F76FC"/>
    <w:rsid w:val="004002EB"/>
    <w:rsid w:val="00404213"/>
    <w:rsid w:val="004161CA"/>
    <w:rsid w:val="0041689E"/>
    <w:rsid w:val="00421F2E"/>
    <w:rsid w:val="00422A08"/>
    <w:rsid w:val="004236C8"/>
    <w:rsid w:val="00427681"/>
    <w:rsid w:val="00433DB7"/>
    <w:rsid w:val="004363E7"/>
    <w:rsid w:val="00436FE6"/>
    <w:rsid w:val="00440AD3"/>
    <w:rsid w:val="004462B5"/>
    <w:rsid w:val="004473E2"/>
    <w:rsid w:val="00453750"/>
    <w:rsid w:val="00455510"/>
    <w:rsid w:val="00456941"/>
    <w:rsid w:val="004570F0"/>
    <w:rsid w:val="0045780E"/>
    <w:rsid w:val="004604CB"/>
    <w:rsid w:val="00462B48"/>
    <w:rsid w:val="00464F7E"/>
    <w:rsid w:val="0046697B"/>
    <w:rsid w:val="00466F08"/>
    <w:rsid w:val="004702EA"/>
    <w:rsid w:val="00470668"/>
    <w:rsid w:val="00472F83"/>
    <w:rsid w:val="00473A87"/>
    <w:rsid w:val="00477322"/>
    <w:rsid w:val="00482D02"/>
    <w:rsid w:val="00485E89"/>
    <w:rsid w:val="004955D9"/>
    <w:rsid w:val="00497FF6"/>
    <w:rsid w:val="004A4772"/>
    <w:rsid w:val="004A7519"/>
    <w:rsid w:val="004C50B7"/>
    <w:rsid w:val="004D03DB"/>
    <w:rsid w:val="004D2B7F"/>
    <w:rsid w:val="004D3518"/>
    <w:rsid w:val="004D62D6"/>
    <w:rsid w:val="004D71D7"/>
    <w:rsid w:val="004E433F"/>
    <w:rsid w:val="004F163E"/>
    <w:rsid w:val="004F6445"/>
    <w:rsid w:val="00502E35"/>
    <w:rsid w:val="00506EF7"/>
    <w:rsid w:val="0051319C"/>
    <w:rsid w:val="00517E89"/>
    <w:rsid w:val="00523999"/>
    <w:rsid w:val="00527C41"/>
    <w:rsid w:val="00532776"/>
    <w:rsid w:val="0053416C"/>
    <w:rsid w:val="005403A8"/>
    <w:rsid w:val="0054085D"/>
    <w:rsid w:val="00541C2F"/>
    <w:rsid w:val="0054479E"/>
    <w:rsid w:val="00554086"/>
    <w:rsid w:val="00555278"/>
    <w:rsid w:val="00563527"/>
    <w:rsid w:val="00563909"/>
    <w:rsid w:val="00565CF3"/>
    <w:rsid w:val="00574E80"/>
    <w:rsid w:val="005757F5"/>
    <w:rsid w:val="0057703D"/>
    <w:rsid w:val="00580C87"/>
    <w:rsid w:val="0058124E"/>
    <w:rsid w:val="00581E2C"/>
    <w:rsid w:val="005828FE"/>
    <w:rsid w:val="00583147"/>
    <w:rsid w:val="005875A3"/>
    <w:rsid w:val="00596D79"/>
    <w:rsid w:val="00597515"/>
    <w:rsid w:val="005A3416"/>
    <w:rsid w:val="005B1D06"/>
    <w:rsid w:val="005B27FE"/>
    <w:rsid w:val="005B418C"/>
    <w:rsid w:val="005C26C0"/>
    <w:rsid w:val="005C3E6D"/>
    <w:rsid w:val="005D5044"/>
    <w:rsid w:val="005D51F0"/>
    <w:rsid w:val="005D6A69"/>
    <w:rsid w:val="005E2C1C"/>
    <w:rsid w:val="005E5CF8"/>
    <w:rsid w:val="005F61DF"/>
    <w:rsid w:val="005F681F"/>
    <w:rsid w:val="00600089"/>
    <w:rsid w:val="006023F9"/>
    <w:rsid w:val="00607FBC"/>
    <w:rsid w:val="00610559"/>
    <w:rsid w:val="00610C74"/>
    <w:rsid w:val="00621909"/>
    <w:rsid w:val="00621C2A"/>
    <w:rsid w:val="00622257"/>
    <w:rsid w:val="00632819"/>
    <w:rsid w:val="006332F6"/>
    <w:rsid w:val="006358C8"/>
    <w:rsid w:val="0063633C"/>
    <w:rsid w:val="0064028B"/>
    <w:rsid w:val="00642667"/>
    <w:rsid w:val="00644408"/>
    <w:rsid w:val="00650907"/>
    <w:rsid w:val="006519F6"/>
    <w:rsid w:val="00652625"/>
    <w:rsid w:val="006534B2"/>
    <w:rsid w:val="00653C0C"/>
    <w:rsid w:val="00655CF6"/>
    <w:rsid w:val="0065615D"/>
    <w:rsid w:val="00657011"/>
    <w:rsid w:val="006650B5"/>
    <w:rsid w:val="006651B1"/>
    <w:rsid w:val="00665778"/>
    <w:rsid w:val="00665E74"/>
    <w:rsid w:val="0067057C"/>
    <w:rsid w:val="00673627"/>
    <w:rsid w:val="00674123"/>
    <w:rsid w:val="0067607D"/>
    <w:rsid w:val="0068228F"/>
    <w:rsid w:val="006831BE"/>
    <w:rsid w:val="00683E61"/>
    <w:rsid w:val="00684B65"/>
    <w:rsid w:val="00685620"/>
    <w:rsid w:val="00686FBA"/>
    <w:rsid w:val="00692533"/>
    <w:rsid w:val="00697C4E"/>
    <w:rsid w:val="006A09E1"/>
    <w:rsid w:val="006A186D"/>
    <w:rsid w:val="006A2F9F"/>
    <w:rsid w:val="006A30D3"/>
    <w:rsid w:val="006A5B34"/>
    <w:rsid w:val="006A5F5B"/>
    <w:rsid w:val="006B02CC"/>
    <w:rsid w:val="006B2873"/>
    <w:rsid w:val="006C2986"/>
    <w:rsid w:val="006C51FC"/>
    <w:rsid w:val="006C6BC9"/>
    <w:rsid w:val="006C77A9"/>
    <w:rsid w:val="006C78FB"/>
    <w:rsid w:val="006C7ACE"/>
    <w:rsid w:val="006C7BF1"/>
    <w:rsid w:val="006D3F6B"/>
    <w:rsid w:val="006D4460"/>
    <w:rsid w:val="006D66F9"/>
    <w:rsid w:val="006E08E0"/>
    <w:rsid w:val="006E501A"/>
    <w:rsid w:val="006E664C"/>
    <w:rsid w:val="006E72DD"/>
    <w:rsid w:val="006F6693"/>
    <w:rsid w:val="0070117D"/>
    <w:rsid w:val="00705D4E"/>
    <w:rsid w:val="00707FE8"/>
    <w:rsid w:val="00713471"/>
    <w:rsid w:val="00714FF5"/>
    <w:rsid w:val="00724962"/>
    <w:rsid w:val="00724A0F"/>
    <w:rsid w:val="00731834"/>
    <w:rsid w:val="0073191E"/>
    <w:rsid w:val="00732162"/>
    <w:rsid w:val="00736732"/>
    <w:rsid w:val="00740302"/>
    <w:rsid w:val="0074281E"/>
    <w:rsid w:val="00744933"/>
    <w:rsid w:val="00745174"/>
    <w:rsid w:val="00750CBE"/>
    <w:rsid w:val="00753299"/>
    <w:rsid w:val="00760D6B"/>
    <w:rsid w:val="00766B5A"/>
    <w:rsid w:val="00767A7B"/>
    <w:rsid w:val="00775D24"/>
    <w:rsid w:val="007834F2"/>
    <w:rsid w:val="00784477"/>
    <w:rsid w:val="00790F47"/>
    <w:rsid w:val="00791020"/>
    <w:rsid w:val="007A5857"/>
    <w:rsid w:val="007A5F82"/>
    <w:rsid w:val="007B0A64"/>
    <w:rsid w:val="007B5246"/>
    <w:rsid w:val="007C2AC3"/>
    <w:rsid w:val="007D5DED"/>
    <w:rsid w:val="007E1D21"/>
    <w:rsid w:val="007E208F"/>
    <w:rsid w:val="007E7FA1"/>
    <w:rsid w:val="007F1A4C"/>
    <w:rsid w:val="007F34CE"/>
    <w:rsid w:val="007F5C39"/>
    <w:rsid w:val="00801378"/>
    <w:rsid w:val="008022C3"/>
    <w:rsid w:val="008041E6"/>
    <w:rsid w:val="008049A8"/>
    <w:rsid w:val="008065D2"/>
    <w:rsid w:val="00806D28"/>
    <w:rsid w:val="008170CC"/>
    <w:rsid w:val="0082131E"/>
    <w:rsid w:val="0082194C"/>
    <w:rsid w:val="008220C4"/>
    <w:rsid w:val="008222FF"/>
    <w:rsid w:val="008241FF"/>
    <w:rsid w:val="0084047E"/>
    <w:rsid w:val="008411E9"/>
    <w:rsid w:val="0084200F"/>
    <w:rsid w:val="008425A3"/>
    <w:rsid w:val="00843B2C"/>
    <w:rsid w:val="0085460E"/>
    <w:rsid w:val="00854A14"/>
    <w:rsid w:val="0086184C"/>
    <w:rsid w:val="00863669"/>
    <w:rsid w:val="00872AE2"/>
    <w:rsid w:val="00874550"/>
    <w:rsid w:val="008816E3"/>
    <w:rsid w:val="00882BCF"/>
    <w:rsid w:val="00885CCC"/>
    <w:rsid w:val="00892235"/>
    <w:rsid w:val="0089352B"/>
    <w:rsid w:val="00894610"/>
    <w:rsid w:val="008A247D"/>
    <w:rsid w:val="008A4900"/>
    <w:rsid w:val="008A6CB1"/>
    <w:rsid w:val="008B2A17"/>
    <w:rsid w:val="008B7B0D"/>
    <w:rsid w:val="008C63EE"/>
    <w:rsid w:val="008D0281"/>
    <w:rsid w:val="008E194E"/>
    <w:rsid w:val="008E2ACC"/>
    <w:rsid w:val="008E3C4E"/>
    <w:rsid w:val="008F3708"/>
    <w:rsid w:val="008F4D17"/>
    <w:rsid w:val="008F6D45"/>
    <w:rsid w:val="008F7996"/>
    <w:rsid w:val="0091027F"/>
    <w:rsid w:val="0091269D"/>
    <w:rsid w:val="009142B7"/>
    <w:rsid w:val="009346AD"/>
    <w:rsid w:val="00941416"/>
    <w:rsid w:val="00942CF8"/>
    <w:rsid w:val="00957221"/>
    <w:rsid w:val="00957BF3"/>
    <w:rsid w:val="00962BE9"/>
    <w:rsid w:val="00963C94"/>
    <w:rsid w:val="00971A8A"/>
    <w:rsid w:val="00972664"/>
    <w:rsid w:val="00975ACF"/>
    <w:rsid w:val="00976D3F"/>
    <w:rsid w:val="009834C0"/>
    <w:rsid w:val="00986322"/>
    <w:rsid w:val="00986AAC"/>
    <w:rsid w:val="0099093E"/>
    <w:rsid w:val="00990B49"/>
    <w:rsid w:val="00992591"/>
    <w:rsid w:val="00997104"/>
    <w:rsid w:val="009A15C5"/>
    <w:rsid w:val="009A1DA2"/>
    <w:rsid w:val="009A3704"/>
    <w:rsid w:val="009A4309"/>
    <w:rsid w:val="009A4739"/>
    <w:rsid w:val="009A53E6"/>
    <w:rsid w:val="009A5B44"/>
    <w:rsid w:val="009A674F"/>
    <w:rsid w:val="009A78B8"/>
    <w:rsid w:val="009B0326"/>
    <w:rsid w:val="009B10BA"/>
    <w:rsid w:val="009B199C"/>
    <w:rsid w:val="009B54C8"/>
    <w:rsid w:val="009B61F1"/>
    <w:rsid w:val="009B62E0"/>
    <w:rsid w:val="009C06B7"/>
    <w:rsid w:val="009C3D88"/>
    <w:rsid w:val="009C503D"/>
    <w:rsid w:val="009D6872"/>
    <w:rsid w:val="009D6E64"/>
    <w:rsid w:val="009E0F80"/>
    <w:rsid w:val="009E1FB2"/>
    <w:rsid w:val="009E2A64"/>
    <w:rsid w:val="009E3858"/>
    <w:rsid w:val="009E52B6"/>
    <w:rsid w:val="009E702F"/>
    <w:rsid w:val="009E70DD"/>
    <w:rsid w:val="009F2ED9"/>
    <w:rsid w:val="009F3231"/>
    <w:rsid w:val="009F4F8E"/>
    <w:rsid w:val="009F5C58"/>
    <w:rsid w:val="00A01069"/>
    <w:rsid w:val="00A023A0"/>
    <w:rsid w:val="00A03F5F"/>
    <w:rsid w:val="00A10E6A"/>
    <w:rsid w:val="00A1102F"/>
    <w:rsid w:val="00A13AFF"/>
    <w:rsid w:val="00A14270"/>
    <w:rsid w:val="00A146C3"/>
    <w:rsid w:val="00A1562B"/>
    <w:rsid w:val="00A170F4"/>
    <w:rsid w:val="00A2559E"/>
    <w:rsid w:val="00A25FD9"/>
    <w:rsid w:val="00A26381"/>
    <w:rsid w:val="00A43C4B"/>
    <w:rsid w:val="00A443E0"/>
    <w:rsid w:val="00A46BA8"/>
    <w:rsid w:val="00A473B6"/>
    <w:rsid w:val="00A47634"/>
    <w:rsid w:val="00A47F6D"/>
    <w:rsid w:val="00A50EF5"/>
    <w:rsid w:val="00A516DE"/>
    <w:rsid w:val="00A612FE"/>
    <w:rsid w:val="00A61B19"/>
    <w:rsid w:val="00A63F10"/>
    <w:rsid w:val="00A700FF"/>
    <w:rsid w:val="00A736BE"/>
    <w:rsid w:val="00A77EAE"/>
    <w:rsid w:val="00A81ECA"/>
    <w:rsid w:val="00A85425"/>
    <w:rsid w:val="00A95489"/>
    <w:rsid w:val="00A959C0"/>
    <w:rsid w:val="00AA0FA8"/>
    <w:rsid w:val="00AA2000"/>
    <w:rsid w:val="00AA22BA"/>
    <w:rsid w:val="00AA26B8"/>
    <w:rsid w:val="00AA4D53"/>
    <w:rsid w:val="00AA5540"/>
    <w:rsid w:val="00AA5F54"/>
    <w:rsid w:val="00AB3D2D"/>
    <w:rsid w:val="00AB3FE2"/>
    <w:rsid w:val="00AB5427"/>
    <w:rsid w:val="00AB68E9"/>
    <w:rsid w:val="00AB72C9"/>
    <w:rsid w:val="00AC11CF"/>
    <w:rsid w:val="00AC30A0"/>
    <w:rsid w:val="00AC34C8"/>
    <w:rsid w:val="00AC4B9D"/>
    <w:rsid w:val="00AD3322"/>
    <w:rsid w:val="00AD3F00"/>
    <w:rsid w:val="00AD7E4E"/>
    <w:rsid w:val="00AE25D8"/>
    <w:rsid w:val="00AF3D47"/>
    <w:rsid w:val="00AF48A0"/>
    <w:rsid w:val="00AF4D58"/>
    <w:rsid w:val="00AF6666"/>
    <w:rsid w:val="00B10154"/>
    <w:rsid w:val="00B13A76"/>
    <w:rsid w:val="00B208BC"/>
    <w:rsid w:val="00B24AC9"/>
    <w:rsid w:val="00B3097D"/>
    <w:rsid w:val="00B342C2"/>
    <w:rsid w:val="00B36A35"/>
    <w:rsid w:val="00B44A27"/>
    <w:rsid w:val="00B57726"/>
    <w:rsid w:val="00B6366E"/>
    <w:rsid w:val="00B63ED4"/>
    <w:rsid w:val="00B64F52"/>
    <w:rsid w:val="00B65767"/>
    <w:rsid w:val="00B738F6"/>
    <w:rsid w:val="00B770E9"/>
    <w:rsid w:val="00B80D4F"/>
    <w:rsid w:val="00B81B44"/>
    <w:rsid w:val="00B86EA6"/>
    <w:rsid w:val="00B87826"/>
    <w:rsid w:val="00B9053B"/>
    <w:rsid w:val="00B92E70"/>
    <w:rsid w:val="00B93C44"/>
    <w:rsid w:val="00B94F3B"/>
    <w:rsid w:val="00BA31F7"/>
    <w:rsid w:val="00BA62F1"/>
    <w:rsid w:val="00BB1431"/>
    <w:rsid w:val="00BB61C1"/>
    <w:rsid w:val="00BC3422"/>
    <w:rsid w:val="00BC6691"/>
    <w:rsid w:val="00BC79C8"/>
    <w:rsid w:val="00BD59A7"/>
    <w:rsid w:val="00BF4A33"/>
    <w:rsid w:val="00BF5F58"/>
    <w:rsid w:val="00BF60C5"/>
    <w:rsid w:val="00C0025A"/>
    <w:rsid w:val="00C015B9"/>
    <w:rsid w:val="00C022F9"/>
    <w:rsid w:val="00C032EA"/>
    <w:rsid w:val="00C04715"/>
    <w:rsid w:val="00C06EB5"/>
    <w:rsid w:val="00C10EE4"/>
    <w:rsid w:val="00C1145F"/>
    <w:rsid w:val="00C229D8"/>
    <w:rsid w:val="00C24029"/>
    <w:rsid w:val="00C269F1"/>
    <w:rsid w:val="00C3154E"/>
    <w:rsid w:val="00C45393"/>
    <w:rsid w:val="00C46A73"/>
    <w:rsid w:val="00C507EC"/>
    <w:rsid w:val="00C50D49"/>
    <w:rsid w:val="00C637E1"/>
    <w:rsid w:val="00C6407A"/>
    <w:rsid w:val="00C6499B"/>
    <w:rsid w:val="00C65AD0"/>
    <w:rsid w:val="00C70D50"/>
    <w:rsid w:val="00C71A08"/>
    <w:rsid w:val="00C7769D"/>
    <w:rsid w:val="00C80F85"/>
    <w:rsid w:val="00C81B11"/>
    <w:rsid w:val="00C8237B"/>
    <w:rsid w:val="00C84F42"/>
    <w:rsid w:val="00C85098"/>
    <w:rsid w:val="00C867BC"/>
    <w:rsid w:val="00C907D7"/>
    <w:rsid w:val="00C92338"/>
    <w:rsid w:val="00C9510F"/>
    <w:rsid w:val="00CA1DC8"/>
    <w:rsid w:val="00CA5256"/>
    <w:rsid w:val="00CA7C3A"/>
    <w:rsid w:val="00CB19C0"/>
    <w:rsid w:val="00CB2DB9"/>
    <w:rsid w:val="00CB3352"/>
    <w:rsid w:val="00CB4622"/>
    <w:rsid w:val="00CB5170"/>
    <w:rsid w:val="00CC131C"/>
    <w:rsid w:val="00CC230D"/>
    <w:rsid w:val="00CC2DB2"/>
    <w:rsid w:val="00CC4189"/>
    <w:rsid w:val="00CC4A4D"/>
    <w:rsid w:val="00CD0307"/>
    <w:rsid w:val="00CD1647"/>
    <w:rsid w:val="00CD306F"/>
    <w:rsid w:val="00CD3D1B"/>
    <w:rsid w:val="00CD4322"/>
    <w:rsid w:val="00CE514D"/>
    <w:rsid w:val="00CF7DCA"/>
    <w:rsid w:val="00D006DA"/>
    <w:rsid w:val="00D0364F"/>
    <w:rsid w:val="00D13FA8"/>
    <w:rsid w:val="00D211E9"/>
    <w:rsid w:val="00D2312F"/>
    <w:rsid w:val="00D2682E"/>
    <w:rsid w:val="00D269C1"/>
    <w:rsid w:val="00D32119"/>
    <w:rsid w:val="00D32E75"/>
    <w:rsid w:val="00D337D0"/>
    <w:rsid w:val="00D36A30"/>
    <w:rsid w:val="00D42420"/>
    <w:rsid w:val="00D44953"/>
    <w:rsid w:val="00D45E19"/>
    <w:rsid w:val="00D4638A"/>
    <w:rsid w:val="00D500F0"/>
    <w:rsid w:val="00D5026D"/>
    <w:rsid w:val="00D532EE"/>
    <w:rsid w:val="00D542F3"/>
    <w:rsid w:val="00D56386"/>
    <w:rsid w:val="00D5644B"/>
    <w:rsid w:val="00D5652E"/>
    <w:rsid w:val="00D56E25"/>
    <w:rsid w:val="00D679E2"/>
    <w:rsid w:val="00D70CF9"/>
    <w:rsid w:val="00D718D7"/>
    <w:rsid w:val="00D71BE8"/>
    <w:rsid w:val="00D814B7"/>
    <w:rsid w:val="00D8275A"/>
    <w:rsid w:val="00D90688"/>
    <w:rsid w:val="00D91444"/>
    <w:rsid w:val="00D91917"/>
    <w:rsid w:val="00D91C1F"/>
    <w:rsid w:val="00D9281F"/>
    <w:rsid w:val="00D95492"/>
    <w:rsid w:val="00D95F9C"/>
    <w:rsid w:val="00DA1228"/>
    <w:rsid w:val="00DA3AAD"/>
    <w:rsid w:val="00DA7832"/>
    <w:rsid w:val="00DB0DE9"/>
    <w:rsid w:val="00DB312B"/>
    <w:rsid w:val="00DC0508"/>
    <w:rsid w:val="00DC5654"/>
    <w:rsid w:val="00DC658F"/>
    <w:rsid w:val="00DD3969"/>
    <w:rsid w:val="00DD5EB6"/>
    <w:rsid w:val="00DE60CC"/>
    <w:rsid w:val="00DF4E1C"/>
    <w:rsid w:val="00E03877"/>
    <w:rsid w:val="00E053DF"/>
    <w:rsid w:val="00E122DB"/>
    <w:rsid w:val="00E12F44"/>
    <w:rsid w:val="00E1551F"/>
    <w:rsid w:val="00E20142"/>
    <w:rsid w:val="00E23343"/>
    <w:rsid w:val="00E2513F"/>
    <w:rsid w:val="00E26B32"/>
    <w:rsid w:val="00E30E0A"/>
    <w:rsid w:val="00E3232B"/>
    <w:rsid w:val="00E36B30"/>
    <w:rsid w:val="00E37AE7"/>
    <w:rsid w:val="00E40593"/>
    <w:rsid w:val="00E407B6"/>
    <w:rsid w:val="00E41EF1"/>
    <w:rsid w:val="00E42942"/>
    <w:rsid w:val="00E468A6"/>
    <w:rsid w:val="00E46E7C"/>
    <w:rsid w:val="00E50069"/>
    <w:rsid w:val="00E5141C"/>
    <w:rsid w:val="00E54268"/>
    <w:rsid w:val="00E54270"/>
    <w:rsid w:val="00E719BE"/>
    <w:rsid w:val="00E71BDF"/>
    <w:rsid w:val="00E81734"/>
    <w:rsid w:val="00E83CA7"/>
    <w:rsid w:val="00E874F4"/>
    <w:rsid w:val="00E905A1"/>
    <w:rsid w:val="00E911B8"/>
    <w:rsid w:val="00E92412"/>
    <w:rsid w:val="00E95728"/>
    <w:rsid w:val="00EA03A3"/>
    <w:rsid w:val="00EA10DE"/>
    <w:rsid w:val="00EB070C"/>
    <w:rsid w:val="00EB2812"/>
    <w:rsid w:val="00EB4813"/>
    <w:rsid w:val="00EB5742"/>
    <w:rsid w:val="00EC171D"/>
    <w:rsid w:val="00EC4E85"/>
    <w:rsid w:val="00EC5FA3"/>
    <w:rsid w:val="00EC65E8"/>
    <w:rsid w:val="00EC7EB6"/>
    <w:rsid w:val="00ED487E"/>
    <w:rsid w:val="00ED5E34"/>
    <w:rsid w:val="00EE1DBF"/>
    <w:rsid w:val="00EE259E"/>
    <w:rsid w:val="00EE69D3"/>
    <w:rsid w:val="00EE7A0D"/>
    <w:rsid w:val="00EF00E7"/>
    <w:rsid w:val="00EF5346"/>
    <w:rsid w:val="00F00946"/>
    <w:rsid w:val="00F1191F"/>
    <w:rsid w:val="00F17CE1"/>
    <w:rsid w:val="00F2115C"/>
    <w:rsid w:val="00F22ABA"/>
    <w:rsid w:val="00F22FBF"/>
    <w:rsid w:val="00F23366"/>
    <w:rsid w:val="00F23768"/>
    <w:rsid w:val="00F35B21"/>
    <w:rsid w:val="00F36585"/>
    <w:rsid w:val="00F36B12"/>
    <w:rsid w:val="00F43A0F"/>
    <w:rsid w:val="00F44987"/>
    <w:rsid w:val="00F461AB"/>
    <w:rsid w:val="00F51E97"/>
    <w:rsid w:val="00F52DC2"/>
    <w:rsid w:val="00F531B6"/>
    <w:rsid w:val="00F55AF4"/>
    <w:rsid w:val="00F5756D"/>
    <w:rsid w:val="00F60F9F"/>
    <w:rsid w:val="00F64F08"/>
    <w:rsid w:val="00F734F5"/>
    <w:rsid w:val="00F83023"/>
    <w:rsid w:val="00F966B1"/>
    <w:rsid w:val="00F97D48"/>
    <w:rsid w:val="00FA018C"/>
    <w:rsid w:val="00FA0311"/>
    <w:rsid w:val="00FA1680"/>
    <w:rsid w:val="00FA3733"/>
    <w:rsid w:val="00FA3C8A"/>
    <w:rsid w:val="00FA7A6A"/>
    <w:rsid w:val="00FB1D99"/>
    <w:rsid w:val="00FB1EC9"/>
    <w:rsid w:val="00FB36A4"/>
    <w:rsid w:val="00FB4A17"/>
    <w:rsid w:val="00FB7FB6"/>
    <w:rsid w:val="00FC42E5"/>
    <w:rsid w:val="00FD0406"/>
    <w:rsid w:val="00FD3185"/>
    <w:rsid w:val="00FD3856"/>
    <w:rsid w:val="00FD4590"/>
    <w:rsid w:val="00FD493C"/>
    <w:rsid w:val="00FD5391"/>
    <w:rsid w:val="00FD578E"/>
    <w:rsid w:val="00FD640F"/>
    <w:rsid w:val="00FD6B4C"/>
    <w:rsid w:val="00FE0A9D"/>
    <w:rsid w:val="00FE4829"/>
    <w:rsid w:val="00FE782F"/>
    <w:rsid w:val="00FF051E"/>
    <w:rsid w:val="00FF468D"/>
    <w:rsid w:val="00FF4BE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17762"/>
  <w15:docId w15:val="{05C187FF-AFEA-4A02-9692-1039EE8E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FB4A17"/>
    <w:rPr>
      <w:sz w:val="16"/>
      <w:szCs w:val="16"/>
    </w:rPr>
  </w:style>
  <w:style w:type="paragraph" w:styleId="CommentText">
    <w:name w:val="annotation text"/>
    <w:basedOn w:val="Normal"/>
    <w:link w:val="CommentTextChar"/>
    <w:uiPriority w:val="99"/>
    <w:unhideWhenUsed/>
    <w:rsid w:val="00FB4A17"/>
    <w:pPr>
      <w:spacing w:line="240" w:lineRule="auto"/>
    </w:pPr>
    <w:rPr>
      <w:sz w:val="20"/>
    </w:rPr>
  </w:style>
  <w:style w:type="character" w:customStyle="1" w:styleId="CommentTextChar">
    <w:name w:val="Comment Text Char"/>
    <w:basedOn w:val="DefaultParagraphFont"/>
    <w:link w:val="CommentText"/>
    <w:uiPriority w:val="99"/>
    <w:rsid w:val="00FB4A17"/>
    <w:rPr>
      <w:spacing w:val="2"/>
    </w:rPr>
  </w:style>
  <w:style w:type="paragraph" w:styleId="CommentSubject">
    <w:name w:val="annotation subject"/>
    <w:basedOn w:val="CommentText"/>
    <w:next w:val="CommentText"/>
    <w:link w:val="CommentSubjectChar"/>
    <w:uiPriority w:val="99"/>
    <w:semiHidden/>
    <w:unhideWhenUsed/>
    <w:rsid w:val="00FB4A17"/>
    <w:rPr>
      <w:b/>
      <w:bCs/>
    </w:rPr>
  </w:style>
  <w:style w:type="character" w:customStyle="1" w:styleId="CommentSubjectChar">
    <w:name w:val="Comment Subject Char"/>
    <w:basedOn w:val="CommentTextChar"/>
    <w:link w:val="CommentSubject"/>
    <w:uiPriority w:val="99"/>
    <w:semiHidden/>
    <w:rsid w:val="00FB4A17"/>
    <w:rPr>
      <w:b/>
      <w:bCs/>
      <w:spacing w:val="2"/>
    </w:rPr>
  </w:style>
  <w:style w:type="character" w:styleId="UnresolvedMention">
    <w:name w:val="Unresolved Mention"/>
    <w:basedOn w:val="DefaultParagraphFont"/>
    <w:uiPriority w:val="99"/>
    <w:semiHidden/>
    <w:unhideWhenUsed/>
    <w:rsid w:val="00260ECB"/>
    <w:rPr>
      <w:color w:val="605E5C"/>
      <w:shd w:val="clear" w:color="auto" w:fill="E1DFDD"/>
    </w:rPr>
  </w:style>
  <w:style w:type="paragraph" w:styleId="FootnoteText">
    <w:name w:val="footnote text"/>
    <w:basedOn w:val="Normal"/>
    <w:link w:val="FootnoteTextChar"/>
    <w:uiPriority w:val="99"/>
    <w:semiHidden/>
    <w:unhideWhenUsed/>
    <w:rsid w:val="005E5CF8"/>
    <w:pPr>
      <w:spacing w:before="0" w:after="0" w:line="240" w:lineRule="auto"/>
    </w:pPr>
    <w:rPr>
      <w:sz w:val="20"/>
    </w:rPr>
  </w:style>
  <w:style w:type="character" w:customStyle="1" w:styleId="FootnoteTextChar">
    <w:name w:val="Footnote Text Char"/>
    <w:basedOn w:val="DefaultParagraphFont"/>
    <w:link w:val="FootnoteText"/>
    <w:uiPriority w:val="99"/>
    <w:semiHidden/>
    <w:rsid w:val="005E5CF8"/>
    <w:rPr>
      <w:spacing w:val="2"/>
    </w:rPr>
  </w:style>
  <w:style w:type="character" w:styleId="FootnoteReference">
    <w:name w:val="footnote reference"/>
    <w:basedOn w:val="DefaultParagraphFont"/>
    <w:uiPriority w:val="99"/>
    <w:semiHidden/>
    <w:unhideWhenUsed/>
    <w:rsid w:val="005E5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tf.vic.gov.au/financial-reporting-policy/model-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D58F678A50C449FCA374D1EC5DC9E" ma:contentTypeVersion="5" ma:contentTypeDescription="Create a new document." ma:contentTypeScope="" ma:versionID="86b4b2d176c2ae8fa161aaad60603d0c">
  <xsd:schema xmlns:xsd="http://www.w3.org/2001/XMLSchema" xmlns:xs="http://www.w3.org/2001/XMLSchema" xmlns:p="http://schemas.microsoft.com/office/2006/metadata/properties" xmlns:ns2="8446e600-4401-404f-af28-7dc1edfa4f01" xmlns:ns3="7af6e039-a09e-4f47-98bd-56856e3575cf" targetNamespace="http://schemas.microsoft.com/office/2006/metadata/properties" ma:root="true" ma:fieldsID="873bf2f924b72ee1040feb59b1d11f6b" ns2:_="" ns3:_="">
    <xsd:import namespace="8446e600-4401-404f-af28-7dc1edfa4f01"/>
    <xsd:import namespace="7af6e039-a09e-4f47-98bd-56856e357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e600-4401-404f-af28-7dc1edfa4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e039-a09e-4f47-98bd-56856e357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F745-E85B-408E-B916-2728043F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e600-4401-404f-af28-7dc1edfa4f01"/>
    <ds:schemaRef ds:uri="7af6e039-a09e-4f47-98bd-56856e357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84A0-726D-4EBE-AE07-F3C6CBAD20C7}">
  <ds:schemaRefs>
    <ds:schemaRef ds:uri="http://schemas.microsoft.com/sharepoint/v3/contenttype/forms"/>
  </ds:schemaRefs>
</ds:datastoreItem>
</file>

<file path=customXml/itemProps3.xml><?xml version="1.0" encoding="utf-8"?>
<ds:datastoreItem xmlns:ds="http://schemas.openxmlformats.org/officeDocument/2006/customXml" ds:itemID="{C646DA95-D7DD-4A02-9C93-C9164F281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A8928-AA99-42B0-BF98-82182FF706C3}">
  <ds:schemaRefs>
    <ds:schemaRef ds:uri="http://www.w3.org/2001/XMLSchema"/>
  </ds:schemaRefs>
</ds:datastoreItem>
</file>

<file path=customXml/itemProps5.xml><?xml version="1.0" encoding="utf-8"?>
<ds:datastoreItem xmlns:ds="http://schemas.openxmlformats.org/officeDocument/2006/customXml" ds:itemID="{6FA91832-708F-472E-B0E3-1B94BDF7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11804</CharactersWithSpaces>
  <SharedDoc>false</SharedDoc>
  <HLinks>
    <vt:vector size="6" baseType="variant">
      <vt:variant>
        <vt:i4>7667832</vt:i4>
      </vt:variant>
      <vt:variant>
        <vt:i4>0</vt:i4>
      </vt:variant>
      <vt:variant>
        <vt:i4>0</vt:i4>
      </vt:variant>
      <vt:variant>
        <vt:i4>5</vt:i4>
      </vt:variant>
      <vt:variant>
        <vt:lpwstr>https://www.dtf.vic.gov.au/financial-reporting-policy/model-report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Tong</dc:creator>
  <cp:keywords/>
  <cp:lastModifiedBy>Thomas McGowan (DTF)</cp:lastModifiedBy>
  <cp:revision>2</cp:revision>
  <cp:lastPrinted>2019-12-12T01:28:00Z</cp:lastPrinted>
  <dcterms:created xsi:type="dcterms:W3CDTF">2020-04-06T01:49:00Z</dcterms:created>
  <dcterms:modified xsi:type="dcterms:W3CDTF">2020-04-06T01:49:00Z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ontentTypeId">
    <vt:lpwstr>0x0101009FFD58F678A50C449FCA374D1EC5DC9E</vt:lpwstr>
  </property>
  <property fmtid="{D5CDD505-2E9C-101B-9397-08002B2CF9AE}" pid="5" name="MSIP_Label_3671841d-b3a8-4706-968c-e82b307d8b6d_Enabled">
    <vt:lpwstr>True</vt:lpwstr>
  </property>
  <property fmtid="{D5CDD505-2E9C-101B-9397-08002B2CF9AE}" pid="6" name="MSIP_Label_3671841d-b3a8-4706-968c-e82b307d8b6d_SiteId">
    <vt:lpwstr>2c7f1f78-afc6-43de-bfdd-cf12c4016c70</vt:lpwstr>
  </property>
  <property fmtid="{D5CDD505-2E9C-101B-9397-08002B2CF9AE}" pid="7" name="MSIP_Label_3671841d-b3a8-4706-968c-e82b307d8b6d_Owner">
    <vt:lpwstr>Prasad.Shinde@audit.vic.gov.au</vt:lpwstr>
  </property>
  <property fmtid="{D5CDD505-2E9C-101B-9397-08002B2CF9AE}" pid="8" name="MSIP_Label_3671841d-b3a8-4706-968c-e82b307d8b6d_SetDate">
    <vt:lpwstr>2019-09-19T23:40:35.1898114Z</vt:lpwstr>
  </property>
  <property fmtid="{D5CDD505-2E9C-101B-9397-08002B2CF9AE}" pid="9" name="MSIP_Label_3671841d-b3a8-4706-968c-e82b307d8b6d_Name">
    <vt:lpwstr>OFFICIAL</vt:lpwstr>
  </property>
  <property fmtid="{D5CDD505-2E9C-101B-9397-08002B2CF9AE}" pid="10" name="MSIP_Label_3671841d-b3a8-4706-968c-e82b307d8b6d_Application">
    <vt:lpwstr>Microsoft Azure Information Protection</vt:lpwstr>
  </property>
  <property fmtid="{D5CDD505-2E9C-101B-9397-08002B2CF9AE}" pid="11" name="MSIP_Label_3671841d-b3a8-4706-968c-e82b307d8b6d_Extended_MSFT_Method">
    <vt:lpwstr>Manual</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Peter.Fuhrmann@dtf.vic.gov.au</vt:lpwstr>
  </property>
  <property fmtid="{D5CDD505-2E9C-101B-9397-08002B2CF9AE}" pid="15" name="MSIP_Label_7158ebbd-6c5e-441f-bfc9-4eb8c11e3978_SetDate">
    <vt:lpwstr>2019-07-25T03:38:57.6578007Z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