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7AE09C68" w14:textId="77777777" w:rsidTr="00D60F91">
        <w:trPr>
          <w:cnfStyle w:val="100000000000" w:firstRow="1" w:lastRow="0" w:firstColumn="0" w:lastColumn="0" w:oddVBand="0" w:evenVBand="0" w:oddHBand="0" w:evenHBand="0" w:firstRowFirstColumn="0" w:firstRowLastColumn="0" w:lastRowFirstColumn="0" w:lastRowLastColumn="0"/>
        </w:trPr>
        <w:tc>
          <w:tcPr>
            <w:tcW w:w="2293" w:type="dxa"/>
          </w:tcPr>
          <w:p w14:paraId="35856B04" w14:textId="77777777" w:rsidR="006C78FB" w:rsidRPr="00231BD3" w:rsidRDefault="006C78FB" w:rsidP="00FA7820">
            <w:pPr>
              <w:pStyle w:val="FRDNumber"/>
            </w:pPr>
            <w:r w:rsidRPr="00231BD3">
              <w:t xml:space="preserve">FRD </w:t>
            </w:r>
            <w:r w:rsidR="00AD0531">
              <w:t>124</w:t>
            </w:r>
          </w:p>
        </w:tc>
        <w:tc>
          <w:tcPr>
            <w:tcW w:w="270" w:type="dxa"/>
          </w:tcPr>
          <w:p w14:paraId="5A674B66" w14:textId="77777777" w:rsidR="006C78FB" w:rsidRPr="00231BD3" w:rsidRDefault="006C78FB" w:rsidP="00FA7820"/>
        </w:tc>
        <w:tc>
          <w:tcPr>
            <w:tcW w:w="540" w:type="dxa"/>
          </w:tcPr>
          <w:p w14:paraId="47C464D1" w14:textId="77777777" w:rsidR="006C78FB" w:rsidRPr="00231BD3" w:rsidRDefault="006C78FB" w:rsidP="00FA7820"/>
        </w:tc>
        <w:tc>
          <w:tcPr>
            <w:tcW w:w="6134" w:type="dxa"/>
          </w:tcPr>
          <w:p w14:paraId="545C7AD2" w14:textId="25F52A8A" w:rsidR="006C78FB" w:rsidRPr="00162074" w:rsidRDefault="006D7907" w:rsidP="00FA7820">
            <w:pPr>
              <w:pStyle w:val="FRDHeader"/>
              <w:rPr>
                <w:i/>
              </w:rPr>
            </w:pPr>
            <w:r>
              <w:t xml:space="preserve">Transitional </w:t>
            </w:r>
            <w:r w:rsidR="00F2595F">
              <w:t>r</w:t>
            </w:r>
            <w:r>
              <w:t xml:space="preserve">equirements </w:t>
            </w:r>
            <w:r w:rsidR="000F2D4C">
              <w:t xml:space="preserve">on the application </w:t>
            </w:r>
            <w:r>
              <w:t xml:space="preserve">of AASB </w:t>
            </w:r>
            <w:r w:rsidR="00162074">
              <w:t xml:space="preserve">1059 </w:t>
            </w:r>
            <w:r w:rsidR="00162074">
              <w:rPr>
                <w:i/>
              </w:rPr>
              <w:t>Service Concession Arrangements: Grantors</w:t>
            </w:r>
            <w:r w:rsidR="00782FF5">
              <w:rPr>
                <w:i/>
              </w:rPr>
              <w:t xml:space="preserve"> </w:t>
            </w:r>
            <w:r w:rsidR="00782FF5" w:rsidRPr="00657132">
              <w:rPr>
                <w:iCs/>
              </w:rPr>
              <w:t>(</w:t>
            </w:r>
            <w:r w:rsidR="00E42463" w:rsidRPr="00657132">
              <w:rPr>
                <w:iCs/>
              </w:rPr>
              <w:t>June</w:t>
            </w:r>
            <w:r w:rsidR="00782FF5" w:rsidRPr="00657132">
              <w:rPr>
                <w:iCs/>
              </w:rPr>
              <w:t xml:space="preserve"> 2020)</w:t>
            </w:r>
          </w:p>
        </w:tc>
      </w:tr>
      <w:tr w:rsidR="006C78FB" w:rsidRPr="00E10ADB" w14:paraId="69718865" w14:textId="77777777" w:rsidTr="00D60F91">
        <w:trPr>
          <w:trHeight w:hRule="exact" w:val="120"/>
        </w:trPr>
        <w:tc>
          <w:tcPr>
            <w:tcW w:w="2293" w:type="dxa"/>
          </w:tcPr>
          <w:p w14:paraId="15DD44FC" w14:textId="77777777" w:rsidR="006C78FB" w:rsidRPr="008A601F" w:rsidRDefault="006C78FB" w:rsidP="00FA7820">
            <w:pPr>
              <w:pStyle w:val="Tabletext"/>
            </w:pPr>
          </w:p>
        </w:tc>
        <w:tc>
          <w:tcPr>
            <w:tcW w:w="270" w:type="dxa"/>
          </w:tcPr>
          <w:p w14:paraId="64AC2D1E" w14:textId="77777777" w:rsidR="006C78FB" w:rsidRPr="008A601F" w:rsidRDefault="006C78FB" w:rsidP="006D66F9">
            <w:pPr>
              <w:pStyle w:val="Normalgrey"/>
            </w:pPr>
          </w:p>
        </w:tc>
        <w:tc>
          <w:tcPr>
            <w:tcW w:w="540" w:type="dxa"/>
          </w:tcPr>
          <w:p w14:paraId="3C4BD33B" w14:textId="77777777" w:rsidR="006C78FB" w:rsidRPr="008A601F" w:rsidRDefault="006C78FB" w:rsidP="00FA7820"/>
        </w:tc>
        <w:tc>
          <w:tcPr>
            <w:tcW w:w="6134" w:type="dxa"/>
          </w:tcPr>
          <w:p w14:paraId="43F35786" w14:textId="77777777" w:rsidR="006C78FB" w:rsidRPr="008A601F" w:rsidRDefault="006C78FB" w:rsidP="00FA7820"/>
        </w:tc>
      </w:tr>
      <w:tr w:rsidR="005828FE" w:rsidRPr="005828FE" w14:paraId="5BDE0589" w14:textId="77777777" w:rsidTr="00D60F91">
        <w:tc>
          <w:tcPr>
            <w:tcW w:w="2293" w:type="dxa"/>
          </w:tcPr>
          <w:p w14:paraId="438A66EE" w14:textId="77777777" w:rsidR="006C78FB" w:rsidRPr="005828FE" w:rsidRDefault="006C78FB" w:rsidP="00382EE1">
            <w:pPr>
              <w:pStyle w:val="Normalgrey"/>
            </w:pPr>
            <w:r w:rsidRPr="005828FE">
              <w:t>Purpose</w:t>
            </w:r>
          </w:p>
        </w:tc>
        <w:tc>
          <w:tcPr>
            <w:tcW w:w="270" w:type="dxa"/>
          </w:tcPr>
          <w:p w14:paraId="2F9B82F1" w14:textId="77777777" w:rsidR="006C78FB" w:rsidRPr="005828FE" w:rsidRDefault="006C78FB" w:rsidP="00286F9A">
            <w:pPr>
              <w:pStyle w:val="Normalgrey"/>
            </w:pPr>
          </w:p>
        </w:tc>
        <w:tc>
          <w:tcPr>
            <w:tcW w:w="540" w:type="dxa"/>
          </w:tcPr>
          <w:p w14:paraId="7BFB2027" w14:textId="77777777" w:rsidR="006C78FB" w:rsidRPr="005828FE" w:rsidRDefault="00C15136" w:rsidP="006519F6">
            <w:pPr>
              <w:pStyle w:val="Normalgrey"/>
            </w:pPr>
            <w:r>
              <w:t>1.1</w:t>
            </w:r>
          </w:p>
        </w:tc>
        <w:tc>
          <w:tcPr>
            <w:tcW w:w="6134" w:type="dxa"/>
          </w:tcPr>
          <w:p w14:paraId="6C0D78BE" w14:textId="77777777" w:rsidR="006C78FB" w:rsidRPr="005828FE" w:rsidRDefault="00C15136" w:rsidP="00382EE1">
            <w:pPr>
              <w:pStyle w:val="Normalgrey"/>
            </w:pPr>
            <w:r>
              <w:t xml:space="preserve">To prescribe the accounting </w:t>
            </w:r>
            <w:r w:rsidR="00596277">
              <w:t>for transition requirements</w:t>
            </w:r>
            <w:r w:rsidR="000F2D4C">
              <w:t xml:space="preserve"> on the application of </w:t>
            </w:r>
            <w:r>
              <w:t xml:space="preserve">AASB </w:t>
            </w:r>
            <w:r w:rsidR="00162074" w:rsidRPr="00162074">
              <w:t xml:space="preserve">1059 </w:t>
            </w:r>
            <w:r w:rsidR="00162074" w:rsidRPr="00162074">
              <w:rPr>
                <w:i/>
              </w:rPr>
              <w:t>Service Concession Arrangements: Grantors</w:t>
            </w:r>
            <w:r w:rsidR="00E300D9">
              <w:rPr>
                <w:i/>
              </w:rPr>
              <w:t xml:space="preserve"> </w:t>
            </w:r>
            <w:r w:rsidR="00E300D9" w:rsidRPr="00E300D9">
              <w:t>(AASB 1059)</w:t>
            </w:r>
            <w:r>
              <w:t>.</w:t>
            </w:r>
          </w:p>
        </w:tc>
      </w:tr>
      <w:tr w:rsidR="006C78FB" w:rsidRPr="005828FE" w14:paraId="32E16599" w14:textId="77777777" w:rsidTr="00D60F91">
        <w:tc>
          <w:tcPr>
            <w:tcW w:w="2293" w:type="dxa"/>
            <w:shd w:val="clear" w:color="auto" w:fill="F2F2F2" w:themeFill="background1" w:themeFillShade="F2"/>
          </w:tcPr>
          <w:p w14:paraId="6F8743FD"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33483E57" w14:textId="77777777" w:rsidR="006C78FB" w:rsidRPr="008B2A17" w:rsidRDefault="006C78FB" w:rsidP="00286F9A">
            <w:pPr>
              <w:pStyle w:val="Normalgrey"/>
            </w:pPr>
          </w:p>
        </w:tc>
        <w:tc>
          <w:tcPr>
            <w:tcW w:w="540" w:type="dxa"/>
            <w:shd w:val="clear" w:color="auto" w:fill="F2F2F2" w:themeFill="background1" w:themeFillShade="F2"/>
          </w:tcPr>
          <w:p w14:paraId="758C6C24" w14:textId="77777777" w:rsidR="006C78FB" w:rsidRPr="005828FE" w:rsidRDefault="00C15136" w:rsidP="00286F9A">
            <w:pPr>
              <w:pStyle w:val="Normalgrey"/>
            </w:pPr>
            <w:r>
              <w:t>2.1</w:t>
            </w:r>
          </w:p>
        </w:tc>
        <w:tc>
          <w:tcPr>
            <w:tcW w:w="6134" w:type="dxa"/>
            <w:shd w:val="clear" w:color="auto" w:fill="F2F2F2" w:themeFill="background1" w:themeFillShade="F2"/>
          </w:tcPr>
          <w:p w14:paraId="271D876F" w14:textId="77777777" w:rsidR="00487033" w:rsidRPr="00487033" w:rsidRDefault="00C15136" w:rsidP="00A516DE">
            <w:pPr>
              <w:pStyle w:val="Normalbold"/>
            </w:pPr>
            <w:r w:rsidRPr="00A443E0">
              <w:t xml:space="preserve">Applies to all entities defined as either a public body or a department under section 3 of the </w:t>
            </w:r>
            <w:r w:rsidRPr="00A443E0">
              <w:rPr>
                <w:i/>
              </w:rPr>
              <w:t>Financial Management Act 1994</w:t>
            </w:r>
            <w:r w:rsidR="00625CB7">
              <w:rPr>
                <w:i/>
              </w:rPr>
              <w:t>,</w:t>
            </w:r>
            <w:r w:rsidR="00487033">
              <w:rPr>
                <w:i/>
              </w:rPr>
              <w:t xml:space="preserve"> </w:t>
            </w:r>
            <w:r w:rsidR="00487033" w:rsidRPr="00F612E5">
              <w:t xml:space="preserve">except those entities which are not controlled by the State and whose financial position and result are thus not </w:t>
            </w:r>
            <w:r w:rsidR="00625CB7" w:rsidRPr="00F612E5">
              <w:t>consolidated</w:t>
            </w:r>
            <w:r w:rsidR="00487033" w:rsidRPr="00F612E5">
              <w:t xml:space="preserve"> in the Annual Financial Report for the State of Victoria</w:t>
            </w:r>
            <w:r w:rsidRPr="00F612E5">
              <w:t>.</w:t>
            </w:r>
            <w:r w:rsidRPr="00A443E0">
              <w:t xml:space="preserve">  Application by State o</w:t>
            </w:r>
            <w:r>
              <w:t>wned corporations is encouraged</w:t>
            </w:r>
            <w:r w:rsidRPr="00A443E0">
              <w:t>.</w:t>
            </w:r>
          </w:p>
        </w:tc>
      </w:tr>
      <w:tr w:rsidR="00C15136" w:rsidRPr="005828FE" w14:paraId="6CFFD8CD" w14:textId="77777777" w:rsidTr="00D60F91">
        <w:tc>
          <w:tcPr>
            <w:tcW w:w="2293" w:type="dxa"/>
            <w:shd w:val="clear" w:color="auto" w:fill="F2F2F2" w:themeFill="background1" w:themeFillShade="F2"/>
          </w:tcPr>
          <w:p w14:paraId="0C0361DF" w14:textId="77777777" w:rsidR="00C15136" w:rsidRPr="005828FE" w:rsidRDefault="00C15136" w:rsidP="00C15136">
            <w:pPr>
              <w:pStyle w:val="Normalbold"/>
            </w:pPr>
            <w:r w:rsidRPr="005828FE">
              <w:t>Operative date</w:t>
            </w:r>
          </w:p>
        </w:tc>
        <w:tc>
          <w:tcPr>
            <w:tcW w:w="270" w:type="dxa"/>
            <w:shd w:val="clear" w:color="auto" w:fill="F2F2F2" w:themeFill="background1" w:themeFillShade="F2"/>
          </w:tcPr>
          <w:p w14:paraId="78CE5FD5" w14:textId="77777777" w:rsidR="00C15136" w:rsidRPr="008B2A17" w:rsidRDefault="00C15136" w:rsidP="00C15136">
            <w:pPr>
              <w:pStyle w:val="Normalgrey"/>
            </w:pPr>
          </w:p>
        </w:tc>
        <w:tc>
          <w:tcPr>
            <w:tcW w:w="540" w:type="dxa"/>
            <w:shd w:val="clear" w:color="auto" w:fill="F2F2F2" w:themeFill="background1" w:themeFillShade="F2"/>
          </w:tcPr>
          <w:p w14:paraId="203F5495" w14:textId="77777777" w:rsidR="00C15136" w:rsidRPr="005828FE" w:rsidRDefault="00C15136" w:rsidP="00C15136">
            <w:pPr>
              <w:pStyle w:val="Normalgrey"/>
            </w:pPr>
            <w:r>
              <w:t>3.1</w:t>
            </w:r>
          </w:p>
        </w:tc>
        <w:tc>
          <w:tcPr>
            <w:tcW w:w="6134" w:type="dxa"/>
            <w:shd w:val="clear" w:color="auto" w:fill="F2F2F2" w:themeFill="background1" w:themeFillShade="F2"/>
          </w:tcPr>
          <w:p w14:paraId="389CA8AD" w14:textId="77777777" w:rsidR="000546ED" w:rsidRPr="005828FE" w:rsidRDefault="003153C5" w:rsidP="00162074">
            <w:pPr>
              <w:pStyle w:val="Normalbold"/>
            </w:pPr>
            <w:r>
              <w:t>This FRD applies to a</w:t>
            </w:r>
            <w:r w:rsidR="000F2D4C">
              <w:t>nnual reporting periods commencing on or after 1 January 201</w:t>
            </w:r>
            <w:r w:rsidR="00162074">
              <w:t>9</w:t>
            </w:r>
            <w:r w:rsidR="00E300D9">
              <w:rPr>
                <w:rStyle w:val="FootnoteReference"/>
              </w:rPr>
              <w:footnoteReference w:id="1"/>
            </w:r>
            <w:r w:rsidR="00162074">
              <w:t>.</w:t>
            </w:r>
            <w:r w:rsidR="000546ED">
              <w:t xml:space="preserve"> </w:t>
            </w:r>
          </w:p>
        </w:tc>
      </w:tr>
      <w:tr w:rsidR="00C15136" w:rsidRPr="005828FE" w14:paraId="50950FD8" w14:textId="77777777" w:rsidTr="00D60F91">
        <w:tc>
          <w:tcPr>
            <w:tcW w:w="2293" w:type="dxa"/>
            <w:shd w:val="clear" w:color="auto" w:fill="F2F2F2" w:themeFill="background1" w:themeFillShade="F2"/>
          </w:tcPr>
          <w:p w14:paraId="2E2D1627" w14:textId="77777777" w:rsidR="00C15136" w:rsidRPr="005828FE" w:rsidRDefault="00C15136" w:rsidP="00C15136">
            <w:pPr>
              <w:pStyle w:val="Normalbold"/>
            </w:pPr>
            <w:r w:rsidRPr="005828FE">
              <w:t>Requirement</w:t>
            </w:r>
            <w:r>
              <w:t>s</w:t>
            </w:r>
          </w:p>
        </w:tc>
        <w:tc>
          <w:tcPr>
            <w:tcW w:w="270" w:type="dxa"/>
            <w:shd w:val="clear" w:color="auto" w:fill="F2F2F2" w:themeFill="background1" w:themeFillShade="F2"/>
          </w:tcPr>
          <w:p w14:paraId="12B79C61" w14:textId="77777777" w:rsidR="00C15136" w:rsidRDefault="00C15136" w:rsidP="00C15136">
            <w:pPr>
              <w:pStyle w:val="Normalgrey"/>
            </w:pPr>
          </w:p>
          <w:p w14:paraId="28F6F049" w14:textId="77777777" w:rsidR="00F677F1" w:rsidRPr="008B2A17" w:rsidRDefault="00F677F1" w:rsidP="00C15136">
            <w:pPr>
              <w:pStyle w:val="Normalgrey"/>
            </w:pPr>
          </w:p>
        </w:tc>
        <w:tc>
          <w:tcPr>
            <w:tcW w:w="540" w:type="dxa"/>
            <w:shd w:val="clear" w:color="auto" w:fill="F2F2F2" w:themeFill="background1" w:themeFillShade="F2"/>
          </w:tcPr>
          <w:p w14:paraId="246CD918" w14:textId="77777777" w:rsidR="00F677F1" w:rsidRDefault="00F677F1" w:rsidP="00C15136">
            <w:pPr>
              <w:pStyle w:val="Normalgrey"/>
            </w:pPr>
          </w:p>
          <w:p w14:paraId="7ED12683" w14:textId="77777777" w:rsidR="00C15136" w:rsidRPr="005828FE" w:rsidRDefault="00F4284C" w:rsidP="00C15136">
            <w:pPr>
              <w:pStyle w:val="Normalgrey"/>
            </w:pPr>
            <w:r>
              <w:t>4.1</w:t>
            </w:r>
          </w:p>
        </w:tc>
        <w:tc>
          <w:tcPr>
            <w:tcW w:w="6134" w:type="dxa"/>
            <w:shd w:val="clear" w:color="auto" w:fill="F2F2F2" w:themeFill="background1" w:themeFillShade="F2"/>
          </w:tcPr>
          <w:p w14:paraId="38BF63A8" w14:textId="77777777" w:rsidR="00C83499" w:rsidRPr="00123783" w:rsidRDefault="00C83499" w:rsidP="00C15136">
            <w:pPr>
              <w:pStyle w:val="Normalbold"/>
              <w:rPr>
                <w:i/>
                <w:iCs/>
              </w:rPr>
            </w:pPr>
            <w:r w:rsidRPr="00123783">
              <w:rPr>
                <w:i/>
                <w:iCs/>
              </w:rPr>
              <w:t>Initial application of AASB 1</w:t>
            </w:r>
            <w:r w:rsidR="00162074" w:rsidRPr="00123783">
              <w:rPr>
                <w:i/>
                <w:iCs/>
              </w:rPr>
              <w:t>0</w:t>
            </w:r>
            <w:r w:rsidRPr="00123783">
              <w:rPr>
                <w:i/>
                <w:iCs/>
              </w:rPr>
              <w:t>5</w:t>
            </w:r>
            <w:r w:rsidR="00162074" w:rsidRPr="00123783">
              <w:rPr>
                <w:i/>
                <w:iCs/>
              </w:rPr>
              <w:t>9</w:t>
            </w:r>
          </w:p>
          <w:p w14:paraId="215EE572" w14:textId="77777777" w:rsidR="00C83499" w:rsidRPr="005828FE" w:rsidRDefault="007B6393" w:rsidP="00EA7E96">
            <w:pPr>
              <w:pStyle w:val="Normalbold"/>
            </w:pPr>
            <w:r>
              <w:t>The date of initial application is the beginning of the earliest reporting period for which comparative information is presented in the financial statements.</w:t>
            </w:r>
            <w:r w:rsidR="00A4583F">
              <w:rPr>
                <w:rStyle w:val="FootnoteReference"/>
              </w:rPr>
              <w:footnoteReference w:id="2"/>
            </w:r>
          </w:p>
        </w:tc>
      </w:tr>
      <w:tr w:rsidR="00A407E7" w:rsidRPr="005828FE" w14:paraId="7A868CC7" w14:textId="77777777" w:rsidTr="00D60F91">
        <w:tc>
          <w:tcPr>
            <w:tcW w:w="2293" w:type="dxa"/>
            <w:shd w:val="clear" w:color="auto" w:fill="F2F2F2" w:themeFill="background1" w:themeFillShade="F2"/>
          </w:tcPr>
          <w:p w14:paraId="018DAB9D" w14:textId="77777777" w:rsidR="00A407E7" w:rsidRPr="005828FE" w:rsidRDefault="00A407E7" w:rsidP="00A407E7">
            <w:pPr>
              <w:pStyle w:val="Normalbold"/>
            </w:pPr>
          </w:p>
        </w:tc>
        <w:tc>
          <w:tcPr>
            <w:tcW w:w="270" w:type="dxa"/>
            <w:shd w:val="clear" w:color="auto" w:fill="F2F2F2" w:themeFill="background1" w:themeFillShade="F2"/>
          </w:tcPr>
          <w:p w14:paraId="32FD46DB" w14:textId="77777777" w:rsidR="00A407E7" w:rsidRPr="008B2A17" w:rsidRDefault="00A407E7" w:rsidP="00A407E7">
            <w:pPr>
              <w:pStyle w:val="Normalgrey"/>
            </w:pPr>
          </w:p>
        </w:tc>
        <w:tc>
          <w:tcPr>
            <w:tcW w:w="540" w:type="dxa"/>
            <w:shd w:val="clear" w:color="auto" w:fill="F2F2F2" w:themeFill="background1" w:themeFillShade="F2"/>
          </w:tcPr>
          <w:p w14:paraId="39940877" w14:textId="77777777" w:rsidR="00A407E7" w:rsidRDefault="00A407E7" w:rsidP="000F2D4C">
            <w:pPr>
              <w:pStyle w:val="Normalgrey"/>
            </w:pPr>
            <w:r>
              <w:t>4.</w:t>
            </w:r>
            <w:r w:rsidR="00EA7E96">
              <w:t>2</w:t>
            </w:r>
          </w:p>
        </w:tc>
        <w:tc>
          <w:tcPr>
            <w:tcW w:w="6134" w:type="dxa"/>
            <w:shd w:val="clear" w:color="auto" w:fill="F2F2F2" w:themeFill="background1" w:themeFillShade="F2"/>
          </w:tcPr>
          <w:p w14:paraId="7F159874" w14:textId="4E802E33" w:rsidR="000F2D4C" w:rsidRPr="00950D8F" w:rsidRDefault="007B6393" w:rsidP="00EE4249">
            <w:pPr>
              <w:pStyle w:val="Normalbold"/>
            </w:pPr>
            <w:r w:rsidRPr="0066038B">
              <w:t>An entity shall apply AASB 1059 retrospectively</w:t>
            </w:r>
            <w:r>
              <w:t xml:space="preserve"> to each prior period presented in accordance with AASB 108 </w:t>
            </w:r>
            <w:r w:rsidRPr="00097B99">
              <w:rPr>
                <w:i/>
              </w:rPr>
              <w:t>Accounting Policies, Changes in Accounting Estimates and Errors</w:t>
            </w:r>
            <w:r w:rsidR="005C30F3">
              <w:t>.</w:t>
            </w:r>
          </w:p>
        </w:tc>
      </w:tr>
      <w:tr w:rsidR="00FA7820" w:rsidRPr="005828FE" w14:paraId="45622959" w14:textId="77777777" w:rsidTr="00D60F91">
        <w:tc>
          <w:tcPr>
            <w:tcW w:w="2293" w:type="dxa"/>
            <w:shd w:val="clear" w:color="auto" w:fill="F2F2F2" w:themeFill="background1" w:themeFillShade="F2"/>
          </w:tcPr>
          <w:p w14:paraId="16D3AB34" w14:textId="77777777" w:rsidR="00FA7820" w:rsidRPr="005828FE" w:rsidRDefault="00FA7820" w:rsidP="00A407E7">
            <w:pPr>
              <w:pStyle w:val="Normalbold"/>
            </w:pPr>
          </w:p>
        </w:tc>
        <w:tc>
          <w:tcPr>
            <w:tcW w:w="270" w:type="dxa"/>
            <w:shd w:val="clear" w:color="auto" w:fill="F2F2F2" w:themeFill="background1" w:themeFillShade="F2"/>
          </w:tcPr>
          <w:p w14:paraId="515B9593" w14:textId="77777777" w:rsidR="00FA7820" w:rsidRPr="008B2A17" w:rsidRDefault="00FA7820" w:rsidP="00A407E7">
            <w:pPr>
              <w:pStyle w:val="Normalgrey"/>
            </w:pPr>
          </w:p>
        </w:tc>
        <w:tc>
          <w:tcPr>
            <w:tcW w:w="540" w:type="dxa"/>
            <w:shd w:val="clear" w:color="auto" w:fill="F2F2F2" w:themeFill="background1" w:themeFillShade="F2"/>
          </w:tcPr>
          <w:p w14:paraId="4185FE45" w14:textId="77777777" w:rsidR="00FA7820" w:rsidRDefault="00FA7820" w:rsidP="000F2D4C">
            <w:pPr>
              <w:pStyle w:val="Normalgrey"/>
            </w:pPr>
            <w:r>
              <w:t>4.</w:t>
            </w:r>
            <w:r w:rsidR="00EA7E96">
              <w:t>3</w:t>
            </w:r>
          </w:p>
        </w:tc>
        <w:tc>
          <w:tcPr>
            <w:tcW w:w="6134" w:type="dxa"/>
            <w:shd w:val="clear" w:color="auto" w:fill="F2F2F2" w:themeFill="background1" w:themeFillShade="F2"/>
          </w:tcPr>
          <w:p w14:paraId="384D37D8" w14:textId="4F885966" w:rsidR="002E6A5E" w:rsidRDefault="00F66238" w:rsidP="00DC2687">
            <w:pPr>
              <w:pStyle w:val="Normalbold"/>
            </w:pPr>
            <w:r>
              <w:t xml:space="preserve">Retrospective application requires the derecognition or adjustment </w:t>
            </w:r>
            <w:r w:rsidRPr="00F66238">
              <w:t xml:space="preserve">of any service concession assets and liabilities recognised under previous accounting policies or the initial recognition of service concession assets and liabilities. </w:t>
            </w:r>
            <w:r w:rsidR="00EB5CF5">
              <w:t xml:space="preserve">To the extent that the existing values are </w:t>
            </w:r>
            <w:proofErr w:type="gramStart"/>
            <w:r w:rsidR="00EB5CF5">
              <w:t>similar to</w:t>
            </w:r>
            <w:proofErr w:type="gramEnd"/>
            <w:r w:rsidR="00EB5CF5">
              <w:t xml:space="preserve"> those that would need to be recognised under AASB 1059, only a reclassification adjustment will be required. </w:t>
            </w:r>
          </w:p>
          <w:p w14:paraId="4C787D0D" w14:textId="5C0FF9F9" w:rsidR="00FA7820" w:rsidRDefault="00F66238" w:rsidP="00D14C7B">
            <w:pPr>
              <w:pStyle w:val="Normalbold"/>
            </w:pPr>
            <w:r w:rsidRPr="00F66238">
              <w:t xml:space="preserve">Any net adjustment on initial application of </w:t>
            </w:r>
            <w:r>
              <w:t xml:space="preserve">AASB 1059 </w:t>
            </w:r>
            <w:r w:rsidRPr="00F66238">
              <w:t>is recognised as an adjustment to the opening balance of accumulated surplus (deficiency).</w:t>
            </w:r>
            <w:r w:rsidR="00D14C7B">
              <w:t xml:space="preserve"> </w:t>
            </w:r>
            <w:r w:rsidR="00DC2687">
              <w:t>When</w:t>
            </w:r>
            <w:r w:rsidR="00DC2687" w:rsidRPr="00F66238">
              <w:t xml:space="preserve"> </w:t>
            </w:r>
            <w:r w:rsidRPr="00F66238">
              <w:t>the grantor applies the revaluation model in AASB 116</w:t>
            </w:r>
            <w:r w:rsidR="00DC2687">
              <w:rPr>
                <w:rStyle w:val="FootnoteReference"/>
              </w:rPr>
              <w:footnoteReference w:id="3"/>
            </w:r>
            <w:r w:rsidRPr="00F66238">
              <w:t xml:space="preserve"> as its accounting policy, the net adjustment is included in accumulated surplus (deficiency) and not revaluation surplus.</w:t>
            </w:r>
            <w:r w:rsidR="002E6A5E">
              <w:rPr>
                <w:rStyle w:val="FootnoteReference"/>
              </w:rPr>
              <w:footnoteReference w:id="4"/>
            </w:r>
          </w:p>
        </w:tc>
      </w:tr>
      <w:tr w:rsidR="00A57B06" w:rsidRPr="005828FE" w14:paraId="7C5A756D" w14:textId="77777777" w:rsidTr="00D60F91">
        <w:tc>
          <w:tcPr>
            <w:tcW w:w="2293" w:type="dxa"/>
            <w:shd w:val="clear" w:color="auto" w:fill="F2F2F2" w:themeFill="background1" w:themeFillShade="F2"/>
          </w:tcPr>
          <w:p w14:paraId="61D91C10" w14:textId="77777777" w:rsidR="00A57B06" w:rsidRPr="005828FE" w:rsidRDefault="00A57B06" w:rsidP="00A407E7">
            <w:pPr>
              <w:pStyle w:val="Normalbold"/>
            </w:pPr>
          </w:p>
        </w:tc>
        <w:tc>
          <w:tcPr>
            <w:tcW w:w="270" w:type="dxa"/>
            <w:shd w:val="clear" w:color="auto" w:fill="F2F2F2" w:themeFill="background1" w:themeFillShade="F2"/>
          </w:tcPr>
          <w:p w14:paraId="61167EC2" w14:textId="77777777" w:rsidR="00A57B06" w:rsidRPr="008B2A17" w:rsidRDefault="00A57B06" w:rsidP="00A407E7">
            <w:pPr>
              <w:pStyle w:val="Normalgrey"/>
            </w:pPr>
          </w:p>
        </w:tc>
        <w:tc>
          <w:tcPr>
            <w:tcW w:w="540" w:type="dxa"/>
            <w:shd w:val="clear" w:color="auto" w:fill="F2F2F2" w:themeFill="background1" w:themeFillShade="F2"/>
          </w:tcPr>
          <w:p w14:paraId="3709B65D" w14:textId="77777777" w:rsidR="00A57B06" w:rsidRDefault="00A57B06" w:rsidP="000F2D4C">
            <w:pPr>
              <w:pStyle w:val="Normalgrey"/>
            </w:pPr>
          </w:p>
        </w:tc>
        <w:tc>
          <w:tcPr>
            <w:tcW w:w="6134" w:type="dxa"/>
            <w:shd w:val="clear" w:color="auto" w:fill="F2F2F2" w:themeFill="background1" w:themeFillShade="F2"/>
          </w:tcPr>
          <w:p w14:paraId="0AA5D81E" w14:textId="77777777" w:rsidR="00A57B06" w:rsidRPr="00123783" w:rsidRDefault="00FB276F" w:rsidP="00EE4249">
            <w:pPr>
              <w:pStyle w:val="Normalbold"/>
              <w:rPr>
                <w:i/>
                <w:iCs/>
              </w:rPr>
            </w:pPr>
            <w:r w:rsidRPr="00123783">
              <w:rPr>
                <w:i/>
                <w:iCs/>
              </w:rPr>
              <w:t>Transitional Disclosures</w:t>
            </w:r>
          </w:p>
          <w:p w14:paraId="6395695D" w14:textId="515BD672" w:rsidR="00A03BBF" w:rsidRDefault="00A03BBF" w:rsidP="00320A4D">
            <w:pPr>
              <w:pStyle w:val="Normalbold"/>
            </w:pPr>
            <w:r>
              <w:t>Entities shall state the fact that AASB 1059 has been early adopted.</w:t>
            </w:r>
          </w:p>
          <w:p w14:paraId="1760B192" w14:textId="022FE636" w:rsidR="00FB276F" w:rsidRDefault="00FB276F" w:rsidP="00FB276F">
            <w:pPr>
              <w:pStyle w:val="Normalbold"/>
              <w:rPr>
                <w:i/>
              </w:rPr>
            </w:pPr>
            <w:r>
              <w:t xml:space="preserve">An entity shall disclose the following information about initial application required by paragraph 28 of AASB 108 </w:t>
            </w:r>
            <w:r w:rsidRPr="00A146C3">
              <w:rPr>
                <w:i/>
              </w:rPr>
              <w:t>Accounting Policies, Changes in Accounting Estimates and Errors</w:t>
            </w:r>
            <w:r>
              <w:rPr>
                <w:i/>
              </w:rPr>
              <w:t>:</w:t>
            </w:r>
          </w:p>
          <w:p w14:paraId="7388EA21" w14:textId="77777777" w:rsidR="00FB276F" w:rsidRPr="00123783" w:rsidRDefault="00FB276F" w:rsidP="00123783">
            <w:pPr>
              <w:pStyle w:val="Listnum"/>
              <w:rPr>
                <w:b/>
                <w:bCs/>
              </w:rPr>
            </w:pPr>
            <w:r w:rsidRPr="00123783">
              <w:rPr>
                <w:b/>
                <w:bCs/>
              </w:rPr>
              <w:t>the title of the Australian Accounting Standard;</w:t>
            </w:r>
          </w:p>
          <w:p w14:paraId="668AE7C0" w14:textId="30539A3F" w:rsidR="00FB276F" w:rsidRPr="00123783" w:rsidRDefault="00FB276F" w:rsidP="00123783">
            <w:pPr>
              <w:pStyle w:val="Listnum"/>
              <w:rPr>
                <w:b/>
                <w:bCs/>
              </w:rPr>
            </w:pPr>
            <w:r w:rsidRPr="00123783">
              <w:rPr>
                <w:b/>
                <w:bCs/>
              </w:rPr>
              <w:t>the change in accounting policy is made in accordance with its transitional provisions;</w:t>
            </w:r>
          </w:p>
          <w:p w14:paraId="79E9A303" w14:textId="77777777" w:rsidR="00FB276F" w:rsidRPr="00123783" w:rsidRDefault="00FB276F" w:rsidP="00123783">
            <w:pPr>
              <w:pStyle w:val="Listnum"/>
              <w:rPr>
                <w:b/>
                <w:bCs/>
              </w:rPr>
            </w:pPr>
            <w:r w:rsidRPr="00123783">
              <w:rPr>
                <w:b/>
                <w:bCs/>
              </w:rPr>
              <w:t>the nature of the change in accounting policy;</w:t>
            </w:r>
          </w:p>
          <w:p w14:paraId="131FAA5F" w14:textId="4377579A" w:rsidR="00FB276F" w:rsidRPr="00123783" w:rsidRDefault="00FB276F" w:rsidP="00123783">
            <w:pPr>
              <w:pStyle w:val="Listnum"/>
              <w:rPr>
                <w:b/>
                <w:bCs/>
              </w:rPr>
            </w:pPr>
            <w:r w:rsidRPr="00123783">
              <w:rPr>
                <w:b/>
                <w:bCs/>
              </w:rPr>
              <w:t>a description of the transitional provisions;</w:t>
            </w:r>
          </w:p>
          <w:p w14:paraId="40D7B0CA" w14:textId="49585BA4" w:rsidR="00FB276F" w:rsidRPr="00123783" w:rsidRDefault="00FB276F" w:rsidP="00123783">
            <w:pPr>
              <w:pStyle w:val="Listnum"/>
              <w:rPr>
                <w:b/>
                <w:bCs/>
              </w:rPr>
            </w:pPr>
            <w:r w:rsidRPr="00123783">
              <w:rPr>
                <w:b/>
                <w:bCs/>
              </w:rPr>
              <w:t xml:space="preserve">the transitional provisions that might </w:t>
            </w:r>
            <w:proofErr w:type="gramStart"/>
            <w:r w:rsidRPr="00123783">
              <w:rPr>
                <w:b/>
                <w:bCs/>
              </w:rPr>
              <w:t>have an effect on</w:t>
            </w:r>
            <w:proofErr w:type="gramEnd"/>
            <w:r w:rsidRPr="00123783">
              <w:rPr>
                <w:b/>
                <w:bCs/>
              </w:rPr>
              <w:t xml:space="preserve"> future periods; </w:t>
            </w:r>
          </w:p>
          <w:p w14:paraId="57BF9398" w14:textId="41B21B41" w:rsidR="00320A4D" w:rsidRPr="00123783" w:rsidRDefault="00320A4D" w:rsidP="00123783">
            <w:pPr>
              <w:pStyle w:val="Listnum"/>
              <w:rPr>
                <w:b/>
                <w:bCs/>
              </w:rPr>
            </w:pPr>
            <w:r w:rsidRPr="00123783">
              <w:rPr>
                <w:b/>
                <w:bCs/>
              </w:rPr>
              <w:t>for the current period and each prior period presented, to the extent practicable, the amount of the adjustment for each financial statement line item affected;</w:t>
            </w:r>
          </w:p>
          <w:p w14:paraId="78335A4B" w14:textId="02D508C5" w:rsidR="00FB276F" w:rsidRPr="00123783" w:rsidRDefault="00FB276F" w:rsidP="00123783">
            <w:pPr>
              <w:pStyle w:val="Listnum"/>
              <w:rPr>
                <w:b/>
                <w:bCs/>
              </w:rPr>
            </w:pPr>
            <w:r w:rsidRPr="00123783">
              <w:rPr>
                <w:b/>
                <w:bCs/>
              </w:rPr>
              <w:t>the amount of adjustment relating to periods before those presented, to the extent practicable</w:t>
            </w:r>
            <w:r w:rsidR="00CF31AA" w:rsidRPr="00123783">
              <w:rPr>
                <w:b/>
                <w:bCs/>
              </w:rPr>
              <w:t>; and</w:t>
            </w:r>
          </w:p>
          <w:p w14:paraId="17F178A3" w14:textId="07084C00" w:rsidR="00320A4D" w:rsidRPr="00123783" w:rsidRDefault="00A03BBF" w:rsidP="00123783">
            <w:pPr>
              <w:pStyle w:val="Listnum"/>
              <w:rPr>
                <w:b/>
                <w:bCs/>
              </w:rPr>
            </w:pPr>
            <w:r w:rsidRPr="00123783">
              <w:rPr>
                <w:b/>
                <w:bCs/>
              </w:rPr>
              <w:t xml:space="preserve">if retrospective application is impracticable for a particular prior period, or for periods before those presented, the circumstances that led to the existence of that condition and a description of how and from when the change in accounting policy has been applied. </w:t>
            </w:r>
          </w:p>
          <w:p w14:paraId="52D26125" w14:textId="3422D4DF" w:rsidR="00320A4D" w:rsidRDefault="00320A4D" w:rsidP="00123783">
            <w:pPr>
              <w:pStyle w:val="Normalbold"/>
              <w:ind w:left="505"/>
            </w:pPr>
            <w:r>
              <w:t xml:space="preserve">Impracticable application will be rare and in this </w:t>
            </w:r>
            <w:proofErr w:type="gramStart"/>
            <w:r>
              <w:t>instance</w:t>
            </w:r>
            <w:proofErr w:type="gramEnd"/>
            <w:r>
              <w:t xml:space="preserve"> entities should consult with DTF</w:t>
            </w:r>
            <w:r w:rsidR="00123783">
              <w:t>.</w:t>
            </w:r>
          </w:p>
          <w:p w14:paraId="24A8D75B" w14:textId="431B2732" w:rsidR="008F5662" w:rsidRDefault="008F5662" w:rsidP="00123783">
            <w:pPr>
              <w:pStyle w:val="Normalbold"/>
            </w:pPr>
            <w:r>
              <w:t>Financial statements of subsequent periods need not repeat these disclosures.</w:t>
            </w:r>
          </w:p>
        </w:tc>
      </w:tr>
      <w:tr w:rsidR="00FA7820" w:rsidRPr="005828FE" w14:paraId="17F3E461" w14:textId="77777777" w:rsidTr="005C285E">
        <w:tc>
          <w:tcPr>
            <w:tcW w:w="2293" w:type="dxa"/>
          </w:tcPr>
          <w:p w14:paraId="3557DFB8" w14:textId="77777777" w:rsidR="00FA7820" w:rsidRPr="005828FE" w:rsidRDefault="00FA7820" w:rsidP="00FA7820">
            <w:pPr>
              <w:pStyle w:val="Normalgrey"/>
            </w:pPr>
            <w:r w:rsidRPr="005828FE">
              <w:t>Definition</w:t>
            </w:r>
            <w:r w:rsidR="006A13CE">
              <w:t>s</w:t>
            </w:r>
          </w:p>
        </w:tc>
        <w:tc>
          <w:tcPr>
            <w:tcW w:w="270" w:type="dxa"/>
          </w:tcPr>
          <w:p w14:paraId="072E58E9" w14:textId="77777777" w:rsidR="00FA7820" w:rsidRPr="005828FE" w:rsidRDefault="00FA7820" w:rsidP="00FA7820">
            <w:pPr>
              <w:pStyle w:val="Normalgrey"/>
            </w:pPr>
          </w:p>
        </w:tc>
        <w:tc>
          <w:tcPr>
            <w:tcW w:w="540" w:type="dxa"/>
          </w:tcPr>
          <w:p w14:paraId="18158590" w14:textId="77777777" w:rsidR="00FA7820" w:rsidRPr="005828FE" w:rsidRDefault="00FA7820" w:rsidP="00FA7820">
            <w:pPr>
              <w:pStyle w:val="Normalgrey"/>
            </w:pPr>
            <w:r>
              <w:t>5.1</w:t>
            </w:r>
          </w:p>
        </w:tc>
        <w:tc>
          <w:tcPr>
            <w:tcW w:w="6134" w:type="dxa"/>
            <w:shd w:val="clear" w:color="auto" w:fill="auto"/>
          </w:tcPr>
          <w:p w14:paraId="0CB1B185" w14:textId="77777777" w:rsidR="005C285E" w:rsidRPr="004737E9" w:rsidRDefault="004737E9" w:rsidP="006147AC">
            <w:pPr>
              <w:pStyle w:val="Normalgrey"/>
            </w:pPr>
            <w:r>
              <w:rPr>
                <w:b/>
              </w:rPr>
              <w:t xml:space="preserve">Grantor – </w:t>
            </w:r>
            <w:r>
              <w:t>The entity that grants the right to access the service concession asset to the operator.</w:t>
            </w:r>
          </w:p>
        </w:tc>
      </w:tr>
      <w:tr w:rsidR="006147AC" w:rsidRPr="005828FE" w14:paraId="3A733F51" w14:textId="77777777" w:rsidTr="005C285E">
        <w:tc>
          <w:tcPr>
            <w:tcW w:w="2293" w:type="dxa"/>
          </w:tcPr>
          <w:p w14:paraId="028D2566" w14:textId="77777777" w:rsidR="006147AC" w:rsidRPr="005828FE" w:rsidRDefault="006147AC" w:rsidP="00FA7820">
            <w:pPr>
              <w:pStyle w:val="Normalgrey"/>
            </w:pPr>
          </w:p>
        </w:tc>
        <w:tc>
          <w:tcPr>
            <w:tcW w:w="270" w:type="dxa"/>
          </w:tcPr>
          <w:p w14:paraId="7BE06A74" w14:textId="77777777" w:rsidR="006147AC" w:rsidRPr="005828FE" w:rsidRDefault="006147AC" w:rsidP="00FA7820">
            <w:pPr>
              <w:pStyle w:val="Normalgrey"/>
            </w:pPr>
          </w:p>
        </w:tc>
        <w:tc>
          <w:tcPr>
            <w:tcW w:w="540" w:type="dxa"/>
          </w:tcPr>
          <w:p w14:paraId="6B60F161" w14:textId="77777777" w:rsidR="006147AC" w:rsidRDefault="006147AC" w:rsidP="00FA7820">
            <w:pPr>
              <w:pStyle w:val="Normalgrey"/>
            </w:pPr>
            <w:r>
              <w:t>5.2</w:t>
            </w:r>
          </w:p>
        </w:tc>
        <w:tc>
          <w:tcPr>
            <w:tcW w:w="6134" w:type="dxa"/>
            <w:shd w:val="clear" w:color="auto" w:fill="auto"/>
          </w:tcPr>
          <w:p w14:paraId="01191625" w14:textId="0194B33B" w:rsidR="006147AC" w:rsidRPr="004737E9" w:rsidRDefault="004737E9" w:rsidP="00FA7820">
            <w:pPr>
              <w:pStyle w:val="Normalgrey"/>
            </w:pPr>
            <w:r>
              <w:rPr>
                <w:b/>
              </w:rPr>
              <w:t xml:space="preserve">Operator </w:t>
            </w:r>
            <w:r>
              <w:t>– The entity that has the right of access to the service concession asset to provide public services.</w:t>
            </w:r>
            <w:r w:rsidR="00071553">
              <w:t xml:space="preserve"> The operator can be a public or private entity.</w:t>
            </w:r>
          </w:p>
        </w:tc>
      </w:tr>
      <w:tr w:rsidR="006147AC" w:rsidRPr="005828FE" w14:paraId="3A6D7331" w14:textId="77777777" w:rsidTr="005C285E">
        <w:tc>
          <w:tcPr>
            <w:tcW w:w="2293" w:type="dxa"/>
          </w:tcPr>
          <w:p w14:paraId="7250D0E7" w14:textId="77777777" w:rsidR="006147AC" w:rsidRPr="005828FE" w:rsidRDefault="006147AC" w:rsidP="00FA7820">
            <w:pPr>
              <w:pStyle w:val="Normalgrey"/>
            </w:pPr>
          </w:p>
        </w:tc>
        <w:tc>
          <w:tcPr>
            <w:tcW w:w="270" w:type="dxa"/>
          </w:tcPr>
          <w:p w14:paraId="216B285A" w14:textId="77777777" w:rsidR="006147AC" w:rsidRPr="005828FE" w:rsidRDefault="006147AC" w:rsidP="00FA7820">
            <w:pPr>
              <w:pStyle w:val="Normalgrey"/>
            </w:pPr>
          </w:p>
        </w:tc>
        <w:tc>
          <w:tcPr>
            <w:tcW w:w="540" w:type="dxa"/>
          </w:tcPr>
          <w:p w14:paraId="26F7D70B" w14:textId="77777777" w:rsidR="006147AC" w:rsidRDefault="006147AC" w:rsidP="00FA7820">
            <w:pPr>
              <w:pStyle w:val="Normalgrey"/>
            </w:pPr>
            <w:r>
              <w:t>5.3</w:t>
            </w:r>
          </w:p>
        </w:tc>
        <w:tc>
          <w:tcPr>
            <w:tcW w:w="6134" w:type="dxa"/>
            <w:shd w:val="clear" w:color="auto" w:fill="auto"/>
          </w:tcPr>
          <w:p w14:paraId="0D018C61" w14:textId="77777777" w:rsidR="006147AC" w:rsidRDefault="006147AC" w:rsidP="006147AC">
            <w:pPr>
              <w:pStyle w:val="Normalgrey"/>
            </w:pPr>
            <w:r>
              <w:rPr>
                <w:b/>
              </w:rPr>
              <w:t>Service concession arrangement –</w:t>
            </w:r>
            <w:r w:rsidRPr="00C20E72">
              <w:t xml:space="preserve"> </w:t>
            </w:r>
            <w:r>
              <w:t>A contract effective during the reporting period between a grantor and an operator in which:</w:t>
            </w:r>
          </w:p>
          <w:p w14:paraId="0F730E61" w14:textId="77777777" w:rsidR="006147AC" w:rsidRDefault="006147AC" w:rsidP="00123783">
            <w:pPr>
              <w:pStyle w:val="Listnumgrey"/>
            </w:pPr>
            <w:r>
              <w:t xml:space="preserve">The operator has the right of access to the service concession asset (or assets) to provide public services on behalf of the grantor for a specified </w:t>
            </w:r>
            <w:proofErr w:type="gramStart"/>
            <w:r>
              <w:t>period of time</w:t>
            </w:r>
            <w:proofErr w:type="gramEnd"/>
            <w:r>
              <w:t>;</w:t>
            </w:r>
          </w:p>
          <w:p w14:paraId="4BFB4800" w14:textId="77777777" w:rsidR="006147AC" w:rsidRDefault="006147AC" w:rsidP="00123783">
            <w:pPr>
              <w:pStyle w:val="Listnumgrey"/>
            </w:pPr>
            <w:r>
              <w:t>The operator is responsible for at least some of the management of the public services provided through the asset and does not act merely as an agent on behalf of the grantor; and</w:t>
            </w:r>
          </w:p>
          <w:p w14:paraId="0205FAA6" w14:textId="77777777" w:rsidR="006147AC" w:rsidRDefault="006147AC" w:rsidP="00123783">
            <w:pPr>
              <w:pStyle w:val="Listnumgrey"/>
              <w:rPr>
                <w:b/>
              </w:rPr>
            </w:pPr>
            <w:r>
              <w:t>The operator is compensated for its services over the period of the service concession arrangement.</w:t>
            </w:r>
          </w:p>
        </w:tc>
      </w:tr>
      <w:tr w:rsidR="004737E9" w:rsidRPr="005828FE" w14:paraId="288304BB" w14:textId="77777777" w:rsidTr="005C285E">
        <w:tc>
          <w:tcPr>
            <w:tcW w:w="2293" w:type="dxa"/>
          </w:tcPr>
          <w:p w14:paraId="13E9042F" w14:textId="77777777" w:rsidR="004737E9" w:rsidRPr="005828FE" w:rsidRDefault="004737E9" w:rsidP="004737E9">
            <w:pPr>
              <w:pStyle w:val="Normalgrey"/>
            </w:pPr>
          </w:p>
        </w:tc>
        <w:tc>
          <w:tcPr>
            <w:tcW w:w="270" w:type="dxa"/>
          </w:tcPr>
          <w:p w14:paraId="6D524056" w14:textId="77777777" w:rsidR="004737E9" w:rsidRPr="005828FE" w:rsidRDefault="004737E9" w:rsidP="004737E9">
            <w:pPr>
              <w:pStyle w:val="Normalgrey"/>
            </w:pPr>
          </w:p>
        </w:tc>
        <w:tc>
          <w:tcPr>
            <w:tcW w:w="540" w:type="dxa"/>
          </w:tcPr>
          <w:p w14:paraId="077B051A" w14:textId="77777777" w:rsidR="004737E9" w:rsidRDefault="004737E9" w:rsidP="004737E9">
            <w:pPr>
              <w:pStyle w:val="Normalgrey"/>
            </w:pPr>
            <w:r>
              <w:t>5.4</w:t>
            </w:r>
          </w:p>
        </w:tc>
        <w:tc>
          <w:tcPr>
            <w:tcW w:w="6134" w:type="dxa"/>
            <w:shd w:val="clear" w:color="auto" w:fill="auto"/>
          </w:tcPr>
          <w:p w14:paraId="157F729E" w14:textId="77777777" w:rsidR="004737E9" w:rsidRDefault="004737E9" w:rsidP="004737E9">
            <w:pPr>
              <w:pStyle w:val="Normalgrey"/>
            </w:pPr>
            <w:r>
              <w:rPr>
                <w:b/>
              </w:rPr>
              <w:t>Service concession asset –</w:t>
            </w:r>
            <w:r w:rsidRPr="00C20E72">
              <w:t xml:space="preserve"> </w:t>
            </w:r>
            <w:r>
              <w:t>An asset (other than goodwill) to which the operator has the right of access to provide public services on behalf of the grantor in a service concession arrangement that:</w:t>
            </w:r>
          </w:p>
          <w:p w14:paraId="555CC567" w14:textId="77777777" w:rsidR="004737E9" w:rsidRDefault="004737E9" w:rsidP="00123783">
            <w:pPr>
              <w:pStyle w:val="Listnumgrey"/>
              <w:numPr>
                <w:ilvl w:val="2"/>
                <w:numId w:val="43"/>
              </w:numPr>
            </w:pPr>
            <w:r>
              <w:t xml:space="preserve">The operator constructs, develops, </w:t>
            </w:r>
            <w:proofErr w:type="gramStart"/>
            <w:r>
              <w:t>upgrades</w:t>
            </w:r>
            <w:proofErr w:type="gramEnd"/>
            <w:r>
              <w:t xml:space="preserve"> or replaces major components, or acquires from a third party or is an existing asset of the operator; or</w:t>
            </w:r>
          </w:p>
          <w:p w14:paraId="630DEE7C" w14:textId="09AB5665" w:rsidR="004737E9" w:rsidRPr="00123783" w:rsidRDefault="004737E9" w:rsidP="00123783">
            <w:pPr>
              <w:pStyle w:val="Listnumgrey"/>
              <w:numPr>
                <w:ilvl w:val="2"/>
                <w:numId w:val="43"/>
              </w:numPr>
              <w:rPr>
                <w:b/>
              </w:rPr>
            </w:pPr>
            <w:r>
              <w:t>Is an existing asset of the grantor, including a previously unrecognised identifiable intangible asset and land under roads, or</w:t>
            </w:r>
            <w:r w:rsidR="00123783">
              <w:t> </w:t>
            </w:r>
            <w:r>
              <w:t>an upgrade or replacement of a major component of an existing asset of the grantor.</w:t>
            </w:r>
          </w:p>
        </w:tc>
      </w:tr>
      <w:tr w:rsidR="004737E9" w:rsidRPr="005828FE" w14:paraId="7AD51558" w14:textId="77777777" w:rsidTr="005C285E">
        <w:trPr>
          <w:trHeight w:val="799"/>
        </w:trPr>
        <w:tc>
          <w:tcPr>
            <w:tcW w:w="2293" w:type="dxa"/>
          </w:tcPr>
          <w:p w14:paraId="4559532C" w14:textId="77777777" w:rsidR="004737E9" w:rsidRPr="005828FE" w:rsidRDefault="004737E9" w:rsidP="004737E9">
            <w:pPr>
              <w:pStyle w:val="Normalgrey"/>
            </w:pPr>
            <w:r w:rsidRPr="005828FE">
              <w:t>Guidance</w:t>
            </w:r>
          </w:p>
        </w:tc>
        <w:tc>
          <w:tcPr>
            <w:tcW w:w="270" w:type="dxa"/>
          </w:tcPr>
          <w:p w14:paraId="0ED8A5A4" w14:textId="77777777" w:rsidR="004737E9" w:rsidRPr="005828FE" w:rsidRDefault="004737E9" w:rsidP="004737E9">
            <w:pPr>
              <w:pStyle w:val="Normalgrey"/>
            </w:pPr>
          </w:p>
        </w:tc>
        <w:tc>
          <w:tcPr>
            <w:tcW w:w="540" w:type="dxa"/>
          </w:tcPr>
          <w:p w14:paraId="28573236" w14:textId="77777777" w:rsidR="004737E9" w:rsidRPr="005828FE" w:rsidRDefault="004737E9" w:rsidP="004737E9">
            <w:pPr>
              <w:pStyle w:val="Normalgrey"/>
            </w:pPr>
            <w:r>
              <w:t>6.1</w:t>
            </w:r>
          </w:p>
        </w:tc>
        <w:tc>
          <w:tcPr>
            <w:tcW w:w="6134" w:type="dxa"/>
            <w:shd w:val="clear" w:color="auto" w:fill="auto"/>
          </w:tcPr>
          <w:p w14:paraId="3E1AFCBA" w14:textId="0CD0BFFE" w:rsidR="00291A94" w:rsidRDefault="00291A94" w:rsidP="00123783">
            <w:pPr>
              <w:pStyle w:val="Normalgrey"/>
            </w:pPr>
            <w:r>
              <w:t xml:space="preserve">Entities should assess existing arrangements to determine whether they are within or outside the scope of AASB 1059. This includes existing PPP and other long-term arrangements. </w:t>
            </w:r>
          </w:p>
          <w:p w14:paraId="65AFA264" w14:textId="761549CD" w:rsidR="0044517B" w:rsidRDefault="0044517B" w:rsidP="00123783">
            <w:pPr>
              <w:pStyle w:val="Normalgrey"/>
            </w:pPr>
            <w:r>
              <w:t>Supporting information and checklists have been published on the DTF website:</w:t>
            </w:r>
          </w:p>
          <w:p w14:paraId="1DF5D40F" w14:textId="28689B25" w:rsidR="004737E9" w:rsidRPr="00E20142" w:rsidRDefault="00E50B49" w:rsidP="00123783">
            <w:pPr>
              <w:pStyle w:val="Normalgrey"/>
            </w:pPr>
            <w:hyperlink r:id="rId9" w:history="1">
              <w:r w:rsidR="00123783" w:rsidRPr="00123783">
                <w:rPr>
                  <w:rStyle w:val="Hyperlink"/>
                </w:rPr>
                <w:t>www.dtf.vic.gov.au/financial-reporting-policy/accounting-standards-checklists</w:t>
              </w:r>
            </w:hyperlink>
          </w:p>
        </w:tc>
      </w:tr>
      <w:tr w:rsidR="004737E9" w:rsidRPr="005828FE" w14:paraId="0B4C53F9" w14:textId="77777777" w:rsidTr="00D60F91">
        <w:tc>
          <w:tcPr>
            <w:tcW w:w="2293" w:type="dxa"/>
          </w:tcPr>
          <w:p w14:paraId="5BA0BF43" w14:textId="77777777" w:rsidR="004737E9" w:rsidRPr="005828FE" w:rsidRDefault="004737E9" w:rsidP="004737E9">
            <w:pPr>
              <w:pStyle w:val="Normalgrey"/>
            </w:pPr>
          </w:p>
        </w:tc>
        <w:tc>
          <w:tcPr>
            <w:tcW w:w="270" w:type="dxa"/>
          </w:tcPr>
          <w:p w14:paraId="40D65591" w14:textId="77777777" w:rsidR="004737E9" w:rsidRPr="005828FE" w:rsidRDefault="004737E9" w:rsidP="004737E9">
            <w:pPr>
              <w:pStyle w:val="Normalgrey"/>
            </w:pPr>
          </w:p>
        </w:tc>
        <w:tc>
          <w:tcPr>
            <w:tcW w:w="540" w:type="dxa"/>
          </w:tcPr>
          <w:p w14:paraId="799D688D" w14:textId="77777777" w:rsidR="004737E9" w:rsidRDefault="004737E9" w:rsidP="004737E9">
            <w:pPr>
              <w:pStyle w:val="Normalgrey"/>
            </w:pPr>
            <w:r>
              <w:t>6.2</w:t>
            </w:r>
          </w:p>
        </w:tc>
        <w:tc>
          <w:tcPr>
            <w:tcW w:w="6134" w:type="dxa"/>
          </w:tcPr>
          <w:p w14:paraId="26C0D100" w14:textId="77777777" w:rsidR="004737E9" w:rsidRDefault="004737E9" w:rsidP="004737E9">
            <w:pPr>
              <w:pStyle w:val="Normalgrey"/>
            </w:pPr>
            <w:r>
              <w:t>An example of the disclosures is illustrated in the Model Report for Victorian Government Departments for the relevant reporting period and is available on the DTF website:</w:t>
            </w:r>
          </w:p>
          <w:p w14:paraId="4E1EB681" w14:textId="3CE576E6" w:rsidR="004737E9" w:rsidRPr="00950D8F" w:rsidRDefault="00E50B49" w:rsidP="004737E9">
            <w:pPr>
              <w:pStyle w:val="Normalgrey"/>
            </w:pPr>
            <w:hyperlink r:id="rId10" w:history="1">
              <w:r w:rsidR="00123783">
                <w:rPr>
                  <w:rStyle w:val="Hyperlink"/>
                </w:rPr>
                <w:t>www.dtf.vic.gov.au/Publications/Government-Financial-Management-publications/Financial-Reporting-Policy/Model-Report</w:t>
              </w:r>
            </w:hyperlink>
          </w:p>
        </w:tc>
      </w:tr>
      <w:tr w:rsidR="004737E9" w:rsidRPr="005828FE" w14:paraId="206A8192" w14:textId="77777777" w:rsidTr="00D60F91">
        <w:tc>
          <w:tcPr>
            <w:tcW w:w="2293" w:type="dxa"/>
          </w:tcPr>
          <w:p w14:paraId="0A3E3A85" w14:textId="77777777" w:rsidR="004737E9" w:rsidRPr="005828FE" w:rsidRDefault="004737E9" w:rsidP="004737E9">
            <w:pPr>
              <w:pStyle w:val="Normalgrey"/>
            </w:pPr>
            <w:r w:rsidRPr="005828FE">
              <w:t>Relevant pronouncements</w:t>
            </w:r>
          </w:p>
        </w:tc>
        <w:tc>
          <w:tcPr>
            <w:tcW w:w="270" w:type="dxa"/>
          </w:tcPr>
          <w:p w14:paraId="1057C999" w14:textId="77777777" w:rsidR="004737E9" w:rsidRPr="005828FE" w:rsidRDefault="004737E9" w:rsidP="004737E9">
            <w:pPr>
              <w:pStyle w:val="Normalgrey"/>
            </w:pPr>
          </w:p>
        </w:tc>
        <w:tc>
          <w:tcPr>
            <w:tcW w:w="540" w:type="dxa"/>
          </w:tcPr>
          <w:p w14:paraId="12DDBECA" w14:textId="77777777" w:rsidR="004737E9" w:rsidRPr="005828FE" w:rsidRDefault="004737E9" w:rsidP="004737E9">
            <w:pPr>
              <w:pStyle w:val="Normalgrey"/>
            </w:pPr>
            <w:r>
              <w:t>7.1</w:t>
            </w:r>
          </w:p>
        </w:tc>
        <w:tc>
          <w:tcPr>
            <w:tcW w:w="6134" w:type="dxa"/>
          </w:tcPr>
          <w:p w14:paraId="5FECF471" w14:textId="77777777" w:rsidR="004737E9" w:rsidRPr="005828FE" w:rsidRDefault="004737E9" w:rsidP="00123783">
            <w:r w:rsidRPr="001302DE">
              <w:t xml:space="preserve">AASB </w:t>
            </w:r>
            <w:r>
              <w:t>1059</w:t>
            </w:r>
            <w:r w:rsidRPr="001302DE">
              <w:t xml:space="preserve"> </w:t>
            </w:r>
            <w:r>
              <w:t>Servi</w:t>
            </w:r>
            <w:r w:rsidRPr="00123783">
              <w:rPr>
                <w:i/>
                <w:iCs/>
              </w:rPr>
              <w:t>ce Concession Arrangements: Grantors</w:t>
            </w:r>
          </w:p>
        </w:tc>
      </w:tr>
      <w:tr w:rsidR="004737E9" w:rsidRPr="005828FE" w14:paraId="3D31A6B4" w14:textId="77777777" w:rsidTr="00D60F91">
        <w:tc>
          <w:tcPr>
            <w:tcW w:w="2293" w:type="dxa"/>
          </w:tcPr>
          <w:p w14:paraId="30F994CF" w14:textId="77777777" w:rsidR="004737E9" w:rsidRPr="005828FE" w:rsidRDefault="004737E9" w:rsidP="004737E9">
            <w:pPr>
              <w:pStyle w:val="Normalgrey"/>
            </w:pPr>
            <w:r w:rsidRPr="005828FE">
              <w:t>Background</w:t>
            </w:r>
          </w:p>
        </w:tc>
        <w:tc>
          <w:tcPr>
            <w:tcW w:w="270" w:type="dxa"/>
          </w:tcPr>
          <w:p w14:paraId="71CE89B6" w14:textId="77777777" w:rsidR="004737E9" w:rsidRPr="005828FE" w:rsidRDefault="004737E9" w:rsidP="004737E9">
            <w:pPr>
              <w:pStyle w:val="Normalgrey"/>
            </w:pPr>
          </w:p>
        </w:tc>
        <w:tc>
          <w:tcPr>
            <w:tcW w:w="540" w:type="dxa"/>
          </w:tcPr>
          <w:p w14:paraId="1B85F405" w14:textId="77777777" w:rsidR="004737E9" w:rsidRPr="005828FE" w:rsidRDefault="004737E9" w:rsidP="004737E9">
            <w:pPr>
              <w:pStyle w:val="Normalgrey"/>
            </w:pPr>
            <w:r>
              <w:t>8.1</w:t>
            </w:r>
          </w:p>
        </w:tc>
        <w:tc>
          <w:tcPr>
            <w:tcW w:w="6134" w:type="dxa"/>
          </w:tcPr>
          <w:p w14:paraId="7CEF22AE" w14:textId="38639CED" w:rsidR="000D5F09" w:rsidRDefault="000D5F09" w:rsidP="00123783">
            <w:pPr>
              <w:pStyle w:val="Normalgrey"/>
            </w:pPr>
            <w:r>
              <w:t>The Australian Accounting Standards Board (AASB) published AASB 1059 to fill a p</w:t>
            </w:r>
            <w:r w:rsidR="005F05B2">
              <w:t xml:space="preserve">erceived void in the Australian financial reporting framework, </w:t>
            </w:r>
            <w:proofErr w:type="gramStart"/>
            <w:r w:rsidR="005F05B2">
              <w:t>in particular as</w:t>
            </w:r>
            <w:proofErr w:type="gramEnd"/>
            <w:r w:rsidR="005F05B2">
              <w:t xml:space="preserve"> it relates to public private partnerships from the Grantor’s perspective. This standard applies only to the public sector and aligns broadly to private sector accounting requirements as included in Interpretation 12 </w:t>
            </w:r>
            <w:r w:rsidR="005F05B2" w:rsidRPr="005F05B2">
              <w:rPr>
                <w:i/>
              </w:rPr>
              <w:t>Service Concession Arrangements</w:t>
            </w:r>
            <w:r w:rsidR="004C4720">
              <w:t>, although there are differences, as highlighted in the basis of conclusions of the standard</w:t>
            </w:r>
            <w:r w:rsidR="004C4720">
              <w:rPr>
                <w:rStyle w:val="FootnoteReference"/>
              </w:rPr>
              <w:footnoteReference w:id="5"/>
            </w:r>
          </w:p>
          <w:p w14:paraId="4384154B" w14:textId="5981E17D" w:rsidR="00293A83" w:rsidRPr="005828FE" w:rsidRDefault="000D5F09" w:rsidP="00123783">
            <w:pPr>
              <w:pStyle w:val="Normalgrey"/>
            </w:pPr>
            <w:r>
              <w:t xml:space="preserve">This FRD issued in </w:t>
            </w:r>
            <w:r w:rsidR="00782FF5">
              <w:t>March 2020</w:t>
            </w:r>
            <w:r>
              <w:t xml:space="preserve">, mandates the transitional requirements of AASB 1059 on initial application. </w:t>
            </w:r>
            <w:r w:rsidR="00293A83">
              <w:t>The FRD was updated in June 2020 to clarify that intangible assets that are recognised under AASB 1059 must be measured using the revaluation model after initial recognition.</w:t>
            </w:r>
          </w:p>
        </w:tc>
      </w:tr>
    </w:tbl>
    <w:p w14:paraId="34D513AB" w14:textId="77777777" w:rsidR="008C63EE" w:rsidRDefault="008C63EE" w:rsidP="00FE782F"/>
    <w:sectPr w:rsidR="008C63EE" w:rsidSect="005828FE">
      <w:headerReference w:type="default" r:id="rId11"/>
      <w:footerReference w:type="even" r:id="rId12"/>
      <w:footerReference w:type="default" r:id="rId13"/>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A662B" w14:textId="77777777" w:rsidR="00E50B49" w:rsidRDefault="00E50B49" w:rsidP="002D711A">
      <w:pPr>
        <w:spacing w:after="0" w:line="240" w:lineRule="auto"/>
      </w:pPr>
      <w:r>
        <w:separator/>
      </w:r>
    </w:p>
    <w:p w14:paraId="523E6C1E" w14:textId="77777777" w:rsidR="00E50B49" w:rsidRDefault="00E50B49"/>
  </w:endnote>
  <w:endnote w:type="continuationSeparator" w:id="0">
    <w:p w14:paraId="405BE74C" w14:textId="77777777" w:rsidR="00E50B49" w:rsidRDefault="00E50B49" w:rsidP="002D711A">
      <w:pPr>
        <w:spacing w:after="0" w:line="240" w:lineRule="auto"/>
      </w:pPr>
      <w:r>
        <w:continuationSeparator/>
      </w:r>
    </w:p>
    <w:p w14:paraId="20C52D65" w14:textId="77777777" w:rsidR="00E50B49" w:rsidRDefault="00E50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88E64" w14:textId="77777777" w:rsidR="00743F37" w:rsidRPr="00014213" w:rsidRDefault="00743F37" w:rsidP="00C022F9">
    <w:pPr>
      <w:pStyle w:val="Footer"/>
    </w:pPr>
    <w:r>
      <w:drawing>
        <wp:anchor distT="0" distB="0" distL="114300" distR="114300" simplePos="0" relativeHeight="251667456" behindDoc="0" locked="0" layoutInCell="1" allowOverlap="1" wp14:anchorId="723D3F35" wp14:editId="32AED7E7">
          <wp:simplePos x="0" y="0"/>
          <wp:positionH relativeFrom="column">
            <wp:posOffset>4240861</wp:posOffset>
          </wp:positionH>
          <wp:positionV relativeFrom="page">
            <wp:posOffset>9493250</wp:posOffset>
          </wp:positionV>
          <wp:extent cx="1956435" cy="582930"/>
          <wp:effectExtent l="0" t="0" r="5715" b="7620"/>
          <wp:wrapNone/>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AAB81F9" w14:textId="77777777" w:rsidR="00743F37" w:rsidRDefault="00743F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D578F" w14:textId="77777777" w:rsidR="00743F37" w:rsidRDefault="00743F37" w:rsidP="00A516DE">
    <w:pPr>
      <w:pStyle w:val="Spacer"/>
    </w:pPr>
    <w:r>
      <w:rPr>
        <w:noProof/>
      </w:rPr>
      <mc:AlternateContent>
        <mc:Choice Requires="wps">
          <w:drawing>
            <wp:anchor distT="0" distB="0" distL="114300" distR="114300" simplePos="0" relativeHeight="251669504" behindDoc="0" locked="0" layoutInCell="0" allowOverlap="1" wp14:anchorId="789D984C" wp14:editId="5FEEA6C9">
              <wp:simplePos x="0" y="0"/>
              <wp:positionH relativeFrom="page">
                <wp:posOffset>0</wp:posOffset>
              </wp:positionH>
              <wp:positionV relativeFrom="page">
                <wp:posOffset>10234930</wp:posOffset>
              </wp:positionV>
              <wp:extent cx="7560310" cy="266700"/>
              <wp:effectExtent l="0" t="0" r="0" b="0"/>
              <wp:wrapNone/>
              <wp:docPr id="1" name="MSIPCMcd7148ff9a759ccd8411b218"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D889E" w14:textId="39BBD4CB" w:rsidR="00743F37" w:rsidRPr="001A1D7F" w:rsidRDefault="00743F37" w:rsidP="001A1D7F">
                          <w:pPr>
                            <w:spacing w:before="0" w:after="0"/>
                            <w:rPr>
                              <w:rFonts w:ascii="Calibri" w:hAnsi="Calibri" w:cs="Calibri"/>
                              <w:color w:val="000000"/>
                              <w:sz w:val="22"/>
                            </w:rPr>
                          </w:pPr>
                          <w:r w:rsidRPr="001A1D7F">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89D984C" id="_x0000_t202" coordsize="21600,21600" o:spt="202" path="m,l,21600r21600,l21600,xe">
              <v:stroke joinstyle="miter"/>
              <v:path gradientshapeok="t" o:connecttype="rect"/>
            </v:shapetype>
            <v:shape id="MSIPCMcd7148ff9a759ccd8411b218"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wtmZbbMCAABPBQAA&#10;DgAAAAAAAAAAAAAAAAAuAgAAZHJzL2Uyb0RvYy54bWxQSwECLQAUAAYACAAAACEAYBHGJt4AAAAL&#10;AQAADwAAAAAAAAAAAAAAAAANBQAAZHJzL2Rvd25yZXYueG1sUEsFBgAAAAAEAAQA8wAAABgGAAAA&#10;AA==&#10;" o:allowincell="f" filled="f" stroked="f" strokeweight=".5pt">
              <v:textbox inset="20pt,0,,0">
                <w:txbxContent>
                  <w:p w14:paraId="653D889E" w14:textId="39BBD4CB" w:rsidR="00743F37" w:rsidRPr="001A1D7F" w:rsidRDefault="00743F37" w:rsidP="001A1D7F">
                    <w:pPr>
                      <w:spacing w:before="0" w:after="0"/>
                      <w:rPr>
                        <w:rFonts w:ascii="Calibri" w:hAnsi="Calibri" w:cs="Calibri"/>
                        <w:color w:val="000000"/>
                        <w:sz w:val="22"/>
                      </w:rPr>
                    </w:pPr>
                    <w:r w:rsidRPr="001A1D7F">
                      <w:rPr>
                        <w:rFonts w:ascii="Calibri" w:hAnsi="Calibri" w:cs="Calibri"/>
                        <w:color w:val="000000"/>
                        <w:sz w:val="22"/>
                      </w:rPr>
                      <w:t>OFFICIAL</w:t>
                    </w:r>
                  </w:p>
                </w:txbxContent>
              </v:textbox>
              <w10:wrap anchorx="page" anchory="page"/>
            </v:shape>
          </w:pict>
        </mc:Fallback>
      </mc:AlternateContent>
    </w:r>
  </w:p>
  <w:p w14:paraId="2FC4EF3A" w14:textId="2201DC3D" w:rsidR="00743F37" w:rsidRPr="005828FE" w:rsidRDefault="00743F37"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2244C2">
      <w:rPr>
        <w:b/>
      </w:rPr>
      <w:t>FRD 124</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2244C2">
      <w:t>Transitional requirements on the application of AASB 1059 Service Concession Arrangements: Grantors (June 2020)</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F657" w14:textId="77777777" w:rsidR="00E50B49" w:rsidRDefault="00E50B49" w:rsidP="00123783">
      <w:pPr>
        <w:spacing w:after="0" w:line="240" w:lineRule="auto"/>
      </w:pPr>
      <w:r>
        <w:separator/>
      </w:r>
    </w:p>
  </w:footnote>
  <w:footnote w:type="continuationSeparator" w:id="0">
    <w:p w14:paraId="31413C96" w14:textId="77777777" w:rsidR="00E50B49" w:rsidRDefault="00E50B49" w:rsidP="002D711A">
      <w:pPr>
        <w:spacing w:after="0" w:line="240" w:lineRule="auto"/>
      </w:pPr>
      <w:r>
        <w:continuationSeparator/>
      </w:r>
    </w:p>
    <w:p w14:paraId="2EBE170B" w14:textId="77777777" w:rsidR="00E50B49" w:rsidRDefault="00E50B49"/>
  </w:footnote>
  <w:footnote w:id="1">
    <w:p w14:paraId="07FE9D1B" w14:textId="77777777" w:rsidR="00743F37" w:rsidRDefault="00743F37">
      <w:pPr>
        <w:pStyle w:val="FootnoteText"/>
      </w:pPr>
      <w:r>
        <w:rPr>
          <w:rStyle w:val="FootnoteReference"/>
        </w:rPr>
        <w:footnoteRef/>
      </w:r>
      <w:r>
        <w:t xml:space="preserve"> AASB 1059 is applicable for reporting periods commencing on or after 1 January 2020, however the State of Victoria elected to adopt this new accounting standard one year earlier. The application of AASB 1059 and this FRD is therefore for periods beginning on or after </w:t>
      </w:r>
      <w:r w:rsidRPr="001452F0">
        <w:t>1 January 2019.</w:t>
      </w:r>
      <w:r>
        <w:t xml:space="preserve"> </w:t>
      </w:r>
    </w:p>
  </w:footnote>
  <w:footnote w:id="2">
    <w:p w14:paraId="4DDDD865" w14:textId="09A2D8C4" w:rsidR="00743F37" w:rsidRDefault="00743F37">
      <w:pPr>
        <w:pStyle w:val="FootnoteText"/>
      </w:pPr>
      <w:r>
        <w:rPr>
          <w:rStyle w:val="FootnoteReference"/>
        </w:rPr>
        <w:footnoteRef/>
      </w:r>
      <w:r>
        <w:t xml:space="preserve"> The date of initial application is 1 July 2018 (For 30 June year-end reporters) and 1 January 2018 </w:t>
      </w:r>
      <w:r w:rsidR="00123783">
        <w:br/>
      </w:r>
      <w:r>
        <w:t>(</w:t>
      </w:r>
      <w:r w:rsidR="00123783">
        <w:t>f</w:t>
      </w:r>
      <w:r>
        <w:t>or 31</w:t>
      </w:r>
      <w:r w:rsidR="00123783">
        <w:t> </w:t>
      </w:r>
      <w:r>
        <w:t>December year-end reporters).</w:t>
      </w:r>
    </w:p>
  </w:footnote>
  <w:footnote w:id="3">
    <w:p w14:paraId="6B2312D2" w14:textId="7A161E30" w:rsidR="00743F37" w:rsidRDefault="00743F37">
      <w:pPr>
        <w:pStyle w:val="FootnoteText"/>
      </w:pPr>
      <w:r>
        <w:rPr>
          <w:rStyle w:val="FootnoteReference"/>
        </w:rPr>
        <w:footnoteRef/>
      </w:r>
      <w:r>
        <w:t xml:space="preserve"> FRD 103H 4.2 requires the revaluation model</w:t>
      </w:r>
      <w:r w:rsidR="00320A4D">
        <w:t xml:space="preserve"> to</w:t>
      </w:r>
      <w:r>
        <w:t xml:space="preserve"> be used unless an entity has received the prior written approval of the Minister for Finance to measure at cost.  </w:t>
      </w:r>
    </w:p>
  </w:footnote>
  <w:footnote w:id="4">
    <w:p w14:paraId="02F2A6E8" w14:textId="6ED9CCC1" w:rsidR="002E6A5E" w:rsidRDefault="002E6A5E">
      <w:pPr>
        <w:pStyle w:val="FootnoteText"/>
      </w:pPr>
      <w:r>
        <w:rPr>
          <w:rStyle w:val="FootnoteReference"/>
        </w:rPr>
        <w:footnoteRef/>
      </w:r>
      <w:r>
        <w:t xml:space="preserve"> Should the application of AASB 1059 result in an </w:t>
      </w:r>
      <w:r w:rsidR="00EB5CF5">
        <w:t xml:space="preserve">intangible </w:t>
      </w:r>
      <w:r>
        <w:t>asset being recognised that previously did not meet the recognition criteria of AASB 13</w:t>
      </w:r>
      <w:r w:rsidR="00EB5CF5">
        <w:t>8</w:t>
      </w:r>
      <w:r>
        <w:t>, the</w:t>
      </w:r>
      <w:r w:rsidR="00D14C7B">
        <w:t xml:space="preserve"> </w:t>
      </w:r>
      <w:r w:rsidR="00EB5CF5">
        <w:t xml:space="preserve">intangible </w:t>
      </w:r>
      <w:r w:rsidR="00D14C7B">
        <w:t>asset will be recognised at current replacement cost</w:t>
      </w:r>
      <w:r w:rsidR="00EB5CF5">
        <w:t xml:space="preserve"> upon application of AASB 1059</w:t>
      </w:r>
      <w:r w:rsidR="00D14C7B">
        <w:t xml:space="preserve"> and the</w:t>
      </w:r>
      <w:r>
        <w:t xml:space="preserve"> adjustment </w:t>
      </w:r>
      <w:r w:rsidR="00D14C7B">
        <w:t>i</w:t>
      </w:r>
      <w:r>
        <w:t>ncluded in accumulated surplus</w:t>
      </w:r>
      <w:r w:rsidR="00D14C7B">
        <w:t>. The asset will be subsequently measured</w:t>
      </w:r>
      <w:r w:rsidR="00A87EE9">
        <w:t xml:space="preserve"> applying the revaluation model. </w:t>
      </w:r>
    </w:p>
  </w:footnote>
  <w:footnote w:id="5">
    <w:p w14:paraId="52C36E63" w14:textId="77777777" w:rsidR="00743F37" w:rsidRDefault="00743F37">
      <w:pPr>
        <w:pStyle w:val="FootnoteText"/>
      </w:pPr>
      <w:r>
        <w:rPr>
          <w:rStyle w:val="FootnoteReference"/>
        </w:rPr>
        <w:footnoteRef/>
      </w:r>
      <w:r>
        <w:t xml:space="preserve"> AASB 1059 BC 128-130 </w:t>
      </w:r>
      <w:r w:rsidRPr="00320A4D">
        <w:rPr>
          <w:i/>
        </w:rPr>
        <w:t>Comparison with AASB Interpretation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D7B60" w14:textId="77777777" w:rsidR="00743F37" w:rsidRPr="0041689E" w:rsidRDefault="00743F37" w:rsidP="005828FE">
    <w:pPr>
      <w:pStyle w:val="Header"/>
      <w:tabs>
        <w:tab w:val="clear" w:pos="9026"/>
      </w:tabs>
      <w:ind w:right="-694"/>
      <w:jc w:val="right"/>
    </w:pPr>
    <w:r>
      <w:rPr>
        <w:noProof/>
      </w:rPr>
      <mc:AlternateContent>
        <mc:Choice Requires="wps">
          <w:drawing>
            <wp:anchor distT="0" distB="0" distL="114300" distR="114300" simplePos="0" relativeHeight="251668480" behindDoc="0" locked="0" layoutInCell="0" allowOverlap="1" wp14:anchorId="1E2D7B35" wp14:editId="51DC62DD">
              <wp:simplePos x="0" y="0"/>
              <wp:positionH relativeFrom="page">
                <wp:posOffset>0</wp:posOffset>
              </wp:positionH>
              <wp:positionV relativeFrom="page">
                <wp:posOffset>190500</wp:posOffset>
              </wp:positionV>
              <wp:extent cx="7560310" cy="266700"/>
              <wp:effectExtent l="0" t="0" r="0" b="0"/>
              <wp:wrapNone/>
              <wp:docPr id="2" name="MSIPCMbc954cb49ce2d1ae5a2e7dfc"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42D79" w14:textId="5226E286" w:rsidR="00743F37" w:rsidRPr="008F5662" w:rsidRDefault="00743F37" w:rsidP="008F5662">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2D7B35" id="_x0000_t202" coordsize="21600,21600" o:spt="202" path="m,l,21600r21600,l21600,xe">
              <v:stroke joinstyle="miter"/>
              <v:path gradientshapeok="t" o:connecttype="rect"/>
            </v:shapetype>
            <v:shape id="MSIPCMbc954cb49ce2d1ae5a2e7dfc" o:spid="_x0000_s1026" type="#_x0000_t202" alt="{&quot;HashCode&quot;:1838356193,&quot;Height&quot;:841.0,&quot;Width&quot;:595.0,&quot;Placement&quot;:&quot;Header&quot;,&quot;Index&quot;:&quot;Primary&quot;,&quot;Section&quot;:1,&quot;Top&quot;:0.0,&quot;Left&quot;:0.0}" style="position:absolute;left:0;text-align:left;margin-left:0;margin-top:15pt;width:595.3pt;height:21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" o:allowincell="f" filled="f" stroked="f" strokeweight=".5pt">
              <v:textbox inset=",0,,0">
                <w:txbxContent>
                  <w:p w14:paraId="4B442D79" w14:textId="5226E286" w:rsidR="00743F37" w:rsidRPr="008F5662" w:rsidRDefault="00743F37" w:rsidP="008F5662">
                    <w:pPr>
                      <w:spacing w:before="0" w:after="0"/>
                      <w:jc w:val="center"/>
                      <w:rPr>
                        <w:rFonts w:ascii="Calibri" w:hAnsi="Calibri" w:cs="Calibri"/>
                        <w:color w:val="000000"/>
                        <w:sz w:val="24"/>
                      </w:rPr>
                    </w:pPr>
                  </w:p>
                </w:txbxContent>
              </v:textbox>
              <w10:wrap anchorx="page" anchory="page"/>
            </v:shape>
          </w:pict>
        </mc:Fallback>
      </mc:AlternateContent>
    </w:r>
    <w:r>
      <w:rPr>
        <w:noProof/>
      </w:rPr>
      <w:drawing>
        <wp:inline distT="0" distB="0" distL="0" distR="0" wp14:anchorId="0EC9A47C" wp14:editId="68B7E79C">
          <wp:extent cx="813816" cy="466344"/>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1CB2DB62" w14:textId="77777777" w:rsidR="00743F37" w:rsidRDefault="00743F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F5ACF"/>
    <w:multiLevelType w:val="hybridMultilevel"/>
    <w:tmpl w:val="22822E0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B11E9B"/>
    <w:multiLevelType w:val="hybridMultilevel"/>
    <w:tmpl w:val="6A268DA2"/>
    <w:lvl w:ilvl="0" w:tplc="7AC67B76">
      <w:start w:val="4"/>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03411"/>
    <w:multiLevelType w:val="hybridMultilevel"/>
    <w:tmpl w:val="3AB8F404"/>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3743F3E"/>
    <w:multiLevelType w:val="hybridMultilevel"/>
    <w:tmpl w:val="CD8E4FEC"/>
    <w:lvl w:ilvl="0" w:tplc="12D288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EC1F1A"/>
    <w:multiLevelType w:val="hybridMultilevel"/>
    <w:tmpl w:val="44C6E742"/>
    <w:lvl w:ilvl="0" w:tplc="ED26810C">
      <w:start w:val="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B71635"/>
    <w:multiLevelType w:val="hybridMultilevel"/>
    <w:tmpl w:val="0BF4EF30"/>
    <w:lvl w:ilvl="0" w:tplc="BBFE7BFE">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8"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BA9678F"/>
    <w:multiLevelType w:val="hybridMultilevel"/>
    <w:tmpl w:val="B5C027D2"/>
    <w:lvl w:ilvl="0" w:tplc="913E6DC6">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E61120C"/>
    <w:multiLevelType w:val="hybridMultilevel"/>
    <w:tmpl w:val="BCF8087C"/>
    <w:lvl w:ilvl="0" w:tplc="6A385246">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2A4DDA"/>
    <w:multiLevelType w:val="hybridMultilevel"/>
    <w:tmpl w:val="F33E2088"/>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46F7AB0"/>
    <w:multiLevelType w:val="hybridMultilevel"/>
    <w:tmpl w:val="6766538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599278B"/>
    <w:multiLevelType w:val="hybridMultilevel"/>
    <w:tmpl w:val="BCC46012"/>
    <w:lvl w:ilvl="0" w:tplc="125A5B36">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65179A"/>
    <w:multiLevelType w:val="hybridMultilevel"/>
    <w:tmpl w:val="553E8912"/>
    <w:lvl w:ilvl="0" w:tplc="A6826BB4">
      <w:start w:val="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A5772"/>
    <w:multiLevelType w:val="hybridMultilevel"/>
    <w:tmpl w:val="F91A19CA"/>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100AD9"/>
    <w:multiLevelType w:val="hybridMultilevel"/>
    <w:tmpl w:val="7CA89844"/>
    <w:lvl w:ilvl="0" w:tplc="6728E13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vanish w:val="0"/>
        <w:color w:val="F2F2F2" w:themeColor="background1" w:themeShade="F2"/>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49B2321"/>
    <w:multiLevelType w:val="hybridMultilevel"/>
    <w:tmpl w:val="0178C2C2"/>
    <w:lvl w:ilvl="0" w:tplc="12D2887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634032D"/>
    <w:multiLevelType w:val="hybridMultilevel"/>
    <w:tmpl w:val="9452B2C0"/>
    <w:lvl w:ilvl="0" w:tplc="0EBE0D24">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FD44514"/>
    <w:multiLevelType w:val="multilevel"/>
    <w:tmpl w:val="88603704"/>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b w:val="0"/>
        <w:bCs/>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7"/>
  </w:num>
  <w:num w:numId="2">
    <w:abstractNumId w:val="7"/>
  </w:num>
  <w:num w:numId="3">
    <w:abstractNumId w:val="7"/>
  </w:num>
  <w:num w:numId="4">
    <w:abstractNumId w:val="21"/>
  </w:num>
  <w:num w:numId="5">
    <w:abstractNumId w:val="7"/>
  </w:num>
  <w:num w:numId="6">
    <w:abstractNumId w:val="7"/>
  </w:num>
  <w:num w:numId="7">
    <w:abstractNumId w:val="7"/>
  </w:num>
  <w:num w:numId="8">
    <w:abstractNumId w:val="7"/>
  </w:num>
  <w:num w:numId="9">
    <w:abstractNumId w:val="21"/>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4"/>
  </w:num>
  <w:num w:numId="18">
    <w:abstractNumId w:val="4"/>
  </w:num>
  <w:num w:numId="19">
    <w:abstractNumId w:val="8"/>
  </w:num>
  <w:num w:numId="20">
    <w:abstractNumId w:val="20"/>
  </w:num>
  <w:num w:numId="21">
    <w:abstractNumId w:val="20"/>
  </w:num>
  <w:num w:numId="22">
    <w:abstractNumId w:val="17"/>
  </w:num>
  <w:num w:numId="23">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1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0"/>
  </w:num>
  <w:num w:numId="30">
    <w:abstractNumId w:val="11"/>
  </w:num>
  <w:num w:numId="31">
    <w:abstractNumId w:val="15"/>
  </w:num>
  <w:num w:numId="32">
    <w:abstractNumId w:val="2"/>
  </w:num>
  <w:num w:numId="33">
    <w:abstractNumId w:val="9"/>
  </w:num>
  <w:num w:numId="34">
    <w:abstractNumId w:val="16"/>
  </w:num>
  <w:num w:numId="35">
    <w:abstractNumId w:val="10"/>
  </w:num>
  <w:num w:numId="36">
    <w:abstractNumId w:val="18"/>
  </w:num>
  <w:num w:numId="37">
    <w:abstractNumId w:val="6"/>
  </w:num>
  <w:num w:numId="38">
    <w:abstractNumId w:val="12"/>
  </w:num>
  <w:num w:numId="39">
    <w:abstractNumId w:val="5"/>
  </w:num>
  <w:num w:numId="40">
    <w:abstractNumId w:val="14"/>
  </w:num>
  <w:num w:numId="41">
    <w:abstractNumId w:val="13"/>
  </w:num>
  <w:num w:numId="42">
    <w:abstractNumId w:val="19"/>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136"/>
    <w:rsid w:val="0000176A"/>
    <w:rsid w:val="0000670B"/>
    <w:rsid w:val="00012F6F"/>
    <w:rsid w:val="00014213"/>
    <w:rsid w:val="00014B55"/>
    <w:rsid w:val="00020E3E"/>
    <w:rsid w:val="00023BF3"/>
    <w:rsid w:val="00026811"/>
    <w:rsid w:val="00027984"/>
    <w:rsid w:val="0004356D"/>
    <w:rsid w:val="00045296"/>
    <w:rsid w:val="000546ED"/>
    <w:rsid w:val="00060576"/>
    <w:rsid w:val="00071553"/>
    <w:rsid w:val="00075E6C"/>
    <w:rsid w:val="000774D9"/>
    <w:rsid w:val="00083C3D"/>
    <w:rsid w:val="000947AF"/>
    <w:rsid w:val="00095574"/>
    <w:rsid w:val="00097B99"/>
    <w:rsid w:val="000B29AD"/>
    <w:rsid w:val="000C6372"/>
    <w:rsid w:val="000D5F09"/>
    <w:rsid w:val="000E392D"/>
    <w:rsid w:val="000E47AB"/>
    <w:rsid w:val="000F2D4C"/>
    <w:rsid w:val="000F4288"/>
    <w:rsid w:val="000F7165"/>
    <w:rsid w:val="00102379"/>
    <w:rsid w:val="001065D6"/>
    <w:rsid w:val="00106E44"/>
    <w:rsid w:val="00117C6B"/>
    <w:rsid w:val="00121252"/>
    <w:rsid w:val="00123783"/>
    <w:rsid w:val="00124609"/>
    <w:rsid w:val="001254CE"/>
    <w:rsid w:val="001302DE"/>
    <w:rsid w:val="00134CEA"/>
    <w:rsid w:val="00136DD8"/>
    <w:rsid w:val="001422CC"/>
    <w:rsid w:val="001452F0"/>
    <w:rsid w:val="00147620"/>
    <w:rsid w:val="00154FDB"/>
    <w:rsid w:val="001617B6"/>
    <w:rsid w:val="00162074"/>
    <w:rsid w:val="001652DF"/>
    <w:rsid w:val="00165E66"/>
    <w:rsid w:val="001756DE"/>
    <w:rsid w:val="001774F1"/>
    <w:rsid w:val="0019630E"/>
    <w:rsid w:val="001A1D7F"/>
    <w:rsid w:val="001A6D4A"/>
    <w:rsid w:val="001C7BAE"/>
    <w:rsid w:val="001E31FA"/>
    <w:rsid w:val="001E64F6"/>
    <w:rsid w:val="001F2884"/>
    <w:rsid w:val="00204CB9"/>
    <w:rsid w:val="00206635"/>
    <w:rsid w:val="00215F7C"/>
    <w:rsid w:val="00222BEB"/>
    <w:rsid w:val="002244C2"/>
    <w:rsid w:val="00225E60"/>
    <w:rsid w:val="00231BD3"/>
    <w:rsid w:val="0023202C"/>
    <w:rsid w:val="00236203"/>
    <w:rsid w:val="00245043"/>
    <w:rsid w:val="00251682"/>
    <w:rsid w:val="00257760"/>
    <w:rsid w:val="00260C83"/>
    <w:rsid w:val="00263A10"/>
    <w:rsid w:val="002752C5"/>
    <w:rsid w:val="00286F9A"/>
    <w:rsid w:val="00291A94"/>
    <w:rsid w:val="00292D36"/>
    <w:rsid w:val="00293A83"/>
    <w:rsid w:val="00297281"/>
    <w:rsid w:val="002A4004"/>
    <w:rsid w:val="002A79B8"/>
    <w:rsid w:val="002C54E0"/>
    <w:rsid w:val="002D711A"/>
    <w:rsid w:val="002D7336"/>
    <w:rsid w:val="002E3396"/>
    <w:rsid w:val="002E6A5E"/>
    <w:rsid w:val="002F0FC4"/>
    <w:rsid w:val="002F6CE3"/>
    <w:rsid w:val="0031149C"/>
    <w:rsid w:val="003153C5"/>
    <w:rsid w:val="00320A4D"/>
    <w:rsid w:val="00321AC8"/>
    <w:rsid w:val="003225E4"/>
    <w:rsid w:val="0033072A"/>
    <w:rsid w:val="003565BF"/>
    <w:rsid w:val="00361426"/>
    <w:rsid w:val="00382EE1"/>
    <w:rsid w:val="00385422"/>
    <w:rsid w:val="0038771C"/>
    <w:rsid w:val="0039405B"/>
    <w:rsid w:val="003A1C92"/>
    <w:rsid w:val="003A541A"/>
    <w:rsid w:val="003A6923"/>
    <w:rsid w:val="003A7B33"/>
    <w:rsid w:val="003C2C67"/>
    <w:rsid w:val="003C43A5"/>
    <w:rsid w:val="003C5BA4"/>
    <w:rsid w:val="003E3E26"/>
    <w:rsid w:val="003F1295"/>
    <w:rsid w:val="003F76FC"/>
    <w:rsid w:val="004002EB"/>
    <w:rsid w:val="0041689E"/>
    <w:rsid w:val="00421F2E"/>
    <w:rsid w:val="004236C8"/>
    <w:rsid w:val="00427681"/>
    <w:rsid w:val="004302E5"/>
    <w:rsid w:val="00433DB7"/>
    <w:rsid w:val="004361BA"/>
    <w:rsid w:val="0044517B"/>
    <w:rsid w:val="00453750"/>
    <w:rsid w:val="00456941"/>
    <w:rsid w:val="00464F7E"/>
    <w:rsid w:val="0046697B"/>
    <w:rsid w:val="004702EA"/>
    <w:rsid w:val="004737E9"/>
    <w:rsid w:val="00482D02"/>
    <w:rsid w:val="00486B46"/>
    <w:rsid w:val="00487033"/>
    <w:rsid w:val="0049080A"/>
    <w:rsid w:val="004A3BCD"/>
    <w:rsid w:val="004A7519"/>
    <w:rsid w:val="004B4AD5"/>
    <w:rsid w:val="004B769E"/>
    <w:rsid w:val="004C4720"/>
    <w:rsid w:val="004D3518"/>
    <w:rsid w:val="004D62D6"/>
    <w:rsid w:val="004D71D7"/>
    <w:rsid w:val="004E5AD0"/>
    <w:rsid w:val="004F163E"/>
    <w:rsid w:val="004F6445"/>
    <w:rsid w:val="004F7BEC"/>
    <w:rsid w:val="00501E95"/>
    <w:rsid w:val="00511C26"/>
    <w:rsid w:val="00517A78"/>
    <w:rsid w:val="00533527"/>
    <w:rsid w:val="00533CDF"/>
    <w:rsid w:val="0053416C"/>
    <w:rsid w:val="00541C2F"/>
    <w:rsid w:val="00553584"/>
    <w:rsid w:val="00554086"/>
    <w:rsid w:val="00563527"/>
    <w:rsid w:val="00565CF3"/>
    <w:rsid w:val="00573C77"/>
    <w:rsid w:val="0057703D"/>
    <w:rsid w:val="0058124E"/>
    <w:rsid w:val="005828FE"/>
    <w:rsid w:val="00584D14"/>
    <w:rsid w:val="005875A3"/>
    <w:rsid w:val="00596277"/>
    <w:rsid w:val="005A3416"/>
    <w:rsid w:val="005B217D"/>
    <w:rsid w:val="005B27FE"/>
    <w:rsid w:val="005C24AC"/>
    <w:rsid w:val="005C285E"/>
    <w:rsid w:val="005C30F3"/>
    <w:rsid w:val="005C3E6D"/>
    <w:rsid w:val="005D51F0"/>
    <w:rsid w:val="005F05B2"/>
    <w:rsid w:val="005F21C8"/>
    <w:rsid w:val="005F61DF"/>
    <w:rsid w:val="005F681F"/>
    <w:rsid w:val="006023F9"/>
    <w:rsid w:val="00610559"/>
    <w:rsid w:val="006147AC"/>
    <w:rsid w:val="006228CA"/>
    <w:rsid w:val="00625CB7"/>
    <w:rsid w:val="006332F6"/>
    <w:rsid w:val="00640E1A"/>
    <w:rsid w:val="006519F6"/>
    <w:rsid w:val="00652625"/>
    <w:rsid w:val="006534B2"/>
    <w:rsid w:val="0065615D"/>
    <w:rsid w:val="00656590"/>
    <w:rsid w:val="00657011"/>
    <w:rsid w:val="00657132"/>
    <w:rsid w:val="0066038B"/>
    <w:rsid w:val="006650B5"/>
    <w:rsid w:val="006651B1"/>
    <w:rsid w:val="00665778"/>
    <w:rsid w:val="006A13CE"/>
    <w:rsid w:val="006A5B34"/>
    <w:rsid w:val="006A5F5B"/>
    <w:rsid w:val="006A6CD1"/>
    <w:rsid w:val="006B2873"/>
    <w:rsid w:val="006C77A9"/>
    <w:rsid w:val="006C78FB"/>
    <w:rsid w:val="006D66F9"/>
    <w:rsid w:val="006D7907"/>
    <w:rsid w:val="006F6693"/>
    <w:rsid w:val="0070117D"/>
    <w:rsid w:val="00707FE8"/>
    <w:rsid w:val="00714872"/>
    <w:rsid w:val="007237FB"/>
    <w:rsid w:val="00724962"/>
    <w:rsid w:val="00724A0F"/>
    <w:rsid w:val="00732162"/>
    <w:rsid w:val="00736732"/>
    <w:rsid w:val="00740302"/>
    <w:rsid w:val="0074281E"/>
    <w:rsid w:val="00743F37"/>
    <w:rsid w:val="00745174"/>
    <w:rsid w:val="00750CBE"/>
    <w:rsid w:val="00766B5A"/>
    <w:rsid w:val="00782FF5"/>
    <w:rsid w:val="007834F2"/>
    <w:rsid w:val="007856AE"/>
    <w:rsid w:val="00791020"/>
    <w:rsid w:val="007A5F82"/>
    <w:rsid w:val="007B17BB"/>
    <w:rsid w:val="007B6393"/>
    <w:rsid w:val="007F1A4C"/>
    <w:rsid w:val="008022C3"/>
    <w:rsid w:val="008041E6"/>
    <w:rsid w:val="008065D2"/>
    <w:rsid w:val="0082194C"/>
    <w:rsid w:val="008220C4"/>
    <w:rsid w:val="008222FF"/>
    <w:rsid w:val="0082292A"/>
    <w:rsid w:val="008241FF"/>
    <w:rsid w:val="008411E9"/>
    <w:rsid w:val="00841519"/>
    <w:rsid w:val="0084200F"/>
    <w:rsid w:val="00843B2C"/>
    <w:rsid w:val="00861132"/>
    <w:rsid w:val="0086113D"/>
    <w:rsid w:val="00863560"/>
    <w:rsid w:val="00863669"/>
    <w:rsid w:val="008A4900"/>
    <w:rsid w:val="008B2A17"/>
    <w:rsid w:val="008C63EE"/>
    <w:rsid w:val="008D0281"/>
    <w:rsid w:val="008D4FC3"/>
    <w:rsid w:val="008E3C4E"/>
    <w:rsid w:val="008F5662"/>
    <w:rsid w:val="008F6D45"/>
    <w:rsid w:val="009149DF"/>
    <w:rsid w:val="00914C2B"/>
    <w:rsid w:val="00921868"/>
    <w:rsid w:val="00923812"/>
    <w:rsid w:val="0094037C"/>
    <w:rsid w:val="00942CF8"/>
    <w:rsid w:val="00950D8F"/>
    <w:rsid w:val="00957221"/>
    <w:rsid w:val="00962BE9"/>
    <w:rsid w:val="00963C94"/>
    <w:rsid w:val="009834C0"/>
    <w:rsid w:val="00986322"/>
    <w:rsid w:val="00986AAC"/>
    <w:rsid w:val="0099093E"/>
    <w:rsid w:val="00991798"/>
    <w:rsid w:val="009A1DA2"/>
    <w:rsid w:val="009A3704"/>
    <w:rsid w:val="009A4739"/>
    <w:rsid w:val="009A674F"/>
    <w:rsid w:val="009B199C"/>
    <w:rsid w:val="009B2677"/>
    <w:rsid w:val="009B54C8"/>
    <w:rsid w:val="009B61F1"/>
    <w:rsid w:val="009B62E0"/>
    <w:rsid w:val="009C18F3"/>
    <w:rsid w:val="009C3D88"/>
    <w:rsid w:val="009C503D"/>
    <w:rsid w:val="009E22AA"/>
    <w:rsid w:val="009E3858"/>
    <w:rsid w:val="009E66F9"/>
    <w:rsid w:val="009E70DD"/>
    <w:rsid w:val="009F2ED9"/>
    <w:rsid w:val="009F3231"/>
    <w:rsid w:val="009F5C58"/>
    <w:rsid w:val="00A023A0"/>
    <w:rsid w:val="00A03BBF"/>
    <w:rsid w:val="00A03F5F"/>
    <w:rsid w:val="00A1562B"/>
    <w:rsid w:val="00A168F2"/>
    <w:rsid w:val="00A170F4"/>
    <w:rsid w:val="00A2559E"/>
    <w:rsid w:val="00A25E41"/>
    <w:rsid w:val="00A25FD9"/>
    <w:rsid w:val="00A407E7"/>
    <w:rsid w:val="00A42474"/>
    <w:rsid w:val="00A4583F"/>
    <w:rsid w:val="00A46BA8"/>
    <w:rsid w:val="00A47634"/>
    <w:rsid w:val="00A516DE"/>
    <w:rsid w:val="00A57B06"/>
    <w:rsid w:val="00A612FE"/>
    <w:rsid w:val="00A64D28"/>
    <w:rsid w:val="00A66681"/>
    <w:rsid w:val="00A736BE"/>
    <w:rsid w:val="00A87EE9"/>
    <w:rsid w:val="00A92D26"/>
    <w:rsid w:val="00AA26B8"/>
    <w:rsid w:val="00AA4D53"/>
    <w:rsid w:val="00AB3FE2"/>
    <w:rsid w:val="00AC11CF"/>
    <w:rsid w:val="00AC1D93"/>
    <w:rsid w:val="00AC4B9D"/>
    <w:rsid w:val="00AD0531"/>
    <w:rsid w:val="00AD3322"/>
    <w:rsid w:val="00AD7E4E"/>
    <w:rsid w:val="00AE2D2C"/>
    <w:rsid w:val="00AE5B31"/>
    <w:rsid w:val="00AF3D47"/>
    <w:rsid w:val="00AF48A0"/>
    <w:rsid w:val="00AF4D58"/>
    <w:rsid w:val="00AF6666"/>
    <w:rsid w:val="00AF7E31"/>
    <w:rsid w:val="00B10154"/>
    <w:rsid w:val="00B37895"/>
    <w:rsid w:val="00B406DD"/>
    <w:rsid w:val="00B42877"/>
    <w:rsid w:val="00B6366E"/>
    <w:rsid w:val="00B73A00"/>
    <w:rsid w:val="00B81B44"/>
    <w:rsid w:val="00B85B3A"/>
    <w:rsid w:val="00B9053B"/>
    <w:rsid w:val="00B93C44"/>
    <w:rsid w:val="00BB4B4B"/>
    <w:rsid w:val="00BC3422"/>
    <w:rsid w:val="00BC6691"/>
    <w:rsid w:val="00BE7A19"/>
    <w:rsid w:val="00BF5AE4"/>
    <w:rsid w:val="00C015B9"/>
    <w:rsid w:val="00C022F9"/>
    <w:rsid w:val="00C032EA"/>
    <w:rsid w:val="00C04715"/>
    <w:rsid w:val="00C06EB5"/>
    <w:rsid w:val="00C1145F"/>
    <w:rsid w:val="00C11A7D"/>
    <w:rsid w:val="00C15136"/>
    <w:rsid w:val="00C23240"/>
    <w:rsid w:val="00C60741"/>
    <w:rsid w:val="00C62498"/>
    <w:rsid w:val="00C637E1"/>
    <w:rsid w:val="00C63D7A"/>
    <w:rsid w:val="00C70D50"/>
    <w:rsid w:val="00C73CDA"/>
    <w:rsid w:val="00C83499"/>
    <w:rsid w:val="00C907D7"/>
    <w:rsid w:val="00C9193B"/>
    <w:rsid w:val="00C92338"/>
    <w:rsid w:val="00CA1DC8"/>
    <w:rsid w:val="00CA3ABC"/>
    <w:rsid w:val="00CA7C3A"/>
    <w:rsid w:val="00CB4622"/>
    <w:rsid w:val="00CC2DB2"/>
    <w:rsid w:val="00CC33D3"/>
    <w:rsid w:val="00CD0307"/>
    <w:rsid w:val="00CD1545"/>
    <w:rsid w:val="00CD1647"/>
    <w:rsid w:val="00CD3D1B"/>
    <w:rsid w:val="00CF31AA"/>
    <w:rsid w:val="00CF6769"/>
    <w:rsid w:val="00CF7DCA"/>
    <w:rsid w:val="00D0364F"/>
    <w:rsid w:val="00D14C7B"/>
    <w:rsid w:val="00D211E9"/>
    <w:rsid w:val="00D2312F"/>
    <w:rsid w:val="00D269C1"/>
    <w:rsid w:val="00D44953"/>
    <w:rsid w:val="00D45E19"/>
    <w:rsid w:val="00D542F3"/>
    <w:rsid w:val="00D5644B"/>
    <w:rsid w:val="00D56E25"/>
    <w:rsid w:val="00D60F91"/>
    <w:rsid w:val="00D62DA0"/>
    <w:rsid w:val="00D718D7"/>
    <w:rsid w:val="00D74C90"/>
    <w:rsid w:val="00D814B7"/>
    <w:rsid w:val="00D90688"/>
    <w:rsid w:val="00DA3AAD"/>
    <w:rsid w:val="00DA7832"/>
    <w:rsid w:val="00DB312B"/>
    <w:rsid w:val="00DB7E4D"/>
    <w:rsid w:val="00DC2687"/>
    <w:rsid w:val="00DC5654"/>
    <w:rsid w:val="00DC658F"/>
    <w:rsid w:val="00DD5CD6"/>
    <w:rsid w:val="00DD5EB6"/>
    <w:rsid w:val="00DD6147"/>
    <w:rsid w:val="00DE2B94"/>
    <w:rsid w:val="00DE60CC"/>
    <w:rsid w:val="00DF5B90"/>
    <w:rsid w:val="00E11B89"/>
    <w:rsid w:val="00E122DB"/>
    <w:rsid w:val="00E1551F"/>
    <w:rsid w:val="00E20142"/>
    <w:rsid w:val="00E25815"/>
    <w:rsid w:val="00E26B32"/>
    <w:rsid w:val="00E300D9"/>
    <w:rsid w:val="00E30E0A"/>
    <w:rsid w:val="00E3232B"/>
    <w:rsid w:val="00E3756F"/>
    <w:rsid w:val="00E407B6"/>
    <w:rsid w:val="00E41EF1"/>
    <w:rsid w:val="00E42463"/>
    <w:rsid w:val="00E42942"/>
    <w:rsid w:val="00E468A6"/>
    <w:rsid w:val="00E50B49"/>
    <w:rsid w:val="00E5178B"/>
    <w:rsid w:val="00E71BDF"/>
    <w:rsid w:val="00E7402A"/>
    <w:rsid w:val="00E83CA7"/>
    <w:rsid w:val="00E92F80"/>
    <w:rsid w:val="00EA03A3"/>
    <w:rsid w:val="00EA7E96"/>
    <w:rsid w:val="00EB5CF5"/>
    <w:rsid w:val="00EC171D"/>
    <w:rsid w:val="00ED08D3"/>
    <w:rsid w:val="00ED487E"/>
    <w:rsid w:val="00EE10E9"/>
    <w:rsid w:val="00EE4249"/>
    <w:rsid w:val="00EE7A0D"/>
    <w:rsid w:val="00F137EB"/>
    <w:rsid w:val="00F17CE1"/>
    <w:rsid w:val="00F2115C"/>
    <w:rsid w:val="00F22ABA"/>
    <w:rsid w:val="00F23366"/>
    <w:rsid w:val="00F2595F"/>
    <w:rsid w:val="00F36B12"/>
    <w:rsid w:val="00F4284C"/>
    <w:rsid w:val="00F55AF4"/>
    <w:rsid w:val="00F60F9F"/>
    <w:rsid w:val="00F612E5"/>
    <w:rsid w:val="00F64F08"/>
    <w:rsid w:val="00F66238"/>
    <w:rsid w:val="00F677F1"/>
    <w:rsid w:val="00F734F5"/>
    <w:rsid w:val="00F966B1"/>
    <w:rsid w:val="00F97D48"/>
    <w:rsid w:val="00FA0311"/>
    <w:rsid w:val="00FA1680"/>
    <w:rsid w:val="00FA7820"/>
    <w:rsid w:val="00FB1EC9"/>
    <w:rsid w:val="00FB276F"/>
    <w:rsid w:val="00FC42E5"/>
    <w:rsid w:val="00FD0FBC"/>
    <w:rsid w:val="00FD60B6"/>
    <w:rsid w:val="00FD640F"/>
    <w:rsid w:val="00FD6B4C"/>
    <w:rsid w:val="00FE21B4"/>
    <w:rsid w:val="00FE6243"/>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24687"/>
  <w15:docId w15:val="{CA01FE6C-1DF0-4772-924E-991CF88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2244C2"/>
    <w:rPr>
      <w:color w:val="0063A6" w:themeColor="accent1"/>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UnresolvedMention">
    <w:name w:val="Unresolved Mention"/>
    <w:basedOn w:val="DefaultParagraphFont"/>
    <w:uiPriority w:val="99"/>
    <w:semiHidden/>
    <w:unhideWhenUsed/>
    <w:rsid w:val="00486B46"/>
    <w:rPr>
      <w:color w:val="605E5C"/>
      <w:shd w:val="clear" w:color="auto" w:fill="E1DFDD"/>
    </w:rPr>
  </w:style>
  <w:style w:type="paragraph" w:styleId="FootnoteText">
    <w:name w:val="footnote text"/>
    <w:basedOn w:val="Normal"/>
    <w:link w:val="FootnoteTextChar"/>
    <w:uiPriority w:val="99"/>
    <w:semiHidden/>
    <w:unhideWhenUsed/>
    <w:rsid w:val="00123783"/>
    <w:pPr>
      <w:spacing w:before="0" w:after="0" w:line="240" w:lineRule="auto"/>
    </w:pPr>
  </w:style>
  <w:style w:type="character" w:customStyle="1" w:styleId="FootnoteTextChar">
    <w:name w:val="Footnote Text Char"/>
    <w:basedOn w:val="DefaultParagraphFont"/>
    <w:link w:val="FootnoteText"/>
    <w:uiPriority w:val="99"/>
    <w:semiHidden/>
    <w:rsid w:val="00123783"/>
    <w:rPr>
      <w:spacing w:val="2"/>
      <w:sz w:val="18"/>
    </w:rPr>
  </w:style>
  <w:style w:type="character" w:styleId="FootnoteReference">
    <w:name w:val="footnote reference"/>
    <w:basedOn w:val="DefaultParagraphFont"/>
    <w:uiPriority w:val="99"/>
    <w:semiHidden/>
    <w:unhideWhenUsed/>
    <w:rsid w:val="00263A10"/>
    <w:rPr>
      <w:vertAlign w:val="superscript"/>
    </w:rPr>
  </w:style>
  <w:style w:type="character" w:styleId="CommentReference">
    <w:name w:val="annotation reference"/>
    <w:basedOn w:val="DefaultParagraphFont"/>
    <w:uiPriority w:val="99"/>
    <w:semiHidden/>
    <w:unhideWhenUsed/>
    <w:rsid w:val="008F5662"/>
    <w:rPr>
      <w:sz w:val="16"/>
      <w:szCs w:val="16"/>
    </w:rPr>
  </w:style>
  <w:style w:type="paragraph" w:styleId="CommentText">
    <w:name w:val="annotation text"/>
    <w:basedOn w:val="Normal"/>
    <w:link w:val="CommentTextChar"/>
    <w:uiPriority w:val="99"/>
    <w:unhideWhenUsed/>
    <w:rsid w:val="008F5662"/>
    <w:pPr>
      <w:spacing w:line="240" w:lineRule="auto"/>
    </w:pPr>
    <w:rPr>
      <w:sz w:val="20"/>
    </w:rPr>
  </w:style>
  <w:style w:type="character" w:customStyle="1" w:styleId="CommentTextChar">
    <w:name w:val="Comment Text Char"/>
    <w:basedOn w:val="DefaultParagraphFont"/>
    <w:link w:val="CommentText"/>
    <w:uiPriority w:val="99"/>
    <w:rsid w:val="008F5662"/>
    <w:rPr>
      <w:spacing w:val="2"/>
    </w:rPr>
  </w:style>
  <w:style w:type="paragraph" w:styleId="CommentSubject">
    <w:name w:val="annotation subject"/>
    <w:basedOn w:val="CommentText"/>
    <w:next w:val="CommentText"/>
    <w:link w:val="CommentSubjectChar"/>
    <w:uiPriority w:val="99"/>
    <w:semiHidden/>
    <w:unhideWhenUsed/>
    <w:rsid w:val="008F5662"/>
    <w:rPr>
      <w:b/>
      <w:bCs/>
    </w:rPr>
  </w:style>
  <w:style w:type="character" w:customStyle="1" w:styleId="CommentSubjectChar">
    <w:name w:val="Comment Subject Char"/>
    <w:basedOn w:val="CommentTextChar"/>
    <w:link w:val="CommentSubject"/>
    <w:uiPriority w:val="99"/>
    <w:semiHidden/>
    <w:rsid w:val="008F5662"/>
    <w:rPr>
      <w:b/>
      <w:bCs/>
      <w:spacing w:val="2"/>
    </w:rPr>
  </w:style>
  <w:style w:type="paragraph" w:styleId="Revision">
    <w:name w:val="Revision"/>
    <w:hidden/>
    <w:uiPriority w:val="99"/>
    <w:semiHidden/>
    <w:rsid w:val="00DD6147"/>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678918">
      <w:bodyDiv w:val="1"/>
      <w:marLeft w:val="0"/>
      <w:marRight w:val="0"/>
      <w:marTop w:val="0"/>
      <w:marBottom w:val="0"/>
      <w:divBdr>
        <w:top w:val="none" w:sz="0" w:space="0" w:color="auto"/>
        <w:left w:val="none" w:sz="0" w:space="0" w:color="auto"/>
        <w:bottom w:val="none" w:sz="0" w:space="0" w:color="auto"/>
        <w:right w:val="none" w:sz="0" w:space="0" w:color="auto"/>
      </w:divBdr>
    </w:div>
    <w:div w:id="1097021646">
      <w:bodyDiv w:val="1"/>
      <w:marLeft w:val="0"/>
      <w:marRight w:val="0"/>
      <w:marTop w:val="0"/>
      <w:marBottom w:val="0"/>
      <w:divBdr>
        <w:top w:val="none" w:sz="0" w:space="0" w:color="auto"/>
        <w:left w:val="none" w:sz="0" w:space="0" w:color="auto"/>
        <w:bottom w:val="none" w:sz="0" w:space="0" w:color="auto"/>
        <w:right w:val="none" w:sz="0" w:space="0" w:color="auto"/>
      </w:divBdr>
    </w:div>
    <w:div w:id="16905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tf.vic.gov.au/Publications/Government-Financial-Management-publications/Financial-Reporting-Policy/Model-Report" TargetMode="External"/><Relationship Id="rId4" Type="http://schemas.openxmlformats.org/officeDocument/2006/relationships/styles" Target="styles.xml"/><Relationship Id="rId9" Type="http://schemas.openxmlformats.org/officeDocument/2006/relationships/hyperlink" Target="https://www.dtf.vic.gov.au/financial-reporting-policy/accounting-standards-checklis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B60C-4899-4022-A932-D59ADFC4DDE2}">
  <ds:schemaRefs>
    <ds:schemaRef ds:uri="http://www.w3.org/2001/XMLSchema"/>
  </ds:schemaRefs>
</ds:datastoreItem>
</file>

<file path=customXml/itemProps2.xml><?xml version="1.0" encoding="utf-8"?>
<ds:datastoreItem xmlns:ds="http://schemas.openxmlformats.org/officeDocument/2006/customXml" ds:itemID="{A10431DE-AA32-4286-9F1F-1D6CE610C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McGowan (DTF)</dc:creator>
  <cp:lastModifiedBy>Leigh Anlezark</cp:lastModifiedBy>
  <cp:revision>4</cp:revision>
  <cp:lastPrinted>2019-12-20T04:34:00Z</cp:lastPrinted>
  <dcterms:created xsi:type="dcterms:W3CDTF">2020-06-05T02:14:00Z</dcterms:created>
  <dcterms:modified xsi:type="dcterms:W3CDTF">2020-06-09T01:39:00Z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3671841d-b3a8-4706-968c-e82b307d8b6d_Enabled">
    <vt:lpwstr>True</vt:lpwstr>
  </property>
  <property fmtid="{D5CDD505-2E9C-101B-9397-08002B2CF9AE}" pid="6" name="MSIP_Label_3671841d-b3a8-4706-968c-e82b307d8b6d_SiteId">
    <vt:lpwstr>2c7f1f78-afc6-43de-bfdd-cf12c4016c70</vt:lpwstr>
  </property>
  <property fmtid="{D5CDD505-2E9C-101B-9397-08002B2CF9AE}" pid="7" name="MSIP_Label_3671841d-b3a8-4706-968c-e82b307d8b6d_Owner">
    <vt:lpwstr>roberta.skliros@audit.vic.gov.au</vt:lpwstr>
  </property>
  <property fmtid="{D5CDD505-2E9C-101B-9397-08002B2CF9AE}" pid="8" name="MSIP_Label_3671841d-b3a8-4706-968c-e82b307d8b6d_SetDate">
    <vt:lpwstr>2019-10-30T01:38:27.0061145Z</vt:lpwstr>
  </property>
  <property fmtid="{D5CDD505-2E9C-101B-9397-08002B2CF9AE}" pid="9" name="MSIP_Label_3671841d-b3a8-4706-968c-e82b307d8b6d_Name">
    <vt:lpwstr>OFFICIAL</vt:lpwstr>
  </property>
  <property fmtid="{D5CDD505-2E9C-101B-9397-08002B2CF9AE}" pid="10" name="MSIP_Label_3671841d-b3a8-4706-968c-e82b307d8b6d_Application">
    <vt:lpwstr>Microsoft Azure Information Protection</vt:lpwstr>
  </property>
  <property fmtid="{D5CDD505-2E9C-101B-9397-08002B2CF9AE}" pid="11" name="MSIP_Label_3671841d-b3a8-4706-968c-e82b307d8b6d_Extended_MSFT_Method">
    <vt:lpwstr>Manual</vt:lpwstr>
  </property>
  <property fmtid="{D5CDD505-2E9C-101B-9397-08002B2CF9AE}" pid="12" name="MSIP_Label_7158ebbd-6c5e-441f-bfc9-4eb8c11e3978_Enabled">
    <vt:lpwstr>True</vt:lpwstr>
  </property>
  <property fmtid="{D5CDD505-2E9C-101B-9397-08002B2CF9AE}" pid="13" name="MSIP_Label_7158ebbd-6c5e-441f-bfc9-4eb8c11e3978_SiteId">
    <vt:lpwstr>722ea0be-3e1c-4b11-ad6f-9401d6856e24</vt:lpwstr>
  </property>
  <property fmtid="{D5CDD505-2E9C-101B-9397-08002B2CF9AE}" pid="14" name="MSIP_Label_7158ebbd-6c5e-441f-bfc9-4eb8c11e3978_Owner">
    <vt:lpwstr>thomas.mcgowan@dtf.vic.gov.au</vt:lpwstr>
  </property>
  <property fmtid="{D5CDD505-2E9C-101B-9397-08002B2CF9AE}" pid="15" name="MSIP_Label_7158ebbd-6c5e-441f-bfc9-4eb8c11e3978_SetDate">
    <vt:lpwstr>2019-07-31T03:57:59.5058811Z</vt:lpwstr>
  </property>
  <property fmtid="{D5CDD505-2E9C-101B-9397-08002B2CF9AE}" pid="16" name="MSIP_Label_7158ebbd-6c5e-441f-bfc9-4eb8c11e3978_Name">
    <vt:lpwstr>OFFICIAL</vt:lpwstr>
  </property>
  <property fmtid="{D5CDD505-2E9C-101B-9397-08002B2CF9AE}" pid="17" name="MSIP_Label_7158ebbd-6c5e-441f-bfc9-4eb8c11e3978_Application">
    <vt:lpwstr>Microsoft Azure Information Protection</vt:lpwstr>
  </property>
  <property fmtid="{D5CDD505-2E9C-101B-9397-08002B2CF9AE}" pid="18" name="MSIP_Label_7158ebbd-6c5e-441f-bfc9-4eb8c11e3978_Extended_MSFT_Method">
    <vt:lpwstr>Manual</vt:lpwstr>
  </property>
  <property fmtid="{D5CDD505-2E9C-101B-9397-08002B2CF9AE}" pid="19" name="Sensitivity">
    <vt:lpwstr>OFFICIAL OFFICIAL</vt:lpwstr>
  </property>
</Properties>
</file>